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86" w:rsidRDefault="00931486" w:rsidP="00931486">
      <w:pPr>
        <w:pStyle w:val="tytul"/>
      </w:pPr>
      <w:bookmarkStart w:id="0" w:name="_GoBack"/>
      <w:bookmarkEnd w:id="0"/>
    </w:p>
    <w:p w:rsidR="00931486" w:rsidRDefault="00931486" w:rsidP="00931486">
      <w:pPr>
        <w:pStyle w:val="tytul"/>
      </w:pPr>
    </w:p>
    <w:p w:rsidR="00931486" w:rsidRPr="0083335E" w:rsidRDefault="00931486" w:rsidP="00931486">
      <w:pPr>
        <w:jc w:val="center"/>
        <w:rPr>
          <w:b/>
          <w:u w:val="single"/>
        </w:rPr>
      </w:pPr>
      <w:r w:rsidRPr="0083335E">
        <w:rPr>
          <w:b/>
          <w:u w:val="single"/>
        </w:rPr>
        <w:t>Dz.U. 2013  poz. 2</w:t>
      </w:r>
    </w:p>
    <w:p w:rsidR="00931486" w:rsidRDefault="00931486" w:rsidP="00931486">
      <w:pPr>
        <w:pStyle w:val="tytul"/>
      </w:pPr>
    </w:p>
    <w:p w:rsidR="00931486" w:rsidRDefault="00931486" w:rsidP="00931486">
      <w:pPr>
        <w:pStyle w:val="tytul"/>
      </w:pPr>
    </w:p>
    <w:p w:rsidR="00EB12DE" w:rsidRDefault="00EB12DE" w:rsidP="00931486">
      <w:pPr>
        <w:pStyle w:val="tytul"/>
      </w:pPr>
      <w:r>
        <w:t>USTAWA</w:t>
      </w:r>
    </w:p>
    <w:p w:rsidR="00EB12DE" w:rsidRDefault="00EB12DE" w:rsidP="00931486">
      <w:pPr>
        <w:jc w:val="center"/>
      </w:pPr>
      <w:r>
        <w:t>z dnia 9 listopada 2012 r.</w:t>
      </w:r>
    </w:p>
    <w:p w:rsidR="00EB12DE" w:rsidRDefault="00EB12DE" w:rsidP="00931486">
      <w:pPr>
        <w:jc w:val="center"/>
      </w:pPr>
    </w:p>
    <w:p w:rsidR="00EB12DE" w:rsidRDefault="00EB12DE" w:rsidP="00931486">
      <w:pPr>
        <w:jc w:val="center"/>
      </w:pPr>
      <w:r>
        <w:rPr>
          <w:rStyle w:val="bold"/>
          <w:bCs/>
        </w:rPr>
        <w:t>o zmianie ustawy – Kodeks pracy oraz niektórych innych ustaw</w:t>
      </w:r>
      <w:r>
        <w:rPr>
          <w:rStyle w:val="przypisgorny"/>
        </w:rPr>
        <w:footnoteReference w:id="1"/>
      </w:r>
      <w:r>
        <w:rPr>
          <w:rStyle w:val="przypisgorny"/>
        </w:rPr>
        <w:t>)</w:t>
      </w:r>
    </w:p>
    <w:p w:rsidR="00EB12DE" w:rsidRDefault="00EB12DE" w:rsidP="00931486">
      <w:pPr>
        <w:pStyle w:val="Akapit"/>
      </w:pPr>
      <w:r>
        <w:rPr>
          <w:rStyle w:val="bold"/>
          <w:bCs/>
        </w:rPr>
        <w:t xml:space="preserve">Art. 1. </w:t>
      </w:r>
      <w:r>
        <w:t>W ustawie z dnia 26 czerwca 1974 r. – Kodeks pracy (Dz. U. z 1998 r. Nr 21, poz. 94, z późn. zm.</w:t>
      </w:r>
      <w:r>
        <w:rPr>
          <w:rStyle w:val="przypisgorny"/>
        </w:rPr>
        <w:footnoteReference w:id="2"/>
      </w:r>
      <w:r>
        <w:rPr>
          <w:rStyle w:val="przypisgorny"/>
        </w:rPr>
        <w:t>)</w:t>
      </w:r>
      <w:r>
        <w:t>) wprow</w:t>
      </w:r>
      <w:r>
        <w:t>a</w:t>
      </w:r>
      <w:r>
        <w:t>dza się następujące zmiany:</w:t>
      </w:r>
    </w:p>
    <w:p w:rsidR="00EB12DE" w:rsidRDefault="00EB12DE" w:rsidP="00931486">
      <w:pPr>
        <w:pStyle w:val="1"/>
        <w:spacing w:before="113"/>
      </w:pPr>
      <w:r>
        <w:t>1) uchyla się art. 209;</w:t>
      </w:r>
    </w:p>
    <w:p w:rsidR="00EB12DE" w:rsidRDefault="00EB12DE" w:rsidP="00931486">
      <w:pPr>
        <w:pStyle w:val="1"/>
        <w:spacing w:before="113"/>
      </w:pPr>
      <w:r>
        <w:t>2) w art. 283 w § 2 uchyla się pkt 1.</w:t>
      </w:r>
    </w:p>
    <w:p w:rsidR="00EB12DE" w:rsidRDefault="00EB12DE" w:rsidP="00931486">
      <w:pPr>
        <w:pStyle w:val="Akapit"/>
      </w:pPr>
      <w:r>
        <w:rPr>
          <w:rStyle w:val="bold"/>
          <w:bCs/>
        </w:rPr>
        <w:t xml:space="preserve">Art. 2. </w:t>
      </w:r>
      <w:r>
        <w:t>W ustawie z dnia 14 marca 1985 r. o Państwowej Inspekcji Sanitarnej (Dz. U. z 2011 r. Nr 212, poz. 1263 oraz z 2012 r. poz. 460 i 892) po art. 36 dodaje się art. 36a w brzmieniu:</w:t>
      </w:r>
    </w:p>
    <w:p w:rsidR="00EB12DE" w:rsidRDefault="00EB12DE" w:rsidP="00931486">
      <w:pPr>
        <w:pStyle w:val="ustcytowania"/>
        <w:spacing w:before="113"/>
      </w:pPr>
      <w:r>
        <w:t>„Art. 36a. Państwowa Inspekcja Sanitarna jest uprawniona do nieodpłatnego korzystania z danych zgrom</w:t>
      </w:r>
      <w:r>
        <w:t>a</w:t>
      </w:r>
      <w:r>
        <w:t>dzonych:</w:t>
      </w:r>
    </w:p>
    <w:p w:rsidR="00EB12DE" w:rsidRDefault="00EB12DE" w:rsidP="00931486">
      <w:pPr>
        <w:pStyle w:val="pkt1cytowania"/>
      </w:pPr>
      <w:r>
        <w:t>1) w krajowym rejestrze urzędowym podmiotów gospodarki narodowej (REGON) prowadzonym przez Prezesa Głównego Urzędu Statystycznego;</w:t>
      </w:r>
    </w:p>
    <w:p w:rsidR="00EB12DE" w:rsidRDefault="00EB12DE" w:rsidP="00931486">
      <w:pPr>
        <w:pStyle w:val="pkt1cytowania"/>
      </w:pPr>
      <w:r>
        <w:t>2) przez Zakład Ubezpieczeń Społecznych na koncie płatnika składek, o którym mowa w art. 45 ustawy z dnia 13 października 1998 r. o systemie ubezpieczeń społecznych (Dz. U. z 2009 r. Nr 205, poz. 1585, z późn. zm.</w:t>
      </w:r>
      <w:r>
        <w:rPr>
          <w:rStyle w:val="przypisgorny"/>
        </w:rPr>
        <w:footnoteReference w:id="3"/>
      </w:r>
      <w:r>
        <w:rPr>
          <w:rStyle w:val="przypisgorny"/>
        </w:rPr>
        <w:t>)</w:t>
      </w:r>
      <w:r>
        <w:t xml:space="preserve">).”. </w:t>
      </w:r>
    </w:p>
    <w:p w:rsidR="00EB12DE" w:rsidRDefault="00EB12DE" w:rsidP="00931486">
      <w:pPr>
        <w:pStyle w:val="Akapit"/>
      </w:pPr>
      <w:r>
        <w:rPr>
          <w:rStyle w:val="bold"/>
          <w:bCs/>
        </w:rPr>
        <w:t xml:space="preserve">Art. 3. </w:t>
      </w:r>
      <w:r>
        <w:t>W ustawie z dnia 29 czerwca 1995 r. o statystyce publicznej (Dz. U. z 2012 r. poz. 591) w art. 44 ust. 2 otrz</w:t>
      </w:r>
      <w:r>
        <w:t>y</w:t>
      </w:r>
      <w:r>
        <w:t>muje brzmienie:</w:t>
      </w:r>
    </w:p>
    <w:p w:rsidR="00EB12DE" w:rsidRDefault="00EB12DE" w:rsidP="00931486">
      <w:pPr>
        <w:pStyle w:val="ustcytowania"/>
        <w:spacing w:before="113"/>
      </w:pPr>
      <w:r>
        <w:t>„2. Urzędy statystyczne udostępniają nieodpłatnie:</w:t>
      </w:r>
    </w:p>
    <w:p w:rsidR="00EB12DE" w:rsidRDefault="00EB12DE" w:rsidP="00931486">
      <w:pPr>
        <w:pStyle w:val="pkt1cytowania"/>
      </w:pPr>
      <w:r>
        <w:t>1) organom prowadzącym inne urzędowe rejestry i systemy informacyjne administracji publicznej, o których mowa w ust. 1, okresowo wykazy podmiotów wpisanych do rejestru podmiotów wraz z nadanym im numerem identyfikacyjnym i zakodowanym opisem informacji objętych rejestrem,</w:t>
      </w:r>
    </w:p>
    <w:p w:rsidR="00EB12DE" w:rsidRDefault="00EB12DE" w:rsidP="00931486">
      <w:pPr>
        <w:pStyle w:val="pkt1cytowania"/>
      </w:pPr>
      <w:r>
        <w:t>2) organom administracji rządowej i jednostek samorządu terytorialnego, innym instytucjom rządowym, Na</w:t>
      </w:r>
      <w:r>
        <w:t>j</w:t>
      </w:r>
      <w:r>
        <w:t>wyższej Izbie Kontroli, Narodowemu Bankowi Polskiemu, Generalnemu Inspektorowi Ochrony Danych Os</w:t>
      </w:r>
      <w:r>
        <w:t>o</w:t>
      </w:r>
      <w:r>
        <w:t>bowych, równorzędnym organom, jednostkom i instytucjom państw członkowskich Unii Europejskiej, państw członkowskich Europejskiego Porozumienia o Wolnym Handlu (EFTA) – stron umowy o Europejskim Obszarze Gospodarczym, państw, które zawarły ze Wspólnotą Europejską i jej państwami członkowskimi umowę regul</w:t>
      </w:r>
      <w:r>
        <w:t>u</w:t>
      </w:r>
      <w:r>
        <w:t>jącą swobodę świadczenia usług, oraz Komisji Europejskiej na ich pisemny wniosek, wyciągi z rejestru po</w:t>
      </w:r>
      <w:r>
        <w:t>d</w:t>
      </w:r>
      <w:r>
        <w:lastRenderedPageBreak/>
        <w:t>miotów,</w:t>
      </w:r>
    </w:p>
    <w:p w:rsidR="00EB12DE" w:rsidRDefault="00EB12DE" w:rsidP="00931486">
      <w:pPr>
        <w:pStyle w:val="pkt1cytowania"/>
      </w:pPr>
      <w:r>
        <w:t>3) Państwowej Inspekcji Pracy oraz Państwowej Inspekcji Sanitarnej z urzędu, kwartalnie, zgromadzone w rejestrze podmiotów informacje o podmiotach deklarujących zatrudnienie pracowników wraz z nadanym im numerem identyfikacyjnym i zakodowanym opisem informacji objętych rejestrem</w:t>
      </w:r>
    </w:p>
    <w:p w:rsidR="00EB12DE" w:rsidRDefault="00EB12DE" w:rsidP="00931486">
      <w:pPr>
        <w:pStyle w:val="pkt1cytowania"/>
      </w:pPr>
      <w:r>
        <w:t>– w uzgodnionym zakresie, niezbędnym do wykonywania statutowych zadań tych organów lub instytucji.”.</w:t>
      </w:r>
    </w:p>
    <w:p w:rsidR="00EB12DE" w:rsidRDefault="00EB12DE" w:rsidP="00931486">
      <w:pPr>
        <w:pStyle w:val="Akapit"/>
      </w:pPr>
      <w:r>
        <w:rPr>
          <w:rStyle w:val="bold"/>
          <w:bCs/>
        </w:rPr>
        <w:t xml:space="preserve">Art. 4. </w:t>
      </w:r>
      <w:r>
        <w:t>W ustawie z dnia 13 października 1995 r. o zasadach ewidencji i identyfikacji podatników i płatników (Dz. U. z 2012 r. poz. 1314) w art. 8b ust. 2 otrzymuje brzmienie:</w:t>
      </w:r>
    </w:p>
    <w:p w:rsidR="00EB12DE" w:rsidRDefault="00EB12DE" w:rsidP="00931486">
      <w:pPr>
        <w:pStyle w:val="ustcytowania"/>
      </w:pPr>
      <w:r>
        <w:t>„2. Potwierdzenie nadania NIP jest wydawane niezwłocznie, nie później niż w terminie 3 dni od dnia wpływu poprawnego zgłoszenia identyfikacyjnego do naczelnika urzędu skarbowego.”.</w:t>
      </w:r>
    </w:p>
    <w:p w:rsidR="00EB12DE" w:rsidRDefault="00EB12DE" w:rsidP="00931486">
      <w:pPr>
        <w:pStyle w:val="Akapit"/>
      </w:pPr>
      <w:r>
        <w:rPr>
          <w:rStyle w:val="bold"/>
          <w:bCs/>
        </w:rPr>
        <w:t xml:space="preserve">Art. 5. </w:t>
      </w:r>
      <w:r>
        <w:t>Ustawa wchodzi w życie po upływie 14 dni od dnia ogłoszenia.</w:t>
      </w:r>
    </w:p>
    <w:p w:rsidR="00EB12DE" w:rsidRDefault="00EB12DE" w:rsidP="00931486">
      <w:pPr>
        <w:jc w:val="left"/>
      </w:pPr>
    </w:p>
    <w:p w:rsidR="00837476" w:rsidRDefault="00837476" w:rsidP="00931486">
      <w:pPr>
        <w:jc w:val="right"/>
      </w:pPr>
    </w:p>
    <w:p w:rsidR="00EB12DE" w:rsidRDefault="00EB12DE" w:rsidP="00931486">
      <w:pPr>
        <w:jc w:val="right"/>
        <w:rPr>
          <w:rStyle w:val="kursywa"/>
          <w:iCs/>
        </w:rPr>
      </w:pPr>
      <w:r>
        <w:t xml:space="preserve">Prezydent Rzeczypospolitej Polskiej: </w:t>
      </w:r>
      <w:r>
        <w:rPr>
          <w:rStyle w:val="kursywa"/>
          <w:iCs/>
        </w:rPr>
        <w:t>B. Komorowski</w:t>
      </w:r>
    </w:p>
    <w:sectPr w:rsidR="00EB12DE" w:rsidSect="00931486">
      <w:headerReference w:type="default" r:id="rId7"/>
      <w:footerReference w:type="default" r:id="rId8"/>
      <w:pgSz w:w="11906" w:h="16838"/>
      <w:pgMar w:top="992" w:right="1020" w:bottom="992" w:left="10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E3" w:rsidRDefault="00943EE3">
      <w:pPr>
        <w:spacing w:line="240" w:lineRule="auto"/>
      </w:pPr>
      <w:r>
        <w:separator/>
      </w:r>
    </w:p>
  </w:endnote>
  <w:endnote w:type="continuationSeparator" w:id="0">
    <w:p w:rsidR="00943EE3" w:rsidRDefault="00943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86" w:rsidRPr="00931486" w:rsidRDefault="00931486" w:rsidP="00931486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DATE  \* MERGEFORMAT </w:instrText>
    </w:r>
    <w:r>
      <w:rPr>
        <w:sz w:val="18"/>
      </w:rPr>
      <w:fldChar w:fldCharType="separate"/>
    </w:r>
    <w:r w:rsidR="008C3770">
      <w:rPr>
        <w:noProof/>
        <w:sz w:val="18"/>
      </w:rPr>
      <w:t>2016-06-30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E3" w:rsidRDefault="00943EE3">
      <w:pPr>
        <w:spacing w:line="240" w:lineRule="auto"/>
      </w:pPr>
      <w:r>
        <w:separator/>
      </w:r>
    </w:p>
  </w:footnote>
  <w:footnote w:type="continuationSeparator" w:id="0">
    <w:p w:rsidR="00943EE3" w:rsidRDefault="00943EE3">
      <w:pPr>
        <w:spacing w:line="240" w:lineRule="auto"/>
      </w:pPr>
      <w:r>
        <w:continuationSeparator/>
      </w:r>
    </w:p>
  </w:footnote>
  <w:footnote w:id="1">
    <w:p w:rsidR="00EB12DE" w:rsidRDefault="00EB12DE">
      <w:pPr>
        <w:pStyle w:val="notka"/>
      </w:pPr>
      <w:r>
        <w:rPr>
          <w:vertAlign w:val="superscript"/>
        </w:rPr>
        <w:footnoteRef/>
      </w:r>
      <w:r>
        <w:t>) Niniejszą ustawą zmienia się ustawy: ustawę z dnia 14 marca 1985 r. o Państwowej Inspekcji Sanitarnej, ustawę z dnia 29 czerwca 1995 r. o statystyce publicznej oraz ustawę z dnia 13 października 1995 r. o zasadach ewidencji i identyfikacji podatników i płatników.</w:t>
      </w:r>
    </w:p>
    <w:p w:rsidR="00000000" w:rsidRDefault="00943EE3">
      <w:pPr>
        <w:pStyle w:val="notka"/>
      </w:pPr>
    </w:p>
  </w:footnote>
  <w:footnote w:id="2">
    <w:p w:rsidR="00EB12DE" w:rsidRDefault="00EB12DE">
      <w:pPr>
        <w:pStyle w:val="notka"/>
      </w:pPr>
      <w:r>
        <w:rPr>
          <w:vertAlign w:val="superscript"/>
        </w:rPr>
        <w:footnoteRef/>
      </w:r>
      <w:r>
        <w:t>) Zmiany tekstu jednolitego wymienionej ustawy zostały ogłoszone w Dz. U. z 1998 r. Nr 106, poz. 668 i Nr 113, poz. 717, z 1999 r. Nr 99, poz. 1152, z 2000 r. Nr 19, poz. 239, Nr 43, poz. 489, Nr 107, poz. 1127 i Nr 120, poz. 1268, z 2001 r. Nr 11, poz. 84, Nr 28, poz. 301, Nr 52, poz. 538, Nr 99, poz. 1075, Nr 111, poz. 1194, Nr 123, poz. 1354, Nr 128, poz. 1405 i Nr 154, poz. 1805, z 2002 r. Nr 74, poz. 676, Nr 135, poz. 1146, Nr 196, poz. 1660, Nr 199, poz. 1673 i Nr 200, poz. 1679, z 2003 r. Nr 166, poz. 1608 i Nr 213, poz. 2081, z 2004 r. Nr 96, poz. 959, Nr 99, poz. 1001, Nr 120, poz. 1252 i Nr 240, poz. 2407, z 2005 r. Nr 10, poz. 71, Nr 68, poz. 610, Nr 86, poz. 732 i Nr 167, poz. 1398, z 2006 r. Nr 104, poz. 708 i 711, Nr 133, poz. 935, Nr 217, poz. 1587 i Nr 221, poz. 1615, z 2007 r. Nr 64, poz. 426, Nr 89, poz. 589, Nr 176, poz. 1239, Nr 181, poz. 1288 i Nr 225, poz. 1672, z 2008 r. Nr 93, poz. 586, Nr 116, poz. 740, Nr 223, poz. 1460 i Nr 237, poz. 1654, z 2009 r. Nr 6, poz. 33, Nr 56, poz. 458, Nr 58, poz. 485, Nr 98, poz. 817, Nr 99, poz. 825, Nr 115, poz. 958, Nr 157, poz. 1241 i Nr 219, poz. 1704, z 2010 r. Nr 105, poz. 655, Nr 135, poz. 912, Nr 182, poz. 1228, Nr 224, poz. 1459, Nr 249, poz. 1655 i Nr 254, poz. 1700, z 2011 r. Nr 36, poz. 181, Nr 63, poz. 322, Nr 80, poz. 432, Nr 144, poz. 855, Nr 149, poz. 887 i Nr 232, poz. 1378 oraz z 2012 r. poz. 908 i 1110.</w:t>
      </w:r>
    </w:p>
    <w:p w:rsidR="00000000" w:rsidRDefault="00943EE3">
      <w:pPr>
        <w:pStyle w:val="notka"/>
      </w:pPr>
    </w:p>
  </w:footnote>
  <w:footnote w:id="3">
    <w:p w:rsidR="00EB12DE" w:rsidRDefault="00EB12DE">
      <w:pPr>
        <w:pStyle w:val="notka"/>
      </w:pPr>
      <w:r>
        <w:rPr>
          <w:vertAlign w:val="superscript"/>
        </w:rPr>
        <w:footnoteRef/>
      </w:r>
      <w:r>
        <w:t>) Zmiany tekstu jednolitego wymienionej ustawy zostały ogłoszone w Dz. U. z 2009 r. Nr 218, poz. 1690, z 2010 r. Nr 105, poz. 668, Nr 182, poz. 1228, Nr 225, poz. 1474, Nr 254, poz. 1700 i Nr 257, poz. 1725, z 2011 r. Nr 45, poz. 235, Nr 75, poz. 398, Nr 138, poz. 808, Nr 171, poz. 1016, Nr 197, poz. 1170, Nr 199, poz. 1175, Nr 232, poz. 1378 i Nr 291, poz. 1706 oraz z 2012 r. poz. 611, 637, 769, 1342 i 1548.</w:t>
      </w:r>
    </w:p>
    <w:p w:rsidR="00000000" w:rsidRDefault="00943EE3">
      <w:pPr>
        <w:pStyle w:val="not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86" w:rsidRPr="00931486" w:rsidRDefault="00931486" w:rsidP="00931486">
    <w:pPr>
      <w:pStyle w:val="Nagwek"/>
      <w:rPr>
        <w:sz w:val="18"/>
        <w:u w:val="single"/>
      </w:rPr>
    </w:pPr>
    <w:r>
      <w:rPr>
        <w:rFonts w:ascii="Times New Roman" w:hAnsi="Times New Roman"/>
        <w:sz w:val="18"/>
        <w:u w:val="single"/>
      </w:rPr>
      <w:t>©</w:t>
    </w:r>
    <w:r>
      <w:rPr>
        <w:sz w:val="18"/>
        <w:u w:val="single"/>
      </w:rPr>
      <w:t>Kancelaria Sejmu</w:t>
    </w:r>
    <w:r>
      <w:rPr>
        <w:sz w:val="18"/>
        <w:u w:val="single"/>
      </w:rPr>
      <w:tab/>
    </w:r>
    <w:r>
      <w:rPr>
        <w:sz w:val="18"/>
        <w:u w:val="single"/>
      </w:rPr>
      <w:tab/>
      <w:t xml:space="preserve">s. 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PAGE  \* MERGEFORMAT </w:instrText>
    </w:r>
    <w:r>
      <w:rPr>
        <w:sz w:val="18"/>
        <w:u w:val="single"/>
      </w:rPr>
      <w:fldChar w:fldCharType="separate"/>
    </w:r>
    <w:r w:rsidR="008C3770">
      <w:rPr>
        <w:noProof/>
        <w:sz w:val="18"/>
        <w:u w:val="single"/>
      </w:rPr>
      <w:t>1</w:t>
    </w:r>
    <w:r>
      <w:rPr>
        <w:sz w:val="18"/>
        <w:u w:val="single"/>
      </w:rPr>
      <w:fldChar w:fldCharType="end"/>
    </w:r>
    <w:r>
      <w:rPr>
        <w:sz w:val="18"/>
        <w:u w:val="single"/>
      </w:rPr>
      <w:t>/</w:t>
    </w:r>
    <w:r>
      <w:rPr>
        <w:sz w:val="18"/>
        <w:u w:val="single"/>
      </w:rPr>
      <w:fldChar w:fldCharType="begin"/>
    </w:r>
    <w:r>
      <w:rPr>
        <w:sz w:val="18"/>
        <w:u w:val="single"/>
      </w:rPr>
      <w:instrText xml:space="preserve"> NUMPAGES  \* MERGEFORMAT </w:instrText>
    </w:r>
    <w:r>
      <w:rPr>
        <w:sz w:val="18"/>
        <w:u w:val="single"/>
      </w:rPr>
      <w:fldChar w:fldCharType="separate"/>
    </w:r>
    <w:r w:rsidR="008C3770">
      <w:rPr>
        <w:noProof/>
        <w:sz w:val="18"/>
        <w:u w:val="single"/>
      </w:rPr>
      <w:t>2</w:t>
    </w:r>
    <w:r>
      <w:rPr>
        <w:sz w:val="18"/>
        <w:u w:val="singl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86"/>
    <w:rsid w:val="0083335E"/>
    <w:rsid w:val="00837476"/>
    <w:rsid w:val="008C3770"/>
    <w:rsid w:val="00931486"/>
    <w:rsid w:val="00943EE3"/>
    <w:rsid w:val="00D30112"/>
    <w:rsid w:val="00EB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pPr>
      <w:suppressAutoHyphens/>
      <w:spacing w:line="300" w:lineRule="atLeast"/>
      <w:jc w:val="center"/>
    </w:pPr>
    <w:rPr>
      <w:rFonts w:ascii="TimesNewRomanPS-BoldMT" w:hAnsi="TimesNewRomanPS-BoldMT" w:cs="TimesNewRomanPS-BoldMT"/>
      <w:b/>
      <w:bCs/>
      <w:caps/>
      <w:spacing w:val="13"/>
    </w:rPr>
  </w:style>
  <w:style w:type="paragraph" w:customStyle="1" w:styleId="Akapit">
    <w:name w:val="Akapit"/>
    <w:basedOn w:val="Normalny"/>
    <w:uiPriority w:val="99"/>
    <w:pPr>
      <w:spacing w:before="227"/>
      <w:ind w:firstLine="320"/>
    </w:pPr>
  </w:style>
  <w:style w:type="paragraph" w:customStyle="1" w:styleId="1">
    <w:name w:val="1)"/>
    <w:basedOn w:val="Brakstyluakapitowego"/>
    <w:uiPriority w:val="99"/>
    <w:pPr>
      <w:spacing w:before="170" w:line="240" w:lineRule="atLeast"/>
      <w:ind w:left="320" w:hanging="209"/>
      <w:jc w:val="both"/>
    </w:pPr>
    <w:rPr>
      <w:rFonts w:ascii="TimesNewRomanPSMT" w:hAnsi="TimesNewRomanPSMT" w:cs="TimesNewRomanPSMT"/>
      <w:sz w:val="20"/>
      <w:szCs w:val="20"/>
    </w:rPr>
  </w:style>
  <w:style w:type="paragraph" w:customStyle="1" w:styleId="ustcytowania">
    <w:name w:val="ust (cytowania)"/>
    <w:basedOn w:val="Normalny"/>
    <w:uiPriority w:val="99"/>
    <w:pPr>
      <w:spacing w:before="170"/>
      <w:ind w:left="680" w:firstLine="320"/>
    </w:pPr>
  </w:style>
  <w:style w:type="paragraph" w:customStyle="1" w:styleId="1s">
    <w:name w:val="1) s"/>
    <w:basedOn w:val="Brakstyluakapitowego"/>
    <w:uiPriority w:val="99"/>
    <w:pPr>
      <w:spacing w:before="170" w:line="240" w:lineRule="atLeast"/>
      <w:ind w:left="105"/>
      <w:jc w:val="both"/>
    </w:pPr>
    <w:rPr>
      <w:rFonts w:ascii="TimesNewRomanPSMT" w:hAnsi="TimesNewRomanPSMT" w:cs="TimesNewRomanPSMT"/>
      <w:sz w:val="20"/>
      <w:szCs w:val="20"/>
    </w:rPr>
  </w:style>
  <w:style w:type="paragraph" w:customStyle="1" w:styleId="pkt1cytowania">
    <w:name w:val="pkt 1 (cytowania)"/>
    <w:basedOn w:val="1s"/>
    <w:uiPriority w:val="99"/>
    <w:pPr>
      <w:spacing w:before="113"/>
      <w:ind w:left="785"/>
    </w:pPr>
  </w:style>
  <w:style w:type="paragraph" w:customStyle="1" w:styleId="szpic">
    <w:name w:val="szpic"/>
    <w:basedOn w:val="Normalny"/>
    <w:uiPriority w:val="99"/>
    <w:pPr>
      <w:pBdr>
        <w:top w:val="single" w:sz="4" w:space="0" w:color="auto"/>
      </w:pBdr>
      <w:spacing w:line="200" w:lineRule="atLeast"/>
    </w:pPr>
    <w:rPr>
      <w:sz w:val="18"/>
      <w:szCs w:val="18"/>
    </w:rPr>
  </w:style>
  <w:style w:type="paragraph" w:customStyle="1" w:styleId="notka">
    <w:name w:val="notka"/>
    <w:basedOn w:val="szpic"/>
    <w:uiPriority w:val="99"/>
    <w:pPr>
      <w:pBdr>
        <w:top w:val="none" w:sz="0" w:space="0" w:color="auto"/>
      </w:pBdr>
      <w:tabs>
        <w:tab w:val="left" w:pos="220"/>
      </w:tabs>
      <w:spacing w:line="220" w:lineRule="atLeast"/>
    </w:pPr>
  </w:style>
  <w:style w:type="character" w:customStyle="1" w:styleId="bold">
    <w:name w:val="bold"/>
    <w:uiPriority w:val="99"/>
    <w:rPr>
      <w:b/>
    </w:rPr>
  </w:style>
  <w:style w:type="character" w:customStyle="1" w:styleId="przypisgorny">
    <w:name w:val="przypis gorny"/>
    <w:uiPriority w:val="99"/>
    <w:rPr>
      <w:color w:val="000000"/>
      <w:vertAlign w:val="superscript"/>
    </w:rPr>
  </w:style>
  <w:style w:type="character" w:customStyle="1" w:styleId="kursywa">
    <w:name w:val="kursywa"/>
    <w:uiPriority w:val="99"/>
    <w:rPr>
      <w:i/>
    </w:rPr>
  </w:style>
  <w:style w:type="paragraph" w:styleId="Nagwek">
    <w:name w:val="header"/>
    <w:basedOn w:val="Normalny"/>
    <w:link w:val="NagwekZnak"/>
    <w:uiPriority w:val="99"/>
    <w:unhideWhenUsed/>
    <w:rsid w:val="0093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1486"/>
    <w:rPr>
      <w:rFonts w:ascii="TimesNewRomanPSMT" w:hAnsi="TimesNewRomanPSMT" w:cs="TimesNewRomanPSMT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3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1486"/>
    <w:rPr>
      <w:rFonts w:ascii="TimesNewRomanPSMT" w:hAnsi="TimesNewRomanPSMT" w:cs="TimesNewRomanPSM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148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NewRomanPSMT" w:hAnsi="TimesNewRomanPSMT" w:cs="TimesNewRomanPSMT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l">
    <w:name w:val="tytul"/>
    <w:basedOn w:val="Normalny"/>
    <w:uiPriority w:val="99"/>
    <w:pPr>
      <w:suppressAutoHyphens/>
      <w:spacing w:line="300" w:lineRule="atLeast"/>
      <w:jc w:val="center"/>
    </w:pPr>
    <w:rPr>
      <w:rFonts w:ascii="TimesNewRomanPS-BoldMT" w:hAnsi="TimesNewRomanPS-BoldMT" w:cs="TimesNewRomanPS-BoldMT"/>
      <w:b/>
      <w:bCs/>
      <w:caps/>
      <w:spacing w:val="13"/>
    </w:rPr>
  </w:style>
  <w:style w:type="paragraph" w:customStyle="1" w:styleId="Akapit">
    <w:name w:val="Akapit"/>
    <w:basedOn w:val="Normalny"/>
    <w:uiPriority w:val="99"/>
    <w:pPr>
      <w:spacing w:before="227"/>
      <w:ind w:firstLine="320"/>
    </w:pPr>
  </w:style>
  <w:style w:type="paragraph" w:customStyle="1" w:styleId="1">
    <w:name w:val="1)"/>
    <w:basedOn w:val="Brakstyluakapitowego"/>
    <w:uiPriority w:val="99"/>
    <w:pPr>
      <w:spacing w:before="170" w:line="240" w:lineRule="atLeast"/>
      <w:ind w:left="320" w:hanging="209"/>
      <w:jc w:val="both"/>
    </w:pPr>
    <w:rPr>
      <w:rFonts w:ascii="TimesNewRomanPSMT" w:hAnsi="TimesNewRomanPSMT" w:cs="TimesNewRomanPSMT"/>
      <w:sz w:val="20"/>
      <w:szCs w:val="20"/>
    </w:rPr>
  </w:style>
  <w:style w:type="paragraph" w:customStyle="1" w:styleId="ustcytowania">
    <w:name w:val="ust (cytowania)"/>
    <w:basedOn w:val="Normalny"/>
    <w:uiPriority w:val="99"/>
    <w:pPr>
      <w:spacing w:before="170"/>
      <w:ind w:left="680" w:firstLine="320"/>
    </w:pPr>
  </w:style>
  <w:style w:type="paragraph" w:customStyle="1" w:styleId="1s">
    <w:name w:val="1) s"/>
    <w:basedOn w:val="Brakstyluakapitowego"/>
    <w:uiPriority w:val="99"/>
    <w:pPr>
      <w:spacing w:before="170" w:line="240" w:lineRule="atLeast"/>
      <w:ind w:left="105"/>
      <w:jc w:val="both"/>
    </w:pPr>
    <w:rPr>
      <w:rFonts w:ascii="TimesNewRomanPSMT" w:hAnsi="TimesNewRomanPSMT" w:cs="TimesNewRomanPSMT"/>
      <w:sz w:val="20"/>
      <w:szCs w:val="20"/>
    </w:rPr>
  </w:style>
  <w:style w:type="paragraph" w:customStyle="1" w:styleId="pkt1cytowania">
    <w:name w:val="pkt 1 (cytowania)"/>
    <w:basedOn w:val="1s"/>
    <w:uiPriority w:val="99"/>
    <w:pPr>
      <w:spacing w:before="113"/>
      <w:ind w:left="785"/>
    </w:pPr>
  </w:style>
  <w:style w:type="paragraph" w:customStyle="1" w:styleId="szpic">
    <w:name w:val="szpic"/>
    <w:basedOn w:val="Normalny"/>
    <w:uiPriority w:val="99"/>
    <w:pPr>
      <w:pBdr>
        <w:top w:val="single" w:sz="4" w:space="0" w:color="auto"/>
      </w:pBdr>
      <w:spacing w:line="200" w:lineRule="atLeast"/>
    </w:pPr>
    <w:rPr>
      <w:sz w:val="18"/>
      <w:szCs w:val="18"/>
    </w:rPr>
  </w:style>
  <w:style w:type="paragraph" w:customStyle="1" w:styleId="notka">
    <w:name w:val="notka"/>
    <w:basedOn w:val="szpic"/>
    <w:uiPriority w:val="99"/>
    <w:pPr>
      <w:pBdr>
        <w:top w:val="none" w:sz="0" w:space="0" w:color="auto"/>
      </w:pBdr>
      <w:tabs>
        <w:tab w:val="left" w:pos="220"/>
      </w:tabs>
      <w:spacing w:line="220" w:lineRule="atLeast"/>
    </w:pPr>
  </w:style>
  <w:style w:type="character" w:customStyle="1" w:styleId="bold">
    <w:name w:val="bold"/>
    <w:uiPriority w:val="99"/>
    <w:rPr>
      <w:b/>
    </w:rPr>
  </w:style>
  <w:style w:type="character" w:customStyle="1" w:styleId="przypisgorny">
    <w:name w:val="przypis gorny"/>
    <w:uiPriority w:val="99"/>
    <w:rPr>
      <w:color w:val="000000"/>
      <w:vertAlign w:val="superscript"/>
    </w:rPr>
  </w:style>
  <w:style w:type="character" w:customStyle="1" w:styleId="kursywa">
    <w:name w:val="kursywa"/>
    <w:uiPriority w:val="99"/>
    <w:rPr>
      <w:i/>
    </w:rPr>
  </w:style>
  <w:style w:type="paragraph" w:styleId="Nagwek">
    <w:name w:val="header"/>
    <w:basedOn w:val="Normalny"/>
    <w:link w:val="NagwekZnak"/>
    <w:uiPriority w:val="99"/>
    <w:unhideWhenUsed/>
    <w:rsid w:val="00931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1486"/>
    <w:rPr>
      <w:rFonts w:ascii="TimesNewRomanPSMT" w:hAnsi="TimesNewRomanPSMT" w:cs="TimesNewRomanPSMT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31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1486"/>
    <w:rPr>
      <w:rFonts w:ascii="TimesNewRomanPSMT" w:hAnsi="TimesNewRomanPSMT" w:cs="TimesNewRomanPSM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4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14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D. Grabowska</dc:creator>
  <cp:lastModifiedBy>Grażyna D. Grabowska</cp:lastModifiedBy>
  <cp:revision>2</cp:revision>
  <dcterms:created xsi:type="dcterms:W3CDTF">2016-06-30T07:38:00Z</dcterms:created>
  <dcterms:modified xsi:type="dcterms:W3CDTF">2016-06-30T07:38:00Z</dcterms:modified>
</cp:coreProperties>
</file>