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F6BC" w14:textId="77777777" w:rsidR="009F4C81" w:rsidRPr="00587123" w:rsidRDefault="008D183E" w:rsidP="00587123">
      <w:pPr>
        <w:spacing w:after="240"/>
        <w:jc w:val="center"/>
        <w:rPr>
          <w:caps/>
        </w:rPr>
      </w:pPr>
      <w:r w:rsidRPr="00587123">
        <w:rPr>
          <w:caps/>
        </w:rPr>
        <w:t>Uzasadnienie</w:t>
      </w:r>
    </w:p>
    <w:p w14:paraId="16A1651D" w14:textId="6E7D669C" w:rsidR="00462F61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Głównym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8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lutego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Planie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Strategicznym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lata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2023</w:t>
      </w:r>
      <w:r w:rsidR="00B9580B" w:rsidRPr="00587123">
        <w:rPr>
          <w:rFonts w:cs="Times New Roman"/>
          <w:bCs/>
          <w:szCs w:val="24"/>
        </w:rPr>
        <w:t>–</w:t>
      </w:r>
      <w:r w:rsidRPr="00587123">
        <w:rPr>
          <w:rFonts w:cs="Times New Roman"/>
          <w:bCs/>
          <w:szCs w:val="24"/>
        </w:rPr>
        <w:t>2027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(Dz.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U.</w:t>
      </w:r>
      <w:r w:rsidR="000C0D56" w:rsidRPr="00587123">
        <w:rPr>
          <w:rFonts w:cs="Times New Roman"/>
          <w:bCs/>
          <w:szCs w:val="24"/>
        </w:rPr>
        <w:t xml:space="preserve"> </w:t>
      </w:r>
      <w:r w:rsidR="00A7661C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A7661C" w:rsidRPr="00587123">
        <w:rPr>
          <w:rFonts w:cs="Times New Roman"/>
          <w:bCs/>
          <w:szCs w:val="24"/>
        </w:rPr>
        <w:t>2024</w:t>
      </w:r>
      <w:r w:rsidR="000C0D56" w:rsidRPr="00587123">
        <w:rPr>
          <w:rFonts w:cs="Times New Roman"/>
          <w:bCs/>
          <w:szCs w:val="24"/>
        </w:rPr>
        <w:t xml:space="preserve"> </w:t>
      </w:r>
      <w:r w:rsidR="00A7661C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A7661C" w:rsidRPr="00587123">
        <w:rPr>
          <w:rFonts w:cs="Times New Roman"/>
          <w:bCs/>
          <w:szCs w:val="24"/>
        </w:rPr>
        <w:t>poz.</w:t>
      </w:r>
      <w:r w:rsidR="002E52BF">
        <w:rPr>
          <w:rFonts w:cs="Times New Roman"/>
          <w:bCs/>
          <w:szCs w:val="24"/>
        </w:rPr>
        <w:t> </w:t>
      </w:r>
      <w:r w:rsidR="00A7661C" w:rsidRPr="00587123">
        <w:rPr>
          <w:rFonts w:cs="Times New Roman"/>
          <w:bCs/>
          <w:szCs w:val="24"/>
        </w:rPr>
        <w:t>1741</w:t>
      </w:r>
      <w:r w:rsidR="00141710" w:rsidRPr="00587123">
        <w:rPr>
          <w:rFonts w:cs="Times New Roman"/>
          <w:bCs/>
          <w:szCs w:val="24"/>
        </w:rPr>
        <w:t>),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zwan</w:t>
      </w:r>
      <w:r w:rsidR="00C7311B" w:rsidRPr="00587123">
        <w:rPr>
          <w:rFonts w:cs="Times New Roman"/>
          <w:bCs/>
          <w:szCs w:val="24"/>
        </w:rPr>
        <w:t>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dalej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„</w:t>
      </w:r>
      <w:r w:rsidRPr="00587123">
        <w:rPr>
          <w:rFonts w:cs="Times New Roman"/>
          <w:bCs/>
          <w:szCs w:val="24"/>
        </w:rPr>
        <w:t>ustaw</w:t>
      </w:r>
      <w:r w:rsidR="00141710" w:rsidRPr="00587123">
        <w:rPr>
          <w:rFonts w:cs="Times New Roman"/>
          <w:bCs/>
          <w:szCs w:val="24"/>
        </w:rPr>
        <w:t>ą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WPR</w:t>
      </w:r>
      <w:r w:rsidR="003B6E01" w:rsidRPr="00587123">
        <w:rPr>
          <w:rFonts w:cs="Times New Roman"/>
          <w:bCs/>
          <w:szCs w:val="24"/>
        </w:rPr>
        <w:t>”</w:t>
      </w:r>
      <w:r w:rsidR="00141710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ustaw,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które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nią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powiązane,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13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kwietnia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2007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Państwowej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Inspekcji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(Dz.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U.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2024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poz.</w:t>
      </w:r>
      <w:r w:rsidR="000C0D56" w:rsidRPr="00587123">
        <w:rPr>
          <w:rFonts w:cs="Times New Roman"/>
          <w:bCs/>
          <w:szCs w:val="24"/>
        </w:rPr>
        <w:t xml:space="preserve"> </w:t>
      </w:r>
      <w:r w:rsidR="00A7661C" w:rsidRPr="00587123">
        <w:rPr>
          <w:rFonts w:cs="Times New Roman"/>
          <w:bCs/>
          <w:szCs w:val="24"/>
        </w:rPr>
        <w:t>1712</w:t>
      </w:r>
      <w:r w:rsidR="001E2F9C" w:rsidRPr="00587123">
        <w:rPr>
          <w:rFonts w:cs="Times New Roman"/>
          <w:bCs/>
          <w:szCs w:val="24"/>
        </w:rPr>
        <w:t>)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9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maja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2008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Agencji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Restrukturyzacji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Modernizacji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08304A" w:rsidRPr="00587123">
        <w:rPr>
          <w:rFonts w:cs="Times New Roman"/>
          <w:bCs/>
          <w:szCs w:val="24"/>
        </w:rPr>
        <w:t>Rolnictwa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(Dz.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U.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2023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poz.</w:t>
      </w:r>
      <w:r w:rsidR="002E52BF">
        <w:rPr>
          <w:rFonts w:cs="Times New Roman"/>
          <w:bCs/>
          <w:szCs w:val="24"/>
        </w:rPr>
        <w:t> </w:t>
      </w:r>
      <w:r w:rsidR="00C47FB8" w:rsidRPr="00587123">
        <w:rPr>
          <w:rFonts w:cs="Times New Roman"/>
          <w:bCs/>
          <w:szCs w:val="24"/>
        </w:rPr>
        <w:t>1199</w:t>
      </w:r>
      <w:r w:rsidR="00B6348B">
        <w:rPr>
          <w:rFonts w:cs="Times New Roman"/>
          <w:bCs/>
          <w:szCs w:val="24"/>
        </w:rPr>
        <w:t>, z późn. zm.</w:t>
      </w:r>
      <w:r w:rsidR="00C47FB8" w:rsidRPr="00587123">
        <w:rPr>
          <w:rFonts w:cs="Times New Roman"/>
          <w:bCs/>
          <w:szCs w:val="24"/>
        </w:rPr>
        <w:t>)</w:t>
      </w:r>
      <w:r w:rsidR="0008304A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48B0C2B5" w14:textId="52FA9DC7" w:rsidR="00C21851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Pozostałe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uzupełnienia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doświadczeń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zdobytych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trakcie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obowiązywania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regulujących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wdrożenie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Planu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Strategicznego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lata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2023</w:t>
      </w:r>
      <w:r w:rsidR="00B9580B" w:rsidRPr="00587123">
        <w:rPr>
          <w:rFonts w:cs="Times New Roman"/>
          <w:bCs/>
          <w:szCs w:val="24"/>
        </w:rPr>
        <w:t>–</w:t>
      </w:r>
      <w:r w:rsidRPr="00587123">
        <w:rPr>
          <w:rFonts w:cs="Times New Roman"/>
          <w:bCs/>
          <w:szCs w:val="24"/>
        </w:rPr>
        <w:t>2027</w:t>
      </w:r>
      <w:r w:rsidR="001E2F9C" w:rsidRPr="00587123">
        <w:rPr>
          <w:rFonts w:cs="Times New Roman"/>
          <w:bCs/>
          <w:szCs w:val="24"/>
        </w:rPr>
        <w:t>.</w:t>
      </w:r>
    </w:p>
    <w:p w14:paraId="402A63EF" w14:textId="572512DD" w:rsidR="00F246E6" w:rsidRPr="00587123" w:rsidRDefault="00055C27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projek</w:t>
      </w:r>
      <w:r w:rsidRPr="00587123">
        <w:rPr>
          <w:rFonts w:cs="Times New Roman"/>
          <w:bCs/>
          <w:szCs w:val="24"/>
        </w:rPr>
        <w:t>tu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włączono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zmianę:</w:t>
      </w:r>
    </w:p>
    <w:p w14:paraId="35489AEC" w14:textId="0F3C1B79" w:rsidR="001E2F9C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1)</w:t>
      </w:r>
      <w:r w:rsidR="00D10285" w:rsidRPr="00587123">
        <w:rPr>
          <w:rFonts w:cs="Times New Roman"/>
          <w:bCs/>
          <w:szCs w:val="24"/>
        </w:rPr>
        <w:tab/>
      </w:r>
      <w:r w:rsidR="001E2F9C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13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kwietnia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2007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Państwowej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Inspekcji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zwan</w:t>
      </w:r>
      <w:r w:rsidR="00D10285" w:rsidRPr="00587123">
        <w:rPr>
          <w:rFonts w:cs="Times New Roman"/>
          <w:bCs/>
          <w:szCs w:val="24"/>
        </w:rPr>
        <w:t>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dalej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„ustawą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PIP”,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wdrożenia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3D6C1412" w14:textId="5197FB05" w:rsidR="00AE0D77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2)</w:t>
      </w:r>
      <w:r w:rsidR="00D10285" w:rsidRPr="00587123">
        <w:rPr>
          <w:rFonts w:cs="Times New Roman"/>
          <w:bCs/>
          <w:szCs w:val="24"/>
        </w:rPr>
        <w:tab/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maja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2008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Restrukturyzacji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Modernizacji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Rolnictwa</w:t>
      </w:r>
      <w:r w:rsidR="00141710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zwanej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dalej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„</w:t>
      </w:r>
      <w:r w:rsidR="00CE3D65" w:rsidRPr="00587123">
        <w:rPr>
          <w:rFonts w:cs="Times New Roman"/>
          <w:bCs/>
          <w:szCs w:val="24"/>
        </w:rPr>
        <w:t>ustaw</w:t>
      </w:r>
      <w:r w:rsidR="00141710" w:rsidRPr="00587123">
        <w:rPr>
          <w:rFonts w:cs="Times New Roman"/>
          <w:bCs/>
          <w:szCs w:val="24"/>
        </w:rPr>
        <w:t>ą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ARiMR</w:t>
      </w:r>
      <w:r w:rsidR="003B6E01" w:rsidRPr="00587123">
        <w:rPr>
          <w:rFonts w:cs="Times New Roman"/>
          <w:bCs/>
          <w:szCs w:val="24"/>
        </w:rPr>
        <w:t>”</w:t>
      </w:r>
      <w:r w:rsidR="00141710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uproszczenia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trybu</w:t>
      </w:r>
      <w:r w:rsidR="00D10285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jakim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ustalan</w:t>
      </w:r>
      <w:r w:rsidR="00C47FB8"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851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851" w:rsidRPr="00587123">
        <w:rPr>
          <w:rFonts w:cs="Times New Roman"/>
          <w:bCs/>
          <w:szCs w:val="24"/>
        </w:rPr>
        <w:t>odzyskiwana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</w:t>
      </w:r>
      <w:r w:rsidR="00C47FB8"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nienależnie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nadmiernie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pobranych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środków,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której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wysokoś</w:t>
      </w:r>
      <w:r w:rsidR="00D10285" w:rsidRPr="00587123">
        <w:rPr>
          <w:rFonts w:cs="Times New Roman"/>
          <w:bCs/>
          <w:szCs w:val="24"/>
        </w:rPr>
        <w:t>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przekracza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równowartości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złotych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100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(przeliczonej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złote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według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kursu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euro).</w:t>
      </w:r>
    </w:p>
    <w:p w14:paraId="764AC330" w14:textId="56CE8ACD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Parlamentu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Europejskiego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Rady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grudnia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ustanawiającego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wsparcia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planów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strategicznych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sporządzanych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(planów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strategicznych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finansowanych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Europejskiego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Funduszu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Rolniczego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Gwarancji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(EFRG)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Europejskiego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Funduszu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rzecz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Rozwoju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Obszarów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Wiejskich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(EFRROW)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uchylającego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1305/2013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1307/2013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(Dz.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Urz.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UE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L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435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06.12.2021,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str.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1,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późn.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zm.)</w:t>
      </w:r>
      <w:r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dalej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„rozporządzeniem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</w:t>
      </w:r>
      <w:r w:rsidR="003B6E01" w:rsidRPr="00587123">
        <w:rPr>
          <w:rFonts w:cs="Times New Roman"/>
          <w:bCs/>
          <w:szCs w:val="24"/>
        </w:rPr>
        <w:t>”</w:t>
      </w:r>
      <w:r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zobowiązane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wprowadzenia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stycznia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krajowego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porządku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polega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uzależnieniu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wysokości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udzielanego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wsparcia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przestrzegania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wybranych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zakresu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(m.in.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poprawność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zatrudnienia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pracowników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gospodarstwie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BHP).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2D2F01AC" w14:textId="4E3CD875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87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Parlamentu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Europejskiego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Rady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grudnia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finansowania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rolnej,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zarządzania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monitorowania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uchylenia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1306/2013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(Dz.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Urz.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UE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L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435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06.12.2021,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str.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187,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późn.</w:t>
      </w:r>
      <w:r w:rsidR="000C0D56" w:rsidRPr="00587123">
        <w:rPr>
          <w:rFonts w:cs="Times New Roman"/>
          <w:szCs w:val="24"/>
        </w:rPr>
        <w:t xml:space="preserve"> </w:t>
      </w:r>
      <w:r w:rsidR="00D10285" w:rsidRPr="00587123">
        <w:rPr>
          <w:rFonts w:cs="Times New Roman"/>
          <w:szCs w:val="24"/>
        </w:rPr>
        <w:t>zm.)</w:t>
      </w:r>
      <w:r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dalej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„rozporządzeniem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lastRenderedPageBreak/>
        <w:t>2021/2116</w:t>
      </w:r>
      <w:r w:rsidR="009A3D46" w:rsidRPr="00587123">
        <w:rPr>
          <w:rFonts w:cs="Times New Roman"/>
          <w:bCs/>
          <w:szCs w:val="24"/>
        </w:rPr>
        <w:t>”</w:t>
      </w:r>
      <w:r w:rsidR="00D10285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ustanawiają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przewidujący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wobec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beneficjentów,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przestrzegają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wymienionych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2021/2115</w:t>
      </w:r>
      <w:r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wykorzystują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swoje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mające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egzekwowania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prawodawstwa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dziedzinie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="00B11636"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zatrudnienia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mające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normy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zapewnienia,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beneficjenci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spełniali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obowiązki,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2021/2115.</w:t>
      </w:r>
    </w:p>
    <w:p w14:paraId="7F5FF96C" w14:textId="741C4BA7" w:rsidR="003E31A3" w:rsidRPr="00587123" w:rsidRDefault="003E31A3" w:rsidP="00AE3A9C">
      <w:pPr>
        <w:jc w:val="both"/>
        <w:rPr>
          <w:rFonts w:eastAsia="Calibri" w:cs="Times New Roman"/>
          <w:szCs w:val="24"/>
          <w:bdr w:val="none" w:sz="0" w:space="0" w:color="auto" w:frame="1"/>
        </w:rPr>
      </w:pPr>
      <w:r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wymienione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wybrane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przepisy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dyrektyw:</w:t>
      </w:r>
    </w:p>
    <w:p w14:paraId="1FF0B18D" w14:textId="5BD65C71" w:rsidR="003E31A3" w:rsidRPr="00587123" w:rsidRDefault="003E31A3" w:rsidP="00AE3A9C">
      <w:pPr>
        <w:jc w:val="both"/>
        <w:rPr>
          <w:rFonts w:eastAsia="Calibri" w:cs="Times New Roman"/>
          <w:szCs w:val="24"/>
          <w:bdr w:val="none" w:sz="0" w:space="0" w:color="auto" w:frame="1"/>
        </w:rPr>
      </w:pPr>
      <w:r w:rsidRPr="00587123">
        <w:rPr>
          <w:rFonts w:eastAsia="Calibri" w:cs="Times New Roman"/>
          <w:szCs w:val="24"/>
          <w:bdr w:val="none" w:sz="0" w:space="0" w:color="auto" w:frame="1"/>
        </w:rPr>
        <w:t>1)</w:t>
      </w:r>
      <w:r w:rsidR="00B6348B">
        <w:rPr>
          <w:rFonts w:eastAsia="Calibri" w:cs="Times New Roman"/>
          <w:szCs w:val="24"/>
          <w:bdr w:val="none" w:sz="0" w:space="0" w:color="auto" w:frame="1"/>
        </w:rPr>
        <w:tab/>
      </w:r>
      <w:r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obszarze: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Zatrudnienie: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dyrektywy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(UE)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2019/1152,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</w:p>
    <w:p w14:paraId="6FD837E0" w14:textId="62861984" w:rsidR="003E31A3" w:rsidRPr="00587123" w:rsidRDefault="003E31A3" w:rsidP="00AE3A9C">
      <w:pPr>
        <w:jc w:val="both"/>
        <w:rPr>
          <w:rFonts w:eastAsia="Calibri" w:cs="Times New Roman"/>
          <w:szCs w:val="24"/>
          <w:bdr w:val="none" w:sz="0" w:space="0" w:color="auto" w:frame="1"/>
        </w:rPr>
      </w:pPr>
      <w:r w:rsidRPr="00587123">
        <w:rPr>
          <w:rFonts w:eastAsia="Calibri" w:cs="Times New Roman"/>
          <w:szCs w:val="24"/>
          <w:bdr w:val="none" w:sz="0" w:space="0" w:color="auto" w:frame="1"/>
        </w:rPr>
        <w:t>2)</w:t>
      </w:r>
      <w:r w:rsidR="00B6348B">
        <w:rPr>
          <w:rFonts w:eastAsia="Calibri" w:cs="Times New Roman"/>
          <w:szCs w:val="24"/>
          <w:bdr w:val="none" w:sz="0" w:space="0" w:color="auto" w:frame="1"/>
        </w:rPr>
        <w:tab/>
      </w:r>
      <w:r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obszarze: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Bezpieczeństwo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i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higiena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pracy: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dyrektywy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89/391/EWG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oraz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dyrektywy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Pr="00587123">
        <w:rPr>
          <w:rFonts w:eastAsia="Calibri" w:cs="Times New Roman"/>
          <w:szCs w:val="24"/>
          <w:bdr w:val="none" w:sz="0" w:space="0" w:color="auto" w:frame="1"/>
        </w:rPr>
        <w:t>2009/104/WE</w:t>
      </w:r>
    </w:p>
    <w:p w14:paraId="54E47B6B" w14:textId="6AA75E6A" w:rsidR="003E31A3" w:rsidRPr="00587123" w:rsidRDefault="00E916E9" w:rsidP="00AE3A9C">
      <w:pPr>
        <w:jc w:val="both"/>
        <w:rPr>
          <w:rFonts w:eastAsia="Calibri" w:cs="Times New Roman"/>
          <w:szCs w:val="24"/>
          <w:bdr w:val="none" w:sz="0" w:space="0" w:color="auto" w:frame="1"/>
        </w:rPr>
      </w:pPr>
      <w:r>
        <w:rPr>
          <w:rFonts w:eastAsia="Calibri" w:cs="Times New Roman"/>
          <w:szCs w:val="24"/>
          <w:bdr w:val="none" w:sz="0" w:space="0" w:color="auto" w:frame="1"/>
        </w:rPr>
        <w:t xml:space="preserve">–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których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wymogi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podlegają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cs="Times New Roman"/>
          <w:bCs/>
          <w:szCs w:val="24"/>
        </w:rPr>
        <w:t>kontrolom</w:t>
      </w:r>
      <w:r w:rsidR="000C0D56" w:rsidRPr="00587123">
        <w:rPr>
          <w:rFonts w:cs="Times New Roman"/>
          <w:bCs/>
          <w:szCs w:val="24"/>
        </w:rPr>
        <w:t xml:space="preserve"> </w:t>
      </w:r>
      <w:r w:rsidR="003E31A3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ramach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warunkowości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społecznej,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kształcie</w:t>
      </w:r>
      <w:r>
        <w:rPr>
          <w:rFonts w:eastAsia="Calibri" w:cs="Times New Roman"/>
          <w:szCs w:val="24"/>
          <w:bdr w:val="none" w:sz="0" w:space="0" w:color="auto" w:frame="1"/>
        </w:rPr>
        <w:t>,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jakim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254EC" w:rsidRPr="00587123">
        <w:rPr>
          <w:rFonts w:eastAsia="Calibri" w:cs="Times New Roman"/>
          <w:szCs w:val="24"/>
          <w:bdr w:val="none" w:sz="0" w:space="0" w:color="auto" w:frame="1"/>
        </w:rPr>
        <w:t>są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one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wdrożone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w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państwie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  <w:r w:rsidR="003E31A3" w:rsidRPr="00587123">
        <w:rPr>
          <w:rFonts w:eastAsia="Calibri" w:cs="Times New Roman"/>
          <w:szCs w:val="24"/>
          <w:bdr w:val="none" w:sz="0" w:space="0" w:color="auto" w:frame="1"/>
        </w:rPr>
        <w:t>członkowskim.</w:t>
      </w:r>
      <w:r w:rsidR="000C0D56" w:rsidRPr="00587123">
        <w:rPr>
          <w:rFonts w:eastAsia="Calibri" w:cs="Times New Roman"/>
          <w:szCs w:val="24"/>
          <w:bdr w:val="none" w:sz="0" w:space="0" w:color="auto" w:frame="1"/>
        </w:rPr>
        <w:t xml:space="preserve"> </w:t>
      </w:r>
    </w:p>
    <w:p w14:paraId="5C5F9934" w14:textId="1E889BE6" w:rsidR="003254EC" w:rsidRPr="00587123" w:rsidRDefault="003E31A3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Wdrożenie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zatem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skutkować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wprowadzeniem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„aby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zatrudnienie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rolnictwie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odbywało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umowy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pracę”</w:t>
      </w:r>
      <w:r w:rsidR="00E916E9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jak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został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określony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wymóg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dyrektywy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2019/1152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wymieniony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2021/2115</w:t>
      </w:r>
      <w:r w:rsidR="0096193F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rzeczywistości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dyrektywy</w:t>
      </w:r>
      <w:r w:rsidR="000C0D56" w:rsidRPr="00587123">
        <w:rPr>
          <w:rFonts w:cs="Times New Roman"/>
          <w:bCs/>
          <w:szCs w:val="24"/>
        </w:rPr>
        <w:t xml:space="preserve"> </w:t>
      </w:r>
      <w:r w:rsidR="00734309" w:rsidRPr="00587123">
        <w:rPr>
          <w:rFonts w:cs="Times New Roman"/>
          <w:bCs/>
          <w:szCs w:val="24"/>
        </w:rPr>
        <w:t xml:space="preserve">2019/1152 </w:t>
      </w:r>
      <w:r w:rsidR="003254EC" w:rsidRPr="00587123">
        <w:rPr>
          <w:rFonts w:cs="Times New Roman"/>
          <w:bCs/>
          <w:szCs w:val="24"/>
        </w:rPr>
        <w:t>dotyczy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informowania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ED20E0" w:rsidRPr="00587123">
        <w:rPr>
          <w:rFonts w:cs="Times New Roman"/>
          <w:szCs w:val="24"/>
        </w:rPr>
        <w:t>zatrudnieniu</w:t>
      </w:r>
      <w:r w:rsidR="003254EC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którym</w:t>
      </w:r>
      <w:r w:rsidR="000C0D56" w:rsidRPr="00587123">
        <w:rPr>
          <w:rFonts w:cs="Times New Roman"/>
          <w:bCs/>
          <w:szCs w:val="24"/>
        </w:rPr>
        <w:t xml:space="preserve"> </w:t>
      </w:r>
      <w:bookmarkStart w:id="0" w:name="mip50054932"/>
      <w:bookmarkEnd w:id="0"/>
      <w:r w:rsidR="0096193F" w:rsidRPr="00587123">
        <w:rPr>
          <w:rFonts w:cs="Times New Roman"/>
          <w:bCs/>
          <w:szCs w:val="24"/>
        </w:rPr>
        <w:t>p</w:t>
      </w:r>
      <w:r w:rsidR="003254EC" w:rsidRPr="00587123">
        <w:rPr>
          <w:rFonts w:cs="Times New Roman"/>
          <w:bCs/>
          <w:szCs w:val="24"/>
        </w:rPr>
        <w:t>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zapewniają,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pracodawcy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mieli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obowiązek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informowania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pracowników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zasadniczych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3254EC" w:rsidRPr="00587123">
        <w:rPr>
          <w:rFonts w:cs="Times New Roman"/>
          <w:bCs/>
          <w:szCs w:val="24"/>
        </w:rPr>
        <w:t>aspektach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ED20E0" w:rsidRPr="00587123">
        <w:rPr>
          <w:rFonts w:cs="Times New Roman"/>
          <w:szCs w:val="24"/>
        </w:rPr>
        <w:t>zatrudnienia</w:t>
      </w:r>
      <w:r w:rsidR="003254EC" w:rsidRPr="00587123">
        <w:rPr>
          <w:rFonts w:cs="Times New Roman"/>
          <w:bCs/>
          <w:szCs w:val="24"/>
        </w:rPr>
        <w:t>.</w:t>
      </w:r>
    </w:p>
    <w:p w14:paraId="5A8537DB" w14:textId="073341AF" w:rsidR="003E31A3" w:rsidRPr="00587123" w:rsidRDefault="003254EC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Ponadto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będą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miały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osó</w:t>
      </w:r>
      <w:r w:rsidR="0096193F" w:rsidRPr="00587123">
        <w:rPr>
          <w:rFonts w:cs="Times New Roman"/>
          <w:bCs/>
          <w:szCs w:val="24"/>
        </w:rPr>
        <w:t>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zatrudnionych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rolnictwie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niezależnie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tego</w:t>
      </w:r>
      <w:r w:rsidR="00D0221C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jakiej</w:t>
      </w:r>
      <w:r w:rsidR="000C0D56" w:rsidRPr="00587123">
        <w:rPr>
          <w:rFonts w:cs="Times New Roman"/>
          <w:bCs/>
          <w:szCs w:val="24"/>
        </w:rPr>
        <w:t xml:space="preserve"> </w:t>
      </w:r>
      <w:r w:rsidR="0096193F"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ED20E0" w:rsidRPr="00587123">
        <w:rPr>
          <w:rFonts w:cs="Times New Roman"/>
          <w:szCs w:val="24"/>
        </w:rPr>
        <w:t>nastąpiło</w:t>
      </w:r>
      <w:r w:rsidR="000C0D56" w:rsidRPr="00587123">
        <w:rPr>
          <w:rFonts w:cs="Times New Roman"/>
          <w:szCs w:val="24"/>
        </w:rPr>
        <w:t xml:space="preserve"> </w:t>
      </w:r>
      <w:r w:rsidR="00ED20E0" w:rsidRPr="00587123">
        <w:rPr>
          <w:rFonts w:cs="Times New Roman"/>
          <w:szCs w:val="24"/>
        </w:rPr>
        <w:t>to</w:t>
      </w:r>
      <w:r w:rsidR="000C0D56" w:rsidRPr="00587123">
        <w:rPr>
          <w:rFonts w:cs="Times New Roman"/>
          <w:szCs w:val="24"/>
        </w:rPr>
        <w:t xml:space="preserve"> </w:t>
      </w:r>
      <w:r w:rsidR="00ED20E0" w:rsidRPr="00587123">
        <w:rPr>
          <w:rFonts w:cs="Times New Roman"/>
          <w:szCs w:val="24"/>
        </w:rPr>
        <w:t>zatrudnienie</w:t>
      </w:r>
      <w:r w:rsidR="0096193F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Projektowane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przepisy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nie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wprowadzają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ograniczeń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zakresie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form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zatrudnienia,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natomiast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wymagają,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aby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te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formy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były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należycie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udokumentowane</w:t>
      </w:r>
      <w:r w:rsidR="000C0D56" w:rsidRPr="00587123">
        <w:rPr>
          <w:rFonts w:cs="Times New Roman"/>
          <w:szCs w:val="24"/>
        </w:rPr>
        <w:t xml:space="preserve"> </w:t>
      </w:r>
      <w:r w:rsidR="00264D62" w:rsidRPr="00587123">
        <w:rPr>
          <w:rFonts w:cs="Times New Roman"/>
          <w:bCs/>
          <w:szCs w:val="24"/>
        </w:rPr>
        <w:t>–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odpowiednio</w:t>
      </w:r>
      <w:r w:rsidR="000C0D56" w:rsidRPr="00587123">
        <w:rPr>
          <w:rFonts w:cs="Times New Roman"/>
          <w:szCs w:val="24"/>
        </w:rPr>
        <w:t xml:space="preserve"> </w:t>
      </w:r>
      <w:r w:rsidR="004D530A" w:rsidRPr="00587123">
        <w:rPr>
          <w:rFonts w:cs="Times New Roman"/>
          <w:szCs w:val="24"/>
        </w:rPr>
        <w:t>do</w:t>
      </w:r>
      <w:r w:rsidR="000C0D56" w:rsidRPr="00587123">
        <w:rPr>
          <w:rFonts w:cs="Times New Roman"/>
          <w:szCs w:val="24"/>
        </w:rPr>
        <w:t xml:space="preserve"> </w:t>
      </w:r>
      <w:r w:rsidR="00264D62" w:rsidRPr="00587123">
        <w:rPr>
          <w:rFonts w:cs="Times New Roman"/>
          <w:szCs w:val="24"/>
        </w:rPr>
        <w:t>formy, w jakiej to zatrudnienie zostało dokonane</w:t>
      </w:r>
      <w:r w:rsidR="004D530A" w:rsidRPr="00587123">
        <w:rPr>
          <w:rFonts w:cs="Times New Roman"/>
          <w:szCs w:val="24"/>
        </w:rPr>
        <w:t>.</w:t>
      </w:r>
    </w:p>
    <w:p w14:paraId="43BCAFD7" w14:textId="367A12A6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przytoczonych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powyżej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wynika,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zobowiązane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wykorzystać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istniejące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egzekwowania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prawodawstwa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dziedzinie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zasad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BHP.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38B2986F" w14:textId="35616D36" w:rsidR="006E3940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E06A03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Państwowa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Inspekcja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(PIP)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organem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powołanym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nadzoru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przestrzegania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szczególności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</w:t>
      </w:r>
      <w:r w:rsidR="001E2F9C" w:rsidRPr="00587123">
        <w:rPr>
          <w:rFonts w:cs="Times New Roman"/>
          <w:bCs/>
          <w:szCs w:val="24"/>
        </w:rPr>
        <w:t>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zasad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bezpieczeństwa</w:t>
      </w:r>
      <w:r w:rsidR="000C0D56" w:rsidRPr="00587123">
        <w:rPr>
          <w:rFonts w:cs="Times New Roman"/>
          <w:bCs/>
          <w:szCs w:val="24"/>
        </w:rPr>
        <w:t xml:space="preserve"> </w:t>
      </w:r>
      <w:r w:rsidR="001E2F9C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higieny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więc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organem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odpowiedzialnym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lastRenderedPageBreak/>
        <w:t>egzekwowanie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prawodawstwa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dziedzinie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zatrudnienia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norm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2021/2116.</w:t>
      </w:r>
    </w:p>
    <w:p w14:paraId="368E9F2F" w14:textId="6B88AA0F" w:rsidR="006E3940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zatem</w:t>
      </w:r>
      <w:r w:rsidR="00D10285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bazował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istniejącym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Polsce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zasad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BHP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odpowiedzialna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wypłatę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(po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uwzględnieniu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–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Restrukturyzacji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Modernizacji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Rolnictwa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(ARiMR),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pełni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funkcje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płatniczej.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Zakres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podmiotowy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ustawa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PIP.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187DA525" w14:textId="478ECA1E" w:rsidR="00852105" w:rsidRPr="00587123" w:rsidRDefault="006E3940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Mając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uwadze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powyższe,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852105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852105"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="00852105"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="00152CB8" w:rsidRPr="00587123">
        <w:rPr>
          <w:rFonts w:cs="Times New Roman"/>
          <w:bCs/>
          <w:szCs w:val="24"/>
        </w:rPr>
        <w:t>się,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co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roku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(do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31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stycznia)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przekazywała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Głównemu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Inspektorowi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wykaz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złożyli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wnioski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pomocy,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której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20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1,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WPR,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roku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poprzednim,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spełniają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podmiotowe,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52CB8" w:rsidRPr="00587123">
        <w:rPr>
          <w:rFonts w:cs="Times New Roman"/>
          <w:bCs/>
          <w:szCs w:val="24"/>
        </w:rPr>
        <w:t>PIP</w:t>
      </w:r>
      <w:r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miałby</w:t>
      </w:r>
      <w:r w:rsidR="000C0D56" w:rsidRPr="00587123">
        <w:rPr>
          <w:rFonts w:cs="Times New Roman"/>
          <w:bCs/>
          <w:szCs w:val="24"/>
        </w:rPr>
        <w:t xml:space="preserve"> </w:t>
      </w:r>
      <w:r w:rsidR="00C47FB8" w:rsidRPr="00587123">
        <w:rPr>
          <w:rFonts w:cs="Times New Roman"/>
          <w:bCs/>
          <w:szCs w:val="24"/>
        </w:rPr>
        <w:t>zawiera</w:t>
      </w:r>
      <w:r w:rsidRPr="00587123">
        <w:rPr>
          <w:rFonts w:cs="Times New Roman"/>
          <w:bCs/>
          <w:szCs w:val="24"/>
        </w:rPr>
        <w:t>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osobowe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rolnika.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</w:t>
      </w:r>
      <w:r w:rsidRPr="00587123">
        <w:rPr>
          <w:rFonts w:cs="Times New Roman"/>
          <w:bCs/>
          <w:szCs w:val="24"/>
        </w:rPr>
        <w:t>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rolników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mają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zostać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wykorzystane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kontrolach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rolników</w:t>
      </w:r>
      <w:r w:rsidR="00F246E6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27353277" w14:textId="4D8DBDFC" w:rsidR="00C211F1" w:rsidRPr="00587123" w:rsidRDefault="00E66FCC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Projektowany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przekazywania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osobowych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rolników.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</w:t>
      </w:r>
      <w:r w:rsidR="00E916E9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Parlamentu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Europejskiego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Rady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(UE)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2016/679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kwietnia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2016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ochrony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osób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fizycznych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osobowych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swobodnego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przepływu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takich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uchylenia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dyrektywy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95/46/WE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(ogólne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ochronie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–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RODO)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(Dz.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Urz.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UE</w:t>
      </w:r>
      <w:r w:rsidR="000C0D56" w:rsidRPr="00587123">
        <w:rPr>
          <w:rFonts w:cs="Times New Roman"/>
          <w:bCs/>
          <w:szCs w:val="24"/>
        </w:rPr>
        <w:t xml:space="preserve"> </w:t>
      </w:r>
      <w:r w:rsidR="00D10285" w:rsidRPr="00587123">
        <w:rPr>
          <w:rFonts w:cs="Times New Roman"/>
          <w:bCs/>
          <w:szCs w:val="24"/>
        </w:rPr>
        <w:t>L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1F1" w:rsidRPr="00587123">
        <w:rPr>
          <w:rFonts w:cs="Times New Roman"/>
          <w:bCs/>
          <w:szCs w:val="24"/>
        </w:rPr>
        <w:t>119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1F1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1F1" w:rsidRPr="00587123">
        <w:rPr>
          <w:rFonts w:cs="Times New Roman"/>
          <w:bCs/>
          <w:szCs w:val="24"/>
        </w:rPr>
        <w:t>04.05.2016,</w:t>
      </w:r>
      <w:r w:rsidR="000C0D56" w:rsidRPr="00587123">
        <w:rPr>
          <w:rFonts w:cs="Times New Roman"/>
          <w:bCs/>
          <w:szCs w:val="24"/>
        </w:rPr>
        <w:t xml:space="preserve"> </w:t>
      </w:r>
      <w:hyperlink r:id="rId8" w:history="1">
        <w:r w:rsidR="00C211F1" w:rsidRPr="00587123">
          <w:rPr>
            <w:rFonts w:cs="Times New Roman"/>
            <w:bCs/>
            <w:szCs w:val="24"/>
          </w:rPr>
          <w:t>str.</w:t>
        </w:r>
        <w:r w:rsidR="000C0D56" w:rsidRPr="00587123">
          <w:rPr>
            <w:rFonts w:cs="Times New Roman"/>
            <w:bCs/>
            <w:szCs w:val="24"/>
          </w:rPr>
          <w:t xml:space="preserve"> </w:t>
        </w:r>
        <w:r w:rsidR="00C211F1" w:rsidRPr="00587123">
          <w:rPr>
            <w:rFonts w:cs="Times New Roman"/>
            <w:bCs/>
            <w:szCs w:val="24"/>
          </w:rPr>
          <w:t>1</w:t>
        </w:r>
      </w:hyperlink>
      <w:r w:rsidR="002C483D" w:rsidRPr="00587123">
        <w:rPr>
          <w:rFonts w:cs="Times New Roman"/>
          <w:szCs w:val="24"/>
        </w:rPr>
        <w:t>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prawem</w:t>
      </w:r>
      <w:r w:rsidR="00C556F1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niezbędne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wypełnienia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ciążącego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administratorze,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określona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członkowskiego,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któremu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podlega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administrator.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musi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być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określony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prawnej.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Zawarte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wyrażenie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„w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="00C211F1" w:rsidRPr="00587123">
        <w:rPr>
          <w:rFonts w:cs="Times New Roman"/>
          <w:bCs/>
          <w:szCs w:val="24"/>
        </w:rPr>
        <w:t>umożliwienia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kontroli”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stanowi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zatem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wskazanie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więc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wype</w:t>
      </w:r>
      <w:r w:rsidR="001C1D36" w:rsidRPr="00587123">
        <w:rPr>
          <w:rFonts w:cs="Times New Roman"/>
          <w:bCs/>
          <w:szCs w:val="24"/>
        </w:rPr>
        <w:t>łnieniem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wynikającego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wprost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cytowanych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powyżej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RODO.</w:t>
      </w:r>
    </w:p>
    <w:p w14:paraId="3EDDD7A5" w14:textId="4670C0C5" w:rsidR="0079016F" w:rsidRPr="00587123" w:rsidRDefault="00852105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rolnikach</w:t>
      </w:r>
      <w:r w:rsidR="00611938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złożyli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wnioski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gromadzi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jako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agencja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płatnicza.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Natomiast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informacje,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czy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dany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rolnik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pracodawcą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albo</w:t>
      </w:r>
      <w:r w:rsidR="00E916E9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będąc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pracodawcą</w:t>
      </w:r>
      <w:r w:rsidR="00E916E9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przedsiębiorcą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albo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inną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jednostką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organizacyjną,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13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</w:t>
      </w:r>
      <w:r w:rsidR="00C556F1" w:rsidRPr="00587123">
        <w:rPr>
          <w:rFonts w:cs="Times New Roman"/>
          <w:bCs/>
          <w:szCs w:val="24"/>
        </w:rPr>
        <w:t>IP</w:t>
      </w:r>
      <w:r w:rsidR="00611938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zbierze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złożonych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nich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oświadczeń.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</w:t>
      </w:r>
      <w:r w:rsidRPr="00587123">
        <w:rPr>
          <w:rFonts w:cs="Times New Roman"/>
          <w:bCs/>
          <w:szCs w:val="24"/>
        </w:rPr>
        <w:t>olnik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co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roku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obowiązany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złożyć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oświadczenie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</w:t>
      </w:r>
      <w:r w:rsidR="00C556F1" w:rsidRPr="00587123">
        <w:rPr>
          <w:rFonts w:cs="Times New Roman"/>
          <w:bCs/>
          <w:szCs w:val="24"/>
        </w:rPr>
        <w:t>yczące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takich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informacji</w:t>
      </w:r>
      <w:r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wymaga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zmiany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</w:t>
      </w:r>
      <w:r w:rsidR="00611938"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Ministra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Rolnictwa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Rozwoju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Wsi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10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marca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2023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</w:t>
      </w:r>
      <w:r w:rsidR="00611938" w:rsidRPr="00587123">
        <w:rPr>
          <w:rFonts w:cs="Times New Roman"/>
          <w:bCs/>
          <w:szCs w:val="24"/>
        </w:rPr>
        <w:t>prawie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szczegółowych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warunków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szczegółowego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</w:t>
      </w:r>
      <w:r w:rsidR="00611938" w:rsidRPr="00587123">
        <w:rPr>
          <w:rFonts w:cs="Times New Roman"/>
          <w:bCs/>
          <w:szCs w:val="24"/>
        </w:rPr>
        <w:t>ybu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przyznawania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wypłaty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podstawowego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lastRenderedPageBreak/>
        <w:t>wsparcia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dochodów,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redystrybucyjnej,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młodych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</w:t>
      </w:r>
      <w:r w:rsidR="00611938" w:rsidRPr="00587123">
        <w:rPr>
          <w:rFonts w:cs="Times New Roman"/>
          <w:bCs/>
          <w:szCs w:val="24"/>
        </w:rPr>
        <w:t>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związanych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</w:t>
      </w:r>
      <w:r w:rsidR="00611938" w:rsidRPr="00587123">
        <w:rPr>
          <w:rFonts w:cs="Times New Roman"/>
          <w:bCs/>
          <w:szCs w:val="24"/>
        </w:rPr>
        <w:t>rodukcją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powierzchni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upraw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związanych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produkcją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zwierząt,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</w:t>
      </w:r>
      <w:r w:rsidR="00611938" w:rsidRPr="00587123">
        <w:rPr>
          <w:rFonts w:cs="Times New Roman"/>
          <w:bCs/>
          <w:szCs w:val="24"/>
        </w:rPr>
        <w:t>tnoś</w:t>
      </w:r>
      <w:r w:rsidR="00E06A03" w:rsidRPr="00587123">
        <w:rPr>
          <w:rFonts w:cs="Times New Roman"/>
          <w:bCs/>
          <w:szCs w:val="24"/>
        </w:rPr>
        <w:t>ci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A03"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A03" w:rsidRPr="00587123">
        <w:rPr>
          <w:rFonts w:cs="Times New Roman"/>
          <w:bCs/>
          <w:szCs w:val="24"/>
        </w:rPr>
        <w:t>małych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A03" w:rsidRPr="00587123">
        <w:rPr>
          <w:rFonts w:cs="Times New Roman"/>
          <w:bCs/>
          <w:szCs w:val="24"/>
        </w:rPr>
        <w:t>gospodarstw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</w:t>
      </w:r>
      <w:r w:rsidR="00611938" w:rsidRPr="00587123">
        <w:rPr>
          <w:rFonts w:cs="Times New Roman"/>
          <w:bCs/>
          <w:szCs w:val="24"/>
        </w:rPr>
        <w:t>ejściowego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wsparcia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krajowego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</w:t>
      </w:r>
      <w:r w:rsidRPr="00587123">
        <w:rPr>
          <w:rFonts w:cs="Times New Roman"/>
          <w:bCs/>
          <w:szCs w:val="24"/>
        </w:rPr>
        <w:t>lanu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S</w:t>
      </w:r>
      <w:r w:rsidRPr="00587123">
        <w:rPr>
          <w:rFonts w:cs="Times New Roman"/>
          <w:bCs/>
          <w:szCs w:val="24"/>
        </w:rPr>
        <w:t>trategicznego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W</w:t>
      </w:r>
      <w:r w:rsidRPr="00587123">
        <w:rPr>
          <w:rFonts w:cs="Times New Roman"/>
          <w:bCs/>
          <w:szCs w:val="24"/>
        </w:rPr>
        <w:t>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P</w:t>
      </w:r>
      <w:r w:rsidRPr="00587123">
        <w:rPr>
          <w:rFonts w:cs="Times New Roman"/>
          <w:bCs/>
          <w:szCs w:val="24"/>
        </w:rPr>
        <w:t>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="00611938" w:rsidRPr="00587123">
        <w:rPr>
          <w:rFonts w:cs="Times New Roman"/>
          <w:bCs/>
          <w:szCs w:val="24"/>
        </w:rPr>
        <w:t>R</w:t>
      </w:r>
      <w:r w:rsidRPr="00587123">
        <w:rPr>
          <w:rFonts w:cs="Times New Roman"/>
          <w:bCs/>
          <w:szCs w:val="24"/>
        </w:rPr>
        <w:t>olnej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lata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2023</w:t>
      </w:r>
      <w:r w:rsidR="00C556F1" w:rsidRPr="00587123">
        <w:rPr>
          <w:rFonts w:cs="Times New Roman"/>
          <w:bCs/>
          <w:szCs w:val="24"/>
        </w:rPr>
        <w:t>–</w:t>
      </w:r>
      <w:r w:rsidRPr="00587123">
        <w:rPr>
          <w:rFonts w:cs="Times New Roman"/>
          <w:bCs/>
          <w:szCs w:val="24"/>
        </w:rPr>
        <w:t>2027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(Dz.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</w:t>
      </w:r>
      <w:r w:rsidR="00611938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poz.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482,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późn.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zm.)</w:t>
      </w:r>
      <w:r w:rsidR="00C64E0E" w:rsidRPr="00587123">
        <w:rPr>
          <w:rFonts w:cs="Times New Roman"/>
          <w:bCs/>
          <w:szCs w:val="24"/>
        </w:rPr>
        <w:t>.</w:t>
      </w:r>
    </w:p>
    <w:p w14:paraId="5FA6BBAB" w14:textId="5F171F29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152CB8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przekaz</w:t>
      </w:r>
      <w:r w:rsidR="004C55C4" w:rsidRPr="00587123">
        <w:rPr>
          <w:rFonts w:cs="Times New Roman"/>
          <w:bCs/>
          <w:szCs w:val="24"/>
        </w:rPr>
        <w:t>a</w:t>
      </w:r>
      <w:r w:rsidRPr="00587123">
        <w:rPr>
          <w:rFonts w:cs="Times New Roman"/>
          <w:bCs/>
          <w:szCs w:val="24"/>
        </w:rPr>
        <w:t>ła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Głównemu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Inspektorowi</w:t>
      </w:r>
      <w:r w:rsidR="000C0D56" w:rsidRPr="00587123">
        <w:rPr>
          <w:rFonts w:cs="Times New Roman"/>
          <w:bCs/>
          <w:szCs w:val="24"/>
        </w:rPr>
        <w:t xml:space="preserve"> </w:t>
      </w:r>
      <w:r w:rsidR="00E66FCC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dotyczyć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społeczna</w:t>
      </w:r>
      <w:r w:rsidR="00E916E9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później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terminie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wejścia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życie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projektowanej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projektu).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uwagi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brak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historycznych,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pierwszym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roku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wdrożenia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warunkowoś</w:t>
      </w:r>
      <w:r w:rsidR="0079016F" w:rsidRPr="00587123">
        <w:rPr>
          <w:rFonts w:cs="Times New Roman"/>
          <w:bCs/>
          <w:szCs w:val="24"/>
        </w:rPr>
        <w:t>ci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społeczn</w:t>
      </w:r>
      <w:r w:rsidR="0079016F" w:rsidRPr="00587123">
        <w:rPr>
          <w:rFonts w:cs="Times New Roman"/>
          <w:bCs/>
          <w:szCs w:val="24"/>
        </w:rPr>
        <w:t>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się</w:t>
      </w:r>
      <w:r w:rsidR="00C556F1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="006E3940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przekaz</w:t>
      </w:r>
      <w:r w:rsidR="00152CB8" w:rsidRPr="00587123">
        <w:rPr>
          <w:rFonts w:cs="Times New Roman"/>
          <w:bCs/>
          <w:szCs w:val="24"/>
        </w:rPr>
        <w:t>ała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Głównemu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Inspektorowi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2024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złożyli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wnioski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pomocy,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której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20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1,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E916E9" w:rsidRPr="003D3A4A">
        <w:rPr>
          <w:rFonts w:cs="Times New Roman"/>
          <w:bCs/>
          <w:szCs w:val="24"/>
        </w:rPr>
        <w:t>PS WPR</w:t>
      </w:r>
      <w:r w:rsidR="0079016F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osobami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fizycznymi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wpisanymi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ewidencji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producentów,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18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grudnia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2003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krajowym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systemie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ewidencji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producentów,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ewidencji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gospodarstw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rolnych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ewidencji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wniosków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(Dz.</w:t>
      </w:r>
      <w:r w:rsidR="00E916E9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2023</w:t>
      </w:r>
      <w:r w:rsidR="00E916E9">
        <w:rPr>
          <w:rFonts w:cs="Times New Roman"/>
          <w:bCs/>
          <w:szCs w:val="24"/>
        </w:rPr>
        <w:t> </w:t>
      </w:r>
      <w:r w:rsidR="0079016F" w:rsidRPr="00587123">
        <w:rPr>
          <w:rFonts w:cs="Times New Roman"/>
          <w:bCs/>
          <w:szCs w:val="24"/>
        </w:rPr>
        <w:t>r.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poz.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885).</w:t>
      </w:r>
    </w:p>
    <w:p w14:paraId="1A7A6A16" w14:textId="4EFF256F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zostali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objęci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wnioskują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przyznanie:</w:t>
      </w:r>
    </w:p>
    <w:p w14:paraId="65449519" w14:textId="6AFE1871" w:rsidR="00AE0D77" w:rsidRPr="00587123" w:rsidRDefault="00663CFD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1)</w:t>
      </w:r>
      <w:r w:rsidR="00C556F1" w:rsidRPr="00587123">
        <w:rPr>
          <w:rFonts w:cs="Times New Roman"/>
          <w:bCs/>
          <w:szCs w:val="24"/>
        </w:rPr>
        <w:tab/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bezpośrednich,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tym: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podstawowego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wsparcia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dochodów,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redystrybucyjnej,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młodych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związanych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produkcją,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ekoschematów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(w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dobrostanowej)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małych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gospodarstw,</w:t>
      </w:r>
    </w:p>
    <w:p w14:paraId="1318C863" w14:textId="229E28FC" w:rsidR="00AE0D77" w:rsidRPr="00587123" w:rsidRDefault="00663CFD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2)</w:t>
      </w:r>
      <w:r w:rsidR="00C556F1" w:rsidRPr="00587123">
        <w:rPr>
          <w:rFonts w:cs="Times New Roman"/>
          <w:bCs/>
          <w:szCs w:val="24"/>
        </w:rPr>
        <w:tab/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rolno-środowiskowo-klimatycznych,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ekologicznych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premii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tytułu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zalesień,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zadrzewień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systemów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rolno-leśnych,</w:t>
      </w:r>
    </w:p>
    <w:p w14:paraId="38CC2B72" w14:textId="469F59E0" w:rsidR="00F246E6" w:rsidRPr="00587123" w:rsidRDefault="00663CFD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3)</w:t>
      </w:r>
      <w:r w:rsidR="00C556F1" w:rsidRPr="00587123">
        <w:rPr>
          <w:rFonts w:cs="Times New Roman"/>
          <w:bCs/>
          <w:szCs w:val="24"/>
        </w:rPr>
        <w:tab/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ONW.</w:t>
      </w:r>
    </w:p>
    <w:p w14:paraId="0BAB9812" w14:textId="022A90A6" w:rsidR="0079016F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dokonywała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historii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podmiotów,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wpływających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skarg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priorytetów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przyjętych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–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głównie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uwzględnieniu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ostatnich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legislacyjnych,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także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powstających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problemów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rynku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wzrostu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poziomu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zagrożeń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zawodowych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wypadkowych.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Dodatkowo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zostaną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wykorzystane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zebrane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płatniczą.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50F5B458" w14:textId="2109A13C" w:rsidR="0079016F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E244CB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przeprowadze</w:t>
      </w:r>
      <w:r w:rsidRPr="00587123">
        <w:rPr>
          <w:rFonts w:cs="Times New Roman"/>
          <w:bCs/>
          <w:szCs w:val="24"/>
        </w:rPr>
        <w:t>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79016F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później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niż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31</w:t>
      </w:r>
      <w:r w:rsidR="000C0D56" w:rsidRPr="00587123">
        <w:rPr>
          <w:rFonts w:cs="Times New Roman"/>
          <w:bCs/>
          <w:szCs w:val="24"/>
        </w:rPr>
        <w:t xml:space="preserve"> </w:t>
      </w:r>
      <w:r w:rsidR="001C1D36" w:rsidRPr="00587123">
        <w:rPr>
          <w:rFonts w:cs="Times New Roman"/>
          <w:bCs/>
          <w:szCs w:val="24"/>
        </w:rPr>
        <w:t>października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każdego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roku</w:t>
      </w:r>
      <w:r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informacje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(zwierające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osobowe)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rolnikach</w:t>
      </w:r>
      <w:r w:rsidR="00C556F1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u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przeprowadzono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kontrol</w:t>
      </w:r>
      <w:r w:rsidR="00C556F1" w:rsidRPr="00587123">
        <w:rPr>
          <w:rFonts w:cs="Times New Roman"/>
          <w:bCs/>
          <w:szCs w:val="24"/>
        </w:rPr>
        <w:t>e,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wynikach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556F1"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niezbędne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ustalenia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wysokości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administracyjnej.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Pozwoli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to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BE7CEE" w:rsidRPr="00587123">
        <w:rPr>
          <w:rFonts w:cs="Times New Roman"/>
          <w:bCs/>
          <w:szCs w:val="24"/>
        </w:rPr>
        <w:t>załatwiani</w:t>
      </w:r>
      <w:r w:rsidR="00133AB7" w:rsidRPr="00587123">
        <w:rPr>
          <w:rFonts w:cs="Times New Roman"/>
          <w:bCs/>
          <w:szCs w:val="24"/>
        </w:rPr>
        <w:t>e</w:t>
      </w:r>
      <w:r w:rsidR="000C0D56" w:rsidRPr="00587123">
        <w:rPr>
          <w:rFonts w:cs="Times New Roman"/>
          <w:bCs/>
          <w:szCs w:val="24"/>
        </w:rPr>
        <w:t xml:space="preserve"> </w:t>
      </w:r>
      <w:r w:rsidR="00BE7CEE" w:rsidRPr="00587123">
        <w:rPr>
          <w:rFonts w:cs="Times New Roman"/>
          <w:bCs/>
          <w:szCs w:val="24"/>
        </w:rPr>
        <w:t>spraw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2D478A" w:rsidRPr="00587123">
        <w:rPr>
          <w:rFonts w:cs="Times New Roman"/>
          <w:bCs/>
          <w:szCs w:val="24"/>
        </w:rPr>
        <w:t>uwzględnieniem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133AB7" w:rsidRPr="00587123">
        <w:rPr>
          <w:rFonts w:cs="Times New Roman"/>
          <w:bCs/>
          <w:szCs w:val="24"/>
        </w:rPr>
        <w:t>wyników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przeprowadzonych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PIP</w:t>
      </w:r>
      <w:r w:rsidR="002D478A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7D146A95" w14:textId="592EBC9F" w:rsidR="0079016F" w:rsidRPr="00587123" w:rsidRDefault="00DB5809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projekcie</w:t>
      </w:r>
      <w:r w:rsidR="000C0D56" w:rsidRPr="00587123">
        <w:rPr>
          <w:rFonts w:cs="Times New Roman"/>
          <w:bCs/>
          <w:szCs w:val="24"/>
        </w:rPr>
        <w:t xml:space="preserve"> </w:t>
      </w:r>
      <w:r w:rsidR="00BE7CEE" w:rsidRPr="00587123">
        <w:rPr>
          <w:rFonts w:cs="Times New Roman"/>
          <w:bCs/>
          <w:szCs w:val="24"/>
        </w:rPr>
        <w:t>zaproponowano,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ww.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informacja</w:t>
      </w:r>
      <w:r w:rsidR="000C0D56" w:rsidRPr="00587123">
        <w:rPr>
          <w:rFonts w:cs="Times New Roman"/>
          <w:bCs/>
          <w:szCs w:val="24"/>
        </w:rPr>
        <w:t xml:space="preserve"> </w:t>
      </w:r>
      <w:r w:rsidR="002D478A" w:rsidRPr="00587123">
        <w:rPr>
          <w:rFonts w:cs="Times New Roman"/>
          <w:bCs/>
          <w:szCs w:val="24"/>
        </w:rPr>
        <w:t>przekazywana</w:t>
      </w:r>
      <w:r w:rsidR="000C0D56" w:rsidRPr="00587123">
        <w:rPr>
          <w:rFonts w:cs="Times New Roman"/>
          <w:bCs/>
          <w:szCs w:val="24"/>
        </w:rPr>
        <w:t xml:space="preserve"> </w:t>
      </w:r>
      <w:r w:rsidR="002D478A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2D478A"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dotycz</w:t>
      </w:r>
      <w:r w:rsidRPr="00587123">
        <w:rPr>
          <w:rFonts w:cs="Times New Roman"/>
          <w:bCs/>
          <w:szCs w:val="24"/>
        </w:rPr>
        <w:t>yła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m.in.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stwierdzonych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danego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rolnika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społecznej,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lastRenderedPageBreak/>
        <w:t>wyniku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przeprowadzonej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orzeczono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nakazach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zakazach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decyzjach</w:t>
      </w:r>
      <w:r w:rsidR="0079016F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wymienionych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33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79016F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6415E8" w:rsidRPr="00587123">
        <w:rPr>
          <w:rFonts w:cs="Times New Roman"/>
          <w:bCs/>
          <w:szCs w:val="24"/>
        </w:rPr>
        <w:t>PIP</w:t>
      </w:r>
      <w:r w:rsidR="0079016F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="002D478A" w:rsidRPr="00587123">
        <w:rPr>
          <w:rFonts w:cs="Times New Roman"/>
          <w:bCs/>
          <w:szCs w:val="24"/>
        </w:rPr>
        <w:t>Zatem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otrzyma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informacje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społecznej,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C67301" w:rsidRPr="00587123">
        <w:rPr>
          <w:rFonts w:cs="Times New Roman"/>
          <w:bCs/>
          <w:szCs w:val="24"/>
        </w:rPr>
        <w:t>2021/2115,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wyniku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przeprowadzonej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inspektorów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pracowników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orzeczono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nakazach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zakazach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decyzjach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wymienionych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33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PIP.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88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ust.</w:t>
      </w:r>
      <w:r w:rsidR="00E916E9">
        <w:rPr>
          <w:rFonts w:cs="Times New Roman"/>
          <w:bCs/>
          <w:szCs w:val="24"/>
        </w:rPr>
        <w:t> </w:t>
      </w:r>
      <w:r w:rsidR="004D71B7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4D71B7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2021/2116,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systemu,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którym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87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akapit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pierwszy,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co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najmniej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roku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agencja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płatnicza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powiadamiana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przypadkach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niezgodności,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gdy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właściwe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organy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jednostki,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87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ust.</w:t>
      </w:r>
      <w:r w:rsidR="00E916E9">
        <w:rPr>
          <w:rFonts w:cs="Times New Roman"/>
          <w:bCs/>
          <w:szCs w:val="24"/>
        </w:rPr>
        <w:t> </w:t>
      </w:r>
      <w:r w:rsidR="00E06474" w:rsidRPr="00587123">
        <w:rPr>
          <w:rFonts w:cs="Times New Roman"/>
          <w:bCs/>
          <w:szCs w:val="24"/>
        </w:rPr>
        <w:t>2,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podjęły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podlegające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wykonaniu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decyzje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="00E06474" w:rsidRPr="00587123">
        <w:rPr>
          <w:rFonts w:cs="Times New Roman"/>
          <w:bCs/>
          <w:szCs w:val="24"/>
        </w:rPr>
        <w:t>zakresie.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1349D56F" w14:textId="2775656B" w:rsidR="00EA4CD3" w:rsidRPr="00587123" w:rsidRDefault="00E66FCC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Projektowany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przekazywania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osobowych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skontrolowani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</w:t>
      </w:r>
      <w:r w:rsidR="004E2C2B"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spośród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przekazała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wcześniej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Głównemu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Inspektorowi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Pracy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105a)</w:t>
      </w:r>
      <w:r w:rsidR="00E916E9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wynikach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przeprowadzonych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u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nich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kontroli</w:t>
      </w:r>
      <w:r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128DCE2E" w14:textId="35BBE26F" w:rsidR="00E66FCC" w:rsidRPr="00587123" w:rsidRDefault="00E66FCC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</w:t>
      </w:r>
      <w:r w:rsidR="00E916E9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RODO,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prawem</w:t>
      </w:r>
      <w:r w:rsidR="004E2C2B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niezbędne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wypełnienia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ciążącego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administratorze,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określona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członkowskiego,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któremu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podlega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administrator.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musi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być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określony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prawnej.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Powyższe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obligatoryjne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spełnione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673A3D" w:rsidRPr="00494255">
        <w:rPr>
          <w:rFonts w:cs="Times New Roman"/>
          <w:bCs/>
          <w:szCs w:val="24"/>
        </w:rPr>
        <w:t>PS WPR</w:t>
      </w:r>
      <w:r w:rsidR="00673A3D" w:rsidRPr="00673A3D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wskazanie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przetwarzania,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niezbędne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ustalenia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wysokości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administracyjnej.</w:t>
      </w:r>
    </w:p>
    <w:p w14:paraId="652B7FCB" w14:textId="58FFE165" w:rsidR="00E66FCC" w:rsidRPr="00587123" w:rsidRDefault="00C64E0E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otrzymania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płatniczą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informacji,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4E2C2B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agencja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płatnicza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zmniejszyć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należne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(kara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administracyjna),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57a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WPR.</w:t>
      </w:r>
    </w:p>
    <w:p w14:paraId="50D27AB8" w14:textId="03DF92BC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57a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E244CB" w:rsidRPr="00587123">
        <w:rPr>
          <w:rFonts w:cs="Times New Roman"/>
          <w:bCs/>
          <w:szCs w:val="24"/>
        </w:rPr>
        <w:t>11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nakładać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tytułu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nieprzestrzegania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przekracza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równowartości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złotych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88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wynosi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100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euro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mniej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odniesieniu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rolnika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kalendarzowy</w:t>
      </w:r>
      <w:r w:rsidR="004E2C2B" w:rsidRPr="00587123">
        <w:rPr>
          <w:rFonts w:cs="Times New Roman"/>
          <w:bCs/>
          <w:szCs w:val="24"/>
        </w:rPr>
        <w:t>.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R</w:t>
      </w:r>
      <w:r w:rsidR="007F2CA6" w:rsidRPr="00587123">
        <w:rPr>
          <w:rFonts w:cs="Times New Roman"/>
          <w:bCs/>
          <w:szCs w:val="24"/>
        </w:rPr>
        <w:t>olnika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powiadamia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jednak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stwierdzeniu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podjęcia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działania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naprawczego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ustalonym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terminie.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Analogicznie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jak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normami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(uregulowanej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już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ubiegający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podjął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działań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naprawczych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terminie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wyznaczonym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decyzji,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odzyskiwanie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należności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trybie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ARiMR</w:t>
      </w:r>
      <w:r w:rsidRPr="00587123">
        <w:rPr>
          <w:rFonts w:cs="Times New Roman"/>
          <w:bCs/>
          <w:szCs w:val="24"/>
        </w:rPr>
        <w:t>.</w:t>
      </w:r>
    </w:p>
    <w:p w14:paraId="35BAB4DE" w14:textId="6B76C751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lastRenderedPageBreak/>
        <w:t>Ponadto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wdrożenia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</w:t>
      </w:r>
      <w:r w:rsidR="004E2C2B" w:rsidRPr="00587123">
        <w:rPr>
          <w:rFonts w:cs="Times New Roman"/>
          <w:bCs/>
          <w:szCs w:val="24"/>
        </w:rPr>
        <w:t>yczących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uzupełni</w:t>
      </w:r>
      <w:r w:rsidRPr="00587123">
        <w:rPr>
          <w:rFonts w:cs="Times New Roman"/>
          <w:bCs/>
          <w:szCs w:val="24"/>
        </w:rPr>
        <w:t>ono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dotychczasową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definicję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nakładaną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dodany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87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ustanawiają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system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przewidujący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stosowanie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wobec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beneficjentów,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przestrzegają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wymienionych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2021/2115</w:t>
      </w:r>
      <w:r w:rsidRPr="00587123">
        <w:rPr>
          <w:rFonts w:cs="Times New Roman"/>
          <w:bCs/>
          <w:szCs w:val="24"/>
        </w:rPr>
        <w:t>.</w:t>
      </w:r>
    </w:p>
    <w:p w14:paraId="56B98230" w14:textId="08A22489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dodanym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17a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ustawy)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wprowadzo</w:t>
      </w:r>
      <w:r w:rsidRPr="00587123">
        <w:rPr>
          <w:rFonts w:cs="Times New Roman"/>
          <w:bCs/>
          <w:szCs w:val="24"/>
        </w:rPr>
        <w:t>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definicję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4E2C2B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odnosząc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wymienionych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załącznik</w:t>
      </w:r>
      <w:r w:rsidR="00710A0A" w:rsidRPr="00587123">
        <w:rPr>
          <w:rFonts w:cs="Times New Roman"/>
          <w:bCs/>
          <w:szCs w:val="24"/>
        </w:rPr>
        <w:t>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87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2021/2116.</w:t>
      </w:r>
    </w:p>
    <w:p w14:paraId="25C4479A" w14:textId="671DBE85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dodanym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4E2C2B"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CA33E6" w:rsidRPr="00587123">
        <w:rPr>
          <w:rFonts w:cs="Times New Roman"/>
          <w:bCs/>
          <w:szCs w:val="24"/>
        </w:rPr>
        <w:t>3</w:t>
      </w:r>
      <w:r w:rsidR="0040257D" w:rsidRPr="00587123">
        <w:rPr>
          <w:rFonts w:cs="Times New Roman"/>
          <w:bCs/>
          <w:szCs w:val="24"/>
        </w:rPr>
        <w:t>1</w:t>
      </w:r>
      <w:r w:rsidR="00C211F1"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wyjaśniono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używane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tekście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pojęcie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społecznej.</w:t>
      </w:r>
    </w:p>
    <w:p w14:paraId="75FBA274" w14:textId="3419BCB0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poszerzenie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kręgu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podmiotów,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przekazywany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zaopiniowania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wytycznych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instytucji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zarządzającej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Głównego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Inspektora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wytycznych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dotyczących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6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planowanego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wykorzystywania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potrzeby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kontroli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przeprow</w:t>
      </w:r>
      <w:r w:rsidRPr="00587123">
        <w:rPr>
          <w:rFonts w:cs="Times New Roman"/>
          <w:bCs/>
          <w:szCs w:val="24"/>
        </w:rPr>
        <w:t>a</w:t>
      </w:r>
      <w:r w:rsidR="0020410A" w:rsidRPr="00587123">
        <w:rPr>
          <w:rFonts w:cs="Times New Roman"/>
          <w:bCs/>
          <w:szCs w:val="24"/>
        </w:rPr>
        <w:t>dza</w:t>
      </w:r>
      <w:r w:rsidRPr="00587123">
        <w:rPr>
          <w:rFonts w:cs="Times New Roman"/>
          <w:bCs/>
          <w:szCs w:val="24"/>
        </w:rPr>
        <w:t>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PIP.</w:t>
      </w:r>
    </w:p>
    <w:p w14:paraId="51942F3B" w14:textId="5DFF2D39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Zmiana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objęcie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(nakładanie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wysokość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kar),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administracyjnych,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mechanizmu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51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121453" w:rsidRPr="00587123">
        <w:rPr>
          <w:rFonts w:cs="Times New Roman"/>
          <w:bCs/>
          <w:szCs w:val="24"/>
        </w:rPr>
        <w:t>WPR)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nakładać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jeżeli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działania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wyższej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albo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nakazu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wydanego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organ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publiczny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</w:t>
      </w:r>
      <w:r w:rsidR="0020410A" w:rsidRPr="00587123">
        <w:rPr>
          <w:rFonts w:cs="Times New Roman"/>
          <w:bCs/>
          <w:szCs w:val="24"/>
        </w:rPr>
        <w:t>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971D86">
        <w:rPr>
          <w:rFonts w:cs="Times New Roman"/>
          <w:bCs/>
          <w:szCs w:val="24"/>
        </w:rPr>
        <w:t> </w:t>
      </w:r>
      <w:r w:rsidRPr="00587123">
        <w:rPr>
          <w:rFonts w:cs="Times New Roman"/>
          <w:bCs/>
          <w:szCs w:val="24"/>
        </w:rPr>
        <w:t>84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2021/2116).</w:t>
      </w:r>
    </w:p>
    <w:p w14:paraId="3CE4C446" w14:textId="23584756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11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</w:t>
      </w:r>
      <w:r w:rsidR="00121453" w:rsidRPr="00587123">
        <w:rPr>
          <w:rFonts w:cs="Times New Roman"/>
          <w:bCs/>
          <w:szCs w:val="24"/>
        </w:rPr>
        <w:t>dodany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57a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710A0A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105a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uregulowano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nakładanie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administracyjnych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nieprzestrzegania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warunkowości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społecznej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przetwarzanie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danych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osobowych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związku</w:t>
      </w:r>
      <w:r w:rsidR="000C0D56" w:rsidRPr="00587123">
        <w:rPr>
          <w:rFonts w:cs="Times New Roman"/>
          <w:bCs/>
          <w:szCs w:val="24"/>
        </w:rPr>
        <w:t xml:space="preserve"> </w:t>
      </w:r>
      <w:r w:rsidR="00C64E0E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kontr</w:t>
      </w:r>
      <w:r w:rsidR="00C64E0E" w:rsidRPr="00587123">
        <w:rPr>
          <w:rFonts w:cs="Times New Roman"/>
          <w:bCs/>
          <w:szCs w:val="24"/>
        </w:rPr>
        <w:t>olami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wymogów.</w:t>
      </w:r>
    </w:p>
    <w:p w14:paraId="2F4A831A" w14:textId="04D1F330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projektowanym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57a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zamieszczono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upoważnienie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ustawowe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ministra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właściwego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rozwoju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określenia,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drodze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rozporządzenia:</w:t>
      </w:r>
      <w:r w:rsidR="000C0D56" w:rsidRPr="00587123">
        <w:rPr>
          <w:rFonts w:cs="Times New Roman"/>
          <w:bCs/>
          <w:szCs w:val="24"/>
        </w:rPr>
        <w:t xml:space="preserve"> </w:t>
      </w:r>
    </w:p>
    <w:p w14:paraId="36475C97" w14:textId="0CB58024" w:rsidR="00DA2DA6" w:rsidRPr="00587123" w:rsidRDefault="00DA2DA6" w:rsidP="00AE3A9C">
      <w:pPr>
        <w:pStyle w:val="ZPKTzmpktartykuempunktem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lastRenderedPageBreak/>
        <w:t>1)</w:t>
      </w:r>
      <w:r w:rsidRPr="00587123">
        <w:rPr>
          <w:rFonts w:ascii="Times New Roman" w:hAnsi="Times New Roman" w:cs="Times New Roman"/>
          <w:szCs w:val="24"/>
        </w:rPr>
        <w:tab/>
        <w:t>liczb</w:t>
      </w:r>
      <w:r w:rsidR="00971D86">
        <w:rPr>
          <w:rFonts w:ascii="Times New Roman" w:hAnsi="Times New Roman" w:cs="Times New Roman"/>
          <w:szCs w:val="24"/>
        </w:rPr>
        <w:t>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punktów,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jaką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przypisuje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się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stwierdzonej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niezgodności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wymogami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ramach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oceny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wagi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według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kryterium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zasięgu,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dotkliwości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trwałości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zależności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rodzaju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stwierdzonego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naruszenia,</w:t>
      </w:r>
    </w:p>
    <w:p w14:paraId="6AB7CF9D" w14:textId="1D570DF4" w:rsidR="00DA2DA6" w:rsidRPr="00587123" w:rsidRDefault="00DA2DA6" w:rsidP="00AE3A9C">
      <w:pPr>
        <w:pStyle w:val="ZPKTzmpktartykuempunktem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2)</w:t>
      </w:r>
      <w:r w:rsidRPr="00587123">
        <w:rPr>
          <w:rFonts w:ascii="Times New Roman" w:hAnsi="Times New Roman" w:cs="Times New Roman"/>
          <w:szCs w:val="24"/>
        </w:rPr>
        <w:tab/>
        <w:t>wyrażon</w:t>
      </w:r>
      <w:r w:rsidR="00971D86">
        <w:rPr>
          <w:rFonts w:ascii="Times New Roman" w:hAnsi="Times New Roman" w:cs="Times New Roman"/>
          <w:szCs w:val="24"/>
        </w:rPr>
        <w:t>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procentach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wielkoś</w:t>
      </w:r>
      <w:r w:rsidR="00971D86">
        <w:rPr>
          <w:rFonts w:ascii="Times New Roman" w:hAnsi="Times New Roman" w:cs="Times New Roman"/>
          <w:szCs w:val="24"/>
        </w:rPr>
        <w:t>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kary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administracyjnej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zależności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liczby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punktów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przypisan</w:t>
      </w:r>
      <w:r w:rsidR="005B31A6" w:rsidRPr="00587123">
        <w:rPr>
          <w:rFonts w:ascii="Times New Roman" w:hAnsi="Times New Roman" w:cs="Times New Roman"/>
          <w:szCs w:val="24"/>
        </w:rPr>
        <w:t>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stwierdzon</w:t>
      </w:r>
      <w:r w:rsidR="005B31A6" w:rsidRPr="00587123">
        <w:rPr>
          <w:rFonts w:ascii="Times New Roman" w:hAnsi="Times New Roman" w:cs="Times New Roman"/>
          <w:szCs w:val="24"/>
        </w:rPr>
        <w:t>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niezgodności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wymogami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społecznej,</w:t>
      </w:r>
    </w:p>
    <w:p w14:paraId="20BC000F" w14:textId="50CFADBA" w:rsidR="00DA2DA6" w:rsidRPr="00587123" w:rsidRDefault="00DA2DA6" w:rsidP="00AE3A9C">
      <w:pPr>
        <w:pStyle w:val="ZPKTzmpktartykuempunktem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3)</w:t>
      </w:r>
      <w:r w:rsidRPr="00587123">
        <w:rPr>
          <w:rFonts w:ascii="Times New Roman" w:hAnsi="Times New Roman" w:cs="Times New Roman"/>
          <w:szCs w:val="24"/>
        </w:rPr>
        <w:tab/>
        <w:t>przypadk</w:t>
      </w:r>
      <w:r w:rsidR="00971D86">
        <w:rPr>
          <w:rFonts w:ascii="Times New Roman" w:hAnsi="Times New Roman" w:cs="Times New Roman"/>
          <w:szCs w:val="24"/>
        </w:rPr>
        <w:t>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poważnej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niezgodności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wymogami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kryteri</w:t>
      </w:r>
      <w:r w:rsidR="00971D86">
        <w:rPr>
          <w:rFonts w:ascii="Times New Roman" w:hAnsi="Times New Roman" w:cs="Times New Roman"/>
          <w:szCs w:val="24"/>
        </w:rPr>
        <w:t>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uznawania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niezgodności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wymogami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poważną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niezgodność.</w:t>
      </w:r>
    </w:p>
    <w:p w14:paraId="242E3E80" w14:textId="77777777" w:rsidR="00DA2DA6" w:rsidRPr="00587123" w:rsidRDefault="00DA2DA6" w:rsidP="00AE3A9C">
      <w:pPr>
        <w:pStyle w:val="ZPKTzmpktartykuempunktem"/>
        <w:rPr>
          <w:rFonts w:ascii="Times New Roman" w:hAnsi="Times New Roman" w:cs="Times New Roman"/>
          <w:szCs w:val="24"/>
        </w:rPr>
      </w:pPr>
    </w:p>
    <w:p w14:paraId="6ADD11CF" w14:textId="606FD1EC" w:rsidR="0047146B" w:rsidRPr="00587123" w:rsidRDefault="00251103" w:rsidP="00AE3A9C">
      <w:pPr>
        <w:widowControl/>
        <w:suppressAutoHyphens/>
        <w:jc w:val="both"/>
        <w:rPr>
          <w:rFonts w:cs="Times New Roman"/>
          <w:szCs w:val="24"/>
        </w:rPr>
      </w:pP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143E5B" w:rsidRPr="00587123">
        <w:rPr>
          <w:rFonts w:cs="Times New Roman"/>
          <w:szCs w:val="24"/>
        </w:rPr>
        <w:t>akcie</w:t>
      </w:r>
      <w:r w:rsidR="000C0D56" w:rsidRPr="00587123">
        <w:rPr>
          <w:rFonts w:cs="Times New Roman"/>
          <w:szCs w:val="24"/>
        </w:rPr>
        <w:t xml:space="preserve"> </w:t>
      </w:r>
      <w:r w:rsidR="00143E5B" w:rsidRPr="00587123">
        <w:rPr>
          <w:rFonts w:cs="Times New Roman"/>
          <w:szCs w:val="24"/>
        </w:rPr>
        <w:t>stanowiącym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wykonani</w:t>
      </w:r>
      <w:r w:rsidR="00143E5B" w:rsidRPr="00587123">
        <w:rPr>
          <w:rFonts w:cs="Times New Roman"/>
          <w:szCs w:val="24"/>
        </w:rPr>
        <w:t>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powyższego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upoważnienia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143E5B" w:rsidRPr="00587123">
        <w:rPr>
          <w:rFonts w:cs="Times New Roman"/>
          <w:szCs w:val="24"/>
        </w:rPr>
        <w:t>zostanie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określona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szczególności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liczba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punk</w:t>
      </w:r>
      <w:r w:rsidR="006415E8" w:rsidRPr="00587123">
        <w:rPr>
          <w:rFonts w:cs="Times New Roman"/>
          <w:bCs/>
          <w:szCs w:val="24"/>
        </w:rPr>
        <w:t>t</w:t>
      </w:r>
      <w:r w:rsidRPr="00587123">
        <w:rPr>
          <w:rFonts w:cs="Times New Roman"/>
          <w:bCs/>
          <w:szCs w:val="24"/>
        </w:rPr>
        <w:t>ów,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odpowiada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niezgodności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albo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prawa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krajowego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wdrażającego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dyrektywy</w:t>
      </w:r>
      <w:r w:rsidR="00FF184D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mowa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załączniku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2021/2115.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Powyższa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regulacja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umożliwi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również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ustalenie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wysokości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zmniejszenia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uwzględnieniem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oceny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gradacji</w:t>
      </w:r>
      <w:r w:rsidR="0020410A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tj.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dotkliwości,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zasięgu,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trwałości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powtarzalności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umyślności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danej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niezgodności,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ponieważ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przepis</w:t>
      </w:r>
      <w:r w:rsidR="0020410A" w:rsidRPr="00587123">
        <w:rPr>
          <w:rFonts w:cs="Times New Roman"/>
          <w:bCs/>
          <w:szCs w:val="24"/>
        </w:rPr>
        <w:t>em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ust.</w:t>
      </w:r>
      <w:r w:rsidR="00971D86">
        <w:rPr>
          <w:rFonts w:cs="Times New Roman"/>
          <w:bCs/>
          <w:szCs w:val="24"/>
        </w:rPr>
        <w:t> </w:t>
      </w:r>
      <w:r w:rsidR="00F246E6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2021/</w:t>
      </w:r>
      <w:r w:rsidR="003B6E01" w:rsidRPr="00587123">
        <w:rPr>
          <w:rFonts w:cs="Times New Roman"/>
          <w:bCs/>
          <w:szCs w:val="24"/>
        </w:rPr>
        <w:t>2115</w:t>
      </w:r>
      <w:r w:rsidR="000C0D56" w:rsidRPr="00587123">
        <w:rPr>
          <w:rFonts w:cs="Times New Roman"/>
          <w:bCs/>
          <w:szCs w:val="24"/>
        </w:rPr>
        <w:t xml:space="preserve"> </w:t>
      </w:r>
      <w:r w:rsidR="003B6E01" w:rsidRPr="00587123">
        <w:rPr>
          <w:rFonts w:cs="Times New Roman"/>
          <w:bCs/>
          <w:szCs w:val="24"/>
        </w:rPr>
        <w:t>państwo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zobowiązane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ustalenia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skutecznego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proporcjonalnego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systemu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kar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administracyjnych.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Przepisy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zgodne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odpowiednimi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wymogami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określonymi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tytule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IV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rozdział</w:t>
      </w:r>
      <w:r w:rsidR="0020410A" w:rsidRPr="00587123">
        <w:rPr>
          <w:rFonts w:cs="Times New Roman"/>
          <w:bCs/>
          <w:szCs w:val="24"/>
        </w:rPr>
        <w:t>u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V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F246E6" w:rsidRPr="00587123">
        <w:rPr>
          <w:rFonts w:cs="Times New Roman"/>
          <w:bCs/>
          <w:szCs w:val="24"/>
        </w:rPr>
        <w:t>2021/2116.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Analogiczne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upoważnienie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47146B" w:rsidRPr="00587123">
        <w:rPr>
          <w:rFonts w:cs="Times New Roman"/>
          <w:bCs/>
          <w:szCs w:val="24"/>
        </w:rPr>
        <w:t>obowiązuje</w:t>
      </w:r>
      <w:r w:rsidR="000C0D56" w:rsidRPr="00587123">
        <w:rPr>
          <w:rFonts w:cs="Times New Roman"/>
          <w:bCs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przypadku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warunkowości,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tj.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niezgodności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normami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(art.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55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ust.</w:t>
      </w:r>
      <w:r w:rsidR="002E52BF">
        <w:rPr>
          <w:rFonts w:cs="Times New Roman"/>
          <w:szCs w:val="24"/>
        </w:rPr>
        <w:t> </w:t>
      </w:r>
      <w:r w:rsidR="0047146B" w:rsidRPr="00587123">
        <w:rPr>
          <w:rFonts w:cs="Times New Roman"/>
          <w:szCs w:val="24"/>
        </w:rPr>
        <w:t>2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ustawy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PS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WPR).</w:t>
      </w:r>
    </w:p>
    <w:p w14:paraId="3E011315" w14:textId="77792FCC" w:rsidR="0047146B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Odnosząc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pozostałych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</w:t>
      </w:r>
      <w:r w:rsidR="0020410A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należy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wyjaśnić,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doprecyzowania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definicji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trwałych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użytków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zielonych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(TUZ).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2021/2115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państwa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członkowskie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doprecyzowują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krajowych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planach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strategicznych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pojęcie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m.in.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trwałych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użytków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zielonych,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uwzględnieniem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podanej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przepisie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definicji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pojęcia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wskazanych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przepisie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kryteriów.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3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rozporządzenia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2021/2115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uregulowano,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trwałe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użytki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zielone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oznaczają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„grunty,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które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wykorzystywane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uprawy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innych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zielnych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roślin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pastewnych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rozsiewających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naturalnie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(samosiewnych)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uprawianych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(wysiewanych)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które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były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objęte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zmianowaniem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upraw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danego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gospodarstwa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okres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co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najmniej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pięciu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lat”.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definicji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pojęcia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TUZ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(dodanie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wyrazów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„z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wyłączeniem</w:t>
      </w:r>
      <w:r w:rsidR="000C0D56" w:rsidRPr="00587123">
        <w:rPr>
          <w:rFonts w:cs="Times New Roman"/>
          <w:bCs/>
          <w:szCs w:val="24"/>
        </w:rPr>
        <w:t xml:space="preserve"> </w:t>
      </w:r>
      <w:r w:rsidR="00710A0A" w:rsidRPr="00587123">
        <w:rPr>
          <w:rFonts w:cs="Times New Roman"/>
          <w:bCs/>
          <w:szCs w:val="24"/>
        </w:rPr>
        <w:t>uprawy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siewie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czystym”)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powodować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t</w:t>
      </w:r>
      <w:r w:rsidR="0020410A" w:rsidRPr="00587123">
        <w:rPr>
          <w:rFonts w:cs="Times New Roman"/>
          <w:bCs/>
          <w:szCs w:val="24"/>
        </w:rPr>
        <w:t>o</w:t>
      </w:r>
      <w:r w:rsidR="00CB5D99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prowadzenia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uprawy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siewie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czystym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grunt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2C483D" w:rsidRPr="00587123">
        <w:rPr>
          <w:rFonts w:cs="Times New Roman"/>
          <w:szCs w:val="24"/>
        </w:rPr>
        <w:t>będzie</w:t>
      </w:r>
      <w:r w:rsidR="000C0D56" w:rsidRPr="00587123">
        <w:rPr>
          <w:rFonts w:cs="Times New Roman"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musiał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zostać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przekwalifikowany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TUZ.</w:t>
      </w:r>
    </w:p>
    <w:p w14:paraId="4A45E139" w14:textId="0AB0D0F9" w:rsidR="0047146B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lastRenderedPageBreak/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8B58E3" w:rsidRPr="00587123">
        <w:rPr>
          <w:rFonts w:cs="Times New Roman"/>
          <w:bCs/>
          <w:szCs w:val="24"/>
        </w:rPr>
        <w:t>P</w:t>
      </w:r>
      <w:r w:rsidR="00575FEA" w:rsidRPr="00587123">
        <w:rPr>
          <w:rFonts w:cs="Times New Roman"/>
          <w:bCs/>
          <w:szCs w:val="24"/>
        </w:rPr>
        <w:t>lanie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8B58E3" w:rsidRPr="00587123">
        <w:rPr>
          <w:rFonts w:cs="Times New Roman"/>
          <w:bCs/>
          <w:szCs w:val="24"/>
        </w:rPr>
        <w:t>S</w:t>
      </w:r>
      <w:r w:rsidR="00575FEA" w:rsidRPr="00587123">
        <w:rPr>
          <w:rFonts w:cs="Times New Roman"/>
          <w:bCs/>
          <w:szCs w:val="24"/>
        </w:rPr>
        <w:t>trategicznym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="008B58E3" w:rsidRPr="00587123">
        <w:rPr>
          <w:rFonts w:cs="Times New Roman"/>
          <w:bCs/>
          <w:szCs w:val="24"/>
        </w:rPr>
        <w:t>W</w:t>
      </w:r>
      <w:r w:rsidR="00575FEA" w:rsidRPr="00587123">
        <w:rPr>
          <w:rFonts w:cs="Times New Roman"/>
          <w:bCs/>
          <w:szCs w:val="24"/>
        </w:rPr>
        <w:t>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8B58E3" w:rsidRPr="00587123">
        <w:rPr>
          <w:rFonts w:cs="Times New Roman"/>
          <w:bCs/>
          <w:szCs w:val="24"/>
        </w:rPr>
        <w:t>P</w:t>
      </w:r>
      <w:r w:rsidR="00575FEA" w:rsidRPr="00587123">
        <w:rPr>
          <w:rFonts w:cs="Times New Roman"/>
          <w:bCs/>
          <w:szCs w:val="24"/>
        </w:rPr>
        <w:t>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="008B58E3" w:rsidRPr="00587123">
        <w:rPr>
          <w:rFonts w:cs="Times New Roman"/>
          <w:bCs/>
          <w:szCs w:val="24"/>
        </w:rPr>
        <w:t>R</w:t>
      </w:r>
      <w:r w:rsidR="00575FEA" w:rsidRPr="00587123">
        <w:rPr>
          <w:rFonts w:cs="Times New Roman"/>
          <w:bCs/>
          <w:szCs w:val="24"/>
        </w:rPr>
        <w:t>olnej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lata</w:t>
      </w:r>
      <w:r w:rsidR="000C0D56" w:rsidRPr="00587123">
        <w:rPr>
          <w:rFonts w:cs="Times New Roman"/>
          <w:bCs/>
          <w:szCs w:val="24"/>
        </w:rPr>
        <w:t xml:space="preserve"> </w:t>
      </w:r>
      <w:r w:rsidR="00141710" w:rsidRPr="00587123">
        <w:rPr>
          <w:rFonts w:cs="Times New Roman"/>
          <w:bCs/>
          <w:szCs w:val="24"/>
        </w:rPr>
        <w:t>2023</w:t>
      </w:r>
      <w:r w:rsidR="0020410A" w:rsidRPr="00587123">
        <w:rPr>
          <w:rFonts w:cs="Times New Roman"/>
          <w:bCs/>
          <w:szCs w:val="24"/>
        </w:rPr>
        <w:t>–</w:t>
      </w:r>
      <w:r w:rsidR="00141710" w:rsidRPr="00587123">
        <w:rPr>
          <w:rFonts w:cs="Times New Roman"/>
          <w:bCs/>
          <w:szCs w:val="24"/>
        </w:rPr>
        <w:t>2027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(PS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WPR</w:t>
      </w:r>
      <w:r w:rsidR="000C0D56" w:rsidRPr="00587123">
        <w:rPr>
          <w:rFonts w:cs="Times New Roman"/>
          <w:bCs/>
          <w:szCs w:val="24"/>
        </w:rPr>
        <w:t xml:space="preserve"> </w:t>
      </w:r>
      <w:r w:rsidR="00575FEA" w:rsidRPr="00587123">
        <w:rPr>
          <w:rFonts w:cs="Times New Roman"/>
          <w:bCs/>
          <w:szCs w:val="24"/>
        </w:rPr>
        <w:t>2023</w:t>
      </w:r>
      <w:r w:rsidR="0020410A" w:rsidRPr="00587123">
        <w:rPr>
          <w:rFonts w:cs="Times New Roman"/>
          <w:bCs/>
          <w:szCs w:val="24"/>
        </w:rPr>
        <w:t>–</w:t>
      </w:r>
      <w:r w:rsidR="00575FEA" w:rsidRPr="00587123">
        <w:rPr>
          <w:rFonts w:cs="Times New Roman"/>
          <w:bCs/>
          <w:szCs w:val="24"/>
        </w:rPr>
        <w:t>2027)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wskazano,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zaoranie,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uprawianie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ponowne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obsianie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rodzajami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zielnymi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roślinami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pastewnymi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wpływu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zmianę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klasyfikacji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TUZ.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</w:t>
      </w:r>
      <w:r w:rsidR="0020410A" w:rsidRPr="00587123">
        <w:rPr>
          <w:rFonts w:cs="Times New Roman"/>
          <w:bCs/>
          <w:szCs w:val="24"/>
        </w:rPr>
        <w:t>UZ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tworzą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mieszanki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składające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różnych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gatunków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lub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różnych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gatunków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zielnych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roślin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pastewnych,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dlatego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doprecyzowanie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definicji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TUZ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uniknięcia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wątpliwości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interpretacyjnych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432EE0" w:rsidRPr="00587123">
        <w:rPr>
          <w:rFonts w:cs="Times New Roman"/>
          <w:bCs/>
          <w:szCs w:val="24"/>
        </w:rPr>
        <w:t>przez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wskazanie,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uprawy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siewie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czystym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grunt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będzie</w:t>
      </w:r>
      <w:r w:rsidR="000C0D56" w:rsidRPr="00587123">
        <w:rPr>
          <w:rFonts w:cs="Times New Roman"/>
          <w:bCs/>
          <w:szCs w:val="24"/>
        </w:rPr>
        <w:t xml:space="preserve"> </w:t>
      </w:r>
      <w:r w:rsidR="0020410A" w:rsidRPr="00587123">
        <w:rPr>
          <w:rFonts w:cs="Times New Roman"/>
          <w:bCs/>
          <w:szCs w:val="24"/>
        </w:rPr>
        <w:t>musiał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</w:t>
      </w:r>
      <w:r w:rsidR="0020410A" w:rsidRPr="00587123">
        <w:rPr>
          <w:rFonts w:cs="Times New Roman"/>
          <w:bCs/>
          <w:szCs w:val="24"/>
        </w:rPr>
        <w:t>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przekwalifikowany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TUZ.</w:t>
      </w:r>
    </w:p>
    <w:p w14:paraId="75DE2451" w14:textId="458381A3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eastAsiaTheme="minorHAnsi" w:cs="Times New Roman"/>
          <w:bCs/>
          <w:szCs w:val="24"/>
        </w:rPr>
        <w:t>Zmiana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zaproponowana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art.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1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pkt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3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projektu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ustawy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(art.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14a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ustawy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PS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WPR)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ma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na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celu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wykorzystanie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bazy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danych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zawierającej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wyniki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badań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agrochemicznych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  <w:lang w:eastAsia="en-US"/>
        </w:rPr>
        <w:t>gleb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przy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przeprowadzaniu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ewaluacji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="008B58E3" w:rsidRPr="00587123">
        <w:rPr>
          <w:rFonts w:eastAsiaTheme="minorHAnsi" w:cs="Times New Roman"/>
          <w:bCs/>
          <w:szCs w:val="24"/>
        </w:rPr>
        <w:t>PS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WPR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2023</w:t>
      </w:r>
      <w:r w:rsidR="0020410A" w:rsidRPr="00587123">
        <w:rPr>
          <w:rFonts w:cs="Times New Roman"/>
          <w:bCs/>
          <w:szCs w:val="24"/>
        </w:rPr>
        <w:t>–</w:t>
      </w:r>
      <w:r w:rsidRPr="00587123">
        <w:rPr>
          <w:rFonts w:eastAsiaTheme="minorHAnsi" w:cs="Times New Roman"/>
          <w:bCs/>
          <w:szCs w:val="24"/>
        </w:rPr>
        <w:t>2027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okresie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wdrażania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i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ex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eastAsiaTheme="minorHAnsi" w:cs="Times New Roman"/>
          <w:bCs/>
          <w:szCs w:val="24"/>
        </w:rPr>
        <w:t>post.</w:t>
      </w:r>
      <w:r w:rsidR="000C0D56" w:rsidRPr="00587123">
        <w:rPr>
          <w:rFonts w:eastAsiaTheme="minorHAnsi"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badań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agrochemicznych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gleb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wykorzystywane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rozszerzonego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monitoringu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gleb,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celem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monitorowanie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ewaluacja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interwencji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prowadzonych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Wspólnej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Polityki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Rolnej.</w:t>
      </w:r>
    </w:p>
    <w:p w14:paraId="662424BF" w14:textId="43567F57" w:rsidR="00F246E6" w:rsidRPr="00587123" w:rsidRDefault="00F246E6" w:rsidP="00AE3A9C">
      <w:pPr>
        <w:widowControl/>
        <w:suppressAutoHyphens/>
        <w:jc w:val="both"/>
        <w:rPr>
          <w:rFonts w:cs="Times New Roman"/>
          <w:szCs w:val="24"/>
        </w:rPr>
      </w:pPr>
      <w:r w:rsidRPr="00587123">
        <w:rPr>
          <w:rFonts w:eastAsiaTheme="minorHAnsi" w:cs="Times New Roman"/>
          <w:szCs w:val="24"/>
        </w:rPr>
        <w:t>Do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przeprowadzenia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takiej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ewaluacji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państwa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członkowskie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="0020410A" w:rsidRPr="00587123">
        <w:rPr>
          <w:rFonts w:eastAsiaTheme="minorHAnsi" w:cs="Times New Roman"/>
          <w:szCs w:val="24"/>
        </w:rPr>
        <w:t>są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zobowiązane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zgodnie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z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art.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140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ust.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1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="0001594A" w:rsidRPr="00587123">
        <w:rPr>
          <w:rFonts w:eastAsiaTheme="minorHAnsi" w:cs="Times New Roman"/>
          <w:szCs w:val="24"/>
        </w:rPr>
        <w:t>zdanie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="0001594A" w:rsidRPr="00587123">
        <w:rPr>
          <w:rFonts w:eastAsiaTheme="minorHAnsi" w:cs="Times New Roman"/>
          <w:szCs w:val="24"/>
        </w:rPr>
        <w:t>pierwsze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rozporządzenia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Theme="minorHAnsi" w:cs="Times New Roman"/>
          <w:szCs w:val="24"/>
        </w:rPr>
        <w:t>2021/2115.</w:t>
      </w:r>
      <w:r w:rsidR="000C0D56" w:rsidRPr="00587123">
        <w:rPr>
          <w:rFonts w:eastAsiaTheme="minorHAnsi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Państwa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członkowskie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zapewniają,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aby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istniały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procedury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generowania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i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gromadzenia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danych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niezbędnych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do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przeprowadzenia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ewaluacji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(art.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140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ust.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3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rozporządzenia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eastAsia="Times New Roman" w:cs="Times New Roman"/>
          <w:szCs w:val="24"/>
          <w:lang w:eastAsia="en-US"/>
        </w:rPr>
        <w:t>2021/2115).</w:t>
      </w:r>
      <w:r w:rsidR="000C0D56" w:rsidRPr="00587123">
        <w:rPr>
          <w:rFonts w:eastAsia="Times New Roman" w:cs="Times New Roman"/>
          <w:szCs w:val="24"/>
          <w:lang w:eastAsia="en-US"/>
        </w:rPr>
        <w:t xml:space="preserve"> </w:t>
      </w:r>
      <w:r w:rsidRPr="00587123">
        <w:rPr>
          <w:rFonts w:cs="Times New Roman"/>
          <w:szCs w:val="24"/>
        </w:rPr>
        <w:t>Baza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danych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jest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prowadzona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przez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Krajową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Stację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Chemiczno-Rolniczą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oraz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podlegające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jej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okręgowe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stacje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chemiczno-rolnicze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podstawie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przepisów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art.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5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ust.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6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ustawy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dnia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20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lutego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2015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wspieraniu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rozwoju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obszarów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wiejskich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udziałem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środków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Europejskiego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Funduszu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Rolnego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rzecz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Rozwoju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Obszarów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Wiejskich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ramach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Programu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Rozwoju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Obszarów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Wiejskich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lata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2014–2020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(Dz.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2023</w:t>
      </w:r>
      <w:r w:rsidR="000C0D56" w:rsidRPr="00587123">
        <w:rPr>
          <w:rFonts w:cs="Times New Roman"/>
          <w:szCs w:val="24"/>
        </w:rPr>
        <w:t xml:space="preserve"> </w:t>
      </w:r>
      <w:r w:rsidR="00143E5B" w:rsidRPr="00587123">
        <w:rPr>
          <w:rFonts w:cs="Times New Roman"/>
          <w:szCs w:val="24"/>
        </w:rPr>
        <w:t>r.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poz.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2298</w:t>
      </w:r>
      <w:r w:rsidR="00FF184D" w:rsidRPr="00587123">
        <w:rPr>
          <w:rFonts w:cs="Times New Roman"/>
          <w:szCs w:val="24"/>
        </w:rPr>
        <w:t>)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potrzeby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ewaluacji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</w:t>
      </w:r>
      <w:r w:rsidR="00C21C6B" w:rsidRPr="00587123">
        <w:rPr>
          <w:rFonts w:cs="Times New Roman"/>
          <w:szCs w:val="24"/>
        </w:rPr>
        <w:t>rogramu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</w:t>
      </w:r>
      <w:r w:rsidR="00C21C6B" w:rsidRPr="00587123">
        <w:rPr>
          <w:rFonts w:cs="Times New Roman"/>
          <w:szCs w:val="24"/>
        </w:rPr>
        <w:t>ozwoju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</w:t>
      </w:r>
      <w:r w:rsidR="00C21C6B" w:rsidRPr="00587123">
        <w:rPr>
          <w:rFonts w:cs="Times New Roman"/>
          <w:szCs w:val="24"/>
        </w:rPr>
        <w:t>bszarów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</w:t>
      </w:r>
      <w:r w:rsidR="00C21C6B" w:rsidRPr="00587123">
        <w:rPr>
          <w:rFonts w:cs="Times New Roman"/>
          <w:szCs w:val="24"/>
        </w:rPr>
        <w:t>iejskich</w:t>
      </w:r>
      <w:r w:rsidR="000C0D56" w:rsidRPr="00587123">
        <w:rPr>
          <w:rFonts w:cs="Times New Roman"/>
          <w:szCs w:val="24"/>
        </w:rPr>
        <w:t xml:space="preserve"> </w:t>
      </w:r>
      <w:r w:rsidR="00C21C6B"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="00C21C6B" w:rsidRPr="00587123">
        <w:rPr>
          <w:rFonts w:cs="Times New Roman"/>
          <w:szCs w:val="24"/>
        </w:rPr>
        <w:t>lata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2014–2020.</w:t>
      </w:r>
      <w:r w:rsidR="000C0D56" w:rsidRPr="00587123">
        <w:rPr>
          <w:rFonts w:cs="Times New Roman"/>
          <w:szCs w:val="24"/>
        </w:rPr>
        <w:t xml:space="preserve"> </w:t>
      </w:r>
    </w:p>
    <w:p w14:paraId="13A28DD4" w14:textId="5E634D25" w:rsidR="00F246E6" w:rsidRPr="00587123" w:rsidRDefault="00F246E6" w:rsidP="00AE3A9C">
      <w:pPr>
        <w:jc w:val="both"/>
        <w:rPr>
          <w:rFonts w:cs="Times New Roman"/>
          <w:szCs w:val="24"/>
        </w:rPr>
      </w:pPr>
      <w:r w:rsidRPr="00587123">
        <w:rPr>
          <w:rFonts w:cs="Times New Roman"/>
          <w:szCs w:val="24"/>
          <w:bdr w:val="nil"/>
          <w:lang w:eastAsia="en-US"/>
        </w:rPr>
        <w:t>Zmiany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zaproponowane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1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lit.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oraz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6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projektu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odnoszą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się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płatności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biologicznej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ochrony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upraw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lang w:eastAsia="en-US"/>
        </w:rPr>
        <w:t>(płatność</w:t>
      </w:r>
      <w:r w:rsidR="000C0D56" w:rsidRPr="00587123">
        <w:rPr>
          <w:rFonts w:cs="Times New Roman"/>
          <w:szCs w:val="24"/>
          <w:lang w:eastAsia="en-US"/>
        </w:rPr>
        <w:t xml:space="preserve"> </w:t>
      </w:r>
      <w:r w:rsidRPr="00587123">
        <w:rPr>
          <w:rFonts w:cs="Times New Roman"/>
          <w:szCs w:val="24"/>
          <w:lang w:eastAsia="en-US"/>
        </w:rPr>
        <w:t>w</w:t>
      </w:r>
      <w:r w:rsidR="000C0D56" w:rsidRPr="00587123">
        <w:rPr>
          <w:rFonts w:cs="Times New Roman"/>
          <w:szCs w:val="24"/>
          <w:lang w:eastAsia="en-US"/>
        </w:rPr>
        <w:t xml:space="preserve"> </w:t>
      </w:r>
      <w:r w:rsidRPr="00587123">
        <w:rPr>
          <w:rFonts w:cs="Times New Roman"/>
          <w:szCs w:val="24"/>
          <w:lang w:eastAsia="en-US"/>
        </w:rPr>
        <w:t>ramach</w:t>
      </w:r>
      <w:r w:rsidR="000C0D56" w:rsidRPr="00587123">
        <w:rPr>
          <w:rFonts w:cs="Times New Roman"/>
          <w:szCs w:val="24"/>
          <w:lang w:eastAsia="en-US"/>
        </w:rPr>
        <w:t xml:space="preserve"> </w:t>
      </w:r>
      <w:r w:rsidRPr="00587123">
        <w:rPr>
          <w:rFonts w:cs="Times New Roman"/>
          <w:szCs w:val="24"/>
          <w:lang w:eastAsia="en-US"/>
        </w:rPr>
        <w:t>ekoschematów)</w:t>
      </w:r>
      <w:r w:rsidRPr="00587123">
        <w:rPr>
          <w:rFonts w:cs="Times New Roman"/>
          <w:szCs w:val="24"/>
          <w:bdr w:val="nil"/>
          <w:lang w:eastAsia="en-US"/>
        </w:rPr>
        <w:t>,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uregulowanej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30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oraz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34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WPR.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projekcie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</w:rPr>
        <w:t>zaproponowano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zmianę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nazwy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tej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płatności</w:t>
      </w:r>
      <w:r w:rsidR="00CB0ED2" w:rsidRPr="00587123">
        <w:rPr>
          <w:rFonts w:cs="Times New Roman"/>
          <w:szCs w:val="24"/>
        </w:rPr>
        <w:t>,</w:t>
      </w:r>
      <w:r w:rsidR="000C0D56" w:rsidRPr="00587123">
        <w:rPr>
          <w:rFonts w:cs="Times New Roman"/>
          <w:szCs w:val="24"/>
        </w:rPr>
        <w:t xml:space="preserve"> </w:t>
      </w:r>
      <w:r w:rsidR="00916AD9" w:rsidRPr="00587123">
        <w:rPr>
          <w:rFonts w:cs="Times New Roman"/>
          <w:szCs w:val="24"/>
        </w:rPr>
        <w:t>tj.</w:t>
      </w:r>
      <w:r w:rsidR="000C0D56" w:rsidRPr="00587123">
        <w:rPr>
          <w:rFonts w:cs="Times New Roman"/>
          <w:szCs w:val="24"/>
        </w:rPr>
        <w:t xml:space="preserve"> </w:t>
      </w:r>
      <w:r w:rsidR="00CB0ED2" w:rsidRPr="00587123">
        <w:rPr>
          <w:rFonts w:cs="Times New Roman"/>
          <w:szCs w:val="24"/>
        </w:rPr>
        <w:t>wyrazy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„biologiczna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ochrona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upraw”</w:t>
      </w:r>
      <w:r w:rsidR="000C0D56" w:rsidRPr="00587123">
        <w:rPr>
          <w:rFonts w:cs="Times New Roman"/>
          <w:szCs w:val="24"/>
        </w:rPr>
        <w:t xml:space="preserve"> </w:t>
      </w:r>
      <w:r w:rsidR="00CB0ED2" w:rsidRPr="00587123">
        <w:rPr>
          <w:rFonts w:cs="Times New Roman"/>
          <w:szCs w:val="24"/>
        </w:rPr>
        <w:t>zastąpiono</w:t>
      </w:r>
      <w:r w:rsidR="000C0D56" w:rsidRPr="00587123">
        <w:rPr>
          <w:rFonts w:cs="Times New Roman"/>
          <w:szCs w:val="24"/>
        </w:rPr>
        <w:t xml:space="preserve"> </w:t>
      </w:r>
      <w:r w:rsidR="00CB0ED2" w:rsidRPr="00587123">
        <w:rPr>
          <w:rFonts w:cs="Times New Roman"/>
          <w:szCs w:val="24"/>
        </w:rPr>
        <w:t>wyrazami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„biologiczna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uprawa”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(zm</w:t>
      </w:r>
      <w:r w:rsidR="004E369A" w:rsidRPr="00587123">
        <w:rPr>
          <w:rFonts w:cs="Times New Roman"/>
          <w:szCs w:val="24"/>
        </w:rPr>
        <w:t>iana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brzmienia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pkt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4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art.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30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WPR)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oraz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zasad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przyznawania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tej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płatności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</w:rPr>
        <w:t>(zm</w:t>
      </w:r>
      <w:r w:rsidR="004E369A" w:rsidRPr="00587123">
        <w:rPr>
          <w:rFonts w:cs="Times New Roman"/>
          <w:szCs w:val="24"/>
        </w:rPr>
        <w:t>iana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brzmienia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art.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34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WPR)</w:t>
      </w:r>
      <w:r w:rsidRPr="00587123">
        <w:rPr>
          <w:rFonts w:cs="Times New Roman"/>
          <w:szCs w:val="24"/>
        </w:rPr>
        <w:t>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Dotychczas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płatności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w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ramach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tego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ekoschematu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dotyczyły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jedynie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biologicznej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ochrony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upraw.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1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6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</w:rPr>
        <w:t>projektu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ustawy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(art.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34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WPR)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eastAsia="Times New Roman" w:cs="Times New Roman"/>
          <w:szCs w:val="24"/>
        </w:rPr>
        <w:t>zaproponowano</w:t>
      </w:r>
      <w:r w:rsidR="000C0D56" w:rsidRPr="00587123">
        <w:rPr>
          <w:rFonts w:eastAsia="Times New Roman" w:cs="Times New Roman"/>
          <w:szCs w:val="24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rozszerzenie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zakresu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dotychczasowego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wsparcia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przez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umożliwienie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rolnikom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otrzymania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wsparcia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stosowanie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nawozowych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produktów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mikrobiologicznych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celu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poprawy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aktywności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biologicznej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gleby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oraz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stymulacji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procesu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odżywiania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roślin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(przez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dodanie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ust.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3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34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WPR)</w:t>
      </w:r>
      <w:r w:rsidRPr="00587123">
        <w:rPr>
          <w:rFonts w:cs="Times New Roman"/>
          <w:szCs w:val="24"/>
          <w:bdr w:val="nil"/>
          <w:lang w:eastAsia="en-US"/>
        </w:rPr>
        <w:t>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Zgodnie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projektowanymi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lastRenderedPageBreak/>
        <w:t>przepisami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4E369A" w:rsidRPr="00587123">
        <w:rPr>
          <w:rFonts w:cs="Times New Roman"/>
          <w:szCs w:val="24"/>
          <w:bdr w:val="nil"/>
          <w:lang w:eastAsia="en-US"/>
        </w:rPr>
        <w:t>te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płatności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będą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przyznawane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powierzchni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gruntów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określonych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przepisach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wydanych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na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podstawie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art.</w:t>
      </w:r>
      <w:r w:rsidR="00971D86">
        <w:rPr>
          <w:rFonts w:cs="Times New Roman"/>
          <w:szCs w:val="24"/>
          <w:bdr w:val="nil"/>
          <w:lang w:eastAsia="en-US"/>
        </w:rPr>
        <w:t> </w:t>
      </w:r>
      <w:r w:rsidR="00B35071" w:rsidRPr="00587123">
        <w:rPr>
          <w:rFonts w:cs="Times New Roman"/>
          <w:szCs w:val="24"/>
          <w:bdr w:val="nil"/>
          <w:lang w:eastAsia="en-US"/>
        </w:rPr>
        <w:t>70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ust.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1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B35071" w:rsidRPr="00587123">
        <w:rPr>
          <w:rFonts w:cs="Times New Roman"/>
          <w:szCs w:val="24"/>
          <w:bdr w:val="nil"/>
          <w:lang w:eastAsia="en-US"/>
        </w:rPr>
        <w:t>WPR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położonych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na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obszarze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zatwierdzonym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podstawowego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wsparcia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dochodów,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posiadanych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przez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rolnika,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na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których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zastosował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naw</w:t>
      </w:r>
      <w:r w:rsidR="00916AD9" w:rsidRPr="00587123">
        <w:rPr>
          <w:rFonts w:cs="Times New Roman"/>
          <w:szCs w:val="24"/>
          <w:bdr w:val="nil"/>
          <w:lang w:eastAsia="en-US"/>
        </w:rPr>
        <w:t>ozowy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produkt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mikrobiologiczny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rozumieniu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2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10a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dnia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10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lipca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2007</w:t>
      </w:r>
      <w:r w:rsidR="00971D86">
        <w:rPr>
          <w:rFonts w:cs="Times New Roman"/>
          <w:szCs w:val="24"/>
          <w:bdr w:val="nil"/>
          <w:lang w:eastAsia="en-US"/>
        </w:rPr>
        <w:t> </w:t>
      </w:r>
      <w:r w:rsidRPr="00587123">
        <w:rPr>
          <w:rFonts w:cs="Times New Roman"/>
          <w:szCs w:val="24"/>
          <w:bdr w:val="nil"/>
          <w:lang w:eastAsia="en-US"/>
        </w:rPr>
        <w:t>r.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na</w:t>
      </w:r>
      <w:r w:rsidR="00916AD9" w:rsidRPr="00587123">
        <w:rPr>
          <w:rFonts w:cs="Times New Roman"/>
          <w:szCs w:val="24"/>
          <w:bdr w:val="nil"/>
          <w:lang w:eastAsia="en-US"/>
        </w:rPr>
        <w:t>wozach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i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nawożeniu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(Dz.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916AD9" w:rsidRPr="00587123">
        <w:rPr>
          <w:rFonts w:cs="Times New Roman"/>
          <w:szCs w:val="24"/>
          <w:bdr w:val="nil"/>
          <w:lang w:eastAsia="en-US"/>
        </w:rPr>
        <w:t>U.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A7661C" w:rsidRPr="00587123">
        <w:rPr>
          <w:rFonts w:cs="Times New Roman"/>
          <w:szCs w:val="24"/>
          <w:bdr w:val="nil"/>
          <w:lang w:eastAsia="en-US"/>
        </w:rPr>
        <w:t>z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A7661C" w:rsidRPr="00587123">
        <w:rPr>
          <w:rFonts w:cs="Times New Roman"/>
          <w:szCs w:val="24"/>
          <w:bdr w:val="nil"/>
          <w:lang w:eastAsia="en-US"/>
        </w:rPr>
        <w:t>2024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A7661C" w:rsidRPr="00587123">
        <w:rPr>
          <w:rFonts w:cs="Times New Roman"/>
          <w:szCs w:val="24"/>
          <w:bdr w:val="nil"/>
          <w:lang w:eastAsia="en-US"/>
        </w:rPr>
        <w:t>r.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A7661C" w:rsidRPr="00587123">
        <w:rPr>
          <w:rFonts w:cs="Times New Roman"/>
          <w:szCs w:val="24"/>
          <w:bdr w:val="nil"/>
          <w:lang w:eastAsia="en-US"/>
        </w:rPr>
        <w:t>poz.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105)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ujęty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wykazie,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o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którym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mowa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25a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="00AE20DA" w:rsidRPr="00587123">
        <w:rPr>
          <w:rFonts w:cs="Times New Roman"/>
          <w:szCs w:val="24"/>
          <w:bdr w:val="nil"/>
          <w:lang w:eastAsia="en-US"/>
        </w:rPr>
        <w:t>ust.1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tej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szCs w:val="24"/>
          <w:bdr w:val="nil"/>
          <w:lang w:eastAsia="en-US"/>
        </w:rPr>
        <w:t>ustawy.</w:t>
      </w:r>
      <w:r w:rsidR="000C0D56" w:rsidRPr="00587123">
        <w:rPr>
          <w:rFonts w:cs="Times New Roman"/>
          <w:szCs w:val="24"/>
          <w:bdr w:val="nil"/>
          <w:lang w:eastAsia="en-US"/>
        </w:rPr>
        <w:t xml:space="preserve"> </w:t>
      </w:r>
    </w:p>
    <w:p w14:paraId="5E27BAB5" w14:textId="2971ED00" w:rsidR="00C91018" w:rsidRPr="00587123" w:rsidRDefault="00CB5D99" w:rsidP="00AE3A9C">
      <w:pPr>
        <w:widowControl/>
        <w:suppressAutoHyphens/>
        <w:jc w:val="both"/>
        <w:rPr>
          <w:rFonts w:cs="Times New Roman"/>
          <w:bCs/>
          <w:szCs w:val="24"/>
          <w:lang w:eastAsia="en-US"/>
        </w:rPr>
      </w:pPr>
      <w:r w:rsidRPr="00587123">
        <w:rPr>
          <w:rFonts w:cs="Times New Roman"/>
          <w:bCs/>
          <w:szCs w:val="24"/>
          <w:lang w:eastAsia="en-US"/>
        </w:rPr>
        <w:t>Zmiany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przepisów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ustawy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PS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WPR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zawarte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projektowanych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przepisach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art.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1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pkt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4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lit.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b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CB0ED2" w:rsidRPr="00587123">
        <w:rPr>
          <w:rFonts w:cs="Times New Roman"/>
          <w:bCs/>
          <w:szCs w:val="24"/>
          <w:lang w:eastAsia="en-US"/>
        </w:rPr>
        <w:t>oraz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CB0ED2" w:rsidRPr="00587123">
        <w:rPr>
          <w:rFonts w:cs="Times New Roman"/>
          <w:bCs/>
          <w:szCs w:val="24"/>
          <w:lang w:eastAsia="en-US"/>
        </w:rPr>
        <w:t>art.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CB0ED2" w:rsidRPr="00587123">
        <w:rPr>
          <w:rFonts w:cs="Times New Roman"/>
          <w:bCs/>
          <w:szCs w:val="24"/>
          <w:lang w:eastAsia="en-US"/>
        </w:rPr>
        <w:t>1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pkt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7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8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pkt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12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lit.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  <w:lang w:eastAsia="en-US"/>
        </w:rPr>
        <w:t>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mają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celu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uregulowanie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nowej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formy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wsparcia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(w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ramach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ekoschematów),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tj.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płatności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materiał</w:t>
      </w:r>
      <w:r w:rsidR="00C21C6B" w:rsidRPr="00587123">
        <w:rPr>
          <w:rFonts w:cs="Times New Roman"/>
          <w:bCs/>
          <w:szCs w:val="24"/>
          <w:lang w:eastAsia="en-US"/>
        </w:rPr>
        <w:t>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siewnego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kategorii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elitarny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lub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materiał</w:t>
      </w:r>
      <w:r w:rsidR="00C21C6B" w:rsidRPr="00587123">
        <w:rPr>
          <w:rFonts w:cs="Times New Roman"/>
          <w:bCs/>
          <w:szCs w:val="24"/>
          <w:lang w:eastAsia="en-US"/>
        </w:rPr>
        <w:t>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siewn</w:t>
      </w:r>
      <w:r w:rsidR="00C21C6B" w:rsidRPr="00587123">
        <w:rPr>
          <w:rFonts w:cs="Times New Roman"/>
          <w:bCs/>
          <w:szCs w:val="24"/>
          <w:lang w:eastAsia="en-US"/>
        </w:rPr>
        <w:t>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kategorii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kwalifikowany.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Rolnik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będzie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mógł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dobrowoln</w:t>
      </w:r>
      <w:r w:rsidR="00936D48" w:rsidRPr="00587123">
        <w:rPr>
          <w:rFonts w:cs="Times New Roman"/>
          <w:bCs/>
          <w:szCs w:val="24"/>
          <w:lang w:eastAsia="en-US"/>
        </w:rPr>
        <w:t>i</w:t>
      </w:r>
      <w:r w:rsidR="00F246E6" w:rsidRPr="00587123">
        <w:rPr>
          <w:rFonts w:cs="Times New Roman"/>
          <w:bCs/>
          <w:szCs w:val="24"/>
          <w:lang w:eastAsia="en-US"/>
        </w:rPr>
        <w:t>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podjąć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zobowiązanie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polegające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stosowaniu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gruntach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ornych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siewu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lub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sadzenia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materiału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kategorii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elitarny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lub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materiału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siewnego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lang w:eastAsia="en-US"/>
        </w:rPr>
        <w:t>kategorii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kwalifikowany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takich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gatunków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roślin</w:t>
      </w:r>
      <w:r w:rsidR="00295B6F" w:rsidRPr="00587123">
        <w:rPr>
          <w:rFonts w:cs="Times New Roman"/>
          <w:bCs/>
          <w:szCs w:val="24"/>
          <w:lang w:eastAsia="en-US"/>
        </w:rPr>
        <w:t>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jak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przypadku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dopłat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udzielanych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ramach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pomocy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de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minimis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rolnictwie,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tj.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zbóż,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roślin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strączkowych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oraz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D404F1" w:rsidRPr="00587123">
        <w:rPr>
          <w:rFonts w:cs="Times New Roman"/>
          <w:bCs/>
          <w:szCs w:val="24"/>
          <w:lang w:eastAsia="en-US"/>
        </w:rPr>
        <w:t>ziemniaków</w:t>
      </w:r>
      <w:r w:rsidR="00F246E6" w:rsidRPr="00587123">
        <w:rPr>
          <w:rFonts w:cs="Times New Roman"/>
          <w:bCs/>
          <w:szCs w:val="24"/>
          <w:lang w:eastAsia="en-US"/>
        </w:rPr>
        <w:t>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Jest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to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przyjazna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dla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środowiska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metoda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ograniczająca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stosowanie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nawożenia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mineralnego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oraz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środków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ochrony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roślin.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Stosowanie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zdrowego,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dobrej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jakości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kwalifikowanego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materiału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siewnego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gwarantuje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wysoką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wartość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siewną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nasion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pozytywnie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wpływa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ograniczenie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stosowania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chemicznych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środków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ochrony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roślin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trakcie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ich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uprawy.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Efektem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tych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działań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jest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dostarczanie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bezpiecznej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żyw</w:t>
      </w:r>
      <w:r w:rsidR="00936D48" w:rsidRPr="00587123">
        <w:rPr>
          <w:rFonts w:cs="Times New Roman"/>
          <w:bCs/>
          <w:szCs w:val="24"/>
          <w:lang w:eastAsia="en-US"/>
        </w:rPr>
        <w:t>n</w:t>
      </w:r>
      <w:r w:rsidR="00F246E6" w:rsidRPr="00587123">
        <w:rPr>
          <w:rFonts w:cs="Times New Roman"/>
          <w:bCs/>
          <w:szCs w:val="24"/>
          <w:lang w:eastAsia="en-US"/>
        </w:rPr>
        <w:t>ości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wysokiej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jakości,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przy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jednoczesnym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zapewnieniu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jak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największej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ochrony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="00F246E6" w:rsidRPr="00587123">
        <w:rPr>
          <w:rFonts w:cs="Times New Roman"/>
          <w:bCs/>
          <w:szCs w:val="24"/>
          <w:lang w:eastAsia="en-US"/>
        </w:rPr>
        <w:t>środowiska.</w:t>
      </w:r>
    </w:p>
    <w:p w14:paraId="3532908A" w14:textId="22935CB6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  <w:bdr w:val="nil"/>
          <w:lang w:eastAsia="en-US"/>
        </w:rPr>
      </w:pPr>
      <w:r w:rsidRPr="00587123">
        <w:rPr>
          <w:rFonts w:cs="Times New Roman"/>
          <w:bCs/>
          <w:szCs w:val="24"/>
          <w:bdr w:val="nil"/>
          <w:lang w:eastAsia="en-US"/>
        </w:rPr>
        <w:t>Odnosząc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się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do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zmian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projektowanych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1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pkt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5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projektu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(art.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33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WPR),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to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należy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wyjaśnić,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że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dotyczą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one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zmiany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przepisów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regulujących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zasady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przyznawania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integrowanej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produkcji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roślin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ramach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ekoschematów).</w:t>
      </w:r>
      <w:r w:rsidR="000C0D56" w:rsidRPr="00587123">
        <w:rPr>
          <w:rFonts w:cs="Times New Roman"/>
          <w:bCs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Dotychczas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ramach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tego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ekoschematu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obowiązywała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jedna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stawka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płatności.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Mając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na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uwadze,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że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koszty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ponoszone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przez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rolników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są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różne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zależności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od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grupy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uprawy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(uprawy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sadownicze,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uprawy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warzywne</w:t>
      </w:r>
      <w:r w:rsidR="000C0D56" w:rsidRPr="00587123">
        <w:rPr>
          <w:rFonts w:cs="Times New Roman"/>
          <w:szCs w:val="24"/>
        </w:rPr>
        <w:t xml:space="preserve"> </w:t>
      </w:r>
      <w:r w:rsidR="004E369A" w:rsidRPr="00587123">
        <w:rPr>
          <w:rFonts w:cs="Times New Roman"/>
          <w:szCs w:val="24"/>
        </w:rPr>
        <w:t>czy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uprawy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jagodowe)</w:t>
      </w:r>
      <w:r w:rsidR="00971D86">
        <w:rPr>
          <w:rFonts w:cs="Times New Roman"/>
          <w:szCs w:val="24"/>
        </w:rPr>
        <w:t>,</w:t>
      </w:r>
      <w:r w:rsidR="000C0D56" w:rsidRPr="00587123">
        <w:rPr>
          <w:rFonts w:cs="Times New Roman"/>
          <w:szCs w:val="24"/>
        </w:rPr>
        <w:t xml:space="preserve"> </w:t>
      </w:r>
      <w:r w:rsidR="004E369A" w:rsidRPr="00587123">
        <w:rPr>
          <w:rFonts w:cs="Times New Roman"/>
          <w:szCs w:val="24"/>
        </w:rPr>
        <w:t>jest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zasadne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odzwierciedlenie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tych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różnic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wysokości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stawek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płatności.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Podobne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zróżnicowanie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stawek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występuje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płatnościach</w:t>
      </w:r>
      <w:r w:rsidR="000C0D56" w:rsidRPr="00587123">
        <w:rPr>
          <w:rFonts w:cs="Times New Roman"/>
          <w:szCs w:val="24"/>
        </w:rPr>
        <w:t xml:space="preserve"> </w:t>
      </w:r>
      <w:r w:rsidR="0047146B" w:rsidRPr="00587123">
        <w:rPr>
          <w:rFonts w:cs="Times New Roman"/>
          <w:szCs w:val="24"/>
        </w:rPr>
        <w:t>ekologicznych.</w:t>
      </w:r>
      <w:r w:rsidR="000C0D56" w:rsidRPr="00587123">
        <w:rPr>
          <w:rFonts w:cs="Times New Roman"/>
          <w:bCs/>
          <w:szCs w:val="24"/>
          <w:lang w:eastAsia="en-US"/>
        </w:rPr>
        <w:t xml:space="preserve"> </w:t>
      </w:r>
      <w:r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samym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płatności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będą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stanowiły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rekompensatę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dodatkowych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kosztów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utraconych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dochodów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prowadzenia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upraw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zgodnie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metodykami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integrowanej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produkcji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roślin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będą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realizowane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odniesieniu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TUZ,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dla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których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opracowanych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metodyk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integrowanej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produkcji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roślin.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Mając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uwadze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powyższe</w:t>
      </w:r>
      <w:r w:rsidR="004E369A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zasadn</w:t>
      </w:r>
      <w:r w:rsidR="004E369A" w:rsidRPr="00587123">
        <w:rPr>
          <w:rFonts w:cs="Times New Roman"/>
          <w:bCs/>
          <w:szCs w:val="24"/>
        </w:rPr>
        <w:t>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nadanie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nowego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brzmienia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przepisom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33,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szczególności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uchylenie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pkt</w:t>
      </w:r>
      <w:r w:rsidR="002E52BF">
        <w:rPr>
          <w:rFonts w:cs="Times New Roman"/>
          <w:bCs/>
          <w:szCs w:val="24"/>
          <w:bdr w:val="nil"/>
          <w:lang w:eastAsia="en-US"/>
        </w:rPr>
        <w:t> </w:t>
      </w:r>
      <w:r w:rsidRPr="00587123">
        <w:rPr>
          <w:rFonts w:cs="Times New Roman"/>
          <w:bCs/>
          <w:szCs w:val="24"/>
          <w:bdr w:val="nil"/>
          <w:lang w:eastAsia="en-US"/>
        </w:rPr>
        <w:t>2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="004E369A" w:rsidRPr="00587123">
        <w:rPr>
          <w:rFonts w:cs="Times New Roman"/>
          <w:bCs/>
          <w:szCs w:val="24"/>
          <w:bdr w:val="nil"/>
          <w:lang w:eastAsia="en-US"/>
        </w:rPr>
        <w:t>w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art.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33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ustawy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PS</w:t>
      </w:r>
      <w:r w:rsidR="000C0D56" w:rsidRPr="00587123">
        <w:rPr>
          <w:rFonts w:cs="Times New Roman"/>
          <w:bCs/>
          <w:szCs w:val="24"/>
          <w:bdr w:val="nil"/>
          <w:lang w:eastAsia="en-US"/>
        </w:rPr>
        <w:t xml:space="preserve"> </w:t>
      </w:r>
      <w:r w:rsidRPr="00587123">
        <w:rPr>
          <w:rFonts w:cs="Times New Roman"/>
          <w:bCs/>
          <w:szCs w:val="24"/>
          <w:bdr w:val="nil"/>
          <w:lang w:eastAsia="en-US"/>
        </w:rPr>
        <w:t>WPR.</w:t>
      </w:r>
    </w:p>
    <w:p w14:paraId="6FDFCF5A" w14:textId="476194CE" w:rsidR="00F246E6" w:rsidRPr="00587123" w:rsidRDefault="00F246E6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bCs/>
          <w:szCs w:val="24"/>
        </w:rPr>
        <w:t>Zmiana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zaproponowana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lit.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projektu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7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WPR)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uregulowanie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możliwości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odzyskania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0ED2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0ED2" w:rsidRPr="00587123">
        <w:rPr>
          <w:rFonts w:cs="Times New Roman"/>
          <w:bCs/>
          <w:szCs w:val="24"/>
        </w:rPr>
        <w:t>tym</w:t>
      </w:r>
      <w:r w:rsidR="000C0D56" w:rsidRPr="00587123">
        <w:rPr>
          <w:rFonts w:cs="Times New Roman"/>
          <w:bCs/>
          <w:szCs w:val="24"/>
        </w:rPr>
        <w:t xml:space="preserve"> </w:t>
      </w:r>
      <w:r w:rsidR="00CB0ED2"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="00CB0ED2" w:rsidRPr="00587123">
        <w:rPr>
          <w:rFonts w:cs="Times New Roman"/>
          <w:bCs/>
          <w:szCs w:val="24"/>
        </w:rPr>
        <w:t>administracyjnej,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lastRenderedPageBreak/>
        <w:t>przypadku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gdy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decyzja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została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już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wydana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środki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zostały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wypłacone.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Brak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również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podstaw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zastosowania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trybów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nadzwyczajnych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celu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wzruszenia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podjętego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rozstrzygnięcia.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obowiązujących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wynika,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że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karę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nakłada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decyzji</w:t>
      </w:r>
      <w:r w:rsidR="000C0D56" w:rsidRPr="00587123">
        <w:rPr>
          <w:rFonts w:cs="Times New Roman"/>
          <w:bCs/>
          <w:szCs w:val="24"/>
        </w:rPr>
        <w:t xml:space="preserve"> </w:t>
      </w:r>
      <w:r w:rsidR="00EA4CD3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sprawie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tytułu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nałożenia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tej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pomniejsza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wysokość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przyznanej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pomocy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(art.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51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PS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WPR).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Proponuje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się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zatem,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aby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B827C6" w:rsidRPr="00587123">
        <w:rPr>
          <w:rFonts w:cs="Times New Roman"/>
          <w:bCs/>
          <w:szCs w:val="24"/>
        </w:rPr>
        <w:t>sytuacji,</w:t>
      </w:r>
      <w:r w:rsidR="000C0D56" w:rsidRPr="00587123">
        <w:rPr>
          <w:rFonts w:cs="Times New Roman"/>
          <w:bCs/>
          <w:szCs w:val="24"/>
        </w:rPr>
        <w:t xml:space="preserve"> </w:t>
      </w:r>
      <w:r w:rsidR="004E369A" w:rsidRPr="00587123">
        <w:rPr>
          <w:rFonts w:cs="Times New Roman"/>
          <w:bCs/>
          <w:szCs w:val="24"/>
        </w:rPr>
        <w:t>g</w:t>
      </w:r>
      <w:r w:rsidR="00CB5D99" w:rsidRPr="00587123">
        <w:rPr>
          <w:rFonts w:cs="Times New Roman"/>
          <w:bCs/>
          <w:szCs w:val="24"/>
        </w:rPr>
        <w:t>dy</w:t>
      </w:r>
      <w:r w:rsidR="000C0D56" w:rsidRPr="00587123">
        <w:rPr>
          <w:rFonts w:cs="Times New Roman"/>
          <w:bCs/>
          <w:szCs w:val="24"/>
        </w:rPr>
        <w:t xml:space="preserve"> </w:t>
      </w:r>
      <w:r w:rsidR="004E369A" w:rsidRPr="00587123">
        <w:rPr>
          <w:rFonts w:cs="Times New Roman"/>
          <w:bCs/>
          <w:szCs w:val="24"/>
        </w:rPr>
        <w:t>jest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niezbędne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nałożenie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pomniejszającej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wysokość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przyznanej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pomocy,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a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wydano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już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decyzję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w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sprawie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o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przyznanie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danej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pomocy,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</w:t>
      </w:r>
      <w:r w:rsidR="000C0D56" w:rsidRPr="00587123">
        <w:rPr>
          <w:rFonts w:cs="Times New Roman"/>
          <w:bCs/>
          <w:szCs w:val="24"/>
        </w:rPr>
        <w:t xml:space="preserve"> </w:t>
      </w:r>
      <w:r w:rsidR="005B31A6" w:rsidRPr="00587123">
        <w:rPr>
          <w:rFonts w:cs="Times New Roman"/>
          <w:bCs/>
          <w:szCs w:val="24"/>
        </w:rPr>
        <w:t>zwrotu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kwoty</w:t>
      </w:r>
      <w:r w:rsidR="000C0D56" w:rsidRPr="00587123">
        <w:rPr>
          <w:rFonts w:cs="Times New Roman"/>
          <w:bCs/>
          <w:szCs w:val="24"/>
        </w:rPr>
        <w:t xml:space="preserve"> </w:t>
      </w:r>
      <w:r w:rsidR="005B31A6" w:rsidRPr="00587123">
        <w:rPr>
          <w:rFonts w:cs="Times New Roman"/>
          <w:bCs/>
          <w:szCs w:val="24"/>
        </w:rPr>
        <w:t>odpowiadającej</w:t>
      </w:r>
      <w:r w:rsidR="000C0D56" w:rsidRPr="00587123">
        <w:rPr>
          <w:rFonts w:cs="Times New Roman"/>
          <w:bCs/>
          <w:szCs w:val="24"/>
        </w:rPr>
        <w:t xml:space="preserve"> </w:t>
      </w:r>
      <w:r w:rsidR="005B31A6" w:rsidRPr="00587123">
        <w:rPr>
          <w:rFonts w:cs="Times New Roman"/>
          <w:bCs/>
          <w:szCs w:val="24"/>
        </w:rPr>
        <w:t>wysokości</w:t>
      </w:r>
      <w:r w:rsidR="000C0D56" w:rsidRPr="00587123">
        <w:rPr>
          <w:rFonts w:cs="Times New Roman"/>
          <w:bCs/>
          <w:szCs w:val="24"/>
        </w:rPr>
        <w:t xml:space="preserve"> </w:t>
      </w:r>
      <w:r w:rsidR="00CB5D99" w:rsidRPr="00587123">
        <w:rPr>
          <w:rFonts w:cs="Times New Roman"/>
          <w:bCs/>
          <w:szCs w:val="24"/>
        </w:rPr>
        <w:t>tej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kary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stosować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29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="00936D48" w:rsidRPr="00587123">
        <w:rPr>
          <w:rFonts w:cs="Times New Roman"/>
          <w:bCs/>
          <w:szCs w:val="24"/>
        </w:rPr>
        <w:t>ARiMR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dotyczące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zwrotu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kwot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nienależnie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pobranych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środków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publicznych.</w:t>
      </w:r>
    </w:p>
    <w:p w14:paraId="7822AC00" w14:textId="48E37044" w:rsidR="00916AD9" w:rsidRPr="00587123" w:rsidRDefault="00C91018" w:rsidP="00AE3A9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87123">
        <w:rPr>
          <w:rFonts w:ascii="Times New Roman" w:hAnsi="Times New Roman" w:cs="Times New Roman"/>
          <w:bCs/>
        </w:rPr>
        <w:t>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Pr="00587123">
        <w:rPr>
          <w:rFonts w:ascii="Times New Roman" w:hAnsi="Times New Roman" w:cs="Times New Roman"/>
          <w:bCs/>
        </w:rPr>
        <w:t>art.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1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pkt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1</w:t>
      </w:r>
      <w:r w:rsidR="00CB5D99" w:rsidRPr="00587123">
        <w:rPr>
          <w:rFonts w:ascii="Times New Roman" w:hAnsi="Times New Roman" w:cs="Times New Roman"/>
          <w:bCs/>
        </w:rPr>
        <w:t>2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lit.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b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projektu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ustawy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(dodanie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pk</w:t>
      </w:r>
      <w:r w:rsidR="00936D48" w:rsidRPr="00587123">
        <w:rPr>
          <w:rFonts w:ascii="Times New Roman" w:hAnsi="Times New Roman" w:cs="Times New Roman"/>
          <w:bCs/>
        </w:rPr>
        <w:t>t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5a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art.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61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ust.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1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ustawy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36D48" w:rsidRPr="00587123">
        <w:rPr>
          <w:rFonts w:ascii="Times New Roman" w:hAnsi="Times New Roman" w:cs="Times New Roman"/>
          <w:bCs/>
        </w:rPr>
        <w:t>PS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WPR)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proponuje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się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zmianę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4E369A" w:rsidRPr="00587123">
        <w:rPr>
          <w:rFonts w:ascii="Times New Roman" w:hAnsi="Times New Roman" w:cs="Times New Roman"/>
          <w:bCs/>
        </w:rPr>
        <w:t>polegającą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4E369A" w:rsidRPr="00587123">
        <w:rPr>
          <w:rFonts w:ascii="Times New Roman" w:hAnsi="Times New Roman" w:cs="Times New Roman"/>
          <w:bCs/>
        </w:rPr>
        <w:t>na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dodani</w:t>
      </w:r>
      <w:r w:rsidR="004E369A" w:rsidRPr="00587123">
        <w:rPr>
          <w:rFonts w:ascii="Times New Roman" w:hAnsi="Times New Roman" w:cs="Times New Roman"/>
          <w:bCs/>
        </w:rPr>
        <w:t>u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CB0ED2" w:rsidRPr="00587123">
        <w:rPr>
          <w:rFonts w:ascii="Times New Roman" w:hAnsi="Times New Roman" w:cs="Times New Roman"/>
          <w:bCs/>
        </w:rPr>
        <w:t>wyrazów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„płatności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dla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małych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gospodarstw”,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która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na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celu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doprecyzowanie,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że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wniosek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o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przyznanie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płatności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dla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małych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gospodarstw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również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stanowi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wniosek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geoprzestrzenny,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o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którym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mowa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art.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65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ust.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4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lit.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rozporządzenia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2021/2116.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następstwie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tej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zmiany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przepisy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UE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4E369A" w:rsidRPr="00587123">
        <w:rPr>
          <w:rFonts w:ascii="Times New Roman" w:hAnsi="Times New Roman" w:cs="Times New Roman"/>
          <w:bCs/>
        </w:rPr>
        <w:t>przepisy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krajowe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dotyczące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wniosku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geoprzestrzennego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będą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miały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zastosowanie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również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do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płatności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dla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małych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gospodarstw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(podobnie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jak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w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przypadku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pozostałych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płatności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bezpośrednich).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Zmiana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ma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charakter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F246E6" w:rsidRPr="00587123">
        <w:rPr>
          <w:rFonts w:ascii="Times New Roman" w:hAnsi="Times New Roman" w:cs="Times New Roman"/>
          <w:bCs/>
        </w:rPr>
        <w:t>porządkujący.</w:t>
      </w:r>
      <w:r w:rsidR="000C0D56" w:rsidRPr="00587123">
        <w:rPr>
          <w:rFonts w:ascii="Times New Roman" w:eastAsia="Times New Roman" w:hAnsi="Times New Roman" w:cs="Times New Roman"/>
          <w:bCs/>
        </w:rPr>
        <w:t xml:space="preserve"> </w:t>
      </w:r>
      <w:r w:rsidR="00916AD9" w:rsidRPr="00587123">
        <w:rPr>
          <w:rFonts w:ascii="Times New Roman" w:eastAsia="Times New Roman" w:hAnsi="Times New Roman" w:cs="Times New Roman"/>
          <w:bCs/>
        </w:rPr>
        <w:t>Zgodnie</w:t>
      </w:r>
      <w:r w:rsidR="000C0D56" w:rsidRPr="00587123">
        <w:rPr>
          <w:rFonts w:ascii="Times New Roman" w:eastAsia="Times New Roman" w:hAnsi="Times New Roman" w:cs="Times New Roman"/>
          <w:bCs/>
        </w:rPr>
        <w:t xml:space="preserve"> </w:t>
      </w:r>
      <w:r w:rsidR="00916AD9" w:rsidRPr="00587123">
        <w:rPr>
          <w:rFonts w:ascii="Times New Roman" w:eastAsia="Times New Roman" w:hAnsi="Times New Roman" w:cs="Times New Roman"/>
          <w:bCs/>
        </w:rPr>
        <w:t>z</w:t>
      </w:r>
      <w:r w:rsidR="000C0D56" w:rsidRPr="00587123">
        <w:rPr>
          <w:rFonts w:ascii="Times New Roman" w:eastAsia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art.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65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ust.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4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lit.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rozporządzenia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hAnsi="Times New Roman" w:cs="Times New Roman"/>
          <w:bCs/>
        </w:rPr>
        <w:t>2021/2116</w:t>
      </w:r>
      <w:r w:rsidR="000C0D56" w:rsidRPr="00587123">
        <w:rPr>
          <w:rFonts w:ascii="Times New Roman" w:hAnsi="Times New Roman" w:cs="Times New Roman"/>
          <w:bCs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wniosek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geoprzestrzenny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oznacza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elektroniczny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formularz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wniosku,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który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obejmuje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również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aplikację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informatyczną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opartą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na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systemie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informacji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geograficznej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umożliwiającym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beneficjentom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przestrzenne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deklarowanie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działek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rolnych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gospodarstwa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w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rozumieniu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art.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3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36D48" w:rsidRPr="00587123">
        <w:rPr>
          <w:rFonts w:ascii="Times New Roman" w:eastAsia="Times New Roman" w:hAnsi="Times New Roman" w:cs="Times New Roman"/>
        </w:rPr>
        <w:t>pkt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36D48" w:rsidRPr="00587123">
        <w:rPr>
          <w:rFonts w:ascii="Times New Roman" w:eastAsia="Times New Roman" w:hAnsi="Times New Roman" w:cs="Times New Roman"/>
        </w:rPr>
        <w:t>2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36D48" w:rsidRPr="00587123">
        <w:rPr>
          <w:rFonts w:ascii="Times New Roman" w:eastAsia="Times New Roman" w:hAnsi="Times New Roman" w:cs="Times New Roman"/>
        </w:rPr>
        <w:t>rozporządzenia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2021/2115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i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gruntów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nierolniczych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zgłoszonych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do</w:t>
      </w:r>
      <w:r w:rsidR="000C0D56" w:rsidRPr="00587123">
        <w:rPr>
          <w:rFonts w:ascii="Times New Roman" w:eastAsia="Times New Roman" w:hAnsi="Times New Roman" w:cs="Times New Roman"/>
        </w:rPr>
        <w:t xml:space="preserve"> </w:t>
      </w:r>
      <w:r w:rsidR="00916AD9" w:rsidRPr="00587123">
        <w:rPr>
          <w:rFonts w:ascii="Times New Roman" w:eastAsia="Times New Roman" w:hAnsi="Times New Roman" w:cs="Times New Roman"/>
        </w:rPr>
        <w:t>płatności.</w:t>
      </w:r>
    </w:p>
    <w:p w14:paraId="652D6306" w14:textId="68600AA3" w:rsidR="00C91018" w:rsidRPr="00587123" w:rsidRDefault="00C91018" w:rsidP="00AE3A9C">
      <w:pPr>
        <w:widowControl/>
        <w:suppressAutoHyphens/>
        <w:jc w:val="both"/>
        <w:rPr>
          <w:rFonts w:cs="Times New Roman"/>
          <w:bCs/>
          <w:szCs w:val="24"/>
        </w:rPr>
      </w:pPr>
      <w:r w:rsidRPr="00587123">
        <w:rPr>
          <w:rFonts w:cs="Times New Roman"/>
          <w:szCs w:val="24"/>
        </w:rPr>
        <w:t>Zgodnie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art.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2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projektu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ustawy,</w:t>
      </w:r>
      <w:r w:rsidR="000C0D56" w:rsidRPr="00587123">
        <w:rPr>
          <w:rFonts w:cs="Times New Roman"/>
          <w:szCs w:val="24"/>
        </w:rPr>
        <w:t xml:space="preserve"> </w:t>
      </w:r>
      <w:r w:rsidR="004E369A" w:rsidRPr="00587123">
        <w:rPr>
          <w:rFonts w:cs="Times New Roman"/>
          <w:szCs w:val="24"/>
        </w:rPr>
        <w:t>tj.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zmianą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przepisów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10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pkt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15e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oraz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14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ust.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1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ustawy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PIP,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Inspekcja</w:t>
      </w:r>
      <w:r w:rsidR="004E369A" w:rsidRPr="00587123">
        <w:rPr>
          <w:rFonts w:cs="Times New Roman"/>
          <w:bCs/>
          <w:szCs w:val="24"/>
        </w:rPr>
        <w:t>,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</w:t>
      </w:r>
      <w:r w:rsidRPr="00587123">
        <w:rPr>
          <w:rFonts w:cs="Times New Roman"/>
          <w:szCs w:val="24"/>
        </w:rPr>
        <w:t>ykonując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swoje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zadania</w:t>
      </w:r>
      <w:r w:rsidR="004E369A" w:rsidRPr="00587123">
        <w:rPr>
          <w:rFonts w:cs="Times New Roman"/>
          <w:szCs w:val="24"/>
        </w:rPr>
        <w:t>,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przeprowadza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również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kontrole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wymogów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warunkowości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społecznej</w:t>
      </w:r>
      <w:r w:rsidR="000C0D56" w:rsidRPr="00587123">
        <w:rPr>
          <w:rFonts w:cs="Times New Roman"/>
          <w:szCs w:val="24"/>
        </w:rPr>
        <w:t xml:space="preserve"> </w:t>
      </w:r>
      <w:r w:rsidR="00B11636" w:rsidRPr="00587123">
        <w:rPr>
          <w:rFonts w:cs="Times New Roman"/>
          <w:szCs w:val="24"/>
        </w:rPr>
        <w:t>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w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zakresie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tych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szCs w:val="24"/>
        </w:rPr>
        <w:t>kontroli</w:t>
      </w:r>
      <w:r w:rsidR="000C0D56" w:rsidRPr="00587123">
        <w:rPr>
          <w:rFonts w:cs="Times New Roman"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współdziała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z</w:t>
      </w:r>
      <w:r w:rsidR="000C0D56" w:rsidRPr="00587123">
        <w:rPr>
          <w:rFonts w:cs="Times New Roman"/>
          <w:bCs/>
          <w:szCs w:val="24"/>
        </w:rPr>
        <w:t xml:space="preserve"> </w:t>
      </w:r>
      <w:r w:rsidRPr="00587123">
        <w:rPr>
          <w:rFonts w:cs="Times New Roman"/>
          <w:bCs/>
          <w:szCs w:val="24"/>
        </w:rPr>
        <w:t>ARiMR.</w:t>
      </w:r>
    </w:p>
    <w:p w14:paraId="193CD418" w14:textId="41D41F7B" w:rsidR="00A166B9" w:rsidRPr="00587123" w:rsidRDefault="00F246E6" w:rsidP="00AE3A9C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91018" w:rsidRPr="00587123">
        <w:rPr>
          <w:rFonts w:ascii="Times New Roman" w:hAnsi="Times New Roman" w:cs="Times New Roman"/>
          <w:szCs w:val="24"/>
        </w:rPr>
        <w:t>3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projektowanej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</w:t>
      </w:r>
      <w:r w:rsidR="00EB766E" w:rsidRPr="00587123">
        <w:rPr>
          <w:rFonts w:ascii="Times New Roman" w:hAnsi="Times New Roman" w:cs="Times New Roman"/>
          <w:szCs w:val="24"/>
        </w:rPr>
        <w:t>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zaproponowano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uzupełnienie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29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36D48" w:rsidRPr="00587123">
        <w:rPr>
          <w:rFonts w:ascii="Times New Roman" w:hAnsi="Times New Roman" w:cs="Times New Roman"/>
          <w:szCs w:val="24"/>
        </w:rPr>
        <w:t>ARiMR</w:t>
      </w:r>
      <w:r w:rsidR="00FF5031">
        <w:rPr>
          <w:rFonts w:ascii="Times New Roman" w:hAnsi="Times New Roman" w:cs="Times New Roman"/>
          <w:szCs w:val="24"/>
        </w:rPr>
        <w:t xml:space="preserve"> </w:t>
      </w:r>
      <w:r w:rsidR="00462F61" w:rsidRPr="00587123">
        <w:rPr>
          <w:rFonts w:ascii="Times New Roman" w:hAnsi="Times New Roman" w:cs="Times New Roman"/>
          <w:szCs w:val="24"/>
        </w:rPr>
        <w:t>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szczególne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462F61" w:rsidRPr="00587123">
        <w:rPr>
          <w:rFonts w:ascii="Times New Roman" w:hAnsi="Times New Roman" w:cs="Times New Roman"/>
          <w:szCs w:val="24"/>
        </w:rPr>
        <w:t>regulacje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462F61" w:rsidRPr="00587123">
        <w:rPr>
          <w:rFonts w:ascii="Times New Roman" w:hAnsi="Times New Roman" w:cs="Times New Roman"/>
          <w:szCs w:val="24"/>
        </w:rPr>
        <w:t>dot</w:t>
      </w:r>
      <w:r w:rsidR="004E369A" w:rsidRPr="00587123">
        <w:rPr>
          <w:rFonts w:ascii="Times New Roman" w:hAnsi="Times New Roman" w:cs="Times New Roman"/>
          <w:szCs w:val="24"/>
        </w:rPr>
        <w:t>yczące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uproszczenia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procedury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ustalania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oraz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odzyskiwania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kwoty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nienależnie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nadmiernie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pobranych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środków,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przypadku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gdy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4E369A" w:rsidRPr="00587123">
        <w:rPr>
          <w:rFonts w:ascii="Times New Roman" w:hAnsi="Times New Roman" w:cs="Times New Roman"/>
          <w:szCs w:val="24"/>
        </w:rPr>
        <w:t>ta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kwota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wyższa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kwoty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stanowiącej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równowartość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100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euro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(przeliczo</w:t>
      </w:r>
      <w:r w:rsidR="00B11636" w:rsidRPr="00587123">
        <w:rPr>
          <w:rFonts w:ascii="Times New Roman" w:hAnsi="Times New Roman" w:cs="Times New Roman"/>
          <w:szCs w:val="24"/>
        </w:rPr>
        <w:t>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złote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według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kursu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euro)</w:t>
      </w:r>
      <w:r w:rsidR="00EB766E" w:rsidRPr="00587123">
        <w:rPr>
          <w:rFonts w:ascii="Times New Roman" w:hAnsi="Times New Roman" w:cs="Times New Roman"/>
          <w:szCs w:val="24"/>
        </w:rPr>
        <w:t>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projekcie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proponuje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się</w:t>
      </w:r>
      <w:r w:rsidR="00E86D78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aby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ustalenie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kwoty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nienależnie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nadmiernie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pobranych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środków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publicznych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takiej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wysokości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było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dokonywane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decyzji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sprawie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przyznania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płatności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pomocy,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ale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aby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wymagało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to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zawiadomienia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B766E" w:rsidRPr="00587123">
        <w:rPr>
          <w:rFonts w:ascii="Times New Roman" w:hAnsi="Times New Roman" w:cs="Times New Roman"/>
          <w:szCs w:val="24"/>
        </w:rPr>
        <w:t>strony</w:t>
      </w:r>
      <w:r w:rsidR="00F739EA" w:rsidRPr="00587123">
        <w:rPr>
          <w:rFonts w:ascii="Times New Roman" w:hAnsi="Times New Roman" w:cs="Times New Roman"/>
          <w:szCs w:val="24"/>
        </w:rPr>
        <w:t>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Proponuje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się</w:t>
      </w:r>
      <w:r w:rsidR="0086798A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aby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odzyskanie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tak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ustalonej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kwoty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następowało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wyniku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potrącenia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przez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maksymalnie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3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lata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kalendarzowe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jej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wypłaty.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Po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tym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okresie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kwota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może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podlegać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umorzeniu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trybie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przepisów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rozporządzenia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Rady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Ministrów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z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dnia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4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września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2017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r.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w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sprawie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szczegółowych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lastRenderedPageBreak/>
        <w:t>zasad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i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trybu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umarzania,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odraczania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lub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rozkładania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na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raty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spłat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należności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przypadających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eastAsia="Calibri" w:hAnsi="Times New Roman" w:cs="Times New Roman"/>
          <w:szCs w:val="24"/>
          <w:bdr w:val="nil"/>
        </w:rPr>
        <w:t>agencji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płatniczej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ramach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Wspólnej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Polityki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Rolnej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(Dz.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U.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poz.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C004D" w:rsidRPr="00587123">
        <w:rPr>
          <w:rFonts w:ascii="Times New Roman" w:hAnsi="Times New Roman" w:cs="Times New Roman"/>
          <w:szCs w:val="24"/>
        </w:rPr>
        <w:t>1687</w:t>
      </w:r>
      <w:r w:rsidR="00F525F8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późn.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zm.</w:t>
      </w:r>
      <w:r w:rsidR="00BC004D" w:rsidRPr="00587123">
        <w:rPr>
          <w:rFonts w:ascii="Times New Roman" w:hAnsi="Times New Roman" w:cs="Times New Roman"/>
          <w:szCs w:val="24"/>
        </w:rPr>
        <w:t>).</w:t>
      </w:r>
    </w:p>
    <w:p w14:paraId="4DA15A4F" w14:textId="05968093" w:rsidR="00A166B9" w:rsidRPr="00587123" w:rsidRDefault="00BC004D" w:rsidP="00AE3A9C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obowiązującym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od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dnia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1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stycznia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2023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r.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rozporządzeniu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2021/2116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bCs w:val="0"/>
          <w:szCs w:val="24"/>
        </w:rPr>
        <w:t>nie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bCs w:val="0"/>
          <w:szCs w:val="24"/>
        </w:rPr>
        <w:t>ma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bCs w:val="0"/>
          <w:szCs w:val="24"/>
        </w:rPr>
        <w:t>przepisu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analogicznego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do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art.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54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ust.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3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lit.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pkt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rozporządzenia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Parlamentu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Europejskiego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Rady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(UE)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hyperlink r:id="rId9" w:history="1">
        <w:r w:rsidR="0075319C" w:rsidRPr="00587123">
          <w:rPr>
            <w:rFonts w:ascii="Times New Roman" w:hAnsi="Times New Roman" w:cs="Times New Roman"/>
            <w:bCs w:val="0"/>
            <w:szCs w:val="24"/>
          </w:rPr>
          <w:t>1306/2013</w:t>
        </w:r>
      </w:hyperlink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dnia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17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grudnia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2013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sprawie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finansowania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wspólnej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polityki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rolnej,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zarządzania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nią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monitorowania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jej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oraz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uchylającego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rozporządzenia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Rady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(EWG)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hyperlink r:id="rId10" w:history="1">
        <w:r w:rsidR="0075319C" w:rsidRPr="00587123">
          <w:rPr>
            <w:rFonts w:ascii="Times New Roman" w:hAnsi="Times New Roman" w:cs="Times New Roman"/>
            <w:bCs w:val="0"/>
            <w:szCs w:val="24"/>
          </w:rPr>
          <w:t>352/78</w:t>
        </w:r>
      </w:hyperlink>
      <w:r w:rsidR="0075319C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(WE)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165/94,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(WE)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2799/98,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(WE)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814/2000,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(WE)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1290/2005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(WE)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nr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485/2008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(Dz.</w:t>
      </w:r>
      <w:r w:rsidR="00FF5031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Urz.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UE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L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347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20.12.2013,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hyperlink r:id="rId11" w:history="1">
        <w:r w:rsidR="0075319C" w:rsidRPr="00587123">
          <w:rPr>
            <w:rFonts w:ascii="Times New Roman" w:hAnsi="Times New Roman" w:cs="Times New Roman"/>
            <w:bCs w:val="0"/>
            <w:szCs w:val="24"/>
          </w:rPr>
          <w:t>str.</w:t>
        </w:r>
        <w:r w:rsidR="000C0D56" w:rsidRPr="00587123">
          <w:rPr>
            <w:rFonts w:ascii="Times New Roman" w:hAnsi="Times New Roman" w:cs="Times New Roman"/>
            <w:bCs w:val="0"/>
            <w:szCs w:val="24"/>
          </w:rPr>
          <w:t xml:space="preserve"> </w:t>
        </w:r>
        <w:r w:rsidR="0075319C" w:rsidRPr="00587123">
          <w:rPr>
            <w:rFonts w:ascii="Times New Roman" w:hAnsi="Times New Roman" w:cs="Times New Roman"/>
            <w:bCs w:val="0"/>
            <w:szCs w:val="24"/>
          </w:rPr>
          <w:t>549</w:t>
        </w:r>
      </w:hyperlink>
      <w:r w:rsidR="0075319C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późn.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zm.),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zgodnie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którym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należycie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uzasadnionych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przypadkach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państwa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członkowskie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mogą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zadecydować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zaprzestaniu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odzyskiwania.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Taka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decyzja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może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zostać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podjęta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jedynie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przypadku</w:t>
      </w:r>
      <w:r w:rsidR="0086798A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gdy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łączna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kwota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już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dokonanych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oraz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przewidywanych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kosztów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odzyskiwania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przewyższa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kwotę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do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odzyskania</w:t>
      </w:r>
      <w:r w:rsidR="00F525F8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bCs w:val="0"/>
          <w:szCs w:val="24"/>
        </w:rPr>
        <w:t>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bCs w:val="0"/>
          <w:szCs w:val="24"/>
        </w:rPr>
        <w:t>ten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warunek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uznaje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się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za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spełniony</w:t>
      </w:r>
      <w:r w:rsidR="00F525F8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jeżeli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kwota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do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odzyskania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beneficjenta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kont</w:t>
      </w:r>
      <w:r w:rsidR="0075319C" w:rsidRPr="00587123">
        <w:rPr>
          <w:rFonts w:ascii="Times New Roman" w:hAnsi="Times New Roman" w:cs="Times New Roman"/>
          <w:bCs w:val="0"/>
          <w:szCs w:val="24"/>
        </w:rPr>
        <w:t>ekście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płatności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75319C" w:rsidRPr="00587123">
        <w:rPr>
          <w:rFonts w:ascii="Times New Roman" w:hAnsi="Times New Roman" w:cs="Times New Roman"/>
          <w:bCs w:val="0"/>
          <w:szCs w:val="24"/>
        </w:rPr>
        <w:t>indywidualnej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ramach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programu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pomocy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lub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środka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wsparcia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nie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przekracza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100</w:t>
      </w:r>
      <w:r w:rsidR="002E52BF">
        <w:rPr>
          <w:rFonts w:ascii="Times New Roman" w:hAnsi="Times New Roman" w:cs="Times New Roman"/>
          <w:bCs w:val="0"/>
          <w:szCs w:val="24"/>
        </w:rPr>
        <w:t> </w:t>
      </w:r>
      <w:r w:rsidR="00F525F8" w:rsidRPr="00587123">
        <w:rPr>
          <w:rFonts w:ascii="Times New Roman" w:hAnsi="Times New Roman" w:cs="Times New Roman"/>
          <w:bCs w:val="0"/>
          <w:szCs w:val="24"/>
        </w:rPr>
        <w:t>euro</w:t>
      </w:r>
      <w:r w:rsidR="00A166B9" w:rsidRPr="00587123">
        <w:rPr>
          <w:rFonts w:ascii="Times New Roman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nie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licząc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A166B9" w:rsidRPr="00587123">
        <w:rPr>
          <w:rFonts w:ascii="Times New Roman" w:hAnsi="Times New Roman" w:cs="Times New Roman"/>
          <w:bCs w:val="0"/>
          <w:szCs w:val="24"/>
        </w:rPr>
        <w:t>odsetek</w:t>
      </w:r>
      <w:r w:rsidRPr="00587123">
        <w:rPr>
          <w:rFonts w:ascii="Times New Roman" w:hAnsi="Times New Roman" w:cs="Times New Roman"/>
          <w:szCs w:val="24"/>
        </w:rPr>
        <w:t>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</w:p>
    <w:p w14:paraId="42126E61" w14:textId="79CF43CB" w:rsidR="00BC004D" w:rsidRPr="00587123" w:rsidRDefault="00BC004D" w:rsidP="00AE3A9C">
      <w:pPr>
        <w:pStyle w:val="USTustnpkodeksu"/>
        <w:ind w:firstLine="0"/>
        <w:rPr>
          <w:rFonts w:ascii="Times New Roman" w:hAnsi="Times New Roman" w:cs="Times New Roman"/>
          <w:bCs w:val="0"/>
          <w:szCs w:val="24"/>
        </w:rPr>
      </w:pPr>
      <w:r w:rsidRPr="00587123">
        <w:rPr>
          <w:rFonts w:ascii="Times New Roman" w:hAnsi="Times New Roman" w:cs="Times New Roman"/>
          <w:szCs w:val="24"/>
        </w:rPr>
        <w:t>Jednak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zaproponowana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11636" w:rsidRPr="00587123">
        <w:rPr>
          <w:rFonts w:ascii="Times New Roman" w:hAnsi="Times New Roman" w:cs="Times New Roman"/>
          <w:szCs w:val="24"/>
        </w:rPr>
        <w:t>powyżej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zmiana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29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ARiMR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eastAsia="Calibri" w:hAnsi="Times New Roman" w:cs="Times New Roman"/>
          <w:szCs w:val="24"/>
          <w:bdr w:val="nil"/>
        </w:rPr>
        <w:t>znajduje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Pr="00587123">
        <w:rPr>
          <w:rFonts w:ascii="Times New Roman" w:eastAsia="Calibri" w:hAnsi="Times New Roman" w:cs="Times New Roman"/>
          <w:szCs w:val="24"/>
          <w:bdr w:val="nil"/>
        </w:rPr>
        <w:t>umocowanie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Pr="00587123">
        <w:rPr>
          <w:rFonts w:ascii="Times New Roman" w:eastAsia="Calibri" w:hAnsi="Times New Roman" w:cs="Times New Roman"/>
          <w:szCs w:val="24"/>
          <w:bdr w:val="nil"/>
        </w:rPr>
        <w:t>w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Pr="00587123">
        <w:rPr>
          <w:rFonts w:ascii="Times New Roman" w:eastAsia="Calibri" w:hAnsi="Times New Roman" w:cs="Times New Roman"/>
          <w:szCs w:val="24"/>
          <w:bdr w:val="nil"/>
        </w:rPr>
        <w:t>przepisach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Pr="00587123">
        <w:rPr>
          <w:rFonts w:ascii="Times New Roman" w:eastAsia="Calibri" w:hAnsi="Times New Roman" w:cs="Times New Roman"/>
          <w:szCs w:val="24"/>
          <w:bdr w:val="nil"/>
        </w:rPr>
        <w:t>UE.</w:t>
      </w:r>
      <w:r w:rsidR="000C0D56" w:rsidRPr="00587123">
        <w:rPr>
          <w:rFonts w:ascii="Times New Roman" w:eastAsia="Calibri" w:hAnsi="Times New Roman" w:cs="Times New Roman"/>
          <w:szCs w:val="24"/>
          <w:bdr w:val="nil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motywem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28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rozporządzenia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wykonawczego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Komisji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(UE)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hyperlink r:id="rId12" w:history="1">
        <w:r w:rsidR="004D3FAE" w:rsidRPr="00587123">
          <w:rPr>
            <w:rFonts w:ascii="Times New Roman" w:hAnsi="Times New Roman" w:cs="Times New Roman"/>
            <w:bCs w:val="0"/>
            <w:szCs w:val="24"/>
          </w:rPr>
          <w:t>2022/128</w:t>
        </w:r>
      </w:hyperlink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dnia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21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grudnia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2021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określając</w:t>
      </w:r>
      <w:r w:rsidR="0059779E" w:rsidRPr="00587123">
        <w:rPr>
          <w:rFonts w:ascii="Times New Roman" w:hAnsi="Times New Roman" w:cs="Times New Roman"/>
          <w:bCs w:val="0"/>
          <w:szCs w:val="24"/>
        </w:rPr>
        <w:t>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przepisy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dotyczące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stosowania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rozporządzenia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Parlamentu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Europejskiego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Rady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(UE)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2021/2116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odniesieniu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do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agencji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płatniczych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innych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organów,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zarządzania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finansami,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rozliczania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rachunków,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kontroli,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zabezpieczeń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przejrzystości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(Dz.</w:t>
      </w:r>
      <w:r w:rsidR="00FF5031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Urz.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UE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L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20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="004D3FAE" w:rsidRPr="00587123">
        <w:rPr>
          <w:rFonts w:ascii="Times New Roman" w:hAnsi="Times New Roman" w:cs="Times New Roman"/>
          <w:bCs w:val="0"/>
          <w:szCs w:val="24"/>
        </w:rPr>
        <w:t>31.01.2022,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hyperlink r:id="rId13" w:history="1">
        <w:r w:rsidR="004D3FAE" w:rsidRPr="00587123">
          <w:rPr>
            <w:rFonts w:ascii="Times New Roman" w:hAnsi="Times New Roman" w:cs="Times New Roman"/>
            <w:bCs w:val="0"/>
            <w:szCs w:val="24"/>
          </w:rPr>
          <w:t>str.</w:t>
        </w:r>
        <w:r w:rsidR="000C0D56" w:rsidRPr="00587123">
          <w:rPr>
            <w:rFonts w:ascii="Times New Roman" w:hAnsi="Times New Roman" w:cs="Times New Roman"/>
            <w:bCs w:val="0"/>
            <w:szCs w:val="24"/>
          </w:rPr>
          <w:t xml:space="preserve"> </w:t>
        </w:r>
        <w:r w:rsidR="004D3FAE" w:rsidRPr="00587123">
          <w:rPr>
            <w:rFonts w:ascii="Times New Roman" w:hAnsi="Times New Roman" w:cs="Times New Roman"/>
            <w:bCs w:val="0"/>
            <w:szCs w:val="24"/>
          </w:rPr>
          <w:t>131</w:t>
        </w:r>
      </w:hyperlink>
      <w:r w:rsidR="004D3FAE" w:rsidRPr="00587123">
        <w:rPr>
          <w:rFonts w:ascii="Times New Roman" w:hAnsi="Times New Roman" w:cs="Times New Roman"/>
          <w:bCs w:val="0"/>
          <w:szCs w:val="24"/>
        </w:rPr>
        <w:t>)</w:t>
      </w:r>
      <w:r w:rsidR="000C0D56" w:rsidRPr="00587123">
        <w:rPr>
          <w:rFonts w:ascii="Times New Roman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bCs w:val="0"/>
          <w:szCs w:val="24"/>
        </w:rPr>
        <w:t>„skuteczn</w:t>
      </w:r>
      <w:r w:rsidRPr="00587123">
        <w:rPr>
          <w:rFonts w:ascii="Times New Roman" w:hAnsi="Times New Roman" w:cs="Times New Roman"/>
          <w:szCs w:val="24"/>
        </w:rPr>
        <w:t>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wydajnym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względem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kosztów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sposobem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odzyskiwania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zaległych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należności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odliczanie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przyszłych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płatności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przewidzianych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rzecz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dłużnika,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jak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wysokość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długu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została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ustalona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ustawodawstwem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krajowym”,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„stosowanie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metody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odzyskiwania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długów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powinno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być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zatem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obowiązkowe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dla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państw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członkowskich”</w:t>
      </w:r>
      <w:r w:rsidR="0086798A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ale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jednocześnie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motywie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mowa,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że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„bez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uszczerbku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dla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krajowych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kwot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minimis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nieprzeznaczonych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zobowiązanie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państw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członkowskich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odzyskiwania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nienależnych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płatności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może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być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realizowane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wiele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sposobów”.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Ponadto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30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4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rozporządzenia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wykonawczego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Komisji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(UE)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2022/128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21</w:t>
      </w:r>
      <w:r w:rsidR="002E52BF">
        <w:rPr>
          <w:rFonts w:ascii="Times New Roman" w:hAnsi="Times New Roman" w:cs="Times New Roman"/>
          <w:szCs w:val="24"/>
        </w:rPr>
        <w:t> </w:t>
      </w:r>
      <w:r w:rsidRPr="00587123">
        <w:rPr>
          <w:rFonts w:ascii="Times New Roman" w:hAnsi="Times New Roman" w:cs="Times New Roman"/>
          <w:szCs w:val="24"/>
        </w:rPr>
        <w:t>grudnia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2021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r.,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państwa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członkowskie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odpowiednio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uzasadniają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umorzenie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długu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decyzję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niekontynuowaniu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odzyskiwania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długu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mającymi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zastosowanie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krajowymi.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wynika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zatem,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że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istnieje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możliwość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określenia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krajowych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sytuacji,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g</w:t>
      </w:r>
      <w:r w:rsidRPr="00587123">
        <w:rPr>
          <w:rFonts w:ascii="Times New Roman" w:hAnsi="Times New Roman" w:cs="Times New Roman"/>
          <w:szCs w:val="24"/>
        </w:rPr>
        <w:t>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uzasadnione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umorzenie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długu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niekontynuowanie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jego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odzysk</w:t>
      </w:r>
      <w:r w:rsidR="00F525F8" w:rsidRPr="00587123">
        <w:rPr>
          <w:rFonts w:ascii="Times New Roman" w:hAnsi="Times New Roman" w:cs="Times New Roman"/>
          <w:szCs w:val="24"/>
        </w:rPr>
        <w:t>iw</w:t>
      </w:r>
      <w:r w:rsidRPr="00587123">
        <w:rPr>
          <w:rFonts w:ascii="Times New Roman" w:hAnsi="Times New Roman" w:cs="Times New Roman"/>
          <w:szCs w:val="24"/>
        </w:rPr>
        <w:t>ania.</w:t>
      </w:r>
    </w:p>
    <w:p w14:paraId="5821455F" w14:textId="12E5F0AC" w:rsidR="00462F61" w:rsidRPr="00587123" w:rsidRDefault="00462F61" w:rsidP="00AE3A9C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lastRenderedPageBreak/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91018" w:rsidRPr="00587123">
        <w:rPr>
          <w:rFonts w:ascii="Times New Roman" w:hAnsi="Times New Roman" w:cs="Times New Roman"/>
          <w:szCs w:val="24"/>
        </w:rPr>
        <w:t>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projektowanej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proponuje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się</w:t>
      </w:r>
      <w:r w:rsidR="0086798A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do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pos</w:t>
      </w:r>
      <w:r w:rsidR="00E7089E" w:rsidRPr="00587123">
        <w:rPr>
          <w:rFonts w:ascii="Times New Roman" w:hAnsi="Times New Roman" w:cs="Times New Roman"/>
          <w:szCs w:val="24"/>
        </w:rPr>
        <w:t>tępowań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sprawach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dotyczących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płatności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określonych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20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pkt.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1–5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PS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WPR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miały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zastosowanie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przepisy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E3D65" w:rsidRPr="00587123">
        <w:rPr>
          <w:rFonts w:ascii="Times New Roman" w:hAnsi="Times New Roman" w:cs="Times New Roman"/>
          <w:szCs w:val="24"/>
        </w:rPr>
        <w:t>dotychczasowe.</w:t>
      </w:r>
    </w:p>
    <w:p w14:paraId="0F6F27F4" w14:textId="1F68AC06" w:rsidR="00E7089E" w:rsidRPr="00587123" w:rsidRDefault="008002F9" w:rsidP="00AE3A9C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Proponuje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się</w:t>
      </w:r>
      <w:r w:rsidR="008D06FB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16340C" w:rsidRPr="00587123">
        <w:rPr>
          <w:rFonts w:ascii="Times New Roman" w:hAnsi="Times New Roman" w:cs="Times New Roman"/>
          <w:szCs w:val="24"/>
        </w:rPr>
        <w:t>ustawa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16340C" w:rsidRPr="00587123">
        <w:rPr>
          <w:rFonts w:ascii="Times New Roman" w:hAnsi="Times New Roman" w:cs="Times New Roman"/>
          <w:szCs w:val="24"/>
        </w:rPr>
        <w:t>weszła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16340C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16340C" w:rsidRPr="00587123">
        <w:rPr>
          <w:rFonts w:ascii="Times New Roman" w:hAnsi="Times New Roman" w:cs="Times New Roman"/>
          <w:szCs w:val="24"/>
        </w:rPr>
        <w:t>życie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dniem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15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marca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2025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739EA"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6B02E1" w:rsidRPr="00587123">
        <w:rPr>
          <w:rFonts w:ascii="Times New Roman" w:hAnsi="Times New Roman" w:cs="Times New Roman"/>
          <w:szCs w:val="24"/>
        </w:rPr>
        <w:t>(</w:t>
      </w:r>
      <w:r w:rsidR="009246B0" w:rsidRPr="00587123">
        <w:rPr>
          <w:rFonts w:ascii="Times New Roman" w:hAnsi="Times New Roman" w:cs="Times New Roman"/>
          <w:szCs w:val="24"/>
        </w:rPr>
        <w:t>projektowany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056987"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C91018" w:rsidRPr="00587123">
        <w:rPr>
          <w:rFonts w:ascii="Times New Roman" w:hAnsi="Times New Roman" w:cs="Times New Roman"/>
          <w:szCs w:val="24"/>
        </w:rPr>
        <w:t>6</w:t>
      </w:r>
      <w:r w:rsidR="00056987" w:rsidRPr="00587123">
        <w:rPr>
          <w:rFonts w:ascii="Times New Roman" w:hAnsi="Times New Roman" w:cs="Times New Roman"/>
          <w:szCs w:val="24"/>
        </w:rPr>
        <w:t>)</w:t>
      </w:r>
      <w:r w:rsidR="00E7089E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ponieważ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regulacje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dotyczące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płatności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do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materiału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siewnego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kategorii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elitarny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materiału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siewnego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kategorii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kwalifikowany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powinny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wejść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życie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najpóźniej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dni</w:t>
      </w:r>
      <w:r w:rsidR="00F525F8" w:rsidRPr="00587123">
        <w:rPr>
          <w:rFonts w:ascii="Times New Roman" w:hAnsi="Times New Roman" w:cs="Times New Roman"/>
          <w:szCs w:val="24"/>
        </w:rPr>
        <w:t>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15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marca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2025</w:t>
      </w:r>
      <w:r w:rsidR="002E52BF">
        <w:rPr>
          <w:rFonts w:ascii="Times New Roman" w:hAnsi="Times New Roman" w:cs="Times New Roman"/>
          <w:szCs w:val="24"/>
        </w:rPr>
        <w:t> </w:t>
      </w:r>
      <w:r w:rsidR="00E7089E" w:rsidRPr="00587123">
        <w:rPr>
          <w:rFonts w:ascii="Times New Roman" w:hAnsi="Times New Roman" w:cs="Times New Roman"/>
          <w:szCs w:val="24"/>
        </w:rPr>
        <w:t>r.,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kiedy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zaczyna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się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nabór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wniosków.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Również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zaproponowane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projektowanej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ustawie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regulacje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dot</w:t>
      </w:r>
      <w:r w:rsidR="00F525F8" w:rsidRPr="00587123">
        <w:rPr>
          <w:rFonts w:ascii="Times New Roman" w:hAnsi="Times New Roman" w:cs="Times New Roman"/>
          <w:szCs w:val="24"/>
        </w:rPr>
        <w:t>yczące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mechanizmu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powinny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mieć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zastosowanie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już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kampanii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2025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7089E" w:rsidRPr="00587123">
        <w:rPr>
          <w:rFonts w:ascii="Times New Roman" w:hAnsi="Times New Roman" w:cs="Times New Roman"/>
          <w:szCs w:val="24"/>
        </w:rPr>
        <w:t>r.</w:t>
      </w:r>
    </w:p>
    <w:p w14:paraId="365C7855" w14:textId="77DAC6C3" w:rsidR="00904288" w:rsidRPr="00587123" w:rsidRDefault="004D560C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Projekt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jest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zgodny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prawem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Unii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904288" w:rsidRPr="00587123">
        <w:rPr>
          <w:rFonts w:ascii="Times New Roman" w:hAnsi="Times New Roman" w:cs="Times New Roman"/>
          <w:szCs w:val="24"/>
        </w:rPr>
        <w:t>Europejskiej.</w:t>
      </w:r>
    </w:p>
    <w:p w14:paraId="148133AB" w14:textId="0D9C1D9A" w:rsidR="00904288" w:rsidRPr="00587123" w:rsidRDefault="00904288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Projekt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zawiera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technicznych,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zatem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podlega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notyfikacji,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trybem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przewidzianym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rozporządzenia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Ministrów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23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grudnia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2002</w:t>
      </w:r>
      <w:r w:rsidR="00FF5031">
        <w:rPr>
          <w:rFonts w:ascii="Times New Roman" w:hAnsi="Times New Roman" w:cs="Times New Roman"/>
          <w:szCs w:val="24"/>
        </w:rPr>
        <w:t> </w:t>
      </w:r>
      <w:r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sprawie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sposobu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funkcjonowania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krajowego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systemu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notyfikacji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norm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aktów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prawnych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(Dz.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</w:t>
      </w:r>
      <w:r w:rsidR="00753BC8" w:rsidRPr="00587123">
        <w:rPr>
          <w:rFonts w:ascii="Times New Roman" w:hAnsi="Times New Roman" w:cs="Times New Roman"/>
          <w:szCs w:val="24"/>
        </w:rPr>
        <w:t>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2039</w:t>
      </w:r>
      <w:r w:rsidR="00A93F3E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753BC8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753BC8" w:rsidRPr="00587123">
        <w:rPr>
          <w:rFonts w:ascii="Times New Roman" w:hAnsi="Times New Roman" w:cs="Times New Roman"/>
          <w:szCs w:val="24"/>
        </w:rPr>
        <w:t>późn.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753BC8" w:rsidRPr="00587123">
        <w:rPr>
          <w:rFonts w:ascii="Times New Roman" w:hAnsi="Times New Roman" w:cs="Times New Roman"/>
          <w:szCs w:val="24"/>
        </w:rPr>
        <w:t>zm.</w:t>
      </w:r>
      <w:r w:rsidRPr="00587123">
        <w:rPr>
          <w:rFonts w:ascii="Times New Roman" w:hAnsi="Times New Roman" w:cs="Times New Roman"/>
          <w:szCs w:val="24"/>
        </w:rPr>
        <w:t>).</w:t>
      </w:r>
    </w:p>
    <w:p w14:paraId="3BA7D1FB" w14:textId="702BAD46" w:rsidR="0035275A" w:rsidRPr="00587123" w:rsidRDefault="00904288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Projekt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wymaga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przedłożenia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właściwym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instytucjom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organom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Unii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Europejskiej,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tym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Europejskiemu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Bankowi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Centralnemu,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celu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uzyskania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opinii,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dokonania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powiadomienia,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konsultacji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lub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uzgodnienia.</w:t>
      </w:r>
    </w:p>
    <w:p w14:paraId="302F6021" w14:textId="62CC0251" w:rsidR="0035275A" w:rsidRPr="00587123" w:rsidRDefault="00904288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Uchwalenie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proponowanych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regulacji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generuje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dodatkowe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skutki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dla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budżetu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państwa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powodu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konieczności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uwzględnienia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kosztów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osobowych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(20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nowych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etatów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dla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P</w:t>
      </w:r>
      <w:r w:rsidR="00143E5B" w:rsidRPr="00587123">
        <w:rPr>
          <w:rFonts w:ascii="Times New Roman" w:hAnsi="Times New Roman" w:cs="Times New Roman"/>
          <w:szCs w:val="24"/>
        </w:rPr>
        <w:t>IP</w:t>
      </w:r>
      <w:r w:rsidR="0035275A" w:rsidRPr="00587123">
        <w:rPr>
          <w:rFonts w:ascii="Times New Roman" w:hAnsi="Times New Roman" w:cs="Times New Roman"/>
          <w:szCs w:val="24"/>
        </w:rPr>
        <w:t>)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oraz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kosztów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stanowiskowych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(wyposażenie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stanowiska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pracy,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szkolenia,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5275A" w:rsidRPr="00587123">
        <w:rPr>
          <w:rFonts w:ascii="Times New Roman" w:hAnsi="Times New Roman" w:cs="Times New Roman"/>
          <w:szCs w:val="24"/>
        </w:rPr>
        <w:t>delegacje).</w:t>
      </w:r>
    </w:p>
    <w:p w14:paraId="24879294" w14:textId="7CAED963" w:rsidR="006F2FC2" w:rsidRPr="00587123" w:rsidRDefault="006F2FC2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Jeżeli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chodzi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wpływ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proponowanych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regulacji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działalność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mikro-,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małych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średnich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przedsiębiorców,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można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się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spodziewać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wzrostu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poziomu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bezpieczeństwa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pracy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ochrony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zdrowia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oraz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aspektu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praworządności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zatrudnianiu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osób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pracujących,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które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przywołuje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hAnsi="Times New Roman" w:cs="Times New Roman"/>
          <w:szCs w:val="24"/>
        </w:rPr>
        <w:t>d</w:t>
      </w:r>
      <w:r w:rsidRPr="00587123">
        <w:rPr>
          <w:rFonts w:ascii="Times New Roman" w:hAnsi="Times New Roman" w:cs="Times New Roman"/>
          <w:szCs w:val="24"/>
        </w:rPr>
        <w:t>yrektywa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Parlamentu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Europejskiego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Rady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(UE)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2019/1152</w:t>
      </w:r>
      <w:r w:rsidR="000C0D56" w:rsidRPr="00587123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="Times New Roman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dnia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20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czerwca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2019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r.</w:t>
      </w:r>
      <w:r w:rsidR="000C0D56" w:rsidRPr="00587123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="Times New Roman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sprawie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przejrzystych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i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przewidywalnych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warunków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pracy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w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Unii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Europejskiej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(Dz.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Urz.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UE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L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186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z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F525F8" w:rsidRPr="00587123">
        <w:rPr>
          <w:rFonts w:ascii="Times New Roman" w:eastAsiaTheme="majorEastAsia" w:hAnsi="Times New Roman" w:cs="Times New Roman"/>
          <w:bCs w:val="0"/>
          <w:szCs w:val="24"/>
        </w:rPr>
        <w:t>11.07.2019</w:t>
      </w:r>
      <w:r w:rsidR="003C6916" w:rsidRPr="00587123">
        <w:rPr>
          <w:rFonts w:ascii="Times New Roman" w:eastAsiaTheme="majorEastAsia" w:hAnsi="Times New Roman" w:cs="Times New Roman"/>
          <w:bCs w:val="0"/>
          <w:szCs w:val="24"/>
        </w:rPr>
        <w:t>,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3C6916" w:rsidRPr="00587123">
        <w:rPr>
          <w:rFonts w:ascii="Times New Roman" w:eastAsiaTheme="majorEastAsia" w:hAnsi="Times New Roman" w:cs="Times New Roman"/>
          <w:bCs w:val="0"/>
          <w:szCs w:val="24"/>
        </w:rPr>
        <w:t>str.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="003C6916" w:rsidRPr="00587123">
        <w:rPr>
          <w:rFonts w:ascii="Times New Roman" w:eastAsiaTheme="majorEastAsia" w:hAnsi="Times New Roman" w:cs="Times New Roman"/>
          <w:bCs w:val="0"/>
          <w:szCs w:val="24"/>
        </w:rPr>
        <w:t>105)</w:t>
      </w:r>
      <w:r w:rsidR="000C0D56" w:rsidRPr="00587123">
        <w:rPr>
          <w:rFonts w:ascii="Times New Roman" w:eastAsiaTheme="majorEastAsia" w:hAnsi="Times New Roman" w:cs="Times New Roman"/>
          <w:bCs w:val="0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punktami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wymienionymi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załączniku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nr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IV).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pracy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zasad</w:t>
      </w:r>
      <w:r w:rsidR="003C6916" w:rsidRPr="00587123">
        <w:rPr>
          <w:rFonts w:ascii="Times New Roman" w:hAnsi="Times New Roman" w:cs="Times New Roman"/>
          <w:szCs w:val="24"/>
        </w:rPr>
        <w:t>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BHP,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których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przestrzeganie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będzie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kontrolowane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ramach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PIP,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już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obecnie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obowiązują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kontrolowane</w:t>
      </w:r>
      <w:r w:rsidR="003C6916" w:rsidRPr="00587123">
        <w:rPr>
          <w:rFonts w:ascii="Times New Roman" w:hAnsi="Times New Roman" w:cs="Times New Roman"/>
          <w:szCs w:val="24"/>
        </w:rPr>
        <w:t>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W</w:t>
      </w:r>
      <w:r w:rsidRPr="00587123">
        <w:rPr>
          <w:rFonts w:ascii="Times New Roman" w:hAnsi="Times New Roman" w:cs="Times New Roman"/>
          <w:szCs w:val="24"/>
        </w:rPr>
        <w:t>drożenie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warunkowości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będzie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się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natomiast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wiązać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wzrostem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liczby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kontrolowanych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podmiotów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obszarze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rolnictwa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ramach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ogó</w:t>
      </w:r>
      <w:r w:rsidR="003C6916" w:rsidRPr="00587123">
        <w:rPr>
          <w:rFonts w:ascii="Times New Roman" w:hAnsi="Times New Roman" w:cs="Times New Roman"/>
          <w:szCs w:val="24"/>
        </w:rPr>
        <w:t>lnej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liczby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kontroli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przeprowadzanych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przez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PIP</w:t>
      </w:r>
      <w:r w:rsidRPr="00587123">
        <w:rPr>
          <w:rFonts w:ascii="Times New Roman" w:hAnsi="Times New Roman" w:cs="Times New Roman"/>
          <w:szCs w:val="24"/>
        </w:rPr>
        <w:t>.</w:t>
      </w:r>
    </w:p>
    <w:p w14:paraId="000F0146" w14:textId="5249FE7C" w:rsidR="00E7089E" w:rsidRPr="00587123" w:rsidRDefault="00904288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t>Projektowane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przepisy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D582D" w:rsidRPr="00587123">
        <w:rPr>
          <w:rFonts w:ascii="Times New Roman" w:hAnsi="Times New Roman" w:cs="Times New Roman"/>
          <w:szCs w:val="24"/>
        </w:rPr>
        <w:t>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D582D" w:rsidRPr="00587123">
        <w:rPr>
          <w:rFonts w:ascii="Times New Roman" w:hAnsi="Times New Roman" w:cs="Times New Roman"/>
          <w:szCs w:val="24"/>
        </w:rPr>
        <w:t>będą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D582D" w:rsidRPr="00587123">
        <w:rPr>
          <w:rFonts w:ascii="Times New Roman" w:hAnsi="Times New Roman" w:cs="Times New Roman"/>
          <w:szCs w:val="24"/>
        </w:rPr>
        <w:t>miały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D582D" w:rsidRPr="00587123">
        <w:rPr>
          <w:rFonts w:ascii="Times New Roman" w:hAnsi="Times New Roman" w:cs="Times New Roman"/>
          <w:szCs w:val="24"/>
        </w:rPr>
        <w:t>bezpośredniego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ED582D" w:rsidRPr="00587123">
        <w:rPr>
          <w:rFonts w:ascii="Times New Roman" w:hAnsi="Times New Roman" w:cs="Times New Roman"/>
          <w:szCs w:val="24"/>
        </w:rPr>
        <w:t>wpływu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sytuację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ekonomiczną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społeczną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rodziny,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także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osób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D3787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niepełnosprawn</w:t>
      </w:r>
      <w:r w:rsidR="003D3787" w:rsidRPr="00587123">
        <w:rPr>
          <w:rFonts w:ascii="Times New Roman" w:hAnsi="Times New Roman" w:cs="Times New Roman"/>
          <w:szCs w:val="24"/>
        </w:rPr>
        <w:t>ościami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oraz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osób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starszych.</w:t>
      </w:r>
    </w:p>
    <w:p w14:paraId="5AB0952C" w14:textId="6DC9AE1C" w:rsidR="009F4C81" w:rsidRPr="00587123" w:rsidRDefault="0016340C" w:rsidP="00AE3A9C">
      <w:pPr>
        <w:pStyle w:val="NIEARTTEKSTtekstnieartykuowanynppodstprawnarozplubpreambua"/>
        <w:spacing w:before="0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ascii="Times New Roman" w:hAnsi="Times New Roman" w:cs="Times New Roman"/>
          <w:szCs w:val="24"/>
        </w:rPr>
        <w:lastRenderedPageBreak/>
        <w:t>Projekt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zosta</w:t>
      </w:r>
      <w:r w:rsidR="00E005DD" w:rsidRPr="00587123">
        <w:rPr>
          <w:rFonts w:ascii="Times New Roman" w:hAnsi="Times New Roman" w:cs="Times New Roman"/>
          <w:szCs w:val="24"/>
        </w:rPr>
        <w:t>ł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udostępniony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Biuletynie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Informacji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Publicznej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stronie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internetowej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Rządowego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Centrum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Legislacji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zakładce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Rządowy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Proces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Legislacyjny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zgodnie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§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52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uchwały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nr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190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Ministrów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29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października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2013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–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Regulamin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pracy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Rady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Ministrów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(M.P.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202</w:t>
      </w:r>
      <w:r w:rsidR="00B62D8A" w:rsidRPr="00587123">
        <w:rPr>
          <w:rFonts w:ascii="Times New Roman" w:hAnsi="Times New Roman" w:cs="Times New Roman"/>
          <w:szCs w:val="24"/>
        </w:rPr>
        <w:t>4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B62D8A" w:rsidRPr="00587123">
        <w:rPr>
          <w:rFonts w:ascii="Times New Roman" w:hAnsi="Times New Roman" w:cs="Times New Roman"/>
          <w:szCs w:val="24"/>
        </w:rPr>
        <w:t>806</w:t>
      </w:r>
      <w:r w:rsidRPr="00587123">
        <w:rPr>
          <w:rFonts w:ascii="Times New Roman" w:hAnsi="Times New Roman" w:cs="Times New Roman"/>
          <w:szCs w:val="24"/>
        </w:rPr>
        <w:t>)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oraz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stosownie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wymogów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art.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ustawy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7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lipca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2005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o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działalności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lobbingowej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w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procesie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stanowienia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prawa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(Dz.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U.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2017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r.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poz.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Pr="00587123">
        <w:rPr>
          <w:rFonts w:ascii="Times New Roman" w:hAnsi="Times New Roman" w:cs="Times New Roman"/>
          <w:szCs w:val="24"/>
        </w:rPr>
        <w:t>248</w:t>
      </w:r>
      <w:r w:rsidR="003C6916" w:rsidRPr="00587123">
        <w:rPr>
          <w:rFonts w:ascii="Times New Roman" w:hAnsi="Times New Roman" w:cs="Times New Roman"/>
          <w:szCs w:val="24"/>
        </w:rPr>
        <w:t>,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z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późn.</w:t>
      </w:r>
      <w:r w:rsidR="000C0D56" w:rsidRPr="00587123">
        <w:rPr>
          <w:rFonts w:ascii="Times New Roman" w:hAnsi="Times New Roman" w:cs="Times New Roman"/>
          <w:szCs w:val="24"/>
        </w:rPr>
        <w:t xml:space="preserve"> </w:t>
      </w:r>
      <w:r w:rsidR="003C6916" w:rsidRPr="00587123">
        <w:rPr>
          <w:rFonts w:ascii="Times New Roman" w:hAnsi="Times New Roman" w:cs="Times New Roman"/>
          <w:szCs w:val="24"/>
        </w:rPr>
        <w:t>zm.</w:t>
      </w:r>
      <w:r w:rsidRPr="00587123">
        <w:rPr>
          <w:rFonts w:ascii="Times New Roman" w:hAnsi="Times New Roman" w:cs="Times New Roman"/>
          <w:szCs w:val="24"/>
        </w:rPr>
        <w:t>).</w:t>
      </w:r>
    </w:p>
    <w:p w14:paraId="4BDA7FF3" w14:textId="75443668" w:rsidR="007C3433" w:rsidRPr="00587123" w:rsidRDefault="0086153B" w:rsidP="00587123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87123">
        <w:rPr>
          <w:rFonts w:eastAsiaTheme="minorHAnsi" w:cs="Times New Roman"/>
          <w:bCs w:val="0"/>
          <w:szCs w:val="24"/>
        </w:rPr>
        <w:t>Projekt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ustawy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zosta</w:t>
      </w:r>
      <w:r w:rsidR="00B9580B" w:rsidRPr="00587123">
        <w:rPr>
          <w:rFonts w:cs="Times New Roman"/>
          <w:bCs w:val="0"/>
          <w:szCs w:val="24"/>
        </w:rPr>
        <w:t>ł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umieszczony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w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Wykazie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prac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legislacyjnych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="00B9580B" w:rsidRPr="00587123">
        <w:rPr>
          <w:rFonts w:eastAsiaTheme="minorHAnsi" w:cs="Times New Roman"/>
          <w:bCs w:val="0"/>
          <w:szCs w:val="24"/>
        </w:rPr>
        <w:t>i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="00B9580B" w:rsidRPr="00587123">
        <w:rPr>
          <w:rFonts w:eastAsiaTheme="minorHAnsi" w:cs="Times New Roman"/>
          <w:bCs w:val="0"/>
          <w:szCs w:val="24"/>
        </w:rPr>
        <w:t>programowych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Rady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Pr="00587123">
        <w:rPr>
          <w:rFonts w:eastAsiaTheme="minorHAnsi" w:cs="Times New Roman"/>
          <w:bCs w:val="0"/>
          <w:szCs w:val="24"/>
        </w:rPr>
        <w:t>Ministrów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="00B9580B" w:rsidRPr="00587123">
        <w:rPr>
          <w:rFonts w:eastAsiaTheme="minorHAnsi" w:cs="Times New Roman"/>
          <w:bCs w:val="0"/>
          <w:szCs w:val="24"/>
        </w:rPr>
        <w:t>pod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="00B9580B" w:rsidRPr="00587123">
        <w:rPr>
          <w:rFonts w:eastAsiaTheme="minorHAnsi" w:cs="Times New Roman"/>
          <w:bCs w:val="0"/>
          <w:szCs w:val="24"/>
        </w:rPr>
        <w:t>nr</w:t>
      </w:r>
      <w:r w:rsidR="000C0D56" w:rsidRPr="00587123">
        <w:rPr>
          <w:rFonts w:eastAsiaTheme="minorHAnsi" w:cs="Times New Roman"/>
          <w:bCs w:val="0"/>
          <w:szCs w:val="24"/>
        </w:rPr>
        <w:t xml:space="preserve"> </w:t>
      </w:r>
      <w:r w:rsidR="00B9580B" w:rsidRPr="00587123">
        <w:rPr>
          <w:rFonts w:eastAsiaTheme="minorHAnsi" w:cs="Times New Roman"/>
          <w:bCs w:val="0"/>
          <w:szCs w:val="24"/>
        </w:rPr>
        <w:t>UC78</w:t>
      </w:r>
      <w:r w:rsidRPr="00587123">
        <w:rPr>
          <w:rFonts w:eastAsiaTheme="minorHAnsi" w:cs="Times New Roman"/>
          <w:bCs w:val="0"/>
          <w:szCs w:val="24"/>
        </w:rPr>
        <w:t>.</w:t>
      </w:r>
      <w:r w:rsidR="000C0D56" w:rsidRPr="00587123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7C3433" w:rsidRPr="00587123" w:rsidSect="000F794E">
      <w:footerReference w:type="default" r:id="rId14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B78B" w14:textId="77777777" w:rsidR="002144CF" w:rsidRDefault="002144CF">
      <w:r>
        <w:separator/>
      </w:r>
    </w:p>
  </w:endnote>
  <w:endnote w:type="continuationSeparator" w:id="0">
    <w:p w14:paraId="443AC274" w14:textId="77777777" w:rsidR="002144CF" w:rsidRDefault="0021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MS Gothic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971860"/>
      <w:docPartObj>
        <w:docPartGallery w:val="Page Numbers (Bottom of Page)"/>
        <w:docPartUnique/>
      </w:docPartObj>
    </w:sdtPr>
    <w:sdtEndPr/>
    <w:sdtContent>
      <w:p w14:paraId="58F86AB4" w14:textId="759EA786" w:rsidR="002E52BF" w:rsidRDefault="002E52BF" w:rsidP="002E52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A541" w14:textId="77777777" w:rsidR="002144CF" w:rsidRDefault="002144CF">
      <w:r>
        <w:separator/>
      </w:r>
    </w:p>
  </w:footnote>
  <w:footnote w:type="continuationSeparator" w:id="0">
    <w:p w14:paraId="2B0C0779" w14:textId="77777777" w:rsidR="002144CF" w:rsidRDefault="0021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1"/>
    <w:rsid w:val="000012DA"/>
    <w:rsid w:val="00002316"/>
    <w:rsid w:val="0000246E"/>
    <w:rsid w:val="00003862"/>
    <w:rsid w:val="00005D92"/>
    <w:rsid w:val="00007ADC"/>
    <w:rsid w:val="00012A35"/>
    <w:rsid w:val="000134A1"/>
    <w:rsid w:val="0001594A"/>
    <w:rsid w:val="0001607D"/>
    <w:rsid w:val="00016099"/>
    <w:rsid w:val="000173C6"/>
    <w:rsid w:val="00017DC2"/>
    <w:rsid w:val="00021522"/>
    <w:rsid w:val="00022C3D"/>
    <w:rsid w:val="00023471"/>
    <w:rsid w:val="00023D11"/>
    <w:rsid w:val="00023F13"/>
    <w:rsid w:val="0003058D"/>
    <w:rsid w:val="00030634"/>
    <w:rsid w:val="000319C1"/>
    <w:rsid w:val="00031A8B"/>
    <w:rsid w:val="00031BCA"/>
    <w:rsid w:val="000330FA"/>
    <w:rsid w:val="0003362F"/>
    <w:rsid w:val="00036B63"/>
    <w:rsid w:val="000377B8"/>
    <w:rsid w:val="00037E1A"/>
    <w:rsid w:val="00040BDC"/>
    <w:rsid w:val="00043495"/>
    <w:rsid w:val="00044008"/>
    <w:rsid w:val="000452E3"/>
    <w:rsid w:val="00046A75"/>
    <w:rsid w:val="00047312"/>
    <w:rsid w:val="000508BD"/>
    <w:rsid w:val="000517AB"/>
    <w:rsid w:val="00052473"/>
    <w:rsid w:val="00052B67"/>
    <w:rsid w:val="0005339C"/>
    <w:rsid w:val="0005571B"/>
    <w:rsid w:val="00055C27"/>
    <w:rsid w:val="00056987"/>
    <w:rsid w:val="00056A7F"/>
    <w:rsid w:val="00057AB3"/>
    <w:rsid w:val="00060076"/>
    <w:rsid w:val="00060432"/>
    <w:rsid w:val="00060D87"/>
    <w:rsid w:val="000615A5"/>
    <w:rsid w:val="00064105"/>
    <w:rsid w:val="00064E4C"/>
    <w:rsid w:val="00064F16"/>
    <w:rsid w:val="000663F0"/>
    <w:rsid w:val="00066901"/>
    <w:rsid w:val="00071575"/>
    <w:rsid w:val="00071BEE"/>
    <w:rsid w:val="000720FA"/>
    <w:rsid w:val="000736CD"/>
    <w:rsid w:val="00074BCE"/>
    <w:rsid w:val="000752A7"/>
    <w:rsid w:val="0007533B"/>
    <w:rsid w:val="0007545D"/>
    <w:rsid w:val="000760BF"/>
    <w:rsid w:val="0007613E"/>
    <w:rsid w:val="00076BFC"/>
    <w:rsid w:val="000814A7"/>
    <w:rsid w:val="00081E90"/>
    <w:rsid w:val="0008304A"/>
    <w:rsid w:val="0008557B"/>
    <w:rsid w:val="000855DF"/>
    <w:rsid w:val="00085CE7"/>
    <w:rsid w:val="000906EE"/>
    <w:rsid w:val="000909FF"/>
    <w:rsid w:val="00091BA2"/>
    <w:rsid w:val="00093B7E"/>
    <w:rsid w:val="000944EF"/>
    <w:rsid w:val="00097098"/>
    <w:rsid w:val="0009732D"/>
    <w:rsid w:val="000973F0"/>
    <w:rsid w:val="000A1296"/>
    <w:rsid w:val="000A16AE"/>
    <w:rsid w:val="000A1C27"/>
    <w:rsid w:val="000A1DAD"/>
    <w:rsid w:val="000A2649"/>
    <w:rsid w:val="000A323B"/>
    <w:rsid w:val="000A395E"/>
    <w:rsid w:val="000A6A21"/>
    <w:rsid w:val="000A6BD0"/>
    <w:rsid w:val="000A7E7E"/>
    <w:rsid w:val="000B298D"/>
    <w:rsid w:val="000B5B2D"/>
    <w:rsid w:val="000B5DCE"/>
    <w:rsid w:val="000B604D"/>
    <w:rsid w:val="000B64EE"/>
    <w:rsid w:val="000C05BA"/>
    <w:rsid w:val="000C0D56"/>
    <w:rsid w:val="000C0E8F"/>
    <w:rsid w:val="000C3EC4"/>
    <w:rsid w:val="000C4BC4"/>
    <w:rsid w:val="000C530D"/>
    <w:rsid w:val="000D0110"/>
    <w:rsid w:val="000D06E7"/>
    <w:rsid w:val="000D0B67"/>
    <w:rsid w:val="000D188A"/>
    <w:rsid w:val="000D2468"/>
    <w:rsid w:val="000D2CFF"/>
    <w:rsid w:val="000D318A"/>
    <w:rsid w:val="000D6173"/>
    <w:rsid w:val="000D6F83"/>
    <w:rsid w:val="000D73AD"/>
    <w:rsid w:val="000E029A"/>
    <w:rsid w:val="000E25CC"/>
    <w:rsid w:val="000E3694"/>
    <w:rsid w:val="000E490F"/>
    <w:rsid w:val="000E6241"/>
    <w:rsid w:val="000F2BE3"/>
    <w:rsid w:val="000F3D0D"/>
    <w:rsid w:val="000F6ED4"/>
    <w:rsid w:val="000F794E"/>
    <w:rsid w:val="000F7A6E"/>
    <w:rsid w:val="00100FB0"/>
    <w:rsid w:val="00101185"/>
    <w:rsid w:val="001042BA"/>
    <w:rsid w:val="00106D03"/>
    <w:rsid w:val="00110465"/>
    <w:rsid w:val="00110628"/>
    <w:rsid w:val="001114A3"/>
    <w:rsid w:val="0011245A"/>
    <w:rsid w:val="0011493E"/>
    <w:rsid w:val="00115B72"/>
    <w:rsid w:val="00117120"/>
    <w:rsid w:val="001209EC"/>
    <w:rsid w:val="00120A9E"/>
    <w:rsid w:val="00120F78"/>
    <w:rsid w:val="00121453"/>
    <w:rsid w:val="00121F69"/>
    <w:rsid w:val="00125982"/>
    <w:rsid w:val="00125A9C"/>
    <w:rsid w:val="001270A2"/>
    <w:rsid w:val="001278FC"/>
    <w:rsid w:val="00131237"/>
    <w:rsid w:val="001329AC"/>
    <w:rsid w:val="00133AB7"/>
    <w:rsid w:val="00134CA0"/>
    <w:rsid w:val="00137AB1"/>
    <w:rsid w:val="0014026F"/>
    <w:rsid w:val="00140292"/>
    <w:rsid w:val="00141710"/>
    <w:rsid w:val="00143E5B"/>
    <w:rsid w:val="00146982"/>
    <w:rsid w:val="001474AA"/>
    <w:rsid w:val="00147A47"/>
    <w:rsid w:val="00147AA1"/>
    <w:rsid w:val="001520CF"/>
    <w:rsid w:val="00152CB8"/>
    <w:rsid w:val="0015667C"/>
    <w:rsid w:val="00157110"/>
    <w:rsid w:val="0015742A"/>
    <w:rsid w:val="00157DA1"/>
    <w:rsid w:val="00163147"/>
    <w:rsid w:val="0016340C"/>
    <w:rsid w:val="00164C57"/>
    <w:rsid w:val="00164C9D"/>
    <w:rsid w:val="0016778E"/>
    <w:rsid w:val="00171604"/>
    <w:rsid w:val="00172F7A"/>
    <w:rsid w:val="00173150"/>
    <w:rsid w:val="00173390"/>
    <w:rsid w:val="001736F0"/>
    <w:rsid w:val="00173BB3"/>
    <w:rsid w:val="00173FE1"/>
    <w:rsid w:val="001740D0"/>
    <w:rsid w:val="00174F2C"/>
    <w:rsid w:val="001757D7"/>
    <w:rsid w:val="00176E3F"/>
    <w:rsid w:val="00180F2A"/>
    <w:rsid w:val="00184B91"/>
    <w:rsid w:val="00184D4A"/>
    <w:rsid w:val="00186EC1"/>
    <w:rsid w:val="001877FA"/>
    <w:rsid w:val="0019152F"/>
    <w:rsid w:val="00191E1F"/>
    <w:rsid w:val="0019473B"/>
    <w:rsid w:val="001951B3"/>
    <w:rsid w:val="001952B1"/>
    <w:rsid w:val="00196E39"/>
    <w:rsid w:val="00197649"/>
    <w:rsid w:val="001A01FB"/>
    <w:rsid w:val="001A10E9"/>
    <w:rsid w:val="001A15B6"/>
    <w:rsid w:val="001A183D"/>
    <w:rsid w:val="001A2B65"/>
    <w:rsid w:val="001A3BFC"/>
    <w:rsid w:val="001A3CD3"/>
    <w:rsid w:val="001A5BEF"/>
    <w:rsid w:val="001A68C0"/>
    <w:rsid w:val="001A77CF"/>
    <w:rsid w:val="001A7F15"/>
    <w:rsid w:val="001B342E"/>
    <w:rsid w:val="001B56D3"/>
    <w:rsid w:val="001C0F41"/>
    <w:rsid w:val="001C1832"/>
    <w:rsid w:val="001C188C"/>
    <w:rsid w:val="001C1D36"/>
    <w:rsid w:val="001C287C"/>
    <w:rsid w:val="001C5D8B"/>
    <w:rsid w:val="001C77AF"/>
    <w:rsid w:val="001D133A"/>
    <w:rsid w:val="001D1783"/>
    <w:rsid w:val="001D3AC3"/>
    <w:rsid w:val="001D53CD"/>
    <w:rsid w:val="001D5486"/>
    <w:rsid w:val="001D55A3"/>
    <w:rsid w:val="001D5AF5"/>
    <w:rsid w:val="001D5B0A"/>
    <w:rsid w:val="001D5C71"/>
    <w:rsid w:val="001E0543"/>
    <w:rsid w:val="001E1E73"/>
    <w:rsid w:val="001E2F9C"/>
    <w:rsid w:val="001E3F2B"/>
    <w:rsid w:val="001E4E0C"/>
    <w:rsid w:val="001E526D"/>
    <w:rsid w:val="001E5655"/>
    <w:rsid w:val="001F1832"/>
    <w:rsid w:val="001F220F"/>
    <w:rsid w:val="001F25B3"/>
    <w:rsid w:val="001F3D69"/>
    <w:rsid w:val="001F6616"/>
    <w:rsid w:val="002014F1"/>
    <w:rsid w:val="00202BD4"/>
    <w:rsid w:val="0020410A"/>
    <w:rsid w:val="00204A97"/>
    <w:rsid w:val="002114EF"/>
    <w:rsid w:val="00211657"/>
    <w:rsid w:val="00211F22"/>
    <w:rsid w:val="00213EF0"/>
    <w:rsid w:val="002144CF"/>
    <w:rsid w:val="002160FC"/>
    <w:rsid w:val="002166AD"/>
    <w:rsid w:val="002171BB"/>
    <w:rsid w:val="0021760B"/>
    <w:rsid w:val="00217871"/>
    <w:rsid w:val="002214FC"/>
    <w:rsid w:val="00221ED8"/>
    <w:rsid w:val="002231EA"/>
    <w:rsid w:val="00223FDF"/>
    <w:rsid w:val="002279C0"/>
    <w:rsid w:val="0023507F"/>
    <w:rsid w:val="0023727E"/>
    <w:rsid w:val="00241022"/>
    <w:rsid w:val="00242081"/>
    <w:rsid w:val="00243777"/>
    <w:rsid w:val="002441CD"/>
    <w:rsid w:val="002501A3"/>
    <w:rsid w:val="00251103"/>
    <w:rsid w:val="0025166C"/>
    <w:rsid w:val="00254610"/>
    <w:rsid w:val="00254D77"/>
    <w:rsid w:val="002555D4"/>
    <w:rsid w:val="002558B7"/>
    <w:rsid w:val="00255C46"/>
    <w:rsid w:val="00261594"/>
    <w:rsid w:val="00261A16"/>
    <w:rsid w:val="00262EC8"/>
    <w:rsid w:val="00263522"/>
    <w:rsid w:val="00264D62"/>
    <w:rsid w:val="00264EC6"/>
    <w:rsid w:val="00266DB8"/>
    <w:rsid w:val="00271013"/>
    <w:rsid w:val="002734F5"/>
    <w:rsid w:val="00273FE4"/>
    <w:rsid w:val="00275909"/>
    <w:rsid w:val="002765B4"/>
    <w:rsid w:val="00276A94"/>
    <w:rsid w:val="00277723"/>
    <w:rsid w:val="00277D00"/>
    <w:rsid w:val="00283AE5"/>
    <w:rsid w:val="00285BB9"/>
    <w:rsid w:val="00290605"/>
    <w:rsid w:val="0029405D"/>
    <w:rsid w:val="00294FA6"/>
    <w:rsid w:val="00295A6F"/>
    <w:rsid w:val="00295B6F"/>
    <w:rsid w:val="002967BA"/>
    <w:rsid w:val="002A17A2"/>
    <w:rsid w:val="002A20C4"/>
    <w:rsid w:val="002A27D1"/>
    <w:rsid w:val="002A28EA"/>
    <w:rsid w:val="002A570F"/>
    <w:rsid w:val="002A7292"/>
    <w:rsid w:val="002A7358"/>
    <w:rsid w:val="002A7902"/>
    <w:rsid w:val="002B0F6B"/>
    <w:rsid w:val="002B1D52"/>
    <w:rsid w:val="002B23B8"/>
    <w:rsid w:val="002B4429"/>
    <w:rsid w:val="002B5BA9"/>
    <w:rsid w:val="002B68A6"/>
    <w:rsid w:val="002B7FAF"/>
    <w:rsid w:val="002C483D"/>
    <w:rsid w:val="002C57D4"/>
    <w:rsid w:val="002C748F"/>
    <w:rsid w:val="002D0C4F"/>
    <w:rsid w:val="002D1364"/>
    <w:rsid w:val="002D478A"/>
    <w:rsid w:val="002D47AB"/>
    <w:rsid w:val="002D4D30"/>
    <w:rsid w:val="002D5000"/>
    <w:rsid w:val="002D53EA"/>
    <w:rsid w:val="002D598D"/>
    <w:rsid w:val="002D7188"/>
    <w:rsid w:val="002D7496"/>
    <w:rsid w:val="002E1DE3"/>
    <w:rsid w:val="002E2AB6"/>
    <w:rsid w:val="002E3F34"/>
    <w:rsid w:val="002E48AC"/>
    <w:rsid w:val="002E52BF"/>
    <w:rsid w:val="002E5F79"/>
    <w:rsid w:val="002E64FA"/>
    <w:rsid w:val="002E70FB"/>
    <w:rsid w:val="002F03CA"/>
    <w:rsid w:val="002F0A00"/>
    <w:rsid w:val="002F0CFA"/>
    <w:rsid w:val="002F2401"/>
    <w:rsid w:val="002F669F"/>
    <w:rsid w:val="0030037F"/>
    <w:rsid w:val="00300B8A"/>
    <w:rsid w:val="00301297"/>
    <w:rsid w:val="003018A6"/>
    <w:rsid w:val="00301C97"/>
    <w:rsid w:val="00303901"/>
    <w:rsid w:val="00304E6F"/>
    <w:rsid w:val="003070CC"/>
    <w:rsid w:val="00307E12"/>
    <w:rsid w:val="0031004C"/>
    <w:rsid w:val="003105F6"/>
    <w:rsid w:val="00311297"/>
    <w:rsid w:val="003113BE"/>
    <w:rsid w:val="003122CA"/>
    <w:rsid w:val="003148FD"/>
    <w:rsid w:val="0032033C"/>
    <w:rsid w:val="00321080"/>
    <w:rsid w:val="00322D45"/>
    <w:rsid w:val="003254EC"/>
    <w:rsid w:val="0032569A"/>
    <w:rsid w:val="00325A1F"/>
    <w:rsid w:val="003268F9"/>
    <w:rsid w:val="00330BAF"/>
    <w:rsid w:val="00332C06"/>
    <w:rsid w:val="00334E3A"/>
    <w:rsid w:val="003361DD"/>
    <w:rsid w:val="00341A6A"/>
    <w:rsid w:val="00341AC5"/>
    <w:rsid w:val="00345B9C"/>
    <w:rsid w:val="00347F80"/>
    <w:rsid w:val="0035275A"/>
    <w:rsid w:val="00352DAE"/>
    <w:rsid w:val="00354EB9"/>
    <w:rsid w:val="00357949"/>
    <w:rsid w:val="003602AE"/>
    <w:rsid w:val="003605CD"/>
    <w:rsid w:val="00360929"/>
    <w:rsid w:val="0036181F"/>
    <w:rsid w:val="003647D5"/>
    <w:rsid w:val="00365CE9"/>
    <w:rsid w:val="003674B0"/>
    <w:rsid w:val="0037727C"/>
    <w:rsid w:val="00377E70"/>
    <w:rsid w:val="00380904"/>
    <w:rsid w:val="003823EE"/>
    <w:rsid w:val="00382960"/>
    <w:rsid w:val="00382F1A"/>
    <w:rsid w:val="003846F7"/>
    <w:rsid w:val="003851ED"/>
    <w:rsid w:val="00385B39"/>
    <w:rsid w:val="00386785"/>
    <w:rsid w:val="00390D8A"/>
    <w:rsid w:val="00390E89"/>
    <w:rsid w:val="00391B1A"/>
    <w:rsid w:val="00392875"/>
    <w:rsid w:val="00394318"/>
    <w:rsid w:val="00394423"/>
    <w:rsid w:val="00396942"/>
    <w:rsid w:val="00396B49"/>
    <w:rsid w:val="00396CC4"/>
    <w:rsid w:val="00396E3E"/>
    <w:rsid w:val="003970D5"/>
    <w:rsid w:val="0039788D"/>
    <w:rsid w:val="003A2B8A"/>
    <w:rsid w:val="003A306E"/>
    <w:rsid w:val="003A52D4"/>
    <w:rsid w:val="003A60DC"/>
    <w:rsid w:val="003A6A46"/>
    <w:rsid w:val="003A7A63"/>
    <w:rsid w:val="003B000C"/>
    <w:rsid w:val="003B0F1D"/>
    <w:rsid w:val="003B4A57"/>
    <w:rsid w:val="003B6708"/>
    <w:rsid w:val="003B6E01"/>
    <w:rsid w:val="003C0AD9"/>
    <w:rsid w:val="003C0ED0"/>
    <w:rsid w:val="003C1D49"/>
    <w:rsid w:val="003C35C4"/>
    <w:rsid w:val="003C5444"/>
    <w:rsid w:val="003C664D"/>
    <w:rsid w:val="003C67A4"/>
    <w:rsid w:val="003C6916"/>
    <w:rsid w:val="003D12C2"/>
    <w:rsid w:val="003D1C8F"/>
    <w:rsid w:val="003D31B9"/>
    <w:rsid w:val="003D3787"/>
    <w:rsid w:val="003D3867"/>
    <w:rsid w:val="003D6A09"/>
    <w:rsid w:val="003E0D1A"/>
    <w:rsid w:val="003E2707"/>
    <w:rsid w:val="003E2DA3"/>
    <w:rsid w:val="003E31A3"/>
    <w:rsid w:val="003F020D"/>
    <w:rsid w:val="003F03D9"/>
    <w:rsid w:val="003F29E8"/>
    <w:rsid w:val="003F2FBE"/>
    <w:rsid w:val="003F318D"/>
    <w:rsid w:val="003F5BAE"/>
    <w:rsid w:val="003F6ED7"/>
    <w:rsid w:val="003F7ED0"/>
    <w:rsid w:val="0040192D"/>
    <w:rsid w:val="00401C84"/>
    <w:rsid w:val="0040257D"/>
    <w:rsid w:val="00403210"/>
    <w:rsid w:val="004035BB"/>
    <w:rsid w:val="004035EB"/>
    <w:rsid w:val="00407332"/>
    <w:rsid w:val="00407828"/>
    <w:rsid w:val="00410ADE"/>
    <w:rsid w:val="00413D8E"/>
    <w:rsid w:val="004140F2"/>
    <w:rsid w:val="00417B22"/>
    <w:rsid w:val="00420889"/>
    <w:rsid w:val="00421085"/>
    <w:rsid w:val="0042465E"/>
    <w:rsid w:val="00424DF7"/>
    <w:rsid w:val="004311CB"/>
    <w:rsid w:val="00432B76"/>
    <w:rsid w:val="00432EE0"/>
    <w:rsid w:val="00433557"/>
    <w:rsid w:val="00434D01"/>
    <w:rsid w:val="00435D26"/>
    <w:rsid w:val="00440C99"/>
    <w:rsid w:val="0044175C"/>
    <w:rsid w:val="00445F4D"/>
    <w:rsid w:val="004504C0"/>
    <w:rsid w:val="004550FB"/>
    <w:rsid w:val="0045641B"/>
    <w:rsid w:val="004608BF"/>
    <w:rsid w:val="00460C6B"/>
    <w:rsid w:val="0046111A"/>
    <w:rsid w:val="00462946"/>
    <w:rsid w:val="00462F61"/>
    <w:rsid w:val="00463357"/>
    <w:rsid w:val="00463376"/>
    <w:rsid w:val="00463A8C"/>
    <w:rsid w:val="00463F43"/>
    <w:rsid w:val="00464B94"/>
    <w:rsid w:val="004653A8"/>
    <w:rsid w:val="00465A0B"/>
    <w:rsid w:val="0047077C"/>
    <w:rsid w:val="00470B05"/>
    <w:rsid w:val="0047146B"/>
    <w:rsid w:val="00471606"/>
    <w:rsid w:val="0047207C"/>
    <w:rsid w:val="00472CD6"/>
    <w:rsid w:val="00474E3C"/>
    <w:rsid w:val="00475377"/>
    <w:rsid w:val="00477488"/>
    <w:rsid w:val="00480A58"/>
    <w:rsid w:val="004810DC"/>
    <w:rsid w:val="00481C6F"/>
    <w:rsid w:val="00482151"/>
    <w:rsid w:val="00485FAD"/>
    <w:rsid w:val="00487AED"/>
    <w:rsid w:val="004912D8"/>
    <w:rsid w:val="00491EDF"/>
    <w:rsid w:val="00492A3F"/>
    <w:rsid w:val="00494F62"/>
    <w:rsid w:val="00497DC8"/>
    <w:rsid w:val="004A2001"/>
    <w:rsid w:val="004A3590"/>
    <w:rsid w:val="004A3611"/>
    <w:rsid w:val="004A557E"/>
    <w:rsid w:val="004A5826"/>
    <w:rsid w:val="004A6F57"/>
    <w:rsid w:val="004B00A7"/>
    <w:rsid w:val="004B25E2"/>
    <w:rsid w:val="004B34D7"/>
    <w:rsid w:val="004B5037"/>
    <w:rsid w:val="004B5B2F"/>
    <w:rsid w:val="004B626A"/>
    <w:rsid w:val="004B660E"/>
    <w:rsid w:val="004C05BD"/>
    <w:rsid w:val="004C0993"/>
    <w:rsid w:val="004C110C"/>
    <w:rsid w:val="004C3B06"/>
    <w:rsid w:val="004C3F97"/>
    <w:rsid w:val="004C5219"/>
    <w:rsid w:val="004C55C4"/>
    <w:rsid w:val="004C57C0"/>
    <w:rsid w:val="004C7EE7"/>
    <w:rsid w:val="004D2DEE"/>
    <w:rsid w:val="004D2E1F"/>
    <w:rsid w:val="004D3FAE"/>
    <w:rsid w:val="004D4397"/>
    <w:rsid w:val="004D530A"/>
    <w:rsid w:val="004D560C"/>
    <w:rsid w:val="004D71B7"/>
    <w:rsid w:val="004D7FD9"/>
    <w:rsid w:val="004E1324"/>
    <w:rsid w:val="004E19A5"/>
    <w:rsid w:val="004E2C2B"/>
    <w:rsid w:val="004E369A"/>
    <w:rsid w:val="004E37E5"/>
    <w:rsid w:val="004E3FDB"/>
    <w:rsid w:val="004E7998"/>
    <w:rsid w:val="004F1F4A"/>
    <w:rsid w:val="004F296D"/>
    <w:rsid w:val="004F315B"/>
    <w:rsid w:val="004F440B"/>
    <w:rsid w:val="004F508B"/>
    <w:rsid w:val="004F695F"/>
    <w:rsid w:val="004F6CA4"/>
    <w:rsid w:val="00500752"/>
    <w:rsid w:val="00501A50"/>
    <w:rsid w:val="0050222D"/>
    <w:rsid w:val="00502DCC"/>
    <w:rsid w:val="00502E24"/>
    <w:rsid w:val="005032DA"/>
    <w:rsid w:val="00503AF3"/>
    <w:rsid w:val="0050696D"/>
    <w:rsid w:val="00506B66"/>
    <w:rsid w:val="00506C5C"/>
    <w:rsid w:val="00506E34"/>
    <w:rsid w:val="0051094B"/>
    <w:rsid w:val="005110D7"/>
    <w:rsid w:val="00511D99"/>
    <w:rsid w:val="005128D3"/>
    <w:rsid w:val="005147E8"/>
    <w:rsid w:val="005158F2"/>
    <w:rsid w:val="00516B6E"/>
    <w:rsid w:val="00520793"/>
    <w:rsid w:val="005228CF"/>
    <w:rsid w:val="00524650"/>
    <w:rsid w:val="00526C71"/>
    <w:rsid w:val="00526DFC"/>
    <w:rsid w:val="00526F43"/>
    <w:rsid w:val="00527651"/>
    <w:rsid w:val="0052770F"/>
    <w:rsid w:val="00535EEB"/>
    <w:rsid w:val="005363AB"/>
    <w:rsid w:val="00536E83"/>
    <w:rsid w:val="00541140"/>
    <w:rsid w:val="00544A99"/>
    <w:rsid w:val="00544EF4"/>
    <w:rsid w:val="00545E53"/>
    <w:rsid w:val="00546DC7"/>
    <w:rsid w:val="005479D9"/>
    <w:rsid w:val="00552F43"/>
    <w:rsid w:val="00556F62"/>
    <w:rsid w:val="005572BD"/>
    <w:rsid w:val="00557A12"/>
    <w:rsid w:val="00560AC7"/>
    <w:rsid w:val="00561AFB"/>
    <w:rsid w:val="00561FA8"/>
    <w:rsid w:val="005635ED"/>
    <w:rsid w:val="005646F6"/>
    <w:rsid w:val="00564B1B"/>
    <w:rsid w:val="00565253"/>
    <w:rsid w:val="00565DD2"/>
    <w:rsid w:val="00566DD0"/>
    <w:rsid w:val="005670BD"/>
    <w:rsid w:val="00567C1A"/>
    <w:rsid w:val="00570191"/>
    <w:rsid w:val="00570570"/>
    <w:rsid w:val="00572512"/>
    <w:rsid w:val="00573BB5"/>
    <w:rsid w:val="00573EE6"/>
    <w:rsid w:val="0057547F"/>
    <w:rsid w:val="005754EE"/>
    <w:rsid w:val="00575FEA"/>
    <w:rsid w:val="0057617E"/>
    <w:rsid w:val="00576497"/>
    <w:rsid w:val="00582486"/>
    <w:rsid w:val="005835E7"/>
    <w:rsid w:val="0058397F"/>
    <w:rsid w:val="00583BF8"/>
    <w:rsid w:val="00584C30"/>
    <w:rsid w:val="00585F33"/>
    <w:rsid w:val="00587123"/>
    <w:rsid w:val="00591124"/>
    <w:rsid w:val="00594D51"/>
    <w:rsid w:val="00597024"/>
    <w:rsid w:val="0059779E"/>
    <w:rsid w:val="005A0274"/>
    <w:rsid w:val="005A095C"/>
    <w:rsid w:val="005A0D2A"/>
    <w:rsid w:val="005A0D58"/>
    <w:rsid w:val="005A3BBD"/>
    <w:rsid w:val="005A669D"/>
    <w:rsid w:val="005A75D8"/>
    <w:rsid w:val="005B31A6"/>
    <w:rsid w:val="005B713E"/>
    <w:rsid w:val="005C03B6"/>
    <w:rsid w:val="005C1A5B"/>
    <w:rsid w:val="005C348E"/>
    <w:rsid w:val="005C40AD"/>
    <w:rsid w:val="005C64A8"/>
    <w:rsid w:val="005C68E1"/>
    <w:rsid w:val="005D3763"/>
    <w:rsid w:val="005D55E1"/>
    <w:rsid w:val="005E19F7"/>
    <w:rsid w:val="005E24F8"/>
    <w:rsid w:val="005E4F04"/>
    <w:rsid w:val="005E62C2"/>
    <w:rsid w:val="005E6C71"/>
    <w:rsid w:val="005F0963"/>
    <w:rsid w:val="005F16C4"/>
    <w:rsid w:val="005F2824"/>
    <w:rsid w:val="005F2EBA"/>
    <w:rsid w:val="005F35ED"/>
    <w:rsid w:val="005F4014"/>
    <w:rsid w:val="005F4230"/>
    <w:rsid w:val="005F7812"/>
    <w:rsid w:val="005F7A88"/>
    <w:rsid w:val="00603A1A"/>
    <w:rsid w:val="006046D5"/>
    <w:rsid w:val="00605F1D"/>
    <w:rsid w:val="006079D7"/>
    <w:rsid w:val="00607A93"/>
    <w:rsid w:val="00610C08"/>
    <w:rsid w:val="00611938"/>
    <w:rsid w:val="00611F74"/>
    <w:rsid w:val="00615772"/>
    <w:rsid w:val="00621256"/>
    <w:rsid w:val="0062191C"/>
    <w:rsid w:val="00621FCC"/>
    <w:rsid w:val="00622E4B"/>
    <w:rsid w:val="0062488C"/>
    <w:rsid w:val="006250F7"/>
    <w:rsid w:val="00627CEC"/>
    <w:rsid w:val="00627D51"/>
    <w:rsid w:val="006333DA"/>
    <w:rsid w:val="00633532"/>
    <w:rsid w:val="00635134"/>
    <w:rsid w:val="006351B1"/>
    <w:rsid w:val="006356E2"/>
    <w:rsid w:val="006378C4"/>
    <w:rsid w:val="006415E8"/>
    <w:rsid w:val="00642A65"/>
    <w:rsid w:val="00645DCE"/>
    <w:rsid w:val="006465AC"/>
    <w:rsid w:val="006465BF"/>
    <w:rsid w:val="00647AE9"/>
    <w:rsid w:val="00652024"/>
    <w:rsid w:val="00653B22"/>
    <w:rsid w:val="00653DB5"/>
    <w:rsid w:val="00655984"/>
    <w:rsid w:val="00657BF4"/>
    <w:rsid w:val="006603FB"/>
    <w:rsid w:val="006608DF"/>
    <w:rsid w:val="006623AC"/>
    <w:rsid w:val="00663CFD"/>
    <w:rsid w:val="006678AF"/>
    <w:rsid w:val="006701EF"/>
    <w:rsid w:val="00672132"/>
    <w:rsid w:val="00672C64"/>
    <w:rsid w:val="00673A3D"/>
    <w:rsid w:val="00673BA5"/>
    <w:rsid w:val="00680058"/>
    <w:rsid w:val="00680592"/>
    <w:rsid w:val="00681F9F"/>
    <w:rsid w:val="006840EA"/>
    <w:rsid w:val="006844E2"/>
    <w:rsid w:val="00685267"/>
    <w:rsid w:val="006872AE"/>
    <w:rsid w:val="00690082"/>
    <w:rsid w:val="0069010F"/>
    <w:rsid w:val="00690252"/>
    <w:rsid w:val="006946BB"/>
    <w:rsid w:val="006969FA"/>
    <w:rsid w:val="00696B56"/>
    <w:rsid w:val="006A35D5"/>
    <w:rsid w:val="006A748A"/>
    <w:rsid w:val="006B02E1"/>
    <w:rsid w:val="006B1DAB"/>
    <w:rsid w:val="006B4DE5"/>
    <w:rsid w:val="006C419E"/>
    <w:rsid w:val="006C4A31"/>
    <w:rsid w:val="006C5AC2"/>
    <w:rsid w:val="006C6AFB"/>
    <w:rsid w:val="006D2735"/>
    <w:rsid w:val="006D27DD"/>
    <w:rsid w:val="006D395A"/>
    <w:rsid w:val="006D45B2"/>
    <w:rsid w:val="006D6EBF"/>
    <w:rsid w:val="006E0FCC"/>
    <w:rsid w:val="006E1E96"/>
    <w:rsid w:val="006E2908"/>
    <w:rsid w:val="006E3940"/>
    <w:rsid w:val="006E592D"/>
    <w:rsid w:val="006E5E21"/>
    <w:rsid w:val="006F2648"/>
    <w:rsid w:val="006F2F10"/>
    <w:rsid w:val="006F2FC2"/>
    <w:rsid w:val="006F482B"/>
    <w:rsid w:val="006F4BE6"/>
    <w:rsid w:val="006F6311"/>
    <w:rsid w:val="00700D53"/>
    <w:rsid w:val="00701952"/>
    <w:rsid w:val="00702556"/>
    <w:rsid w:val="0070277E"/>
    <w:rsid w:val="00704156"/>
    <w:rsid w:val="007069FC"/>
    <w:rsid w:val="00706CA8"/>
    <w:rsid w:val="00707440"/>
    <w:rsid w:val="00710A0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1DE"/>
    <w:rsid w:val="0072457F"/>
    <w:rsid w:val="00725406"/>
    <w:rsid w:val="00725EB8"/>
    <w:rsid w:val="0072621B"/>
    <w:rsid w:val="00726C36"/>
    <w:rsid w:val="0072756E"/>
    <w:rsid w:val="00730555"/>
    <w:rsid w:val="007312CC"/>
    <w:rsid w:val="00734309"/>
    <w:rsid w:val="007364C4"/>
    <w:rsid w:val="00736A64"/>
    <w:rsid w:val="00737F6A"/>
    <w:rsid w:val="00740045"/>
    <w:rsid w:val="00740B4A"/>
    <w:rsid w:val="007410B6"/>
    <w:rsid w:val="00744C6F"/>
    <w:rsid w:val="007457F6"/>
    <w:rsid w:val="00745ABB"/>
    <w:rsid w:val="00746E38"/>
    <w:rsid w:val="00747CD5"/>
    <w:rsid w:val="0075319C"/>
    <w:rsid w:val="00753B51"/>
    <w:rsid w:val="00753BC8"/>
    <w:rsid w:val="00756629"/>
    <w:rsid w:val="007575D2"/>
    <w:rsid w:val="00757B4F"/>
    <w:rsid w:val="00757B6A"/>
    <w:rsid w:val="007610E0"/>
    <w:rsid w:val="007621AA"/>
    <w:rsid w:val="0076260A"/>
    <w:rsid w:val="00762ACF"/>
    <w:rsid w:val="00764A67"/>
    <w:rsid w:val="00766482"/>
    <w:rsid w:val="00767A0C"/>
    <w:rsid w:val="00770F6B"/>
    <w:rsid w:val="00771883"/>
    <w:rsid w:val="00774BB3"/>
    <w:rsid w:val="0077664D"/>
    <w:rsid w:val="00776DC2"/>
    <w:rsid w:val="00777C63"/>
    <w:rsid w:val="00780122"/>
    <w:rsid w:val="0078214B"/>
    <w:rsid w:val="0078498A"/>
    <w:rsid w:val="0079016F"/>
    <w:rsid w:val="00791367"/>
    <w:rsid w:val="00792207"/>
    <w:rsid w:val="00792B64"/>
    <w:rsid w:val="00792E29"/>
    <w:rsid w:val="0079379A"/>
    <w:rsid w:val="00794953"/>
    <w:rsid w:val="007968C8"/>
    <w:rsid w:val="00797C5A"/>
    <w:rsid w:val="007A001E"/>
    <w:rsid w:val="007A00F5"/>
    <w:rsid w:val="007A1F2F"/>
    <w:rsid w:val="007A2A5C"/>
    <w:rsid w:val="007A426F"/>
    <w:rsid w:val="007A5150"/>
    <w:rsid w:val="007A5373"/>
    <w:rsid w:val="007A789F"/>
    <w:rsid w:val="007B5BDB"/>
    <w:rsid w:val="007B75BC"/>
    <w:rsid w:val="007B7EC6"/>
    <w:rsid w:val="007C03F6"/>
    <w:rsid w:val="007C0BD6"/>
    <w:rsid w:val="007C1A12"/>
    <w:rsid w:val="007C3433"/>
    <w:rsid w:val="007C3806"/>
    <w:rsid w:val="007C5BB7"/>
    <w:rsid w:val="007C5F7C"/>
    <w:rsid w:val="007D01B7"/>
    <w:rsid w:val="007D07D5"/>
    <w:rsid w:val="007D1C64"/>
    <w:rsid w:val="007D3110"/>
    <w:rsid w:val="007D3142"/>
    <w:rsid w:val="007D32DD"/>
    <w:rsid w:val="007D6DCE"/>
    <w:rsid w:val="007D72C4"/>
    <w:rsid w:val="007E05D0"/>
    <w:rsid w:val="007E1C4C"/>
    <w:rsid w:val="007E2CFE"/>
    <w:rsid w:val="007E59C9"/>
    <w:rsid w:val="007E7C5B"/>
    <w:rsid w:val="007F0040"/>
    <w:rsid w:val="007F0072"/>
    <w:rsid w:val="007F2CA6"/>
    <w:rsid w:val="007F2EB6"/>
    <w:rsid w:val="007F54C3"/>
    <w:rsid w:val="007F6422"/>
    <w:rsid w:val="008002F9"/>
    <w:rsid w:val="00802949"/>
    <w:rsid w:val="0080301E"/>
    <w:rsid w:val="0080365F"/>
    <w:rsid w:val="00810A45"/>
    <w:rsid w:val="00810A4C"/>
    <w:rsid w:val="0081113D"/>
    <w:rsid w:val="008127A4"/>
    <w:rsid w:val="008127B5"/>
    <w:rsid w:val="00812BE5"/>
    <w:rsid w:val="00817429"/>
    <w:rsid w:val="00821514"/>
    <w:rsid w:val="00821CD2"/>
    <w:rsid w:val="00821E35"/>
    <w:rsid w:val="00824591"/>
    <w:rsid w:val="00824AED"/>
    <w:rsid w:val="00827820"/>
    <w:rsid w:val="00831B8B"/>
    <w:rsid w:val="00831E3E"/>
    <w:rsid w:val="0083405D"/>
    <w:rsid w:val="008352D4"/>
    <w:rsid w:val="008360E5"/>
    <w:rsid w:val="00836DB9"/>
    <w:rsid w:val="00837508"/>
    <w:rsid w:val="00837C67"/>
    <w:rsid w:val="008415B0"/>
    <w:rsid w:val="00842028"/>
    <w:rsid w:val="008436B8"/>
    <w:rsid w:val="008460B6"/>
    <w:rsid w:val="00850C9D"/>
    <w:rsid w:val="00850F77"/>
    <w:rsid w:val="00852105"/>
    <w:rsid w:val="00852B59"/>
    <w:rsid w:val="00856272"/>
    <w:rsid w:val="008563FF"/>
    <w:rsid w:val="0086018B"/>
    <w:rsid w:val="008611DD"/>
    <w:rsid w:val="0086153B"/>
    <w:rsid w:val="00861CAD"/>
    <w:rsid w:val="008620DE"/>
    <w:rsid w:val="00862111"/>
    <w:rsid w:val="00866867"/>
    <w:rsid w:val="0086798A"/>
    <w:rsid w:val="00871E46"/>
    <w:rsid w:val="00872257"/>
    <w:rsid w:val="0087363F"/>
    <w:rsid w:val="00873FCE"/>
    <w:rsid w:val="008753E6"/>
    <w:rsid w:val="00876F1E"/>
    <w:rsid w:val="0087738C"/>
    <w:rsid w:val="00877A23"/>
    <w:rsid w:val="008802AF"/>
    <w:rsid w:val="00881926"/>
    <w:rsid w:val="0088250D"/>
    <w:rsid w:val="0088318F"/>
    <w:rsid w:val="0088331D"/>
    <w:rsid w:val="008852B0"/>
    <w:rsid w:val="00885AE7"/>
    <w:rsid w:val="00886B60"/>
    <w:rsid w:val="00886D18"/>
    <w:rsid w:val="00887889"/>
    <w:rsid w:val="00891A3F"/>
    <w:rsid w:val="008920FF"/>
    <w:rsid w:val="008926E8"/>
    <w:rsid w:val="00894F19"/>
    <w:rsid w:val="008956C2"/>
    <w:rsid w:val="00896A10"/>
    <w:rsid w:val="008971B5"/>
    <w:rsid w:val="008A191D"/>
    <w:rsid w:val="008A42DF"/>
    <w:rsid w:val="008A4E1F"/>
    <w:rsid w:val="008A5D26"/>
    <w:rsid w:val="008A6B13"/>
    <w:rsid w:val="008A6ECB"/>
    <w:rsid w:val="008A766D"/>
    <w:rsid w:val="008B0BF9"/>
    <w:rsid w:val="008B2866"/>
    <w:rsid w:val="008B338C"/>
    <w:rsid w:val="008B3859"/>
    <w:rsid w:val="008B436D"/>
    <w:rsid w:val="008B4E49"/>
    <w:rsid w:val="008B58E3"/>
    <w:rsid w:val="008B59AD"/>
    <w:rsid w:val="008B7712"/>
    <w:rsid w:val="008B7B26"/>
    <w:rsid w:val="008C3524"/>
    <w:rsid w:val="008C4061"/>
    <w:rsid w:val="008C4229"/>
    <w:rsid w:val="008C5BE0"/>
    <w:rsid w:val="008C61AE"/>
    <w:rsid w:val="008C7233"/>
    <w:rsid w:val="008D06FB"/>
    <w:rsid w:val="008D183E"/>
    <w:rsid w:val="008D2434"/>
    <w:rsid w:val="008D2DF0"/>
    <w:rsid w:val="008E171D"/>
    <w:rsid w:val="008E20F9"/>
    <w:rsid w:val="008E2339"/>
    <w:rsid w:val="008E2785"/>
    <w:rsid w:val="008E374A"/>
    <w:rsid w:val="008E78A3"/>
    <w:rsid w:val="008F0654"/>
    <w:rsid w:val="008F06CB"/>
    <w:rsid w:val="008F2E83"/>
    <w:rsid w:val="008F417C"/>
    <w:rsid w:val="008F612A"/>
    <w:rsid w:val="008F789B"/>
    <w:rsid w:val="00900C27"/>
    <w:rsid w:val="0090293D"/>
    <w:rsid w:val="009034DE"/>
    <w:rsid w:val="00904288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6AD9"/>
    <w:rsid w:val="00917CE5"/>
    <w:rsid w:val="009206B8"/>
    <w:rsid w:val="00920DB2"/>
    <w:rsid w:val="00920DB9"/>
    <w:rsid w:val="009217C0"/>
    <w:rsid w:val="009246B0"/>
    <w:rsid w:val="00925241"/>
    <w:rsid w:val="00925CEC"/>
    <w:rsid w:val="00926A3F"/>
    <w:rsid w:val="009273D8"/>
    <w:rsid w:val="0092794E"/>
    <w:rsid w:val="00930D30"/>
    <w:rsid w:val="00932A3A"/>
    <w:rsid w:val="009332A2"/>
    <w:rsid w:val="00936D48"/>
    <w:rsid w:val="00937598"/>
    <w:rsid w:val="0093790B"/>
    <w:rsid w:val="009431D0"/>
    <w:rsid w:val="00943751"/>
    <w:rsid w:val="009453FC"/>
    <w:rsid w:val="00946DD0"/>
    <w:rsid w:val="009509E6"/>
    <w:rsid w:val="00952018"/>
    <w:rsid w:val="00952800"/>
    <w:rsid w:val="0095300D"/>
    <w:rsid w:val="0095393D"/>
    <w:rsid w:val="00956812"/>
    <w:rsid w:val="0095719A"/>
    <w:rsid w:val="0096193F"/>
    <w:rsid w:val="009623E9"/>
    <w:rsid w:val="00963EEB"/>
    <w:rsid w:val="009648BC"/>
    <w:rsid w:val="00964C2F"/>
    <w:rsid w:val="00965F88"/>
    <w:rsid w:val="00966594"/>
    <w:rsid w:val="00967C75"/>
    <w:rsid w:val="00971CB5"/>
    <w:rsid w:val="00971D86"/>
    <w:rsid w:val="00972081"/>
    <w:rsid w:val="009724FA"/>
    <w:rsid w:val="009759CC"/>
    <w:rsid w:val="00977AEB"/>
    <w:rsid w:val="0098394B"/>
    <w:rsid w:val="00984E03"/>
    <w:rsid w:val="00987E85"/>
    <w:rsid w:val="00993BB8"/>
    <w:rsid w:val="009A08C5"/>
    <w:rsid w:val="009A0D12"/>
    <w:rsid w:val="009A1987"/>
    <w:rsid w:val="009A2BEE"/>
    <w:rsid w:val="009A3D46"/>
    <w:rsid w:val="009A5289"/>
    <w:rsid w:val="009A7A53"/>
    <w:rsid w:val="009B0402"/>
    <w:rsid w:val="009B0B75"/>
    <w:rsid w:val="009B0DFD"/>
    <w:rsid w:val="009B16DF"/>
    <w:rsid w:val="009B4CB2"/>
    <w:rsid w:val="009B6701"/>
    <w:rsid w:val="009B6EF7"/>
    <w:rsid w:val="009B7000"/>
    <w:rsid w:val="009B739C"/>
    <w:rsid w:val="009C04EC"/>
    <w:rsid w:val="009C0AE1"/>
    <w:rsid w:val="009C328C"/>
    <w:rsid w:val="009C4444"/>
    <w:rsid w:val="009C484D"/>
    <w:rsid w:val="009C7258"/>
    <w:rsid w:val="009C75F9"/>
    <w:rsid w:val="009C79AD"/>
    <w:rsid w:val="009C7CA6"/>
    <w:rsid w:val="009D0F1D"/>
    <w:rsid w:val="009D3316"/>
    <w:rsid w:val="009D4D07"/>
    <w:rsid w:val="009D55AA"/>
    <w:rsid w:val="009E0D65"/>
    <w:rsid w:val="009E3E77"/>
    <w:rsid w:val="009E3FAB"/>
    <w:rsid w:val="009E5B3F"/>
    <w:rsid w:val="009E7D90"/>
    <w:rsid w:val="009F100E"/>
    <w:rsid w:val="009F1AB0"/>
    <w:rsid w:val="009F4C81"/>
    <w:rsid w:val="009F501D"/>
    <w:rsid w:val="009F5FC3"/>
    <w:rsid w:val="00A01746"/>
    <w:rsid w:val="00A01A2C"/>
    <w:rsid w:val="00A039D5"/>
    <w:rsid w:val="00A046AD"/>
    <w:rsid w:val="00A0762B"/>
    <w:rsid w:val="00A079C1"/>
    <w:rsid w:val="00A12520"/>
    <w:rsid w:val="00A130FD"/>
    <w:rsid w:val="00A13D6D"/>
    <w:rsid w:val="00A14769"/>
    <w:rsid w:val="00A16151"/>
    <w:rsid w:val="00A166B9"/>
    <w:rsid w:val="00A16EC6"/>
    <w:rsid w:val="00A17C06"/>
    <w:rsid w:val="00A2126E"/>
    <w:rsid w:val="00A21706"/>
    <w:rsid w:val="00A24FCC"/>
    <w:rsid w:val="00A25472"/>
    <w:rsid w:val="00A25840"/>
    <w:rsid w:val="00A26A90"/>
    <w:rsid w:val="00A26B27"/>
    <w:rsid w:val="00A27AAF"/>
    <w:rsid w:val="00A30E4F"/>
    <w:rsid w:val="00A31006"/>
    <w:rsid w:val="00A321E5"/>
    <w:rsid w:val="00A32253"/>
    <w:rsid w:val="00A3310E"/>
    <w:rsid w:val="00A33232"/>
    <w:rsid w:val="00A333A0"/>
    <w:rsid w:val="00A35BBD"/>
    <w:rsid w:val="00A3722B"/>
    <w:rsid w:val="00A37E70"/>
    <w:rsid w:val="00A437E1"/>
    <w:rsid w:val="00A43C48"/>
    <w:rsid w:val="00A43C7E"/>
    <w:rsid w:val="00A44A40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FC9"/>
    <w:rsid w:val="00A72659"/>
    <w:rsid w:val="00A73AD0"/>
    <w:rsid w:val="00A7436E"/>
    <w:rsid w:val="00A74E96"/>
    <w:rsid w:val="00A75A8E"/>
    <w:rsid w:val="00A7661C"/>
    <w:rsid w:val="00A800B7"/>
    <w:rsid w:val="00A824DD"/>
    <w:rsid w:val="00A83676"/>
    <w:rsid w:val="00A83AE7"/>
    <w:rsid w:val="00A83B7B"/>
    <w:rsid w:val="00A84274"/>
    <w:rsid w:val="00A850F3"/>
    <w:rsid w:val="00A85DEE"/>
    <w:rsid w:val="00A864E3"/>
    <w:rsid w:val="00A93F3E"/>
    <w:rsid w:val="00A94574"/>
    <w:rsid w:val="00A95936"/>
    <w:rsid w:val="00A96265"/>
    <w:rsid w:val="00A97084"/>
    <w:rsid w:val="00AA043B"/>
    <w:rsid w:val="00AA1C2C"/>
    <w:rsid w:val="00AA35F6"/>
    <w:rsid w:val="00AA667C"/>
    <w:rsid w:val="00AA6E91"/>
    <w:rsid w:val="00AA7439"/>
    <w:rsid w:val="00AB03F0"/>
    <w:rsid w:val="00AB047E"/>
    <w:rsid w:val="00AB0B0A"/>
    <w:rsid w:val="00AB0BB7"/>
    <w:rsid w:val="00AB22C6"/>
    <w:rsid w:val="00AB23FF"/>
    <w:rsid w:val="00AB2A40"/>
    <w:rsid w:val="00AB2AD0"/>
    <w:rsid w:val="00AB3763"/>
    <w:rsid w:val="00AB3981"/>
    <w:rsid w:val="00AB3D31"/>
    <w:rsid w:val="00AB67FC"/>
    <w:rsid w:val="00AB7F0C"/>
    <w:rsid w:val="00AC00F2"/>
    <w:rsid w:val="00AC31B5"/>
    <w:rsid w:val="00AC4C38"/>
    <w:rsid w:val="00AC4EA1"/>
    <w:rsid w:val="00AC5381"/>
    <w:rsid w:val="00AC5920"/>
    <w:rsid w:val="00AC74A9"/>
    <w:rsid w:val="00AD0E65"/>
    <w:rsid w:val="00AD12B9"/>
    <w:rsid w:val="00AD2BF2"/>
    <w:rsid w:val="00AD4E90"/>
    <w:rsid w:val="00AD5422"/>
    <w:rsid w:val="00AD6EF3"/>
    <w:rsid w:val="00AE0D77"/>
    <w:rsid w:val="00AE1A17"/>
    <w:rsid w:val="00AE20DA"/>
    <w:rsid w:val="00AE3A9C"/>
    <w:rsid w:val="00AE4179"/>
    <w:rsid w:val="00AE4425"/>
    <w:rsid w:val="00AE4FBE"/>
    <w:rsid w:val="00AE650F"/>
    <w:rsid w:val="00AE6555"/>
    <w:rsid w:val="00AE7D16"/>
    <w:rsid w:val="00AF1685"/>
    <w:rsid w:val="00AF1742"/>
    <w:rsid w:val="00AF4CAA"/>
    <w:rsid w:val="00AF571A"/>
    <w:rsid w:val="00AF60A0"/>
    <w:rsid w:val="00AF67FC"/>
    <w:rsid w:val="00AF7DF5"/>
    <w:rsid w:val="00B006E5"/>
    <w:rsid w:val="00B024C2"/>
    <w:rsid w:val="00B072A0"/>
    <w:rsid w:val="00B07481"/>
    <w:rsid w:val="00B07700"/>
    <w:rsid w:val="00B11636"/>
    <w:rsid w:val="00B13921"/>
    <w:rsid w:val="00B13F31"/>
    <w:rsid w:val="00B1528C"/>
    <w:rsid w:val="00B15EAD"/>
    <w:rsid w:val="00B1662E"/>
    <w:rsid w:val="00B16ACD"/>
    <w:rsid w:val="00B201AA"/>
    <w:rsid w:val="00B20DAC"/>
    <w:rsid w:val="00B21487"/>
    <w:rsid w:val="00B21FF3"/>
    <w:rsid w:val="00B232D1"/>
    <w:rsid w:val="00B24DB5"/>
    <w:rsid w:val="00B307C4"/>
    <w:rsid w:val="00B30F12"/>
    <w:rsid w:val="00B31097"/>
    <w:rsid w:val="00B31F9E"/>
    <w:rsid w:val="00B3268F"/>
    <w:rsid w:val="00B32C2C"/>
    <w:rsid w:val="00B3375D"/>
    <w:rsid w:val="00B33A1A"/>
    <w:rsid w:val="00B33E6C"/>
    <w:rsid w:val="00B35071"/>
    <w:rsid w:val="00B371CC"/>
    <w:rsid w:val="00B40758"/>
    <w:rsid w:val="00B4135B"/>
    <w:rsid w:val="00B41CD9"/>
    <w:rsid w:val="00B427E6"/>
    <w:rsid w:val="00B428A6"/>
    <w:rsid w:val="00B43E1F"/>
    <w:rsid w:val="00B45FBC"/>
    <w:rsid w:val="00B51A7D"/>
    <w:rsid w:val="00B535C2"/>
    <w:rsid w:val="00B53816"/>
    <w:rsid w:val="00B53B6A"/>
    <w:rsid w:val="00B53B75"/>
    <w:rsid w:val="00B546CF"/>
    <w:rsid w:val="00B54E9E"/>
    <w:rsid w:val="00B55432"/>
    <w:rsid w:val="00B55544"/>
    <w:rsid w:val="00B57DBB"/>
    <w:rsid w:val="00B62D8A"/>
    <w:rsid w:val="00B6348B"/>
    <w:rsid w:val="00B642FC"/>
    <w:rsid w:val="00B64D26"/>
    <w:rsid w:val="00B64FBB"/>
    <w:rsid w:val="00B70E22"/>
    <w:rsid w:val="00B76664"/>
    <w:rsid w:val="00B774CB"/>
    <w:rsid w:val="00B7792F"/>
    <w:rsid w:val="00B80402"/>
    <w:rsid w:val="00B80B9A"/>
    <w:rsid w:val="00B816C2"/>
    <w:rsid w:val="00B827C6"/>
    <w:rsid w:val="00B830B7"/>
    <w:rsid w:val="00B848EA"/>
    <w:rsid w:val="00B84B2B"/>
    <w:rsid w:val="00B853B2"/>
    <w:rsid w:val="00B901A5"/>
    <w:rsid w:val="00B90500"/>
    <w:rsid w:val="00B9176C"/>
    <w:rsid w:val="00B91C1C"/>
    <w:rsid w:val="00B935A4"/>
    <w:rsid w:val="00B9580B"/>
    <w:rsid w:val="00BA0337"/>
    <w:rsid w:val="00BA5476"/>
    <w:rsid w:val="00BA561A"/>
    <w:rsid w:val="00BA5BB6"/>
    <w:rsid w:val="00BB0DC6"/>
    <w:rsid w:val="00BB15E4"/>
    <w:rsid w:val="00BB1E19"/>
    <w:rsid w:val="00BB21D1"/>
    <w:rsid w:val="00BB32F2"/>
    <w:rsid w:val="00BB4338"/>
    <w:rsid w:val="00BB4CA9"/>
    <w:rsid w:val="00BB6C0E"/>
    <w:rsid w:val="00BB7B38"/>
    <w:rsid w:val="00BC004D"/>
    <w:rsid w:val="00BC0AE0"/>
    <w:rsid w:val="00BC0F9D"/>
    <w:rsid w:val="00BC11E5"/>
    <w:rsid w:val="00BC133A"/>
    <w:rsid w:val="00BC4BC6"/>
    <w:rsid w:val="00BC52FD"/>
    <w:rsid w:val="00BC5CC4"/>
    <w:rsid w:val="00BC6908"/>
    <w:rsid w:val="00BC6E62"/>
    <w:rsid w:val="00BC716B"/>
    <w:rsid w:val="00BC7443"/>
    <w:rsid w:val="00BD0648"/>
    <w:rsid w:val="00BD1040"/>
    <w:rsid w:val="00BD34AA"/>
    <w:rsid w:val="00BD55A8"/>
    <w:rsid w:val="00BD61EB"/>
    <w:rsid w:val="00BD6DB4"/>
    <w:rsid w:val="00BD7077"/>
    <w:rsid w:val="00BE0C44"/>
    <w:rsid w:val="00BE1910"/>
    <w:rsid w:val="00BE1B8B"/>
    <w:rsid w:val="00BE2A18"/>
    <w:rsid w:val="00BE2C01"/>
    <w:rsid w:val="00BE41EC"/>
    <w:rsid w:val="00BE56FB"/>
    <w:rsid w:val="00BE7CEE"/>
    <w:rsid w:val="00BF16C1"/>
    <w:rsid w:val="00BF3DDE"/>
    <w:rsid w:val="00BF6589"/>
    <w:rsid w:val="00BF6F7F"/>
    <w:rsid w:val="00C004A2"/>
    <w:rsid w:val="00C00647"/>
    <w:rsid w:val="00C02764"/>
    <w:rsid w:val="00C04CEF"/>
    <w:rsid w:val="00C0662F"/>
    <w:rsid w:val="00C10835"/>
    <w:rsid w:val="00C11943"/>
    <w:rsid w:val="00C12E96"/>
    <w:rsid w:val="00C133E7"/>
    <w:rsid w:val="00C14763"/>
    <w:rsid w:val="00C16101"/>
    <w:rsid w:val="00C16141"/>
    <w:rsid w:val="00C17AE7"/>
    <w:rsid w:val="00C211F1"/>
    <w:rsid w:val="00C21851"/>
    <w:rsid w:val="00C21C6B"/>
    <w:rsid w:val="00C2363F"/>
    <w:rsid w:val="00C236C8"/>
    <w:rsid w:val="00C260B1"/>
    <w:rsid w:val="00C26E56"/>
    <w:rsid w:val="00C3083A"/>
    <w:rsid w:val="00C31406"/>
    <w:rsid w:val="00C35063"/>
    <w:rsid w:val="00C37194"/>
    <w:rsid w:val="00C40637"/>
    <w:rsid w:val="00C40B28"/>
    <w:rsid w:val="00C40F6C"/>
    <w:rsid w:val="00C41A5D"/>
    <w:rsid w:val="00C435F4"/>
    <w:rsid w:val="00C44426"/>
    <w:rsid w:val="00C445F3"/>
    <w:rsid w:val="00C451F4"/>
    <w:rsid w:val="00C45EB1"/>
    <w:rsid w:val="00C47FB8"/>
    <w:rsid w:val="00C52C6C"/>
    <w:rsid w:val="00C54A3A"/>
    <w:rsid w:val="00C55566"/>
    <w:rsid w:val="00C556F1"/>
    <w:rsid w:val="00C56448"/>
    <w:rsid w:val="00C565C9"/>
    <w:rsid w:val="00C60D1C"/>
    <w:rsid w:val="00C61600"/>
    <w:rsid w:val="00C62872"/>
    <w:rsid w:val="00C62B6F"/>
    <w:rsid w:val="00C62D45"/>
    <w:rsid w:val="00C64E0E"/>
    <w:rsid w:val="00C667BE"/>
    <w:rsid w:val="00C67301"/>
    <w:rsid w:val="00C6766B"/>
    <w:rsid w:val="00C72223"/>
    <w:rsid w:val="00C7311B"/>
    <w:rsid w:val="00C742E9"/>
    <w:rsid w:val="00C76417"/>
    <w:rsid w:val="00C7726F"/>
    <w:rsid w:val="00C802F5"/>
    <w:rsid w:val="00C823DA"/>
    <w:rsid w:val="00C8259F"/>
    <w:rsid w:val="00C82746"/>
    <w:rsid w:val="00C8312F"/>
    <w:rsid w:val="00C83C6C"/>
    <w:rsid w:val="00C84C47"/>
    <w:rsid w:val="00C858A4"/>
    <w:rsid w:val="00C86356"/>
    <w:rsid w:val="00C86AFA"/>
    <w:rsid w:val="00C91018"/>
    <w:rsid w:val="00C9577C"/>
    <w:rsid w:val="00C95D36"/>
    <w:rsid w:val="00CA066D"/>
    <w:rsid w:val="00CA33E6"/>
    <w:rsid w:val="00CA64CB"/>
    <w:rsid w:val="00CB0ED2"/>
    <w:rsid w:val="00CB1182"/>
    <w:rsid w:val="00CB18D0"/>
    <w:rsid w:val="00CB1C8A"/>
    <w:rsid w:val="00CB24F5"/>
    <w:rsid w:val="00CB2663"/>
    <w:rsid w:val="00CB3BBE"/>
    <w:rsid w:val="00CB4CA7"/>
    <w:rsid w:val="00CB4D76"/>
    <w:rsid w:val="00CB5268"/>
    <w:rsid w:val="00CB59E9"/>
    <w:rsid w:val="00CB5D99"/>
    <w:rsid w:val="00CC0D6A"/>
    <w:rsid w:val="00CC3831"/>
    <w:rsid w:val="00CC3A26"/>
    <w:rsid w:val="00CC3E3D"/>
    <w:rsid w:val="00CC43F2"/>
    <w:rsid w:val="00CC519B"/>
    <w:rsid w:val="00CD12C1"/>
    <w:rsid w:val="00CD214E"/>
    <w:rsid w:val="00CD46FA"/>
    <w:rsid w:val="00CD5973"/>
    <w:rsid w:val="00CE0A24"/>
    <w:rsid w:val="00CE1F87"/>
    <w:rsid w:val="00CE31A6"/>
    <w:rsid w:val="00CE3D65"/>
    <w:rsid w:val="00CF09AA"/>
    <w:rsid w:val="00CF2A23"/>
    <w:rsid w:val="00CF4813"/>
    <w:rsid w:val="00CF5233"/>
    <w:rsid w:val="00CF538F"/>
    <w:rsid w:val="00D0015A"/>
    <w:rsid w:val="00D0221C"/>
    <w:rsid w:val="00D028F8"/>
    <w:rsid w:val="00D029B8"/>
    <w:rsid w:val="00D02F60"/>
    <w:rsid w:val="00D03548"/>
    <w:rsid w:val="00D0464E"/>
    <w:rsid w:val="00D04A96"/>
    <w:rsid w:val="00D05BE4"/>
    <w:rsid w:val="00D07A7B"/>
    <w:rsid w:val="00D10285"/>
    <w:rsid w:val="00D10E06"/>
    <w:rsid w:val="00D1107E"/>
    <w:rsid w:val="00D11E9E"/>
    <w:rsid w:val="00D1284E"/>
    <w:rsid w:val="00D13C0F"/>
    <w:rsid w:val="00D15197"/>
    <w:rsid w:val="00D16820"/>
    <w:rsid w:val="00D169C8"/>
    <w:rsid w:val="00D1793F"/>
    <w:rsid w:val="00D21EC7"/>
    <w:rsid w:val="00D2268C"/>
    <w:rsid w:val="00D22AF5"/>
    <w:rsid w:val="00D235EA"/>
    <w:rsid w:val="00D247A9"/>
    <w:rsid w:val="00D32721"/>
    <w:rsid w:val="00D328DC"/>
    <w:rsid w:val="00D33387"/>
    <w:rsid w:val="00D37874"/>
    <w:rsid w:val="00D402FB"/>
    <w:rsid w:val="00D404F1"/>
    <w:rsid w:val="00D45E60"/>
    <w:rsid w:val="00D47D7A"/>
    <w:rsid w:val="00D50ABD"/>
    <w:rsid w:val="00D51860"/>
    <w:rsid w:val="00D55280"/>
    <w:rsid w:val="00D55290"/>
    <w:rsid w:val="00D55FAB"/>
    <w:rsid w:val="00D57791"/>
    <w:rsid w:val="00D6046A"/>
    <w:rsid w:val="00D62217"/>
    <w:rsid w:val="00D62870"/>
    <w:rsid w:val="00D62B5C"/>
    <w:rsid w:val="00D62FA7"/>
    <w:rsid w:val="00D6501F"/>
    <w:rsid w:val="00D655D9"/>
    <w:rsid w:val="00D65872"/>
    <w:rsid w:val="00D676F3"/>
    <w:rsid w:val="00D678F8"/>
    <w:rsid w:val="00D67BFE"/>
    <w:rsid w:val="00D70034"/>
    <w:rsid w:val="00D70EF5"/>
    <w:rsid w:val="00D71024"/>
    <w:rsid w:val="00D71A25"/>
    <w:rsid w:val="00D71FCF"/>
    <w:rsid w:val="00D72A54"/>
    <w:rsid w:val="00D72CC1"/>
    <w:rsid w:val="00D75F07"/>
    <w:rsid w:val="00D76EC9"/>
    <w:rsid w:val="00D77B9B"/>
    <w:rsid w:val="00D80E7D"/>
    <w:rsid w:val="00D81397"/>
    <w:rsid w:val="00D81B51"/>
    <w:rsid w:val="00D848B9"/>
    <w:rsid w:val="00D90E69"/>
    <w:rsid w:val="00D91368"/>
    <w:rsid w:val="00D92298"/>
    <w:rsid w:val="00D93106"/>
    <w:rsid w:val="00D93209"/>
    <w:rsid w:val="00D933E9"/>
    <w:rsid w:val="00D9505D"/>
    <w:rsid w:val="00D953D0"/>
    <w:rsid w:val="00D9589B"/>
    <w:rsid w:val="00D959F5"/>
    <w:rsid w:val="00D96884"/>
    <w:rsid w:val="00DA2DA6"/>
    <w:rsid w:val="00DA3FDD"/>
    <w:rsid w:val="00DA5D55"/>
    <w:rsid w:val="00DA7017"/>
    <w:rsid w:val="00DA7028"/>
    <w:rsid w:val="00DB1137"/>
    <w:rsid w:val="00DB1235"/>
    <w:rsid w:val="00DB1AD2"/>
    <w:rsid w:val="00DB2B58"/>
    <w:rsid w:val="00DB4DC5"/>
    <w:rsid w:val="00DB5194"/>
    <w:rsid w:val="00DB5206"/>
    <w:rsid w:val="00DB5809"/>
    <w:rsid w:val="00DB6276"/>
    <w:rsid w:val="00DB63F5"/>
    <w:rsid w:val="00DC0690"/>
    <w:rsid w:val="00DC1C6B"/>
    <w:rsid w:val="00DC1C6C"/>
    <w:rsid w:val="00DC2C2E"/>
    <w:rsid w:val="00DC2EC9"/>
    <w:rsid w:val="00DC2EE4"/>
    <w:rsid w:val="00DC33CF"/>
    <w:rsid w:val="00DC4AF0"/>
    <w:rsid w:val="00DC7886"/>
    <w:rsid w:val="00DD09CA"/>
    <w:rsid w:val="00DD09FF"/>
    <w:rsid w:val="00DD0C9F"/>
    <w:rsid w:val="00DD0CF2"/>
    <w:rsid w:val="00DD3965"/>
    <w:rsid w:val="00DE1554"/>
    <w:rsid w:val="00DE2901"/>
    <w:rsid w:val="00DE590F"/>
    <w:rsid w:val="00DE7143"/>
    <w:rsid w:val="00DE7DC1"/>
    <w:rsid w:val="00DF0D92"/>
    <w:rsid w:val="00DF1D9C"/>
    <w:rsid w:val="00DF3F7E"/>
    <w:rsid w:val="00DF7648"/>
    <w:rsid w:val="00E005DD"/>
    <w:rsid w:val="00E00E29"/>
    <w:rsid w:val="00E02BAB"/>
    <w:rsid w:val="00E04C7C"/>
    <w:rsid w:val="00E04CEB"/>
    <w:rsid w:val="00E060BC"/>
    <w:rsid w:val="00E06474"/>
    <w:rsid w:val="00E06A03"/>
    <w:rsid w:val="00E06C4A"/>
    <w:rsid w:val="00E10662"/>
    <w:rsid w:val="00E11420"/>
    <w:rsid w:val="00E132FB"/>
    <w:rsid w:val="00E145F5"/>
    <w:rsid w:val="00E15322"/>
    <w:rsid w:val="00E1639F"/>
    <w:rsid w:val="00E1692B"/>
    <w:rsid w:val="00E170B7"/>
    <w:rsid w:val="00E177DD"/>
    <w:rsid w:val="00E20900"/>
    <w:rsid w:val="00E20C7F"/>
    <w:rsid w:val="00E2396E"/>
    <w:rsid w:val="00E244CB"/>
    <w:rsid w:val="00E24728"/>
    <w:rsid w:val="00E24998"/>
    <w:rsid w:val="00E26382"/>
    <w:rsid w:val="00E26B90"/>
    <w:rsid w:val="00E276AC"/>
    <w:rsid w:val="00E31B46"/>
    <w:rsid w:val="00E34A35"/>
    <w:rsid w:val="00E35CF8"/>
    <w:rsid w:val="00E36FB0"/>
    <w:rsid w:val="00E37C2F"/>
    <w:rsid w:val="00E41C28"/>
    <w:rsid w:val="00E43476"/>
    <w:rsid w:val="00E44195"/>
    <w:rsid w:val="00E46308"/>
    <w:rsid w:val="00E51E17"/>
    <w:rsid w:val="00E52DAB"/>
    <w:rsid w:val="00E539B0"/>
    <w:rsid w:val="00E55994"/>
    <w:rsid w:val="00E5742F"/>
    <w:rsid w:val="00E60606"/>
    <w:rsid w:val="00E60C66"/>
    <w:rsid w:val="00E6164D"/>
    <w:rsid w:val="00E618C9"/>
    <w:rsid w:val="00E62774"/>
    <w:rsid w:val="00E6307C"/>
    <w:rsid w:val="00E636FA"/>
    <w:rsid w:val="00E64184"/>
    <w:rsid w:val="00E66BCF"/>
    <w:rsid w:val="00E66C50"/>
    <w:rsid w:val="00E66FCC"/>
    <w:rsid w:val="00E679D3"/>
    <w:rsid w:val="00E7089E"/>
    <w:rsid w:val="00E71208"/>
    <w:rsid w:val="00E71444"/>
    <w:rsid w:val="00E71C91"/>
    <w:rsid w:val="00E720A1"/>
    <w:rsid w:val="00E7345B"/>
    <w:rsid w:val="00E75DDA"/>
    <w:rsid w:val="00E771B1"/>
    <w:rsid w:val="00E773E8"/>
    <w:rsid w:val="00E8180D"/>
    <w:rsid w:val="00E83ADD"/>
    <w:rsid w:val="00E84F38"/>
    <w:rsid w:val="00E85623"/>
    <w:rsid w:val="00E85951"/>
    <w:rsid w:val="00E86D78"/>
    <w:rsid w:val="00E87441"/>
    <w:rsid w:val="00E916E9"/>
    <w:rsid w:val="00E91FAE"/>
    <w:rsid w:val="00E96E3F"/>
    <w:rsid w:val="00E97225"/>
    <w:rsid w:val="00EA1666"/>
    <w:rsid w:val="00EA173B"/>
    <w:rsid w:val="00EA270C"/>
    <w:rsid w:val="00EA4974"/>
    <w:rsid w:val="00EA4CD3"/>
    <w:rsid w:val="00EA532E"/>
    <w:rsid w:val="00EB06D9"/>
    <w:rsid w:val="00EB192B"/>
    <w:rsid w:val="00EB19ED"/>
    <w:rsid w:val="00EB1CAB"/>
    <w:rsid w:val="00EB3829"/>
    <w:rsid w:val="00EB7444"/>
    <w:rsid w:val="00EB766E"/>
    <w:rsid w:val="00EC0760"/>
    <w:rsid w:val="00EC0F5A"/>
    <w:rsid w:val="00EC37BE"/>
    <w:rsid w:val="00EC3BCB"/>
    <w:rsid w:val="00EC4265"/>
    <w:rsid w:val="00EC4CEB"/>
    <w:rsid w:val="00EC659E"/>
    <w:rsid w:val="00EC6610"/>
    <w:rsid w:val="00EC7537"/>
    <w:rsid w:val="00ED2072"/>
    <w:rsid w:val="00ED20E0"/>
    <w:rsid w:val="00ED2AE0"/>
    <w:rsid w:val="00ED5553"/>
    <w:rsid w:val="00ED582D"/>
    <w:rsid w:val="00ED59CA"/>
    <w:rsid w:val="00ED5E36"/>
    <w:rsid w:val="00ED6961"/>
    <w:rsid w:val="00EE4ED2"/>
    <w:rsid w:val="00EF0334"/>
    <w:rsid w:val="00EF0B96"/>
    <w:rsid w:val="00EF27F9"/>
    <w:rsid w:val="00EF3486"/>
    <w:rsid w:val="00EF40FA"/>
    <w:rsid w:val="00EF47AF"/>
    <w:rsid w:val="00EF53B6"/>
    <w:rsid w:val="00EF6842"/>
    <w:rsid w:val="00F00B73"/>
    <w:rsid w:val="00F1026F"/>
    <w:rsid w:val="00F115CA"/>
    <w:rsid w:val="00F1186B"/>
    <w:rsid w:val="00F12F35"/>
    <w:rsid w:val="00F14817"/>
    <w:rsid w:val="00F14EBA"/>
    <w:rsid w:val="00F1510F"/>
    <w:rsid w:val="00F1533A"/>
    <w:rsid w:val="00F15CFD"/>
    <w:rsid w:val="00F15E5A"/>
    <w:rsid w:val="00F17F0A"/>
    <w:rsid w:val="00F20412"/>
    <w:rsid w:val="00F22FB8"/>
    <w:rsid w:val="00F246E6"/>
    <w:rsid w:val="00F25124"/>
    <w:rsid w:val="00F2668F"/>
    <w:rsid w:val="00F2742F"/>
    <w:rsid w:val="00F2753B"/>
    <w:rsid w:val="00F33F8B"/>
    <w:rsid w:val="00F340B2"/>
    <w:rsid w:val="00F36902"/>
    <w:rsid w:val="00F4038A"/>
    <w:rsid w:val="00F40873"/>
    <w:rsid w:val="00F4108B"/>
    <w:rsid w:val="00F43390"/>
    <w:rsid w:val="00F443B2"/>
    <w:rsid w:val="00F458D8"/>
    <w:rsid w:val="00F462DA"/>
    <w:rsid w:val="00F50237"/>
    <w:rsid w:val="00F525F8"/>
    <w:rsid w:val="00F53596"/>
    <w:rsid w:val="00F55BA8"/>
    <w:rsid w:val="00F55DB1"/>
    <w:rsid w:val="00F56ACA"/>
    <w:rsid w:val="00F56E13"/>
    <w:rsid w:val="00F600FE"/>
    <w:rsid w:val="00F60907"/>
    <w:rsid w:val="00F62E4D"/>
    <w:rsid w:val="00F63087"/>
    <w:rsid w:val="00F6602A"/>
    <w:rsid w:val="00F6684B"/>
    <w:rsid w:val="00F66B34"/>
    <w:rsid w:val="00F675B9"/>
    <w:rsid w:val="00F711C9"/>
    <w:rsid w:val="00F739EA"/>
    <w:rsid w:val="00F7441B"/>
    <w:rsid w:val="00F745C4"/>
    <w:rsid w:val="00F74C59"/>
    <w:rsid w:val="00F75C3A"/>
    <w:rsid w:val="00F82E30"/>
    <w:rsid w:val="00F831CB"/>
    <w:rsid w:val="00F848A3"/>
    <w:rsid w:val="00F848C1"/>
    <w:rsid w:val="00F84ACF"/>
    <w:rsid w:val="00F85742"/>
    <w:rsid w:val="00F8574E"/>
    <w:rsid w:val="00F85BF8"/>
    <w:rsid w:val="00F871CE"/>
    <w:rsid w:val="00F87215"/>
    <w:rsid w:val="00F87802"/>
    <w:rsid w:val="00F92C0A"/>
    <w:rsid w:val="00F9415B"/>
    <w:rsid w:val="00F97577"/>
    <w:rsid w:val="00FA13C2"/>
    <w:rsid w:val="00FA141A"/>
    <w:rsid w:val="00FA2B81"/>
    <w:rsid w:val="00FA7F91"/>
    <w:rsid w:val="00FB0656"/>
    <w:rsid w:val="00FB121C"/>
    <w:rsid w:val="00FB1CDD"/>
    <w:rsid w:val="00FB2C2F"/>
    <w:rsid w:val="00FB305C"/>
    <w:rsid w:val="00FB6882"/>
    <w:rsid w:val="00FC2C29"/>
    <w:rsid w:val="00FC2E3D"/>
    <w:rsid w:val="00FC3BDE"/>
    <w:rsid w:val="00FC4F68"/>
    <w:rsid w:val="00FC6507"/>
    <w:rsid w:val="00FD1DBE"/>
    <w:rsid w:val="00FD1F37"/>
    <w:rsid w:val="00FD25A7"/>
    <w:rsid w:val="00FD27B6"/>
    <w:rsid w:val="00FD2F13"/>
    <w:rsid w:val="00FD3689"/>
    <w:rsid w:val="00FD42A3"/>
    <w:rsid w:val="00FD7468"/>
    <w:rsid w:val="00FD7CE0"/>
    <w:rsid w:val="00FD7CF5"/>
    <w:rsid w:val="00FD7EA6"/>
    <w:rsid w:val="00FE0B3B"/>
    <w:rsid w:val="00FE1BE2"/>
    <w:rsid w:val="00FE730A"/>
    <w:rsid w:val="00FF1088"/>
    <w:rsid w:val="00FF184D"/>
    <w:rsid w:val="00FF1DD7"/>
    <w:rsid w:val="00FF2EBA"/>
    <w:rsid w:val="00FF4453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5FB66E"/>
  <w15:docId w15:val="{100314CB-9346-499A-9D92-FA8B32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dwołanie przypisu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20889"/>
    <w:rPr>
      <w:color w:val="0000FF"/>
      <w:u w:val="single"/>
    </w:rPr>
  </w:style>
  <w:style w:type="paragraph" w:styleId="Poprawka">
    <w:name w:val="Revision"/>
    <w:hidden/>
    <w:uiPriority w:val="99"/>
    <w:semiHidden/>
    <w:rsid w:val="00CB118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211F22"/>
    <w:pPr>
      <w:autoSpaceDE w:val="0"/>
      <w:autoSpaceDN w:val="0"/>
      <w:adjustRightInd w:val="0"/>
      <w:spacing w:line="240" w:lineRule="auto"/>
    </w:pPr>
    <w:rPr>
      <w:rFonts w:ascii="EUAlbertina" w:eastAsiaTheme="minorHAnsi" w:hAnsi="EUAlbertina" w:cs="EUAlbertina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8B338C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c-ti">
    <w:name w:val="doc-ti"/>
    <w:basedOn w:val="Normalny"/>
    <w:rsid w:val="002F03C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j-doc-ti">
    <w:name w:val="oj-doc-ti"/>
    <w:basedOn w:val="Normalny"/>
    <w:rsid w:val="002F03C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A166B9"/>
    <w:rPr>
      <w:rFonts w:eastAsia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A166B9"/>
    <w:rPr>
      <w:rFonts w:eastAsia="Times New Roman"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A166B9"/>
    <w:rPr>
      <w:rFonts w:eastAsia="Times New Roman" w:cs="Times New Roman"/>
      <w:color w:val="auto"/>
      <w:lang w:eastAsia="pl-PL"/>
    </w:rPr>
  </w:style>
  <w:style w:type="character" w:styleId="Uwydatnienie">
    <w:name w:val="Emphasis"/>
    <w:uiPriority w:val="20"/>
    <w:qFormat/>
    <w:rsid w:val="00F52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24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2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3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&amp;refSource=hyp" TargetMode="External"/><Relationship Id="rId13" Type="http://schemas.openxmlformats.org/officeDocument/2006/relationships/hyperlink" Target="https://sip.legalis.pl/document-view.seam?documentId=mfrxilrtg4ytomjygezdiltqmfyc4nrsgi2tanrwg4&amp;refSource=hy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jygezdiltqmfyc4nrsgi2tanrwg4&amp;refSource=hy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sgy2tmojuge2dgltqmfyc4mrwgi4danbrgm&amp;refSource=hy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xgazdaojwgq3s44dboaxdcmjtg4zdenjs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gy2tmojuge2dgltqmfyc4mrwgi4danbrgm&amp;refSource=hy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B1F082-2E13-455E-B39B-813B7B62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13</Pages>
  <Words>4541</Words>
  <Characters>28674</Characters>
  <Application>Microsoft Office Word</Application>
  <DocSecurity>0</DocSecurity>
  <Lines>238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Binkowska Joanna</cp:lastModifiedBy>
  <cp:revision>3</cp:revision>
  <cp:lastPrinted>2025-01-28T14:04:00Z</cp:lastPrinted>
  <dcterms:created xsi:type="dcterms:W3CDTF">2025-02-04T13:37:00Z</dcterms:created>
  <dcterms:modified xsi:type="dcterms:W3CDTF">2025-02-04T13:37:00Z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