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E838" w14:textId="77777777" w:rsidR="00D75BDC" w:rsidRPr="00E000DC" w:rsidRDefault="00D75BDC" w:rsidP="00D75BDC">
      <w:pPr>
        <w:pStyle w:val="OZNRODZAKTUtznustawalubrozporzdzenieiorganwydajcy"/>
      </w:pPr>
      <w:r w:rsidRPr="00912118">
        <w:t>UCHWAŁA</w:t>
      </w:r>
    </w:p>
    <w:p w14:paraId="7D1C8940" w14:textId="77777777" w:rsidR="00D75BDC" w:rsidRPr="00E000DC" w:rsidRDefault="00D75BDC" w:rsidP="00D75BDC">
      <w:pPr>
        <w:pStyle w:val="OZNRODZAKTUtznustawalubrozporzdzenieiorganwydajcy"/>
      </w:pPr>
      <w:r w:rsidRPr="00E000DC">
        <w:t>SENATU RZECZYPOSPOLITEJ POLSKIEJ</w:t>
      </w:r>
    </w:p>
    <w:p w14:paraId="4ACA6572" w14:textId="55B8CDCB" w:rsidR="00D75BDC" w:rsidRPr="00E000DC" w:rsidRDefault="00D75BDC" w:rsidP="00D75BDC">
      <w:pPr>
        <w:pStyle w:val="DATAAKTUdatauchwalenialubwydaniaaktu"/>
      </w:pPr>
      <w:r w:rsidRPr="00E000DC">
        <w:t>z dnia</w:t>
      </w:r>
      <w:r>
        <w:t xml:space="preserve"> 12 lutego 2025 r.</w:t>
      </w:r>
    </w:p>
    <w:p w14:paraId="51A2905E" w14:textId="77777777" w:rsidR="00D75BDC" w:rsidRPr="00E000DC" w:rsidRDefault="00D75BDC" w:rsidP="00D75BDC">
      <w:pPr>
        <w:pStyle w:val="TYTUAKTUprzedmiotregulacjiustawylubrozporzdzenia"/>
      </w:pPr>
      <w:r>
        <w:t xml:space="preserve">w sprawie ustawy o </w:t>
      </w:r>
      <w:r w:rsidRPr="002D6876">
        <w:t>zmianie ustawy o wykonywaniu mandatu posła i senatora</w:t>
      </w:r>
    </w:p>
    <w:p w14:paraId="64894AB3" w14:textId="77777777" w:rsidR="00D75BDC" w:rsidRDefault="00D75BDC" w:rsidP="00D75BDC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24 stycznia 2025 </w:t>
      </w:r>
      <w:r w:rsidRPr="00E000DC">
        <w:t xml:space="preserve">r. ustawy </w:t>
      </w:r>
      <w:bookmarkStart w:id="0" w:name="_Hlk190180566"/>
      <w:r w:rsidRPr="00E000DC">
        <w:t xml:space="preserve">o </w:t>
      </w:r>
      <w:r w:rsidRPr="002D6876">
        <w:t>zmianie ustawy o wykonywaniu mandatu posła i senatora</w:t>
      </w:r>
      <w:bookmarkEnd w:id="0"/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D75BDC" w:rsidRPr="00B528A4" w14:paraId="2DFA234F" w14:textId="77777777" w:rsidTr="00D75BDC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D75BDC" w:rsidRPr="00B528A4" w:rsidRDefault="00D75BDC" w:rsidP="00BF00D8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3B94BDE3" w14:textId="77777777" w:rsidR="00D75BDC" w:rsidRPr="00BF00D8" w:rsidRDefault="00D75BDC" w:rsidP="00BF00D8">
            <w:pPr>
              <w:pStyle w:val="TREPUNKTUWUCHWALESENACKIEJ"/>
            </w:pPr>
            <w:r w:rsidRPr="00AC75EB">
              <w:t xml:space="preserve">art. 1 otrzymuje brzmienie: </w:t>
            </w:r>
          </w:p>
          <w:p w14:paraId="544583B5" w14:textId="77777777" w:rsidR="00D75BDC" w:rsidRPr="00BF00D8" w:rsidRDefault="00D75BDC" w:rsidP="00BF00D8">
            <w:pPr>
              <w:pStyle w:val="ARTartustawynprozporzdzenia"/>
            </w:pPr>
            <w:r w:rsidRPr="00AC75EB">
              <w:t xml:space="preserve">„Art. 1. W ustawie z dnia 9 maja 1996 r. o wykonywaniu mandatu posła i senatora (Dz. U. z 2024 r. poz. 907) wprowadza się </w:t>
            </w:r>
            <w:r w:rsidRPr="00BF00D8">
              <w:t>następujące zmiany:</w:t>
            </w:r>
          </w:p>
          <w:p w14:paraId="09DA9338" w14:textId="77777777" w:rsidR="00D75BDC" w:rsidRPr="00BF00D8" w:rsidRDefault="00D75BDC" w:rsidP="00BF00D8">
            <w:pPr>
              <w:pStyle w:val="PKTpunkt"/>
            </w:pPr>
            <w:r w:rsidRPr="00AC75EB">
              <w:t>1)</w:t>
            </w:r>
            <w:r w:rsidRPr="00AC75EB">
              <w:tab/>
              <w:t>art. 5a otrzymuje brzmienie:</w:t>
            </w:r>
          </w:p>
          <w:p w14:paraId="214E845E" w14:textId="77777777" w:rsidR="00D75BDC" w:rsidRPr="00BF00D8" w:rsidRDefault="00D75BDC" w:rsidP="00BF00D8">
            <w:pPr>
              <w:pStyle w:val="ZARTzmartartykuempunktem"/>
            </w:pPr>
            <w:r w:rsidRPr="00AC75EB">
              <w:t xml:space="preserve">„Art. 5a. 1. Poseł lub senator w czasie pozbawienia wolności nie wykonuje praw i obowiązków wynikających z przepisów art. 3, art. 13 ust. 1, art. 14 ust. 1 pkt 1‒6, art. 15 ust. 1, art. 16 ust. 1, </w:t>
            </w:r>
            <w:r w:rsidRPr="00BF00D8">
              <w:t>art. 19 ust. 1, art. 20‒22, art. 24, art. 25 ust. 1, art. 26 ust. 1, art. 28 ust. 2, art. 38 ust. 1, art. 39 ust. 1, art. 42 ust. 1, art. 43 ust. 1, art. 44 ust. 1 i 2, art. 45 ust. 1 oraz art. 46 ust. 1 i 2.</w:t>
            </w:r>
          </w:p>
          <w:p w14:paraId="5C38C664" w14:textId="77777777" w:rsidR="00D75BDC" w:rsidRPr="00BF00D8" w:rsidRDefault="00D75BDC" w:rsidP="00BF00D8">
            <w:pPr>
              <w:pStyle w:val="ZARTzmartartykuempunktem"/>
            </w:pPr>
            <w:r w:rsidRPr="00AC75EB">
              <w:t>2. Przepis ust. 1 stosuje się także wobec posła lub senatora, wobec którego nie jest możliwe rozpoczęcie odbywania kary pozbawienia woln</w:t>
            </w:r>
            <w:r w:rsidRPr="00BF00D8">
              <w:t>ości albo wykonanie postanowienia o zastosowaniu tymczasowego aresztowania, z powodu jego ukrywania się lub nieobecności w kraju.</w:t>
            </w:r>
          </w:p>
          <w:p w14:paraId="091FC5AB" w14:textId="77777777" w:rsidR="00D75BDC" w:rsidRPr="00BF00D8" w:rsidRDefault="00D75BDC" w:rsidP="00BF00D8">
            <w:pPr>
              <w:pStyle w:val="ZARTzmartartykuempunktem"/>
            </w:pPr>
            <w:r w:rsidRPr="00AC75EB">
              <w:t xml:space="preserve">3. W przypadku umorzenia postępowania karnego albo wydania wyroku uniewinniającego posłowi lub senatorowi należy wypłacić zaległe uposażenie i dietę parlamentarną; nie dotyczy to </w:t>
            </w:r>
            <w:bookmarkStart w:id="1" w:name="_Hlk189747906"/>
            <w:r w:rsidRPr="00AC75EB">
              <w:t>warunkowego umorzenia postępowania karnego oraz umorzenia z powodu amnestii lub przedawnienia</w:t>
            </w:r>
            <w:bookmarkEnd w:id="1"/>
            <w:r w:rsidRPr="00AC75EB">
              <w:t>.”;</w:t>
            </w:r>
          </w:p>
          <w:p w14:paraId="1E466D91" w14:textId="15D3569F" w:rsidR="00D75BDC" w:rsidRPr="00BF00D8" w:rsidRDefault="00D75BDC" w:rsidP="00BF00D8">
            <w:pPr>
              <w:pStyle w:val="PKTpunkt"/>
            </w:pPr>
            <w:r w:rsidRPr="00AC75EB">
              <w:t>2)</w:t>
            </w:r>
            <w:r w:rsidRPr="00AC75EB">
              <w:tab/>
              <w:t>w art. 23 w ust. 10a wyrazy „w przypadku, o którym w art. 5a” zastępuje się wyrazami „w przypadkach, o których mowa w art. 5a ust. 1 i 2”.”</w:t>
            </w:r>
            <w:r w:rsidRPr="00BF00D8">
              <w:t>;</w:t>
            </w:r>
          </w:p>
        </w:tc>
      </w:tr>
      <w:tr w:rsidR="00D75BDC" w:rsidRPr="00B528A4" w14:paraId="2A143139" w14:textId="77777777" w:rsidTr="00D75BDC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D75BDC" w:rsidRPr="00B528A4" w:rsidRDefault="00D75BDC" w:rsidP="00BF00D8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5FCD8EA4" w:rsidR="00D75BDC" w:rsidRPr="00BF00D8" w:rsidRDefault="00D75BDC" w:rsidP="00BF00D8">
            <w:pPr>
              <w:pStyle w:val="TREPUNKTUWUCHWALESENACKIEJ"/>
            </w:pPr>
            <w:r w:rsidRPr="002D6876">
              <w:t xml:space="preserve">w art. 2 po wyrazach „art. 5a” </w:t>
            </w:r>
            <w:r w:rsidRPr="00BF00D8">
              <w:t>dodaje się wyrazy „i art. 23 ust. 10a”.</w:t>
            </w:r>
          </w:p>
        </w:tc>
      </w:tr>
    </w:tbl>
    <w:p w14:paraId="405870CF" w14:textId="44236495" w:rsidR="005010F6" w:rsidRDefault="005010F6" w:rsidP="005010F6">
      <w:pPr>
        <w:pStyle w:val="POPIERAJCYPOPRAWKZAMIESZCZONWZESTAWIENIUWNIOSKW"/>
        <w:rPr>
          <w:color w:val="000000" w:themeColor="text1"/>
        </w:rPr>
      </w:pPr>
    </w:p>
    <w:p w14:paraId="1BEC83F4" w14:textId="77777777" w:rsidR="005010F6" w:rsidRDefault="005010F6" w:rsidP="005010F6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B8ED772" w14:textId="77777777" w:rsidR="005010F6" w:rsidRDefault="005010F6" w:rsidP="005010F6">
      <w:pPr>
        <w:ind w:left="5103" w:firstLine="4"/>
        <w:rPr>
          <w:rStyle w:val="Ppogrubienie"/>
          <w:color w:val="000000" w:themeColor="text1"/>
        </w:rPr>
      </w:pPr>
    </w:p>
    <w:p w14:paraId="11EC05E9" w14:textId="77777777" w:rsidR="005010F6" w:rsidRDefault="005010F6" w:rsidP="005010F6">
      <w:pPr>
        <w:ind w:left="5103" w:firstLine="4"/>
        <w:rPr>
          <w:rStyle w:val="Ppogrubienie"/>
          <w:color w:val="000000" w:themeColor="text1"/>
        </w:rPr>
      </w:pPr>
    </w:p>
    <w:p w14:paraId="7B24A4BF" w14:textId="4FDB7CFA" w:rsidR="00646689" w:rsidRDefault="005010F6" w:rsidP="005010F6">
      <w:pPr>
        <w:ind w:left="496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32566B59" w14:textId="77777777" w:rsidR="00646689" w:rsidRDefault="00646689" w:rsidP="005010F6">
      <w:pPr>
        <w:ind w:left="4962"/>
        <w:rPr>
          <w:rStyle w:val="Ppogrubienie"/>
          <w:color w:val="000000" w:themeColor="text1"/>
        </w:rPr>
      </w:pPr>
    </w:p>
    <w:p w14:paraId="2EE88590" w14:textId="0FA65557" w:rsidR="00646689" w:rsidRDefault="00646689" w:rsidP="005010F6">
      <w:pPr>
        <w:ind w:left="4962"/>
        <w:rPr>
          <w:rStyle w:val="Ppogrubienie"/>
          <w:color w:val="000000" w:themeColor="text1"/>
        </w:rPr>
        <w:sectPr w:rsidR="00646689" w:rsidSect="005010F6">
          <w:headerReference w:type="default" r:id="rId9"/>
          <w:footerReference w:type="default" r:id="rId10"/>
          <w:footnotePr>
            <w:numRestart w:val="eachSect"/>
          </w:footnotePr>
          <w:pgSz w:w="11906" w:h="16838"/>
          <w:pgMar w:top="709" w:right="1434" w:bottom="568" w:left="1418" w:header="709" w:footer="709" w:gutter="0"/>
          <w:cols w:space="708"/>
          <w:titlePg/>
          <w:docGrid w:linePitch="254"/>
        </w:sectPr>
      </w:pPr>
    </w:p>
    <w:p w14:paraId="63B2AF83" w14:textId="77777777" w:rsidR="00646689" w:rsidRPr="00646689" w:rsidRDefault="00646689" w:rsidP="00646689">
      <w:pPr>
        <w:pStyle w:val="TYTUAKTUprzedmiotregulacjiustawylubrozporzdzenia"/>
      </w:pPr>
    </w:p>
    <w:p w14:paraId="0D588D50" w14:textId="6CC8ABCA" w:rsidR="00646689" w:rsidRDefault="00646689" w:rsidP="00912118">
      <w:pPr>
        <w:pStyle w:val="OZNRODZAKTUtznustawalubrozporzdzenieiorganwydajcy"/>
      </w:pPr>
      <w:r w:rsidRPr="00912118">
        <w:t>U</w:t>
      </w:r>
      <w:r>
        <w:t>zasadnienie</w:t>
      </w:r>
    </w:p>
    <w:p w14:paraId="1931DCF4" w14:textId="77777777" w:rsidR="00646689" w:rsidRPr="00B86113" w:rsidRDefault="00646689" w:rsidP="00B86113">
      <w:pPr>
        <w:pStyle w:val="DATAAKTUdatauchwalenialubwydaniaaktu"/>
      </w:pPr>
    </w:p>
    <w:p w14:paraId="28F63A88" w14:textId="77777777" w:rsidR="00646689" w:rsidRDefault="00646689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24 stycznia 2025 </w:t>
      </w:r>
      <w:r w:rsidRPr="00E000DC">
        <w:t xml:space="preserve">r. ustawy o </w:t>
      </w:r>
      <w:r>
        <w:t>zmianie ustawy o wykonywaniu mandatu posła i senatora,</w:t>
      </w:r>
      <w:r w:rsidRPr="00E000DC">
        <w:t xml:space="preserve"> </w:t>
      </w:r>
      <w:r>
        <w:t>postanowił wprowadzić</w:t>
      </w:r>
      <w:r w:rsidRPr="00E000DC">
        <w:t xml:space="preserve"> do jej tekstu </w:t>
      </w:r>
      <w:r>
        <w:t>2</w:t>
      </w:r>
      <w:r w:rsidRPr="00E000DC">
        <w:t xml:space="preserve"> poprawki</w:t>
      </w:r>
      <w:r>
        <w:t>.</w:t>
      </w:r>
    </w:p>
    <w:p w14:paraId="09304E99" w14:textId="77777777" w:rsidR="00646689" w:rsidRDefault="00646689" w:rsidP="00411C76">
      <w:pPr>
        <w:pStyle w:val="NIEARTTEKSTtekstnieartykuowanynppodstprawnarozplubpreambua"/>
      </w:pPr>
      <w:r>
        <w:t>Art. 5a ustawy o wykonywaniu mandatu posła i senatora, w swoim dotychczasowym brzmieniu, zakłada, że w czasie pozbawienia wolności poseł lub senator nie wykonuje żadnych praw i obowiązków wynikających z ustawy. Rozpatrywana przez Senat ustawa nowelizująca rozszerza tę zasadę na parlamentarzystę, wobec którego wydano postanowienie o zastosowaniu tymczasowego aresztowania do czasu jego uchylenia, zmiany na inny środek zapobiegawczy albo upływu terminu, do którego to aresztowanie ma trwać. Sposób uregulowania tej kwestii w art. 5a ustawy o wykonywaniu mandatu posła i senatora został już wcześniej oceniony przez doktrynę jako „nie tylko wadliwie skonstruowany, ale (…) ewidentnie sprzeczny z Konstytucją”</w:t>
      </w:r>
      <w:r>
        <w:rPr>
          <w:rStyle w:val="Odwoanieprzypisudolnego"/>
        </w:rPr>
        <w:footnoteReference w:id="1"/>
      </w:r>
      <w:r>
        <w:t xml:space="preserve">. Ta wadliwa konstrukcja przepisu </w:t>
      </w:r>
      <w:r>
        <w:rPr>
          <w:rFonts w:cs="Times"/>
        </w:rPr>
        <w:t>‒</w:t>
      </w:r>
      <w:r>
        <w:t xml:space="preserve"> którą uchwalona przez Sejm 24 stycznia 2025 r. ustawa nowelizująca powiela </w:t>
      </w:r>
      <w:r>
        <w:rPr>
          <w:rFonts w:cs="Times"/>
        </w:rPr>
        <w:t>‒</w:t>
      </w:r>
      <w:r>
        <w:t xml:space="preserve"> sprawia, że „nie mamy do czynienia z (…) instytucją zawieszenia mandatu, ale z faktycznym pozbawieniem mandatu”</w:t>
      </w:r>
      <w:r>
        <w:rPr>
          <w:rStyle w:val="Odwoanieprzypisudolnego"/>
        </w:rPr>
        <w:footnoteReference w:id="2"/>
      </w:r>
      <w:r>
        <w:t xml:space="preserve">, co budzi wątpliwości w kontekście zgodności z koncepcją mandatu wolnego, przyjętą przez </w:t>
      </w:r>
      <w:proofErr w:type="spellStart"/>
      <w:r>
        <w:t>ustrojodawcę</w:t>
      </w:r>
      <w:proofErr w:type="spellEnd"/>
      <w:r>
        <w:t xml:space="preserve"> w art. 104 ust. 1 Konstytucji. </w:t>
      </w:r>
    </w:p>
    <w:p w14:paraId="1D43F93C" w14:textId="77777777" w:rsidR="00646689" w:rsidRDefault="00646689" w:rsidP="009A7BF3">
      <w:pPr>
        <w:pStyle w:val="NIEARTTEKSTtekstnieartykuowanynppodstprawnarozplubpreambua"/>
      </w:pPr>
      <w:r>
        <w:t xml:space="preserve">Przyjąwszy, że art. 5a w brzmieniu dotychczasowym, jak i zaproponowanym przez Sejm, jest zbyt lakoniczny, a także założywszy, że parlamentarzysta jest przedstawicielem Narodu nawet w sytuacji pozbawienia wolności, Senat </w:t>
      </w:r>
      <w:r>
        <w:rPr>
          <w:rFonts w:cs="Times"/>
        </w:rPr>
        <w:t>‒</w:t>
      </w:r>
      <w:r>
        <w:t xml:space="preserve"> stojąc na straży praworządności i w celu zapewnienia zgodności przyjętego przepisu z Konstytucją </w:t>
      </w:r>
      <w:r>
        <w:rPr>
          <w:rFonts w:cs="Times"/>
        </w:rPr>
        <w:t>‒</w:t>
      </w:r>
      <w:r>
        <w:t xml:space="preserve"> uznał za konieczne jego uszczegółowienie. </w:t>
      </w:r>
    </w:p>
    <w:p w14:paraId="53BD285F" w14:textId="77777777" w:rsidR="00646689" w:rsidRDefault="00646689" w:rsidP="009A7BF3">
      <w:pPr>
        <w:pStyle w:val="NIEARTTEKSTtekstnieartykuowanynppodstprawnarozplubpreambua"/>
      </w:pPr>
      <w:r>
        <w:rPr>
          <w:rStyle w:val="Ppogrubienie"/>
        </w:rPr>
        <w:t>P</w:t>
      </w:r>
      <w:r w:rsidRPr="009A7BF3">
        <w:rPr>
          <w:rStyle w:val="Ppogrubienie"/>
        </w:rPr>
        <w:t>oprawk</w:t>
      </w:r>
      <w:r>
        <w:rPr>
          <w:rStyle w:val="Ppogrubienie"/>
        </w:rPr>
        <w:t>a</w:t>
      </w:r>
      <w:r w:rsidRPr="009A7BF3">
        <w:rPr>
          <w:rStyle w:val="Ppogrubienie"/>
        </w:rPr>
        <w:t xml:space="preserve"> nr 1</w:t>
      </w:r>
      <w:r>
        <w:t xml:space="preserve"> nadaje nowe brzmienie art. 5a </w:t>
      </w:r>
      <w:r w:rsidRPr="0054600B">
        <w:t>ustawy o wykonywaniu mandatu posła i</w:t>
      </w:r>
      <w:r>
        <w:t> </w:t>
      </w:r>
      <w:r w:rsidRPr="0054600B">
        <w:t>senatora</w:t>
      </w:r>
      <w:r>
        <w:t xml:space="preserve">. </w:t>
      </w:r>
    </w:p>
    <w:p w14:paraId="1AC2997C" w14:textId="77777777" w:rsidR="00646689" w:rsidRDefault="00646689" w:rsidP="009A7BF3">
      <w:pPr>
        <w:pStyle w:val="NIEARTTEKSTtekstnieartykuowanynppodstprawnarozplubpreambua"/>
      </w:pPr>
      <w:r>
        <w:t xml:space="preserve">Art. 5a ust. 1, w brzmieniu nadanym przez Senat, przesądza, które </w:t>
      </w:r>
      <w:r w:rsidRPr="0029250F">
        <w:t>prawa i</w:t>
      </w:r>
      <w:r>
        <w:t> </w:t>
      </w:r>
      <w:r w:rsidRPr="0029250F">
        <w:t>obowiązki poselsko</w:t>
      </w:r>
      <w:r>
        <w:rPr>
          <w:rFonts w:cs="Times"/>
        </w:rPr>
        <w:t>‒</w:t>
      </w:r>
      <w:r w:rsidRPr="0029250F">
        <w:t xml:space="preserve">senatorskie </w:t>
      </w:r>
      <w:r w:rsidRPr="00AC75EB">
        <w:t>podlegają zawieszeniu</w:t>
      </w:r>
      <w:r>
        <w:t xml:space="preserve">, wskazując ich konkretny katalog. Pominięte </w:t>
      </w:r>
      <w:r>
        <w:lastRenderedPageBreak/>
        <w:t xml:space="preserve">zostały jednak te prawa i obowiązki, </w:t>
      </w:r>
      <w:r w:rsidRPr="00AC75EB">
        <w:t>które wynikają z Konstytucji, oraz t</w:t>
      </w:r>
      <w:r>
        <w:t>e</w:t>
      </w:r>
      <w:r w:rsidRPr="00AC75EB">
        <w:t xml:space="preserve">, których możliwość wykonywania </w:t>
      </w:r>
      <w:r>
        <w:t xml:space="preserve">nie koliduje ze statusem osoby pozbawionej wolności. Poprawka uznaje zatem za niewykonywane przez parlamentarzystę objętego tym przepisem: </w:t>
      </w:r>
      <w:r w:rsidRPr="0029250F">
        <w:t>prawo i</w:t>
      </w:r>
      <w:r>
        <w:t> </w:t>
      </w:r>
      <w:r w:rsidRPr="0029250F">
        <w:t>obowiązek uczestniczenia w pracach parlamentu (art. 3); obowiązek obecności i czynnego udziału w</w:t>
      </w:r>
      <w:r>
        <w:t> </w:t>
      </w:r>
      <w:r w:rsidRPr="0029250F">
        <w:t>posiedzeniach Sejmu, Senatu, Zgromadzenia Narodowego i ich organów (art. 13 ust.</w:t>
      </w:r>
      <w:r>
        <w:t> </w:t>
      </w:r>
      <w:r w:rsidRPr="0029250F">
        <w:t>1); wyrażanie stanowiska, zgłaszanie wniosków, prawo wybierania i wybieralności do organów, uczestniczenia w inicjatywach ustawodawczych, uczestniczenia w dyskusji (art. 14 ust 1 pkt 1‒6 oraz art. 15 ust. 1); prawo do uzyskiwania informacji lub wyjaśnień (art. 16 ust.</w:t>
      </w:r>
      <w:r>
        <w:t> </w:t>
      </w:r>
      <w:r w:rsidRPr="0029250F">
        <w:t>1); prawo do uzyskiwania informacji i</w:t>
      </w:r>
      <w:r>
        <w:t> </w:t>
      </w:r>
      <w:r w:rsidRPr="0029250F">
        <w:t>materiałów, wstępu do pomieszczeń, wglądu w działalność organów i spółek (art. 19 ust. 1); prawo występowania z interwencją (art. 20); obowiązek przyjmowania postulatów, opinii i wniosków wyborców (art. 21 ust. 1) i zakaz udzielania informacji o takiej osobie (art. 21 ust. 2); prawo uczestniczenia w sesjach organów stanowiących jednostek samorządu terytorialnego (art. 22); prawo do oczekiwania pomocy od organów państwa (art. 24); prawo do uposażenia (art. 25</w:t>
      </w:r>
      <w:r>
        <w:t xml:space="preserve"> ust. 1</w:t>
      </w:r>
      <w:r w:rsidRPr="0029250F">
        <w:t>) i dodatków do niego (art. 26 ust. 1); prawo do świadczeń wypadkowych (art. 28 ust. 2); prawo do odprawy emerytalnej i</w:t>
      </w:r>
      <w:r>
        <w:t> </w:t>
      </w:r>
      <w:r w:rsidRPr="0029250F">
        <w:t>rentowej (art. 38</w:t>
      </w:r>
      <w:r>
        <w:t xml:space="preserve"> ust. 1</w:t>
      </w:r>
      <w:r w:rsidRPr="0029250F">
        <w:t>), prawo do odprawy parlamentarnej (art.</w:t>
      </w:r>
      <w:r>
        <w:t> </w:t>
      </w:r>
      <w:r w:rsidRPr="0029250F">
        <w:t>39 ust. 1);</w:t>
      </w:r>
      <w:r>
        <w:t xml:space="preserve"> </w:t>
      </w:r>
      <w:r w:rsidRPr="0029250F">
        <w:t>prawo do diety parlamentarnej (art.</w:t>
      </w:r>
      <w:r>
        <w:t> </w:t>
      </w:r>
      <w:r w:rsidRPr="0029250F">
        <w:t>42 ust. 1); prawo do bezpłatnych przejazdów i przelotów (art. 43 ust. 1); prawo do bezpłatnych druków i papeterii (art. 44 ust. 1 i 2); prawo do legitymacji (art. 45 ust.</w:t>
      </w:r>
      <w:r>
        <w:t> </w:t>
      </w:r>
      <w:r w:rsidRPr="0029250F">
        <w:t>1); prawo do pomocy Prezydium Sejmu i Prezydium Senatu oraz Kancelarii Sejmu lub Kancelarii Senatu (art. 46 ust. 1 i 2).</w:t>
      </w:r>
    </w:p>
    <w:p w14:paraId="3686DCC6" w14:textId="77777777" w:rsidR="00646689" w:rsidRPr="00461C17" w:rsidRDefault="00646689" w:rsidP="00461C17">
      <w:pPr>
        <w:pStyle w:val="ARTartustawynprozporzdzenia"/>
      </w:pPr>
      <w:r>
        <w:t>Zgodnie z zaproponowanym przez Senat brzmieniem ust. 2, powyższe regulacje mają obowiązywać także posła lub senatora, wobec którego nie będzie możliwe rozpoczęcie odbywania kary pozbawienia wolności albo wykonanie postanowienia o zastosowaniu tymczasowego aresztowania w sytuacji, gdy parlamentarzysta taki ukrywa się lub jest nieobecny w kraju. Senat pragnie tym samym zwrócić uwagę na sytuację, w której poseł lub senator, działając w złej wierze, świadomie podejmuje działania prowadzące do uniknięcia rozpoczęcia odbywania kary pozbawienia wolności lub tymczasowego aresztowania. Zdaniem Senatu takiego zachowania nie należy zrównywać z sytuacją, w której faktyczne rozpoczęcie orzeczonego pozbawienia wolności wynika z czynników niezależnych od parlamentarzysty.</w:t>
      </w:r>
    </w:p>
    <w:p w14:paraId="6ED070A4" w14:textId="77777777" w:rsidR="00646689" w:rsidRDefault="00646689" w:rsidP="009A7BF3">
      <w:pPr>
        <w:pStyle w:val="NIEARTTEKSTtekstnieartykuowanynppodstprawnarozplubpreambua"/>
      </w:pPr>
      <w:r>
        <w:t>Niewymienione w katalogu prawa, obowiązki i zakazy obowiązują parlamentarzystę, nawet w sytuacji opisanej w ust. 1 lub 2.</w:t>
      </w:r>
    </w:p>
    <w:p w14:paraId="4D7E462D" w14:textId="77777777" w:rsidR="00646689" w:rsidRPr="00AC75EB" w:rsidRDefault="00646689" w:rsidP="00214B84">
      <w:pPr>
        <w:pStyle w:val="ARTartustawynprozporzdzenia"/>
      </w:pPr>
      <w:r>
        <w:lastRenderedPageBreak/>
        <w:t xml:space="preserve">Senat, poprzez wprowadzenie do art. 5a nowego ust. 3, </w:t>
      </w:r>
      <w:r w:rsidRPr="00AC75EB">
        <w:t xml:space="preserve">proponuje uregulowanie sytuacji posła lub senatora, wobec którego </w:t>
      </w:r>
      <w:r>
        <w:t xml:space="preserve">umorzono postępowanie lub </w:t>
      </w:r>
      <w:r w:rsidRPr="00AC75EB">
        <w:t xml:space="preserve">wydano wyrok uniewinniający, </w:t>
      </w:r>
      <w:r>
        <w:t xml:space="preserve">poprzez </w:t>
      </w:r>
      <w:r w:rsidRPr="00AC75EB">
        <w:t>nakaz</w:t>
      </w:r>
      <w:r>
        <w:t>anie</w:t>
      </w:r>
      <w:r w:rsidRPr="00AC75EB">
        <w:t xml:space="preserve"> wypłaceni</w:t>
      </w:r>
      <w:r>
        <w:t>a</w:t>
      </w:r>
      <w:r w:rsidRPr="00AC75EB">
        <w:t xml:space="preserve"> mu zaległych uposażenia i diety parlamentarnej, </w:t>
      </w:r>
      <w:r>
        <w:t xml:space="preserve">uznając, że </w:t>
      </w:r>
      <w:r w:rsidRPr="00AC75EB">
        <w:t xml:space="preserve">wynika </w:t>
      </w:r>
      <w:r>
        <w:t xml:space="preserve">to </w:t>
      </w:r>
      <w:r w:rsidRPr="00AC75EB">
        <w:t xml:space="preserve">z zasad elementarnej sprawiedliwości społecznej. Jednocześnie </w:t>
      </w:r>
      <w:r>
        <w:t>ust. 3</w:t>
      </w:r>
      <w:r w:rsidRPr="00AC75EB">
        <w:t xml:space="preserve"> ustanawia wyjątek od tej zasady – zaległe uposażenie i</w:t>
      </w:r>
      <w:r>
        <w:t> </w:t>
      </w:r>
      <w:r w:rsidRPr="00AC75EB">
        <w:t>dieta parlamentarna nie będą należały się w sytuacji warunkowego umorzenia postępowania karnego oraz umorzenia z powodu amnestii lub przedawnienia.</w:t>
      </w:r>
    </w:p>
    <w:p w14:paraId="00571D45" w14:textId="77777777" w:rsidR="00646689" w:rsidRDefault="00646689" w:rsidP="009A7BF3">
      <w:pPr>
        <w:pStyle w:val="ARTartustawynprozporzdzenia"/>
      </w:pPr>
      <w:r w:rsidRPr="00AC75EB">
        <w:t>Poprawk</w:t>
      </w:r>
      <w:r>
        <w:t>a</w:t>
      </w:r>
      <w:r w:rsidRPr="00AC75EB">
        <w:t xml:space="preserve"> </w:t>
      </w:r>
      <w:r>
        <w:t xml:space="preserve">nr 1 </w:t>
      </w:r>
      <w:r w:rsidRPr="00AC75EB">
        <w:t>zawiera także konieczną zmianę redakcyjną w art. 23 ust. 10a ustawy zmienianej, będącą konsekwencją rozwiązań wprowadzanych ustawą.</w:t>
      </w:r>
      <w:r>
        <w:t xml:space="preserve"> Przesądza tym samym jednoznacznie, że we wszystkich wymienionych w nowym brzmieniu art. 5a przypadkach prawa i obowiązki posła i senatora wynikające z funkcjonowania i znoszenia biura przechodzą odpowiednio na Marszałka Sejmu lub Marszałka Senatu.</w:t>
      </w:r>
    </w:p>
    <w:p w14:paraId="290A8947" w14:textId="77777777" w:rsidR="00646689" w:rsidRPr="00737F6A" w:rsidRDefault="00646689" w:rsidP="009A7BF3">
      <w:pPr>
        <w:pStyle w:val="ARTartustawynprozporzdzenia"/>
      </w:pPr>
      <w:r w:rsidRPr="00AD2C95">
        <w:rPr>
          <w:rStyle w:val="Ppogrubienie"/>
        </w:rPr>
        <w:t>Poprawka nr 2</w:t>
      </w:r>
      <w:r>
        <w:t xml:space="preserve"> rozszerza zakres przepisu przejściowego także na opisaną wyżej sytuację wejścia Marszałka Sejmu lub Marszałka Senatu w prawa i obowiązki posła lub senatora dotyczące biur poselskich (senatorskich). W rezultacie przepisy zarówno art. 5a, jak i art. 23 ust. 10a, w brzmieniu nadanym rozpatrywaną ustawą, znajdą zastosowanie do posła lub senatora, wobec którego wydano postanowienie o zastosowaniu tymczasowego aresztowania jeszcze przed dniem wejścia w życie ustawy.</w:t>
      </w:r>
    </w:p>
    <w:p w14:paraId="241502BF" w14:textId="2C14A41C" w:rsidR="00AE039B" w:rsidRPr="00737F6A" w:rsidRDefault="00AE039B" w:rsidP="005010F6">
      <w:pPr>
        <w:ind w:left="4962"/>
      </w:pPr>
    </w:p>
    <w:sectPr w:rsidR="00AE039B" w:rsidRPr="00737F6A" w:rsidSect="00646689">
      <w:headerReference w:type="default" r:id="rId11"/>
      <w:footnotePr>
        <w:numRestart w:val="eachSect"/>
      </w:footnotePr>
      <w:pgSz w:w="11906" w:h="16838"/>
      <w:pgMar w:top="1538" w:right="1434" w:bottom="568" w:left="1418" w:header="709" w:footer="1533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B2D0" w14:textId="51C78B0B" w:rsidR="00646689" w:rsidRDefault="00646689">
    <w:pPr>
      <w:pStyle w:val="Stopka"/>
    </w:pPr>
  </w:p>
  <w:p w14:paraId="6F2DF70A" w14:textId="77777777" w:rsidR="00646689" w:rsidRDefault="00646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  <w:footnote w:id="1">
    <w:p w14:paraId="14413EE4" w14:textId="77777777" w:rsidR="00646689" w:rsidRDefault="00646689" w:rsidP="00B50A11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E906C9">
        <w:t>K. Grajewski</w:t>
      </w:r>
      <w:r>
        <w:t xml:space="preserve">, </w:t>
      </w:r>
      <w:r w:rsidRPr="00E906C9">
        <w:rPr>
          <w:rStyle w:val="Kkursywa"/>
        </w:rPr>
        <w:t>Komentarz do art. 5a</w:t>
      </w:r>
      <w:r w:rsidRPr="00E906C9">
        <w:t xml:space="preserve"> [w:] J. </w:t>
      </w:r>
      <w:proofErr w:type="spellStart"/>
      <w:r w:rsidRPr="00E906C9">
        <w:t>Stelina</w:t>
      </w:r>
      <w:proofErr w:type="spellEnd"/>
      <w:r w:rsidRPr="00E906C9">
        <w:t xml:space="preserve">, P. J. Uziębło, K. Grajewski, </w:t>
      </w:r>
      <w:r w:rsidRPr="00E906C9">
        <w:rPr>
          <w:rStyle w:val="Kkursywa"/>
        </w:rPr>
        <w:t>Komentarz do ustawy o</w:t>
      </w:r>
      <w:r>
        <w:rPr>
          <w:rStyle w:val="Kkursywa"/>
        </w:rPr>
        <w:t> </w:t>
      </w:r>
      <w:r w:rsidRPr="00E906C9">
        <w:rPr>
          <w:rStyle w:val="Kkursywa"/>
        </w:rPr>
        <w:t>wykonywaniu mandatu posła i senatora</w:t>
      </w:r>
      <w:r w:rsidRPr="00E906C9">
        <w:t>, Warszawa 2014</w:t>
      </w:r>
      <w:r>
        <w:t>, s. 56.</w:t>
      </w:r>
    </w:p>
  </w:footnote>
  <w:footnote w:id="2">
    <w:p w14:paraId="26166761" w14:textId="77777777" w:rsidR="00646689" w:rsidRDefault="00646689" w:rsidP="00B50A11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>
        <w:tab/>
        <w:t xml:space="preserve">E. Morawska, </w:t>
      </w:r>
      <w:r w:rsidRPr="00B50A11">
        <w:rPr>
          <w:rStyle w:val="Kkursywa"/>
        </w:rPr>
        <w:t>Zmiany w statusie prawnym posła i senatora w latach 2001–2005</w:t>
      </w:r>
      <w:r w:rsidRPr="00B50A11">
        <w:t xml:space="preserve">, [w:] M. Granat (red.), </w:t>
      </w:r>
      <w:r w:rsidRPr="00B50A11">
        <w:rPr>
          <w:rStyle w:val="Kkursywa"/>
        </w:rPr>
        <w:t>Zagadnienia prawa parlamentarnego. Materiały z XLVIII Ogólnopolskiego Zjazdu Katedr i Zakładów Prawa Konstytucyjnego. Serock, 1–3 czerwca 2006 r.,</w:t>
      </w:r>
      <w:r w:rsidRPr="00B50A11">
        <w:t xml:space="preserve"> Warszawa 2007, s. 261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B0B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AD8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47F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04D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61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8C0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0F6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41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DBD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689"/>
    <w:rsid w:val="00653B22"/>
    <w:rsid w:val="00657BF4"/>
    <w:rsid w:val="006603FB"/>
    <w:rsid w:val="006608DF"/>
    <w:rsid w:val="006623AC"/>
    <w:rsid w:val="0066586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748E6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0D8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3A1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DC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F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1141</Words>
  <Characters>6565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dora_graziewicz</cp:lastModifiedBy>
  <cp:revision>5</cp:revision>
  <cp:lastPrinted>2025-02-12T17:37:00Z</cp:lastPrinted>
  <dcterms:created xsi:type="dcterms:W3CDTF">2025-02-12T16:36:00Z</dcterms:created>
  <dcterms:modified xsi:type="dcterms:W3CDTF">2025-02-13T08:29:00Z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