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6FFAC" w14:textId="77777777" w:rsidR="002500F6" w:rsidRPr="00E000DC" w:rsidRDefault="002500F6" w:rsidP="00912118">
      <w:pPr>
        <w:pStyle w:val="OZNRODZAKTUtznustawalubrozporzdzenieiorganwydajcy"/>
      </w:pPr>
      <w:r w:rsidRPr="00912118">
        <w:t>UCHWAŁA</w:t>
      </w:r>
    </w:p>
    <w:p w14:paraId="5B6B29D9" w14:textId="77777777" w:rsidR="002500F6" w:rsidRPr="00E000DC" w:rsidRDefault="002500F6" w:rsidP="00912118">
      <w:pPr>
        <w:pStyle w:val="OZNRODZAKTUtznustawalubrozporzdzenieiorganwydajcy"/>
      </w:pPr>
      <w:r w:rsidRPr="00E000DC">
        <w:t>SENATU RZECZYPOSPOLITEJ POLSKIEJ</w:t>
      </w:r>
    </w:p>
    <w:p w14:paraId="393144CC" w14:textId="77777777" w:rsidR="002500F6" w:rsidRPr="00E000DC" w:rsidRDefault="002500F6" w:rsidP="00912118">
      <w:pPr>
        <w:pStyle w:val="DATAAKTUdatauchwalenialubwydaniaaktu"/>
      </w:pPr>
      <w:r w:rsidRPr="00E000DC">
        <w:t>z dnia</w:t>
      </w:r>
      <w:r>
        <w:t xml:space="preserve"> 12 lutego 2025 r.</w:t>
      </w:r>
    </w:p>
    <w:p w14:paraId="32290D38" w14:textId="77777777" w:rsidR="002500F6" w:rsidRPr="00E000DC" w:rsidRDefault="002500F6" w:rsidP="00584221">
      <w:pPr>
        <w:pStyle w:val="TYTUAKTUprzedmiotregulacjiustawylubrozporzdzenia"/>
      </w:pPr>
      <w:r>
        <w:t>w sprawie ustawy o</w:t>
      </w:r>
      <w:r w:rsidRPr="00584221">
        <w:t xml:space="preserve"> zmianie </w:t>
      </w:r>
      <w:bookmarkStart w:id="0" w:name="_Hlk190183204"/>
      <w:r w:rsidRPr="00584221">
        <w:t>ustawy o biokomponentach i biopaliwach ciekłych oraz</w:t>
      </w:r>
      <w:r>
        <w:t> </w:t>
      </w:r>
      <w:r w:rsidRPr="00584221">
        <w:t>niektórych innych ustaw</w:t>
      </w:r>
      <w:bookmarkEnd w:id="0"/>
    </w:p>
    <w:p w14:paraId="6BECDF47" w14:textId="77777777" w:rsidR="002500F6" w:rsidRDefault="002500F6" w:rsidP="00912118">
      <w:pPr>
        <w:pStyle w:val="NIEARTTEKSTtekstnieartykuowanynppodstprawnarozplubpreambua"/>
      </w:pPr>
      <w:r w:rsidRPr="00E000DC">
        <w:t xml:space="preserve">Senat, po rozpatrzeniu uchwalonej przez Sejm na posiedzeniu </w:t>
      </w:r>
      <w:r w:rsidRPr="009B2A7E">
        <w:t xml:space="preserve">w dniu </w:t>
      </w:r>
      <w:r>
        <w:t>6</w:t>
      </w:r>
      <w:r w:rsidRPr="009B2A7E">
        <w:t xml:space="preserve"> </w:t>
      </w:r>
      <w:r>
        <w:t>lutego</w:t>
      </w:r>
      <w:r w:rsidRPr="009B2A7E">
        <w:t xml:space="preserve"> 2025 r. ustawy o zmianie</w:t>
      </w:r>
      <w:r w:rsidRPr="00584221">
        <w:t xml:space="preserve"> ustawy o biokomponentach i biopaliwach ciekłych oraz niektórych innych ustaw</w:t>
      </w:r>
      <w:r w:rsidRPr="009B2A7E">
        <w:t xml:space="preserve">, </w:t>
      </w:r>
      <w:r w:rsidRPr="00E000DC">
        <w:t>wprowadza do jej tekstu następujące poprawki:</w:t>
      </w:r>
    </w:p>
    <w:tbl>
      <w:tblPr>
        <w:tblW w:w="935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4A0" w:firstRow="1" w:lastRow="0" w:firstColumn="1" w:lastColumn="0" w:noHBand="0" w:noVBand="1"/>
      </w:tblPr>
      <w:tblGrid>
        <w:gridCol w:w="993"/>
        <w:gridCol w:w="8363"/>
      </w:tblGrid>
      <w:tr w:rsidR="002500F6" w:rsidRPr="00B528A4" w14:paraId="6692B6C7" w14:textId="77777777" w:rsidTr="00912118">
        <w:trPr>
          <w:trHeight w:val="720"/>
        </w:trPr>
        <w:tc>
          <w:tcPr>
            <w:tcW w:w="993" w:type="dxa"/>
            <w:tcBorders>
              <w:top w:val="nil"/>
              <w:left w:val="nil"/>
              <w:bottom w:val="nil"/>
              <w:right w:val="nil"/>
            </w:tcBorders>
          </w:tcPr>
          <w:p w14:paraId="793EA0FF" w14:textId="77777777" w:rsidR="002500F6" w:rsidRPr="00B528A4" w:rsidRDefault="002500F6" w:rsidP="002500F6">
            <w:pPr>
              <w:pStyle w:val="OZNACZENIEPUNKTUWUCHWALESENACKIEJ"/>
              <w:numPr>
                <w:ilvl w:val="0"/>
                <w:numId w:val="45"/>
              </w:numPr>
              <w:ind w:left="480"/>
            </w:pPr>
          </w:p>
        </w:tc>
        <w:tc>
          <w:tcPr>
            <w:tcW w:w="8363" w:type="dxa"/>
            <w:tcBorders>
              <w:top w:val="nil"/>
              <w:left w:val="nil"/>
              <w:bottom w:val="nil"/>
              <w:right w:val="nil"/>
            </w:tcBorders>
          </w:tcPr>
          <w:p w14:paraId="72B360BA" w14:textId="77777777" w:rsidR="002500F6" w:rsidRPr="00B528A4" w:rsidRDefault="002500F6" w:rsidP="00584221">
            <w:pPr>
              <w:pStyle w:val="TREPUNKTUWUCHWALESENACKIEJ"/>
            </w:pPr>
            <w:r w:rsidRPr="00584221">
              <w:t xml:space="preserve">w art. 1 w pkt 19 w lit. a skreśla się </w:t>
            </w:r>
            <w:proofErr w:type="spellStart"/>
            <w:r w:rsidRPr="00584221">
              <w:t>tiret</w:t>
            </w:r>
            <w:proofErr w:type="spellEnd"/>
            <w:r w:rsidRPr="00584221">
              <w:t xml:space="preserve"> pierwsze;</w:t>
            </w:r>
          </w:p>
        </w:tc>
      </w:tr>
      <w:tr w:rsidR="002500F6" w:rsidRPr="00B528A4" w14:paraId="37907C07" w14:textId="77777777" w:rsidTr="00912118">
        <w:trPr>
          <w:trHeight w:val="720"/>
        </w:trPr>
        <w:tc>
          <w:tcPr>
            <w:tcW w:w="993" w:type="dxa"/>
            <w:tcBorders>
              <w:top w:val="nil"/>
              <w:left w:val="nil"/>
              <w:bottom w:val="nil"/>
              <w:right w:val="nil"/>
            </w:tcBorders>
          </w:tcPr>
          <w:p w14:paraId="257AF033" w14:textId="77777777" w:rsidR="002500F6" w:rsidRPr="00B528A4" w:rsidRDefault="002500F6" w:rsidP="002500F6">
            <w:pPr>
              <w:pStyle w:val="OZNACZENIEPUNKTUWUCHWALESENACKIEJ"/>
              <w:numPr>
                <w:ilvl w:val="0"/>
                <w:numId w:val="45"/>
              </w:numPr>
              <w:ind w:left="480"/>
            </w:pPr>
          </w:p>
        </w:tc>
        <w:tc>
          <w:tcPr>
            <w:tcW w:w="8363" w:type="dxa"/>
            <w:tcBorders>
              <w:top w:val="nil"/>
              <w:left w:val="nil"/>
              <w:bottom w:val="nil"/>
              <w:right w:val="nil"/>
            </w:tcBorders>
          </w:tcPr>
          <w:p w14:paraId="785D8A53" w14:textId="77777777" w:rsidR="002500F6" w:rsidRDefault="002500F6" w:rsidP="007318B7">
            <w:pPr>
              <w:pStyle w:val="TREPUNKTUWUCHWALESENACKIEJ"/>
            </w:pPr>
            <w:r w:rsidRPr="007318B7">
              <w:t xml:space="preserve">w art. 1 w pkt 42 w lit. d, w ust. 2g wyrazy </w:t>
            </w:r>
            <w:r>
              <w:t>„</w:t>
            </w:r>
            <w:r w:rsidRPr="007318B7">
              <w:t>dwóch tygodni</w:t>
            </w:r>
            <w:r>
              <w:t>”</w:t>
            </w:r>
            <w:r w:rsidRPr="007318B7">
              <w:t xml:space="preserve"> zastępuje się wyrazami </w:t>
            </w:r>
            <w:r>
              <w:t>„</w:t>
            </w:r>
            <w:r w:rsidRPr="007318B7">
              <w:t>14 dni</w:t>
            </w:r>
            <w:r>
              <w:t>”</w:t>
            </w:r>
            <w:r w:rsidRPr="007318B7">
              <w:t>;</w:t>
            </w:r>
          </w:p>
        </w:tc>
      </w:tr>
      <w:tr w:rsidR="002500F6" w:rsidRPr="00B528A4" w14:paraId="614E98CF" w14:textId="77777777" w:rsidTr="00912118">
        <w:trPr>
          <w:trHeight w:val="720"/>
        </w:trPr>
        <w:tc>
          <w:tcPr>
            <w:tcW w:w="993" w:type="dxa"/>
            <w:tcBorders>
              <w:top w:val="nil"/>
              <w:left w:val="nil"/>
              <w:bottom w:val="nil"/>
              <w:right w:val="nil"/>
            </w:tcBorders>
          </w:tcPr>
          <w:p w14:paraId="3CF2E558" w14:textId="77777777" w:rsidR="002500F6" w:rsidRPr="00B528A4" w:rsidRDefault="002500F6" w:rsidP="002500F6">
            <w:pPr>
              <w:pStyle w:val="OZNACZENIEPUNKTUWUCHWALESENACKIEJ"/>
              <w:numPr>
                <w:ilvl w:val="0"/>
                <w:numId w:val="45"/>
              </w:numPr>
              <w:ind w:left="480"/>
            </w:pPr>
          </w:p>
        </w:tc>
        <w:tc>
          <w:tcPr>
            <w:tcW w:w="8363" w:type="dxa"/>
            <w:tcBorders>
              <w:top w:val="nil"/>
              <w:left w:val="nil"/>
              <w:bottom w:val="nil"/>
              <w:right w:val="nil"/>
            </w:tcBorders>
          </w:tcPr>
          <w:p w14:paraId="4D5541C7" w14:textId="77777777" w:rsidR="002500F6" w:rsidRPr="007318B7" w:rsidRDefault="002500F6" w:rsidP="007318B7">
            <w:pPr>
              <w:pStyle w:val="TREPUNKTUWUCHWALESENACKIEJ"/>
            </w:pPr>
            <w:r w:rsidRPr="007318B7">
              <w:t>w art. 2 w pkt 3</w:t>
            </w:r>
            <w:r>
              <w:t>,</w:t>
            </w:r>
            <w:r w:rsidRPr="007318B7">
              <w:t xml:space="preserve"> art. 69a </w:t>
            </w:r>
            <w:r>
              <w:t>otrzymuje brzmienie:</w:t>
            </w:r>
          </w:p>
          <w:p w14:paraId="5AC93CD8" w14:textId="77777777" w:rsidR="002500F6" w:rsidRDefault="002500F6" w:rsidP="00262410">
            <w:pPr>
              <w:pStyle w:val="ZARTzmartartykuempunktem"/>
            </w:pPr>
            <w:r>
              <w:t xml:space="preserve">„Art. 69a. 1. </w:t>
            </w:r>
            <w:r w:rsidRPr="00262410">
              <w:t>Do</w:t>
            </w:r>
            <w:r>
              <w:t xml:space="preserve"> dnia 31 grudnia 2026 r., </w:t>
            </w:r>
            <w:r w:rsidRPr="00262410">
              <w:t xml:space="preserve">w przypadku gdy wytwarzanie paliw ciekłych dotyczy działalności jedynie w zakresie wytwarzania paliw ciekłych w procesie, o którym mowa w art. 3 pkt 45 lit. b </w:t>
            </w:r>
            <w:proofErr w:type="spellStart"/>
            <w:r w:rsidRPr="00262410">
              <w:t>tiret</w:t>
            </w:r>
            <w:proofErr w:type="spellEnd"/>
            <w:r w:rsidRPr="00262410">
              <w:t xml:space="preserve"> czwarte, udzielenie koncesji na wytwarzanie paliw ciekłych nie wymaga złożenia zabezpieczenia majątkowego, o którym mowa w art. 38a ust. 1.</w:t>
            </w:r>
          </w:p>
          <w:p w14:paraId="7530043B" w14:textId="77777777" w:rsidR="002500F6" w:rsidRPr="007318B7" w:rsidRDefault="002500F6" w:rsidP="00A519E6">
            <w:pPr>
              <w:pStyle w:val="ZUSTzmustartykuempunktem"/>
            </w:pPr>
            <w:r w:rsidRPr="007318B7">
              <w:t xml:space="preserve">2. Przedsiębiorstwo energetyczne posiadające przed dniem 1 stycznia 2027 r. koncesję na wytwarzanie paliw ciekłych obejmującą wyłącznie wytwarzanie paliw ciekłych w procesie, o którym mowa w art. 3 pkt 45 lit. b </w:t>
            </w:r>
            <w:proofErr w:type="spellStart"/>
            <w:r w:rsidRPr="007318B7">
              <w:t>tiret</w:t>
            </w:r>
            <w:proofErr w:type="spellEnd"/>
            <w:r w:rsidRPr="007318B7">
              <w:t xml:space="preserve"> czwarte, składa zabezpieczenie majątkowe, o którym mowa w art. 38a ust</w:t>
            </w:r>
            <w:r>
              <w:t>. </w:t>
            </w:r>
            <w:r w:rsidRPr="007318B7">
              <w:t xml:space="preserve">1a, w terminie do dnia 31 marca 2027 r. </w:t>
            </w:r>
          </w:p>
          <w:p w14:paraId="4E1F3C80" w14:textId="77777777" w:rsidR="002500F6" w:rsidRPr="007318B7" w:rsidRDefault="002500F6" w:rsidP="00A519E6">
            <w:pPr>
              <w:pStyle w:val="ZUSTzmustartykuempunktem"/>
            </w:pPr>
            <w:r w:rsidRPr="007318B7">
              <w:t>3. W przypadku niezłożenia zabezpieczenia majątkowego</w:t>
            </w:r>
            <w:r w:rsidRPr="00A519E6">
              <w:t>, o którym mowa w art. 38a ust</w:t>
            </w:r>
            <w:r>
              <w:t>.</w:t>
            </w:r>
            <w:r w:rsidRPr="00A519E6">
              <w:t xml:space="preserve"> 1a,</w:t>
            </w:r>
            <w:r>
              <w:t xml:space="preserve"> w terminie,</w:t>
            </w:r>
            <w:r w:rsidRPr="007318B7">
              <w:t xml:space="preserve"> o którym mowa w ust. 2, koncesja na wytwarzanie paliw ciekłych, obejmująca wyłącznie wytwarzanie paliw ciekłych w procesie, o którym mowa w art. 3 pkt 45 lit. b </w:t>
            </w:r>
            <w:proofErr w:type="spellStart"/>
            <w:r w:rsidRPr="007318B7">
              <w:t>tiret</w:t>
            </w:r>
            <w:proofErr w:type="spellEnd"/>
            <w:r w:rsidRPr="007318B7">
              <w:t xml:space="preserve"> czwarte, wygasa z upływem ostatniego dnia tego terminu.</w:t>
            </w:r>
          </w:p>
          <w:p w14:paraId="1F60D816" w14:textId="77777777" w:rsidR="002500F6" w:rsidRPr="007318B7" w:rsidRDefault="002500F6" w:rsidP="00A519E6">
            <w:pPr>
              <w:pStyle w:val="ZUSTzmustartykuempunktem"/>
            </w:pPr>
            <w:r w:rsidRPr="007318B7">
              <w:t>4. Utrata mocy koncesji, o której mowa w ust. 3, nie wymaga stwierdzenia jej wygaśnięcia w trybie określonym w art. 162 ustawy z dnia 14 czerwca 1960</w:t>
            </w:r>
            <w:r>
              <w:t> </w:t>
            </w:r>
            <w:r w:rsidRPr="007318B7">
              <w:t xml:space="preserve">r. </w:t>
            </w:r>
            <w:r>
              <w:t>–</w:t>
            </w:r>
            <w:r w:rsidRPr="007318B7">
              <w:t xml:space="preserve"> Kodeks postępowania administracyjnego.</w:t>
            </w:r>
            <w:r>
              <w:t>”;</w:t>
            </w:r>
          </w:p>
        </w:tc>
      </w:tr>
      <w:tr w:rsidR="002500F6" w:rsidRPr="00B528A4" w14:paraId="7A7D9907" w14:textId="77777777" w:rsidTr="00912118">
        <w:trPr>
          <w:trHeight w:val="720"/>
        </w:trPr>
        <w:tc>
          <w:tcPr>
            <w:tcW w:w="993" w:type="dxa"/>
            <w:tcBorders>
              <w:top w:val="nil"/>
              <w:left w:val="nil"/>
              <w:bottom w:val="nil"/>
              <w:right w:val="nil"/>
            </w:tcBorders>
          </w:tcPr>
          <w:p w14:paraId="1F492EB8" w14:textId="77777777" w:rsidR="002500F6" w:rsidRPr="00B528A4" w:rsidRDefault="002500F6" w:rsidP="002500F6">
            <w:pPr>
              <w:pStyle w:val="OZNACZENIEPUNKTUWUCHWALESENACKIEJ"/>
              <w:numPr>
                <w:ilvl w:val="0"/>
                <w:numId w:val="45"/>
              </w:numPr>
              <w:ind w:left="480"/>
            </w:pPr>
          </w:p>
        </w:tc>
        <w:tc>
          <w:tcPr>
            <w:tcW w:w="8363" w:type="dxa"/>
            <w:tcBorders>
              <w:top w:val="nil"/>
              <w:left w:val="nil"/>
              <w:bottom w:val="nil"/>
              <w:right w:val="nil"/>
            </w:tcBorders>
          </w:tcPr>
          <w:p w14:paraId="55920370" w14:textId="77777777" w:rsidR="002500F6" w:rsidRDefault="002500F6" w:rsidP="000F57AC">
            <w:pPr>
              <w:pStyle w:val="TREPUNKTUWUCHWALESENACKIEJ"/>
            </w:pPr>
            <w:r>
              <w:t>w art. 5 pkt 14 otrzymuje brzmienie:</w:t>
            </w:r>
          </w:p>
          <w:p w14:paraId="5D9ABB2C" w14:textId="77777777" w:rsidR="002500F6" w:rsidRPr="00584221" w:rsidRDefault="002500F6" w:rsidP="00584221">
            <w:pPr>
              <w:pStyle w:val="PKTpunkt"/>
            </w:pPr>
            <w:r>
              <w:t>„14)</w:t>
            </w:r>
            <w:r>
              <w:tab/>
            </w:r>
            <w:r w:rsidRPr="00584221">
              <w:t>w art. 83m w ust. 3 w pkt 6 w treści oświadczenia</w:t>
            </w:r>
            <w:r>
              <w:t xml:space="preserve"> pkt 4–6 otrzymują brzmienie:</w:t>
            </w:r>
          </w:p>
          <w:p w14:paraId="140B7EDF" w14:textId="77777777" w:rsidR="002500F6" w:rsidRPr="00584221" w:rsidRDefault="002500F6" w:rsidP="00586502">
            <w:pPr>
              <w:pStyle w:val="LITlitera"/>
            </w:pPr>
            <w:r>
              <w:t>„4)</w:t>
            </w:r>
            <w:r>
              <w:tab/>
            </w:r>
            <w:r w:rsidRPr="00586502">
              <w:t>na przedsiębiorstwie nie ciąży obowiązek zwrotu pomocy publicznej, wynikający z decyzji Komisji Europejskiej uznającej taką pomoc za niezgodną z prawem oraz z rynkiem wewnętrznym</w:t>
            </w:r>
            <w:r>
              <w:t>;</w:t>
            </w:r>
          </w:p>
          <w:p w14:paraId="180EFC78" w14:textId="77777777" w:rsidR="002500F6" w:rsidRDefault="002500F6" w:rsidP="00DF1CC4">
            <w:pPr>
              <w:pStyle w:val="ZPKTzmpktartykuempunktem"/>
            </w:pPr>
            <w:r w:rsidRPr="00584221">
              <w:t>5)</w:t>
            </w:r>
            <w:r>
              <w:tab/>
            </w:r>
            <w:r w:rsidRPr="00584221">
              <w:t xml:space="preserve">wytwarzając </w:t>
            </w:r>
            <w:proofErr w:type="spellStart"/>
            <w:r w:rsidRPr="00584221">
              <w:t>biometan</w:t>
            </w:r>
            <w:proofErr w:type="spellEnd"/>
            <w:r w:rsidRPr="00584221">
              <w:t xml:space="preserve"> w instalacji odnawialnego źródła energii, będę stosował surowce, biogaz lub biogaz rolniczy, które spełniają kryteria zrównoważonego rozwoju określone w art. 28ba–28bcb i art. 28bcc ust. 1 ustawy z dnia 25 sierpnia 2006 r. o biokomponentach i biopaliwach ciekłych;</w:t>
            </w:r>
          </w:p>
          <w:p w14:paraId="11F837B3" w14:textId="77777777" w:rsidR="002500F6" w:rsidRDefault="002500F6" w:rsidP="00DF1CC4">
            <w:pPr>
              <w:pStyle w:val="ZPKTzmpktartykuempunktem"/>
            </w:pPr>
            <w:r w:rsidRPr="00584221">
              <w:t>6)</w:t>
            </w:r>
            <w:r w:rsidRPr="00584221">
              <w:tab/>
              <w:t xml:space="preserve">do dnia złożenia niniejszej deklaracji o zamiarze sprzedaży </w:t>
            </w:r>
            <w:proofErr w:type="spellStart"/>
            <w:r w:rsidRPr="00584221">
              <w:t>biometanu</w:t>
            </w:r>
            <w:proofErr w:type="spellEnd"/>
            <w:r w:rsidRPr="00584221">
              <w:t xml:space="preserve"> wprowadzonego do sieci gazowej po stałej cenie zakupu </w:t>
            </w:r>
            <w:proofErr w:type="spellStart"/>
            <w:r w:rsidRPr="00584221">
              <w:t>biometanu</w:t>
            </w:r>
            <w:proofErr w:type="spellEnd"/>
            <w:r w:rsidRPr="00584221">
              <w:t>, w</w:t>
            </w:r>
            <w:r>
              <w:t> </w:t>
            </w:r>
            <w:r w:rsidRPr="00584221">
              <w:t xml:space="preserve">instalacji odnawialnego źródła energii służącej do wytwarzania </w:t>
            </w:r>
            <w:proofErr w:type="spellStart"/>
            <w:r w:rsidRPr="00584221">
              <w:t>biometanu</w:t>
            </w:r>
            <w:proofErr w:type="spellEnd"/>
            <w:r w:rsidRPr="00584221">
              <w:t xml:space="preserve">, której niniejsza deklaracja dotyczy, nie był wytwarzany </w:t>
            </w:r>
            <w:proofErr w:type="spellStart"/>
            <w:r w:rsidRPr="00584221">
              <w:t>biometan</w:t>
            </w:r>
            <w:proofErr w:type="spellEnd"/>
            <w:r w:rsidRPr="00584221">
              <w:t>.</w:t>
            </w:r>
            <w:r>
              <w:t>”</w:t>
            </w:r>
            <w:r w:rsidRPr="00584221">
              <w:t>; klauzula ta zastępuje pouczenie organu o odpowiedzialności karnej za składanie fałszywych oświadczeń</w:t>
            </w:r>
            <w:r>
              <w:t>.”;”</w:t>
            </w:r>
            <w:r w:rsidRPr="00584221">
              <w:t>.</w:t>
            </w:r>
          </w:p>
        </w:tc>
      </w:tr>
    </w:tbl>
    <w:p w14:paraId="3F649AED" w14:textId="77777777" w:rsidR="002500F6" w:rsidRPr="00737F6A" w:rsidRDefault="002500F6" w:rsidP="00A054FD">
      <w:pPr>
        <w:pStyle w:val="POPIERAJCYPOPRAWKZAMIESZCZONWZESTAWIENIUWNIOSKW"/>
      </w:pPr>
    </w:p>
    <w:p w14:paraId="1BEC83F4" w14:textId="77777777" w:rsidR="005010F6" w:rsidRDefault="005010F6" w:rsidP="005010F6">
      <w:pPr>
        <w:ind w:left="5443"/>
        <w:rPr>
          <w:rStyle w:val="Ppogrubienie"/>
        </w:rPr>
      </w:pPr>
      <w:r>
        <w:rPr>
          <w:rStyle w:val="Ppogrubienie"/>
          <w:color w:val="000000" w:themeColor="text1"/>
        </w:rPr>
        <w:t>MARSZAŁEK SENATU</w:t>
      </w:r>
    </w:p>
    <w:p w14:paraId="5B8ED772" w14:textId="77777777" w:rsidR="005010F6" w:rsidRDefault="005010F6" w:rsidP="005010F6">
      <w:pPr>
        <w:ind w:left="5103" w:firstLine="4"/>
        <w:rPr>
          <w:rStyle w:val="Ppogrubienie"/>
          <w:color w:val="000000" w:themeColor="text1"/>
        </w:rPr>
      </w:pPr>
    </w:p>
    <w:p w14:paraId="11EC05E9" w14:textId="77777777" w:rsidR="005010F6" w:rsidRDefault="005010F6" w:rsidP="005010F6">
      <w:pPr>
        <w:ind w:left="5103" w:firstLine="4"/>
        <w:rPr>
          <w:rStyle w:val="Ppogrubienie"/>
          <w:color w:val="000000" w:themeColor="text1"/>
        </w:rPr>
      </w:pPr>
    </w:p>
    <w:p w14:paraId="241502BF" w14:textId="18CB793D" w:rsidR="00AE039B" w:rsidRDefault="005010F6" w:rsidP="005010F6">
      <w:pPr>
        <w:ind w:left="4962"/>
        <w:rPr>
          <w:rStyle w:val="Ppogrubienie"/>
          <w:color w:val="000000" w:themeColor="text1"/>
        </w:rPr>
      </w:pPr>
      <w:r>
        <w:rPr>
          <w:rStyle w:val="Ppogrubienie"/>
          <w:color w:val="000000" w:themeColor="text1"/>
        </w:rPr>
        <w:t>Małgorzata KIDAWA-BŁOŃSKA</w:t>
      </w:r>
    </w:p>
    <w:p w14:paraId="4E57C9D3" w14:textId="77777777" w:rsidR="003F7D96" w:rsidRDefault="003F7D96" w:rsidP="005010F6">
      <w:pPr>
        <w:ind w:left="4962"/>
        <w:sectPr w:rsidR="003F7D96" w:rsidSect="002500F6">
          <w:headerReference w:type="default" r:id="rId9"/>
          <w:footnotePr>
            <w:numRestart w:val="eachSect"/>
          </w:footnotePr>
          <w:pgSz w:w="11906" w:h="16838"/>
          <w:pgMar w:top="1276" w:right="1434" w:bottom="568" w:left="1418" w:header="709" w:footer="709" w:gutter="0"/>
          <w:cols w:space="708"/>
          <w:titlePg/>
          <w:docGrid w:linePitch="254"/>
        </w:sectPr>
      </w:pPr>
    </w:p>
    <w:p w14:paraId="246EA15E" w14:textId="77777777" w:rsidR="003F7D96" w:rsidRDefault="003F7D96" w:rsidP="003F7D96">
      <w:pPr>
        <w:pStyle w:val="OZNRODZAKTUtznustawalubrozporzdzenieiorganwydajcy"/>
      </w:pPr>
    </w:p>
    <w:p w14:paraId="485B472D" w14:textId="00F725B7" w:rsidR="003F7D96" w:rsidRDefault="003F7D96" w:rsidP="003F7D96">
      <w:pPr>
        <w:pStyle w:val="OZNRODZAKTUtznustawalubrozporzdzenieiorganwydajcy"/>
      </w:pPr>
      <w:r>
        <w:t>Uzasadnienie</w:t>
      </w:r>
    </w:p>
    <w:p w14:paraId="70C656E5" w14:textId="77777777" w:rsidR="003F7D96" w:rsidRDefault="003F7D96" w:rsidP="003F7D96"/>
    <w:p w14:paraId="04008F53" w14:textId="77777777" w:rsidR="003F7D96" w:rsidRDefault="003F7D96" w:rsidP="003F7D96">
      <w:pPr>
        <w:pStyle w:val="NIEARTTEKSTtekstnieartykuowanynppodstprawnarozplubpreambua"/>
      </w:pPr>
      <w:r>
        <w:t>Na posiedzeniu w dniu 12 lutego 2025 r. Senat rozpatrzył ustawę o zmianie ustawy o biokomponentach i biopaliwach ciekłych oraz niektórych innych ustaw i uchwalił do niej 4 poprawki.</w:t>
      </w:r>
    </w:p>
    <w:p w14:paraId="248707A5" w14:textId="77777777" w:rsidR="003F7D96" w:rsidRDefault="003F7D96" w:rsidP="003F7D96">
      <w:pPr>
        <w:pStyle w:val="NIEARTTEKSTtekstnieartykuowanynppodstprawnarozplubpreambua"/>
      </w:pPr>
      <w:r>
        <w:t xml:space="preserve">Zmiana w art. 1 pkt 19 lit. a </w:t>
      </w:r>
      <w:proofErr w:type="spellStart"/>
      <w:r>
        <w:t>tiret</w:t>
      </w:r>
      <w:proofErr w:type="spellEnd"/>
      <w:r>
        <w:t xml:space="preserve"> pierwsze w postaci nadania nowego brzmienia wprowadzeniu do wyliczenia w ust. 1 w art. 28a ustawy </w:t>
      </w:r>
      <w:bookmarkStart w:id="1" w:name="_Hlk190268245"/>
      <w:r>
        <w:t xml:space="preserve">z dnia 25 sierpnia 2006 r. </w:t>
      </w:r>
      <w:bookmarkStart w:id="2" w:name="_Hlk190268139"/>
      <w:bookmarkEnd w:id="1"/>
      <w:r>
        <w:t xml:space="preserve">o biokomponentach i biopaliwach ciekłych </w:t>
      </w:r>
      <w:bookmarkEnd w:id="2"/>
      <w:r>
        <w:t xml:space="preserve">(Dz. U. z 2024 r. poz. 20, 834 i 1946) nie ma nowości normatywnej. Proponowane brzmienie wprowadzenia do wyliczenia w art. 1 w pkt 19 w lit. a w </w:t>
      </w:r>
      <w:proofErr w:type="spellStart"/>
      <w:r>
        <w:t>tiret</w:t>
      </w:r>
      <w:proofErr w:type="spellEnd"/>
      <w:r>
        <w:t xml:space="preserve"> pierwszym noweli jest identyczne jak jego dotychczasowa treść przewidziana ustawą z dnia 25 sierpnia 2006 r. Mając na uwadze powyższe, Senat uznał za konieczne przyjęcie </w:t>
      </w:r>
      <w:r>
        <w:rPr>
          <w:rStyle w:val="Ppogrubienie"/>
          <w:bCs w:val="0"/>
        </w:rPr>
        <w:t>poprawki nr 1</w:t>
      </w:r>
      <w:r>
        <w:t>, mającej charakter techniczno-legislacyjny.</w:t>
      </w:r>
    </w:p>
    <w:p w14:paraId="6B3D0A06" w14:textId="77777777" w:rsidR="003F7D96" w:rsidRDefault="003F7D96" w:rsidP="003F7D96">
      <w:pPr>
        <w:pStyle w:val="NIEARTTEKSTtekstnieartykuowanynppodstprawnarozplubpreambua"/>
      </w:pPr>
      <w:r>
        <w:rPr>
          <w:rStyle w:val="Ppogrubienie"/>
          <w:bCs w:val="0"/>
        </w:rPr>
        <w:t>Poprawka nr 2</w:t>
      </w:r>
      <w:r>
        <w:t xml:space="preserve"> formułuje przepis na wzór innych tego typu regulacji w ustawie z dnia 25 sierpnia 2006 r. o biokomponentach i biopaliwach ciekłych.</w:t>
      </w:r>
    </w:p>
    <w:p w14:paraId="1FB67427" w14:textId="77777777" w:rsidR="003F7D96" w:rsidRDefault="003F7D96" w:rsidP="003F7D96">
      <w:pPr>
        <w:pStyle w:val="NIEARTTEKSTtekstnieartykuowanynppodstprawnarozplubpreambua"/>
      </w:pPr>
      <w:r>
        <w:rPr>
          <w:rStyle w:val="Ppogrubienie"/>
          <w:bCs w:val="0"/>
        </w:rPr>
        <w:t>Poprawka nr 3</w:t>
      </w:r>
      <w:r>
        <w:t xml:space="preserve"> ma na celu zrównanie traktowania przedsiębiorców, którzy uzyskają koncesję przed wejściem w życie art. 38a ust. 1a ustawy z dnia 10 kwietnia 1997 r. – Prawo energetyczne (Dz. U. z 2024 r. poz. 266, 834, 859, 1847 i 1881), tj. przed dniem 1 stycznia 2027 r., czyli przedsiębiorców, którzy zostali zwolnieni z obowiązku wniesienia zabezpieczenia majątkowego, z przedsiębiorcami, którzy wystąpią o udzielenie tożsamej koncesji po tym terminie, a więc po wejściu w życie obowiązku w zakresie wniesienia zabezpieczenia majątkowego. Należy podkreślić, że wymóg wniesienia zabezpieczenia majątkowego realizuje się w momencie udzielania koncesji, po wydaniu decyzji koncesyjnej Prezes Urzędu Regulacji Energetyki nie ma możliwości żądania złożenia takiego zabezpieczenia. Zasadność wprowadzenia tej regulacji pogłębia fakt, iż przepisy analogiczne do proponowanych zostały wprowadzone ustawą z dnia 22 lipca 2016 r. o zmianie ustawy – Prawo energetyczne oraz niektórych innych ustaw (Dz. U. poz. 1165).</w:t>
      </w:r>
    </w:p>
    <w:p w14:paraId="3592CC44" w14:textId="77777777" w:rsidR="003F7D96" w:rsidRDefault="003F7D96" w:rsidP="003F7D96">
      <w:pPr>
        <w:pStyle w:val="NIEARTTEKSTtekstnieartykuowanynppodstprawnarozplubpreambua"/>
      </w:pPr>
      <w:r>
        <w:t xml:space="preserve">Celem </w:t>
      </w:r>
      <w:r>
        <w:rPr>
          <w:rStyle w:val="Ppogrubienie"/>
          <w:bCs w:val="0"/>
        </w:rPr>
        <w:t>poprawki nr 4</w:t>
      </w:r>
      <w:r>
        <w:t xml:space="preserve"> jest doprecyzowanie treści oświadczenia, którego wzór określony jest w art. 83m ust. 3 pkt 6 ustawy z dnia 20 lutego 2015 r. o odnawialnych źródłach energii (Dz. U. z 2024 r. poz. 1361, 1847 i 1881). Występujący w treści oświadczenia zwrot:  „umożliwiające spełnienie kryteriów zrównoważonego rozwoju” zastąpiono wyrażeniem bardziej jednoznacznym: „które spełniają kryteria zrównoważonego rozwoju”. </w:t>
      </w:r>
    </w:p>
    <w:p w14:paraId="5BB32D36" w14:textId="77777777" w:rsidR="003F7D96" w:rsidRDefault="003F7D96" w:rsidP="003F7D96">
      <w:pPr>
        <w:pStyle w:val="NIEARTTEKSTtekstnieartykuowanynppodstprawnarozplubpreambua"/>
      </w:pPr>
      <w:r>
        <w:lastRenderedPageBreak/>
        <w:t>W pozostałym zakresie poprawka przewiduje, że pouczenie o treści: „klauzula ta zastępuje pouczenie organu o odpowiedzialności karnej za składanie fałszywych oświadczeń”, umiejscowione zostanie na końcu pkt 6 przedmiotowego oświadczenia. Brak przeniesienia ww. wyrazów z pkt 4 oświadczenia, w opinii Izby będzie powodował wątpliwości, czy pouczenie dotyczy całości oświadczenia, czy tylko pkt 1–4 lub tylko pkt 4.</w:t>
      </w:r>
    </w:p>
    <w:p w14:paraId="03DA48A9" w14:textId="77777777" w:rsidR="003F7D96" w:rsidRDefault="003F7D96" w:rsidP="003F7D96">
      <w:pPr>
        <w:pStyle w:val="NIEARTTEKSTtekstnieartykuowanynppodstprawnarozplubpreambua"/>
      </w:pPr>
    </w:p>
    <w:p w14:paraId="68223F47" w14:textId="77777777" w:rsidR="003F7D96" w:rsidRDefault="003F7D96" w:rsidP="003F7D96">
      <w:pPr>
        <w:pStyle w:val="ARTartustawynprozporzdzenia"/>
        <w:ind w:firstLine="0"/>
      </w:pPr>
    </w:p>
    <w:p w14:paraId="50F6DBEC" w14:textId="3F26CB73" w:rsidR="003F7D96" w:rsidRPr="00737F6A" w:rsidRDefault="003F7D96" w:rsidP="005010F6">
      <w:pPr>
        <w:ind w:left="4962"/>
      </w:pPr>
    </w:p>
    <w:sectPr w:rsidR="003F7D96" w:rsidRPr="00737F6A" w:rsidSect="003F7D96">
      <w:footnotePr>
        <w:numRestart w:val="eachSect"/>
      </w:footnotePr>
      <w:pgSz w:w="11906" w:h="16838"/>
      <w:pgMar w:top="1276" w:right="1434" w:bottom="709" w:left="1418" w:header="709" w:footer="709" w:gutter="0"/>
      <w:pgNumType w:start="1"/>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215C1" w14:textId="77777777" w:rsidR="00341D7D" w:rsidRDefault="00341D7D">
      <w:r>
        <w:separator/>
      </w:r>
    </w:p>
  </w:endnote>
  <w:endnote w:type="continuationSeparator" w:id="0">
    <w:p w14:paraId="296FC756" w14:textId="77777777" w:rsidR="00341D7D" w:rsidRDefault="0034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134B" w14:textId="77777777" w:rsidR="00341D7D" w:rsidRDefault="00341D7D">
      <w:r>
        <w:separator/>
      </w:r>
    </w:p>
  </w:footnote>
  <w:footnote w:type="continuationSeparator" w:id="0">
    <w:p w14:paraId="204D68BA" w14:textId="77777777" w:rsidR="00341D7D" w:rsidRDefault="00341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6C4B4"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722EB0">
      <w:rPr>
        <w:noProof/>
      </w:rPr>
      <w:t>2</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2201"/>
        </w:tabs>
        <w:ind w:left="2201"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7270CE8"/>
    <w:multiLevelType w:val="hybridMultilevel"/>
    <w:tmpl w:val="C9A42C00"/>
    <w:lvl w:ilvl="0" w:tplc="40D202EC">
      <w:start w:val="1"/>
      <w:numFmt w:val="decimal"/>
      <w:pStyle w:val="OZNACZENIEPUNKTUWUCHWALESENACKIEJ"/>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3"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6"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7"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6"/>
  </w:num>
  <w:num w:numId="6">
    <w:abstractNumId w:val="32"/>
  </w:num>
  <w:num w:numId="7">
    <w:abstractNumId w:val="36"/>
  </w:num>
  <w:num w:numId="8">
    <w:abstractNumId w:val="32"/>
  </w:num>
  <w:num w:numId="9">
    <w:abstractNumId w:val="36"/>
  </w:num>
  <w:num w:numId="10">
    <w:abstractNumId w:val="32"/>
  </w:num>
  <w:num w:numId="11">
    <w:abstractNumId w:val="14"/>
  </w:num>
  <w:num w:numId="12">
    <w:abstractNumId w:val="10"/>
  </w:num>
  <w:num w:numId="13">
    <w:abstractNumId w:val="15"/>
  </w:num>
  <w:num w:numId="14">
    <w:abstractNumId w:val="27"/>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4"/>
  </w:num>
  <w:num w:numId="28">
    <w:abstractNumId w:val="26"/>
  </w:num>
  <w:num w:numId="29">
    <w:abstractNumId w:val="37"/>
  </w:num>
  <w:num w:numId="30">
    <w:abstractNumId w:val="33"/>
  </w:num>
  <w:num w:numId="31">
    <w:abstractNumId w:val="19"/>
  </w:num>
  <w:num w:numId="32">
    <w:abstractNumId w:val="11"/>
  </w:num>
  <w:num w:numId="33">
    <w:abstractNumId w:val="31"/>
  </w:num>
  <w:num w:numId="34">
    <w:abstractNumId w:val="20"/>
  </w:num>
  <w:num w:numId="35">
    <w:abstractNumId w:val="17"/>
  </w:num>
  <w:num w:numId="36">
    <w:abstractNumId w:val="22"/>
  </w:num>
  <w:num w:numId="37">
    <w:abstractNumId w:val="28"/>
  </w:num>
  <w:num w:numId="38">
    <w:abstractNumId w:val="25"/>
  </w:num>
  <w:num w:numId="39">
    <w:abstractNumId w:val="13"/>
  </w:num>
  <w:num w:numId="40">
    <w:abstractNumId w:val="30"/>
  </w:num>
  <w:num w:numId="41">
    <w:abstractNumId w:val="29"/>
  </w:num>
  <w:num w:numId="42">
    <w:abstractNumId w:val="21"/>
  </w:num>
  <w:num w:numId="43">
    <w:abstractNumId w:val="35"/>
  </w:num>
  <w:num w:numId="44">
    <w:abstractNumId w:val="12"/>
  </w:num>
  <w:num w:numId="45">
    <w:abstractNumId w:val="24"/>
  </w:num>
  <w:num w:numId="46">
    <w:abstractNumId w:val="24"/>
  </w:num>
  <w:num w:numId="47">
    <w:abstractNumId w:val="24"/>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87"/>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0B1E"/>
    <w:rsid w:val="000517AB"/>
    <w:rsid w:val="0005339C"/>
    <w:rsid w:val="0005571B"/>
    <w:rsid w:val="00057AB3"/>
    <w:rsid w:val="00060076"/>
    <w:rsid w:val="00060432"/>
    <w:rsid w:val="00060D87"/>
    <w:rsid w:val="000615A5"/>
    <w:rsid w:val="00064E4C"/>
    <w:rsid w:val="00066901"/>
    <w:rsid w:val="00070437"/>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2AD8"/>
    <w:rsid w:val="000C4BC4"/>
    <w:rsid w:val="000D0110"/>
    <w:rsid w:val="000D2468"/>
    <w:rsid w:val="000D2941"/>
    <w:rsid w:val="000D318A"/>
    <w:rsid w:val="000D6173"/>
    <w:rsid w:val="000D6F83"/>
    <w:rsid w:val="000E25CC"/>
    <w:rsid w:val="000E3694"/>
    <w:rsid w:val="000E490F"/>
    <w:rsid w:val="000E6241"/>
    <w:rsid w:val="000F297B"/>
    <w:rsid w:val="000F2BE3"/>
    <w:rsid w:val="000F3D0D"/>
    <w:rsid w:val="000F6ED4"/>
    <w:rsid w:val="000F7A6E"/>
    <w:rsid w:val="001042BA"/>
    <w:rsid w:val="00106D03"/>
    <w:rsid w:val="00110465"/>
    <w:rsid w:val="00110628"/>
    <w:rsid w:val="0011245A"/>
    <w:rsid w:val="00113209"/>
    <w:rsid w:val="0011493E"/>
    <w:rsid w:val="00115B72"/>
    <w:rsid w:val="001209EC"/>
    <w:rsid w:val="00120A9E"/>
    <w:rsid w:val="001247F7"/>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04D"/>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023F"/>
    <w:rsid w:val="001F1832"/>
    <w:rsid w:val="001F220F"/>
    <w:rsid w:val="001F25B3"/>
    <w:rsid w:val="001F6616"/>
    <w:rsid w:val="00202BD4"/>
    <w:rsid w:val="00204A97"/>
    <w:rsid w:val="002114EF"/>
    <w:rsid w:val="00216218"/>
    <w:rsid w:val="002166AD"/>
    <w:rsid w:val="00217871"/>
    <w:rsid w:val="00221ED8"/>
    <w:rsid w:val="002231EA"/>
    <w:rsid w:val="00223FDF"/>
    <w:rsid w:val="002279C0"/>
    <w:rsid w:val="00231A57"/>
    <w:rsid w:val="0023727E"/>
    <w:rsid w:val="00242081"/>
    <w:rsid w:val="00243777"/>
    <w:rsid w:val="002441CD"/>
    <w:rsid w:val="002500F6"/>
    <w:rsid w:val="002501A3"/>
    <w:rsid w:val="0025166C"/>
    <w:rsid w:val="002555D4"/>
    <w:rsid w:val="00261A16"/>
    <w:rsid w:val="00263522"/>
    <w:rsid w:val="00264EC6"/>
    <w:rsid w:val="00271013"/>
    <w:rsid w:val="00273F61"/>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1E3"/>
    <w:rsid w:val="002E2AB6"/>
    <w:rsid w:val="002E3F34"/>
    <w:rsid w:val="002E5F79"/>
    <w:rsid w:val="002E64FA"/>
    <w:rsid w:val="002F0A00"/>
    <w:rsid w:val="002F0CFA"/>
    <w:rsid w:val="002F669F"/>
    <w:rsid w:val="00301C97"/>
    <w:rsid w:val="00304CA1"/>
    <w:rsid w:val="0031004C"/>
    <w:rsid w:val="003105F6"/>
    <w:rsid w:val="00311297"/>
    <w:rsid w:val="003113BE"/>
    <w:rsid w:val="003122CA"/>
    <w:rsid w:val="003148FD"/>
    <w:rsid w:val="00321080"/>
    <w:rsid w:val="00322D45"/>
    <w:rsid w:val="0032569A"/>
    <w:rsid w:val="00325A1F"/>
    <w:rsid w:val="003268F9"/>
    <w:rsid w:val="003309D1"/>
    <w:rsid w:val="00330BAF"/>
    <w:rsid w:val="00334E3A"/>
    <w:rsid w:val="003361DD"/>
    <w:rsid w:val="00341A6A"/>
    <w:rsid w:val="00341D7D"/>
    <w:rsid w:val="00345B9C"/>
    <w:rsid w:val="00351BBB"/>
    <w:rsid w:val="00352DAE"/>
    <w:rsid w:val="00354EB9"/>
    <w:rsid w:val="003561A1"/>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3509"/>
    <w:rsid w:val="003B4A57"/>
    <w:rsid w:val="003C0AD9"/>
    <w:rsid w:val="003C0ED0"/>
    <w:rsid w:val="003C1D49"/>
    <w:rsid w:val="003C35C4"/>
    <w:rsid w:val="003D12C2"/>
    <w:rsid w:val="003D31B9"/>
    <w:rsid w:val="003D3867"/>
    <w:rsid w:val="003D74C5"/>
    <w:rsid w:val="003E0D1A"/>
    <w:rsid w:val="003E2DA3"/>
    <w:rsid w:val="003F020D"/>
    <w:rsid w:val="003F03D9"/>
    <w:rsid w:val="003F2FBE"/>
    <w:rsid w:val="003F318D"/>
    <w:rsid w:val="003F5BAE"/>
    <w:rsid w:val="003F6ED7"/>
    <w:rsid w:val="003F7D96"/>
    <w:rsid w:val="00401C84"/>
    <w:rsid w:val="00403210"/>
    <w:rsid w:val="004035BB"/>
    <w:rsid w:val="004035EB"/>
    <w:rsid w:val="00407332"/>
    <w:rsid w:val="00407828"/>
    <w:rsid w:val="004138C0"/>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A762B"/>
    <w:rsid w:val="004B00A7"/>
    <w:rsid w:val="004B25E2"/>
    <w:rsid w:val="004B34D7"/>
    <w:rsid w:val="004B5037"/>
    <w:rsid w:val="004B5B2F"/>
    <w:rsid w:val="004B626A"/>
    <w:rsid w:val="004B660E"/>
    <w:rsid w:val="004C05BD"/>
    <w:rsid w:val="004C3B06"/>
    <w:rsid w:val="004C3F97"/>
    <w:rsid w:val="004C6742"/>
    <w:rsid w:val="004C7EE7"/>
    <w:rsid w:val="004D2DEE"/>
    <w:rsid w:val="004D2E1F"/>
    <w:rsid w:val="004D7FD9"/>
    <w:rsid w:val="004E1324"/>
    <w:rsid w:val="004E19A5"/>
    <w:rsid w:val="004E37E5"/>
    <w:rsid w:val="004E3FDB"/>
    <w:rsid w:val="004E6041"/>
    <w:rsid w:val="004F1F4A"/>
    <w:rsid w:val="004F296D"/>
    <w:rsid w:val="004F508B"/>
    <w:rsid w:val="004F695F"/>
    <w:rsid w:val="004F6CA4"/>
    <w:rsid w:val="00500752"/>
    <w:rsid w:val="005010F6"/>
    <w:rsid w:val="00501A50"/>
    <w:rsid w:val="0050222D"/>
    <w:rsid w:val="00503AF3"/>
    <w:rsid w:val="0050696D"/>
    <w:rsid w:val="0051094B"/>
    <w:rsid w:val="005110D7"/>
    <w:rsid w:val="00511D99"/>
    <w:rsid w:val="005128D3"/>
    <w:rsid w:val="005147E8"/>
    <w:rsid w:val="005158F2"/>
    <w:rsid w:val="0051741F"/>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86DBD"/>
    <w:rsid w:val="00591124"/>
    <w:rsid w:val="00597024"/>
    <w:rsid w:val="005A0274"/>
    <w:rsid w:val="005A095C"/>
    <w:rsid w:val="005A669D"/>
    <w:rsid w:val="005A6793"/>
    <w:rsid w:val="005A75D8"/>
    <w:rsid w:val="005B713E"/>
    <w:rsid w:val="005C03B6"/>
    <w:rsid w:val="005C348E"/>
    <w:rsid w:val="005C68E1"/>
    <w:rsid w:val="005C6E84"/>
    <w:rsid w:val="005D3763"/>
    <w:rsid w:val="005D55E1"/>
    <w:rsid w:val="005D68B2"/>
    <w:rsid w:val="005E19F7"/>
    <w:rsid w:val="005E4F04"/>
    <w:rsid w:val="005E62C2"/>
    <w:rsid w:val="005E6C71"/>
    <w:rsid w:val="005F0963"/>
    <w:rsid w:val="005F13BB"/>
    <w:rsid w:val="005F2824"/>
    <w:rsid w:val="005F2EBA"/>
    <w:rsid w:val="005F35ED"/>
    <w:rsid w:val="005F7812"/>
    <w:rsid w:val="005F7A88"/>
    <w:rsid w:val="00603A1A"/>
    <w:rsid w:val="006046D5"/>
    <w:rsid w:val="00607A93"/>
    <w:rsid w:val="00610C08"/>
    <w:rsid w:val="00611F74"/>
    <w:rsid w:val="00615772"/>
    <w:rsid w:val="006163C1"/>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5861"/>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2EB0"/>
    <w:rsid w:val="0072457F"/>
    <w:rsid w:val="00725406"/>
    <w:rsid w:val="0072621B"/>
    <w:rsid w:val="00730555"/>
    <w:rsid w:val="007312CC"/>
    <w:rsid w:val="00736A64"/>
    <w:rsid w:val="00737F6A"/>
    <w:rsid w:val="00737F84"/>
    <w:rsid w:val="007410B6"/>
    <w:rsid w:val="00744C6F"/>
    <w:rsid w:val="00744EFC"/>
    <w:rsid w:val="007457F6"/>
    <w:rsid w:val="00745ABB"/>
    <w:rsid w:val="00746E38"/>
    <w:rsid w:val="00747CD5"/>
    <w:rsid w:val="00753B51"/>
    <w:rsid w:val="00756629"/>
    <w:rsid w:val="007575D2"/>
    <w:rsid w:val="00757B4F"/>
    <w:rsid w:val="00757B6A"/>
    <w:rsid w:val="007610E0"/>
    <w:rsid w:val="007621AA"/>
    <w:rsid w:val="0076260A"/>
    <w:rsid w:val="00764A67"/>
    <w:rsid w:val="00770A4D"/>
    <w:rsid w:val="00770F6B"/>
    <w:rsid w:val="00771883"/>
    <w:rsid w:val="00776DC2"/>
    <w:rsid w:val="00780122"/>
    <w:rsid w:val="0078214B"/>
    <w:rsid w:val="0078498A"/>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1C9"/>
    <w:rsid w:val="007F2EB6"/>
    <w:rsid w:val="007F54C3"/>
    <w:rsid w:val="00802949"/>
    <w:rsid w:val="0080301E"/>
    <w:rsid w:val="0080365F"/>
    <w:rsid w:val="00812BE5"/>
    <w:rsid w:val="00817429"/>
    <w:rsid w:val="00821514"/>
    <w:rsid w:val="00821E35"/>
    <w:rsid w:val="00824591"/>
    <w:rsid w:val="00824AED"/>
    <w:rsid w:val="00827820"/>
    <w:rsid w:val="00831B8B"/>
    <w:rsid w:val="0083260A"/>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971C3"/>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64B1"/>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6970"/>
    <w:rsid w:val="0095719A"/>
    <w:rsid w:val="009623E9"/>
    <w:rsid w:val="009634DD"/>
    <w:rsid w:val="00963EEB"/>
    <w:rsid w:val="009648BC"/>
    <w:rsid w:val="00964C2F"/>
    <w:rsid w:val="00965F88"/>
    <w:rsid w:val="009748E6"/>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45BE"/>
    <w:rsid w:val="009D55AA"/>
    <w:rsid w:val="009D7930"/>
    <w:rsid w:val="009E3E77"/>
    <w:rsid w:val="009E3FAB"/>
    <w:rsid w:val="009E5A87"/>
    <w:rsid w:val="009E5B3F"/>
    <w:rsid w:val="009E7D90"/>
    <w:rsid w:val="009F1AB0"/>
    <w:rsid w:val="009F501D"/>
    <w:rsid w:val="00A039D5"/>
    <w:rsid w:val="00A046AD"/>
    <w:rsid w:val="00A054FD"/>
    <w:rsid w:val="00A079C1"/>
    <w:rsid w:val="00A12520"/>
    <w:rsid w:val="00A130FD"/>
    <w:rsid w:val="00A13D6D"/>
    <w:rsid w:val="00A14769"/>
    <w:rsid w:val="00A16151"/>
    <w:rsid w:val="00A16C38"/>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B8F"/>
    <w:rsid w:val="00AA6E91"/>
    <w:rsid w:val="00AA7439"/>
    <w:rsid w:val="00AB047E"/>
    <w:rsid w:val="00AB0B0A"/>
    <w:rsid w:val="00AB0BB7"/>
    <w:rsid w:val="00AB22C6"/>
    <w:rsid w:val="00AB2AD0"/>
    <w:rsid w:val="00AB67FC"/>
    <w:rsid w:val="00AC00F2"/>
    <w:rsid w:val="00AC0748"/>
    <w:rsid w:val="00AC31B5"/>
    <w:rsid w:val="00AC4EA1"/>
    <w:rsid w:val="00AC5381"/>
    <w:rsid w:val="00AC5920"/>
    <w:rsid w:val="00AD0D52"/>
    <w:rsid w:val="00AD0E65"/>
    <w:rsid w:val="00AD2BF2"/>
    <w:rsid w:val="00AD4E90"/>
    <w:rsid w:val="00AD5422"/>
    <w:rsid w:val="00AE039B"/>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0EE"/>
    <w:rsid w:val="00B642FC"/>
    <w:rsid w:val="00B64D26"/>
    <w:rsid w:val="00B64FBB"/>
    <w:rsid w:val="00B70E22"/>
    <w:rsid w:val="00B774CB"/>
    <w:rsid w:val="00B80402"/>
    <w:rsid w:val="00B80B9A"/>
    <w:rsid w:val="00B830B7"/>
    <w:rsid w:val="00B848EA"/>
    <w:rsid w:val="00B84B2B"/>
    <w:rsid w:val="00B90500"/>
    <w:rsid w:val="00B90537"/>
    <w:rsid w:val="00B9176C"/>
    <w:rsid w:val="00B935A4"/>
    <w:rsid w:val="00BA561A"/>
    <w:rsid w:val="00BB0DC6"/>
    <w:rsid w:val="00BB15E4"/>
    <w:rsid w:val="00BB1E19"/>
    <w:rsid w:val="00BB21D1"/>
    <w:rsid w:val="00BB32F2"/>
    <w:rsid w:val="00BB4338"/>
    <w:rsid w:val="00BB44BB"/>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00D8"/>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873A1"/>
    <w:rsid w:val="00CB18D0"/>
    <w:rsid w:val="00CB1C8A"/>
    <w:rsid w:val="00CB24F5"/>
    <w:rsid w:val="00CB2663"/>
    <w:rsid w:val="00CB3BBE"/>
    <w:rsid w:val="00CB59E9"/>
    <w:rsid w:val="00CB7657"/>
    <w:rsid w:val="00CC0D6A"/>
    <w:rsid w:val="00CC34B8"/>
    <w:rsid w:val="00CC3831"/>
    <w:rsid w:val="00CC3E3D"/>
    <w:rsid w:val="00CC519B"/>
    <w:rsid w:val="00CD12C1"/>
    <w:rsid w:val="00CD214E"/>
    <w:rsid w:val="00CD46FA"/>
    <w:rsid w:val="00CD5973"/>
    <w:rsid w:val="00CE1B08"/>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4ABE"/>
    <w:rsid w:val="00D655D9"/>
    <w:rsid w:val="00D65872"/>
    <w:rsid w:val="00D676F3"/>
    <w:rsid w:val="00D70EF5"/>
    <w:rsid w:val="00D71024"/>
    <w:rsid w:val="00D71A25"/>
    <w:rsid w:val="00D71FCF"/>
    <w:rsid w:val="00D72A54"/>
    <w:rsid w:val="00D72CC1"/>
    <w:rsid w:val="00D75BDC"/>
    <w:rsid w:val="00D76EC9"/>
    <w:rsid w:val="00D80E7D"/>
    <w:rsid w:val="00D81397"/>
    <w:rsid w:val="00D848B9"/>
    <w:rsid w:val="00D90E69"/>
    <w:rsid w:val="00D91368"/>
    <w:rsid w:val="00D9183C"/>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02B8"/>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4D9C"/>
    <w:rsid w:val="00E276AC"/>
    <w:rsid w:val="00E348C4"/>
    <w:rsid w:val="00E34A35"/>
    <w:rsid w:val="00E37C2F"/>
    <w:rsid w:val="00E41C28"/>
    <w:rsid w:val="00E46308"/>
    <w:rsid w:val="00E50BE3"/>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28F"/>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0491"/>
    <w:rsid w:val="00F43390"/>
    <w:rsid w:val="00F443B2"/>
    <w:rsid w:val="00F458D8"/>
    <w:rsid w:val="00F50237"/>
    <w:rsid w:val="00F51B12"/>
    <w:rsid w:val="00F53596"/>
    <w:rsid w:val="00F55BA8"/>
    <w:rsid w:val="00F55DB1"/>
    <w:rsid w:val="00F56ACA"/>
    <w:rsid w:val="00F600FE"/>
    <w:rsid w:val="00F62E4D"/>
    <w:rsid w:val="00F66B34"/>
    <w:rsid w:val="00F675B9"/>
    <w:rsid w:val="00F7018C"/>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2C2F"/>
    <w:rsid w:val="00FB305C"/>
    <w:rsid w:val="00FC179F"/>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15CFC1"/>
  <w15:docId w15:val="{793E0ED1-E9AC-4494-84CB-6575361E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10F6"/>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83260A"/>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83260A"/>
    <w:pPr>
      <w:ind w:left="1497"/>
    </w:pPr>
  </w:style>
  <w:style w:type="paragraph" w:customStyle="1" w:styleId="ZTIRwPKTzmtirwpktartykuempunktem">
    <w:name w:val="Z/TIR_w_PKT – zm. tir. w pkt artykułem (punktem)"/>
    <w:basedOn w:val="TIRtiret"/>
    <w:uiPriority w:val="33"/>
    <w:qFormat/>
    <w:rsid w:val="0083260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83260A"/>
    <w:pPr>
      <w:ind w:left="1021"/>
    </w:pPr>
  </w:style>
  <w:style w:type="paragraph" w:customStyle="1" w:styleId="2TIRpodwjnytiret">
    <w:name w:val="2TIR – podwójny tiret"/>
    <w:basedOn w:val="TIRtiret"/>
    <w:uiPriority w:val="73"/>
    <w:qFormat/>
    <w:rsid w:val="0083260A"/>
    <w:pPr>
      <w:ind w:left="1780"/>
    </w:pPr>
  </w:style>
  <w:style w:type="character" w:styleId="Odwoanieprzypisudolnego">
    <w:name w:val="footnote reference"/>
    <w:uiPriority w:val="99"/>
    <w:semiHidden/>
    <w:rsid w:val="0083260A"/>
    <w:rPr>
      <w:rFonts w:cs="Times New Roman"/>
      <w:vertAlign w:val="superscript"/>
    </w:rPr>
  </w:style>
  <w:style w:type="paragraph" w:styleId="Nagwek">
    <w:name w:val="header"/>
    <w:basedOn w:val="Normalny"/>
    <w:link w:val="NagwekZnak"/>
    <w:uiPriority w:val="99"/>
    <w:semiHidden/>
    <w:rsid w:val="008326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83260A"/>
    <w:rPr>
      <w:kern w:val="1"/>
      <w:lang w:eastAsia="ar-SA"/>
    </w:rPr>
  </w:style>
  <w:style w:type="paragraph" w:styleId="Stopka">
    <w:name w:val="footer"/>
    <w:basedOn w:val="Normalny"/>
    <w:link w:val="StopkaZnak"/>
    <w:uiPriority w:val="99"/>
    <w:semiHidden/>
    <w:rsid w:val="008326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83260A"/>
    <w:rPr>
      <w:kern w:val="1"/>
      <w:lang w:eastAsia="ar-SA"/>
    </w:rPr>
  </w:style>
  <w:style w:type="paragraph" w:styleId="Tekstdymka">
    <w:name w:val="Balloon Text"/>
    <w:basedOn w:val="Normalny"/>
    <w:link w:val="TekstdymkaZnak"/>
    <w:uiPriority w:val="99"/>
    <w:semiHidden/>
    <w:rsid w:val="0083260A"/>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83260A"/>
    <w:rPr>
      <w:rFonts w:ascii="Tahoma" w:hAnsi="Tahoma" w:cs="Tahoma"/>
      <w:kern w:val="1"/>
      <w:szCs w:val="16"/>
      <w:lang w:eastAsia="ar-SA"/>
    </w:rPr>
  </w:style>
  <w:style w:type="paragraph" w:customStyle="1" w:styleId="ARTartustawynprozporzdzenia">
    <w:name w:val="ART(§) – art. ustawy (§ np. rozporządzenia)"/>
    <w:uiPriority w:val="11"/>
    <w:qFormat/>
    <w:rsid w:val="0083260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83260A"/>
    <w:pPr>
      <w:ind w:left="1497"/>
    </w:pPr>
  </w:style>
  <w:style w:type="paragraph" w:customStyle="1" w:styleId="ZTIRwLITzmtirwlitartykuempunktem">
    <w:name w:val="Z/TIR_w_LIT – zm. tir. w lit. artykułem (punktem)"/>
    <w:basedOn w:val="TIRtiret"/>
    <w:uiPriority w:val="33"/>
    <w:qFormat/>
    <w:rsid w:val="0083260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83260A"/>
  </w:style>
  <w:style w:type="character" w:customStyle="1" w:styleId="Nagwek1Znak">
    <w:name w:val="Nagłówek 1 Znak"/>
    <w:basedOn w:val="Domylnaczcionkaakapitu"/>
    <w:link w:val="Nagwek1"/>
    <w:uiPriority w:val="99"/>
    <w:semiHidden/>
    <w:rsid w:val="0083260A"/>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83260A"/>
    <w:pPr>
      <w:widowControl w:val="0"/>
      <w:suppressAutoHyphens/>
    </w:pPr>
    <w:rPr>
      <w:kern w:val="1"/>
      <w:lang w:eastAsia="ar-SA"/>
    </w:rPr>
  </w:style>
  <w:style w:type="paragraph" w:customStyle="1" w:styleId="ZPKTzmpktartykuempunktem">
    <w:name w:val="Z/PKT – zm. pkt artykułem (punktem)"/>
    <w:basedOn w:val="PKTpunkt"/>
    <w:link w:val="ZPKTzmpktartykuempunktemZnak"/>
    <w:uiPriority w:val="31"/>
    <w:qFormat/>
    <w:rsid w:val="0083260A"/>
    <w:pPr>
      <w:ind w:left="1020"/>
    </w:pPr>
  </w:style>
  <w:style w:type="paragraph" w:customStyle="1" w:styleId="ZARTzmartartykuempunktem">
    <w:name w:val="Z/ART(§) – zm. art. (§) artykułem (punktem)"/>
    <w:basedOn w:val="ARTartustawynprozporzdzenia"/>
    <w:uiPriority w:val="30"/>
    <w:qFormat/>
    <w:rsid w:val="0083260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83260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83260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83260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83260A"/>
    <w:rPr>
      <w:bCs/>
    </w:rPr>
  </w:style>
  <w:style w:type="paragraph" w:customStyle="1" w:styleId="OZNRODZAKTUtznustawalubrozporzdzenieiorganwydajcy">
    <w:name w:val="OZN_RODZ_AKTU – tzn. ustawa lub rozporządzenie i organ wydający"/>
    <w:next w:val="DATAAKTUdatauchwalenialubwydaniaaktu"/>
    <w:uiPriority w:val="5"/>
    <w:qFormat/>
    <w:rsid w:val="0083260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83260A"/>
    <w:pPr>
      <w:spacing w:before="0"/>
    </w:pPr>
    <w:rPr>
      <w:bCs/>
    </w:rPr>
  </w:style>
  <w:style w:type="paragraph" w:customStyle="1" w:styleId="PKTpunkt">
    <w:name w:val="PKT – punkt"/>
    <w:link w:val="PKTpunktZnak"/>
    <w:uiPriority w:val="13"/>
    <w:qFormat/>
    <w:rsid w:val="0083260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83260A"/>
    <w:pPr>
      <w:ind w:left="0" w:firstLine="0"/>
    </w:pPr>
  </w:style>
  <w:style w:type="paragraph" w:customStyle="1" w:styleId="LITlitera">
    <w:name w:val="LIT – litera"/>
    <w:basedOn w:val="PKTpunkt"/>
    <w:uiPriority w:val="14"/>
    <w:qFormat/>
    <w:rsid w:val="0083260A"/>
    <w:pPr>
      <w:ind w:left="986" w:hanging="476"/>
    </w:pPr>
  </w:style>
  <w:style w:type="paragraph" w:customStyle="1" w:styleId="CZWSPLITczwsplnaliter">
    <w:name w:val="CZ_WSP_LIT – część wspólna liter"/>
    <w:basedOn w:val="LITlitera"/>
    <w:next w:val="USTustnpkodeksu"/>
    <w:uiPriority w:val="17"/>
    <w:qFormat/>
    <w:rsid w:val="0083260A"/>
    <w:pPr>
      <w:ind w:left="510" w:firstLine="0"/>
    </w:pPr>
    <w:rPr>
      <w:szCs w:val="24"/>
    </w:rPr>
  </w:style>
  <w:style w:type="paragraph" w:customStyle="1" w:styleId="TIRtiret">
    <w:name w:val="TIR – tiret"/>
    <w:basedOn w:val="LITlitera"/>
    <w:uiPriority w:val="15"/>
    <w:qFormat/>
    <w:rsid w:val="0083260A"/>
    <w:pPr>
      <w:ind w:left="1384" w:hanging="397"/>
    </w:pPr>
  </w:style>
  <w:style w:type="paragraph" w:customStyle="1" w:styleId="CZWSPTIRczwsplnatiret">
    <w:name w:val="CZ_WSP_TIR – część wspólna tiret"/>
    <w:basedOn w:val="TIRtiret"/>
    <w:next w:val="USTustnpkodeksu"/>
    <w:uiPriority w:val="17"/>
    <w:qFormat/>
    <w:rsid w:val="0083260A"/>
    <w:pPr>
      <w:ind w:left="987" w:firstLine="0"/>
    </w:pPr>
  </w:style>
  <w:style w:type="paragraph" w:customStyle="1" w:styleId="CYTcytatnpprzysigi">
    <w:name w:val="CYT – cytat np. przysięgi"/>
    <w:basedOn w:val="USTustnpkodeksu"/>
    <w:next w:val="USTustnpkodeksu"/>
    <w:uiPriority w:val="18"/>
    <w:qFormat/>
    <w:rsid w:val="0083260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83260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83260A"/>
  </w:style>
  <w:style w:type="paragraph" w:customStyle="1" w:styleId="ZLITCZWSPTIRwLITzmczciwsptirwlitliter">
    <w:name w:val="Z_LIT/CZ_WSP_TIR_w_LIT – zm. części wsp. tir. w lit. literą"/>
    <w:basedOn w:val="CZWSPTIRczwsplnatiret"/>
    <w:next w:val="LITlitera"/>
    <w:uiPriority w:val="51"/>
    <w:qFormat/>
    <w:rsid w:val="0083260A"/>
    <w:pPr>
      <w:ind w:left="1463"/>
    </w:pPr>
  </w:style>
  <w:style w:type="paragraph" w:customStyle="1" w:styleId="ZLITTIRwLITzmtirwlitliter">
    <w:name w:val="Z_LIT/TIR_w_LIT – zm. tir. w lit. literą"/>
    <w:basedOn w:val="TIRtiret"/>
    <w:uiPriority w:val="49"/>
    <w:qFormat/>
    <w:rsid w:val="0083260A"/>
    <w:pPr>
      <w:ind w:left="1860"/>
    </w:pPr>
  </w:style>
  <w:style w:type="paragraph" w:customStyle="1" w:styleId="TYTDZOZNoznaczenietytuulubdziau">
    <w:name w:val="TYT(DZ)_OZN – oznaczenie tytułu lub działu"/>
    <w:next w:val="Normalny"/>
    <w:uiPriority w:val="9"/>
    <w:qFormat/>
    <w:rsid w:val="0083260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83260A"/>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83260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83260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83260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83260A"/>
    <w:pPr>
      <w:ind w:left="510"/>
    </w:pPr>
  </w:style>
  <w:style w:type="paragraph" w:customStyle="1" w:styleId="ZZLITzmianazmlit">
    <w:name w:val="ZZ/LIT – zmiana zm. lit."/>
    <w:basedOn w:val="ZZPKTzmianazmpkt"/>
    <w:uiPriority w:val="67"/>
    <w:qFormat/>
    <w:rsid w:val="0083260A"/>
    <w:pPr>
      <w:ind w:left="2370" w:hanging="476"/>
    </w:pPr>
  </w:style>
  <w:style w:type="paragraph" w:customStyle="1" w:styleId="ZZTIRzmianazmtir">
    <w:name w:val="ZZ/TIR – zmiana zm. tir."/>
    <w:basedOn w:val="ZZLITzmianazmlit"/>
    <w:uiPriority w:val="67"/>
    <w:qFormat/>
    <w:rsid w:val="0083260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83260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83260A"/>
    <w:pPr>
      <w:ind w:left="987"/>
    </w:pPr>
  </w:style>
  <w:style w:type="paragraph" w:customStyle="1" w:styleId="ZLITPKTzmpktliter">
    <w:name w:val="Z_LIT/PKT – zm. pkt literą"/>
    <w:basedOn w:val="PKTpunkt"/>
    <w:uiPriority w:val="47"/>
    <w:qFormat/>
    <w:rsid w:val="0083260A"/>
    <w:pPr>
      <w:ind w:left="1497"/>
    </w:pPr>
  </w:style>
  <w:style w:type="paragraph" w:customStyle="1" w:styleId="ZZCZWSPPKTzmianazmczciwsppkt">
    <w:name w:val="ZZ/CZ_WSP_PKT – zmiana. zm. części wsp. pkt"/>
    <w:basedOn w:val="ZZARTzmianazmart"/>
    <w:next w:val="ZPKTzmpktartykuempunktem"/>
    <w:uiPriority w:val="68"/>
    <w:qFormat/>
    <w:rsid w:val="0083260A"/>
    <w:pPr>
      <w:ind w:firstLine="0"/>
    </w:pPr>
  </w:style>
  <w:style w:type="paragraph" w:customStyle="1" w:styleId="ZLITLITzmlitliter">
    <w:name w:val="Z_LIT/LIT – zm. lit. literą"/>
    <w:basedOn w:val="LITlitera"/>
    <w:uiPriority w:val="48"/>
    <w:qFormat/>
    <w:rsid w:val="0083260A"/>
    <w:pPr>
      <w:ind w:left="1463"/>
    </w:pPr>
  </w:style>
  <w:style w:type="paragraph" w:customStyle="1" w:styleId="ZLITCZWSPPKTzmczciwsppktliter">
    <w:name w:val="Z_LIT/CZ_WSP_PKT – zm. części wsp. pkt literą"/>
    <w:basedOn w:val="CZWSPLITczwsplnaliter"/>
    <w:next w:val="LITlitera"/>
    <w:uiPriority w:val="50"/>
    <w:qFormat/>
    <w:rsid w:val="0083260A"/>
    <w:pPr>
      <w:ind w:left="987"/>
    </w:pPr>
  </w:style>
  <w:style w:type="paragraph" w:customStyle="1" w:styleId="ZLITTIRzmtirliter">
    <w:name w:val="Z_LIT/TIR – zm. tir. literą"/>
    <w:basedOn w:val="TIRtiret"/>
    <w:uiPriority w:val="49"/>
    <w:qFormat/>
    <w:rsid w:val="0083260A"/>
  </w:style>
  <w:style w:type="paragraph" w:customStyle="1" w:styleId="ZZCZWSPLITwPKTzmianazmczciwsplitwpkt">
    <w:name w:val="ZZ/CZ_WSP_LIT_w_PKT – zmiana zm. części wsp. lit. w pkt"/>
    <w:basedOn w:val="ZZLITwPKTzmianazmlitwpkt"/>
    <w:uiPriority w:val="69"/>
    <w:qFormat/>
    <w:rsid w:val="0083260A"/>
    <w:pPr>
      <w:ind w:left="2404" w:firstLine="0"/>
    </w:pPr>
  </w:style>
  <w:style w:type="paragraph" w:customStyle="1" w:styleId="ZLITLITwPKTzmlitwpktliter">
    <w:name w:val="Z_LIT/LIT_w_PKT – zm. lit. w pkt literą"/>
    <w:basedOn w:val="LITlitera"/>
    <w:uiPriority w:val="48"/>
    <w:qFormat/>
    <w:rsid w:val="0083260A"/>
    <w:pPr>
      <w:ind w:left="1973"/>
    </w:pPr>
  </w:style>
  <w:style w:type="paragraph" w:customStyle="1" w:styleId="ZLITCZWSPLITwPKTzmczciwsplitwpktliter">
    <w:name w:val="Z_LIT/CZ_WSP_LIT_w_PKT – zm. części wsp. lit. w pkt literą"/>
    <w:basedOn w:val="CZWSPLITczwsplnaliter"/>
    <w:next w:val="LITlitera"/>
    <w:uiPriority w:val="51"/>
    <w:qFormat/>
    <w:rsid w:val="0083260A"/>
    <w:pPr>
      <w:ind w:left="1497"/>
    </w:pPr>
  </w:style>
  <w:style w:type="paragraph" w:customStyle="1" w:styleId="ZLITTIRwPKTzmtirwpktliter">
    <w:name w:val="Z_LIT/TIR_w_PKT – zm. tir. w pkt literą"/>
    <w:basedOn w:val="TIRtiret"/>
    <w:uiPriority w:val="49"/>
    <w:qFormat/>
    <w:rsid w:val="0083260A"/>
    <w:pPr>
      <w:ind w:left="2370"/>
    </w:pPr>
  </w:style>
  <w:style w:type="paragraph" w:customStyle="1" w:styleId="ZLITCZWSPTIRwPKTzmczciwsptirwpktliter">
    <w:name w:val="Z_LIT/CZ_WSP_TIR_w_PKT – zm. części wsp. tir. w pkt literą"/>
    <w:basedOn w:val="CZWSPTIRczwsplnatiret"/>
    <w:next w:val="LITlitera"/>
    <w:uiPriority w:val="51"/>
    <w:qFormat/>
    <w:rsid w:val="0083260A"/>
    <w:pPr>
      <w:ind w:left="1973"/>
    </w:pPr>
  </w:style>
  <w:style w:type="paragraph" w:styleId="Tekstprzypisudolnego">
    <w:name w:val="footnote text"/>
    <w:basedOn w:val="Normalny"/>
    <w:link w:val="TekstprzypisudolnegoZnak"/>
    <w:uiPriority w:val="99"/>
    <w:semiHidden/>
    <w:qFormat/>
    <w:locked/>
    <w:rsid w:val="0083260A"/>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83260A"/>
  </w:style>
  <w:style w:type="paragraph" w:customStyle="1" w:styleId="ZTIRLITzmlittiret">
    <w:name w:val="Z_TIR/LIT – zm. lit. tiret"/>
    <w:basedOn w:val="LITlitera"/>
    <w:uiPriority w:val="57"/>
    <w:qFormat/>
    <w:rsid w:val="0083260A"/>
    <w:pPr>
      <w:ind w:left="1859"/>
    </w:pPr>
  </w:style>
  <w:style w:type="paragraph" w:customStyle="1" w:styleId="ZTIRCZWSPPKTzmczciwsppkttiret">
    <w:name w:val="Z_TIR/CZ_WSP_PKT – zm. części wsp. pkt tiret"/>
    <w:basedOn w:val="CZWSPLITczwsplnaliter"/>
    <w:next w:val="TIRtiret"/>
    <w:uiPriority w:val="58"/>
    <w:qFormat/>
    <w:rsid w:val="0083260A"/>
    <w:pPr>
      <w:ind w:left="1383"/>
    </w:pPr>
  </w:style>
  <w:style w:type="paragraph" w:customStyle="1" w:styleId="ZTIRTIRzmtirtiret">
    <w:name w:val="Z_TIR/TIR – zm. tir. tiret"/>
    <w:basedOn w:val="TIRtiret"/>
    <w:uiPriority w:val="57"/>
    <w:qFormat/>
    <w:rsid w:val="0083260A"/>
    <w:pPr>
      <w:ind w:left="1780"/>
    </w:pPr>
  </w:style>
  <w:style w:type="paragraph" w:customStyle="1" w:styleId="ZZCZWSPTIRwPKTzmianazmczciwsptirwpkt">
    <w:name w:val="ZZ/CZ_WSP_TIR_w_PKT – zmiana zm. części wsp. tir. w pkt"/>
    <w:basedOn w:val="ZZTIRwPKTzmianazmtirwpkt"/>
    <w:uiPriority w:val="70"/>
    <w:qFormat/>
    <w:rsid w:val="0083260A"/>
    <w:pPr>
      <w:ind w:left="2880" w:firstLine="0"/>
    </w:pPr>
  </w:style>
  <w:style w:type="paragraph" w:customStyle="1" w:styleId="ZZTIRwLITzmianazmtirwlit">
    <w:name w:val="ZZ/TIR_w_LIT – zmiana zm. tir. w lit."/>
    <w:basedOn w:val="ZZTIRzmianazmtir"/>
    <w:uiPriority w:val="67"/>
    <w:qFormat/>
    <w:rsid w:val="0083260A"/>
    <w:pPr>
      <w:ind w:left="2767"/>
    </w:pPr>
  </w:style>
  <w:style w:type="paragraph" w:customStyle="1" w:styleId="ZTIRTIRwLITzmtirwlittiret">
    <w:name w:val="Z_TIR/TIR_w_LIT – zm. tir. w lit. tiret"/>
    <w:basedOn w:val="TIRtiret"/>
    <w:uiPriority w:val="57"/>
    <w:qFormat/>
    <w:rsid w:val="0083260A"/>
    <w:pPr>
      <w:ind w:left="2257"/>
    </w:pPr>
  </w:style>
  <w:style w:type="paragraph" w:customStyle="1" w:styleId="ZTIRCZWSPTIRwLITzmczciwsptirwlittiret">
    <w:name w:val="Z_TIR/CZ_WSP_TIR_w_LIT – zm. części wsp. tir. w lit. tiret"/>
    <w:basedOn w:val="CZWSPTIRczwsplnatiret"/>
    <w:next w:val="TIRtiret"/>
    <w:uiPriority w:val="60"/>
    <w:qFormat/>
    <w:rsid w:val="0083260A"/>
    <w:pPr>
      <w:ind w:left="1860"/>
    </w:pPr>
  </w:style>
  <w:style w:type="paragraph" w:customStyle="1" w:styleId="CZWSP2TIRczwsplnapodwjnychtiret">
    <w:name w:val="CZ_WSP_2TIR – część wspólna podwójnych tiret"/>
    <w:basedOn w:val="CZWSPTIRczwsplnatiret"/>
    <w:next w:val="TIRtiret"/>
    <w:uiPriority w:val="73"/>
    <w:qFormat/>
    <w:rsid w:val="0083260A"/>
    <w:pPr>
      <w:ind w:left="1780"/>
    </w:pPr>
  </w:style>
  <w:style w:type="paragraph" w:customStyle="1" w:styleId="Z2TIRzmpodwtirartykuempunktem">
    <w:name w:val="Z/2TIR – zm. podw. tir. artykułem (punktem)"/>
    <w:basedOn w:val="TIRtiret"/>
    <w:uiPriority w:val="73"/>
    <w:qFormat/>
    <w:rsid w:val="0083260A"/>
    <w:pPr>
      <w:ind w:left="907"/>
    </w:pPr>
  </w:style>
  <w:style w:type="paragraph" w:customStyle="1" w:styleId="ZZCZWSPTIRwLITzmianazmczciwsptirwlit">
    <w:name w:val="ZZ/CZ_WSP_TIR_w_LIT – zmiana zm. części wsp. tir. w lit."/>
    <w:basedOn w:val="ZZTIRwLITzmianazmtirwlit"/>
    <w:uiPriority w:val="70"/>
    <w:qFormat/>
    <w:rsid w:val="0083260A"/>
    <w:pPr>
      <w:ind w:left="2370" w:firstLine="0"/>
    </w:pPr>
  </w:style>
  <w:style w:type="paragraph" w:customStyle="1" w:styleId="ZLIT2TIRzmpodwtirliter">
    <w:name w:val="Z_LIT/2TIR – zm. podw. tir. literą"/>
    <w:basedOn w:val="TIRtiret"/>
    <w:uiPriority w:val="75"/>
    <w:qFormat/>
    <w:rsid w:val="0083260A"/>
  </w:style>
  <w:style w:type="paragraph" w:customStyle="1" w:styleId="ZTIR2TIRzmpodwtirtiret">
    <w:name w:val="Z_TIR/2TIR – zm. podw. tir. tiret"/>
    <w:basedOn w:val="TIRtiret"/>
    <w:uiPriority w:val="78"/>
    <w:qFormat/>
    <w:rsid w:val="0083260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83260A"/>
    <w:pPr>
      <w:ind w:left="1780"/>
    </w:pPr>
  </w:style>
  <w:style w:type="paragraph" w:customStyle="1" w:styleId="Z2TIRwPKTzmpodwtirwpktartykuempunktem">
    <w:name w:val="Z/2TIR_w_PKT – zm. podw. tir. w pkt artykułem (punktem)"/>
    <w:basedOn w:val="TIRtiret"/>
    <w:next w:val="ZPKTzmpktartykuempunktem"/>
    <w:uiPriority w:val="74"/>
    <w:qFormat/>
    <w:rsid w:val="0083260A"/>
    <w:pPr>
      <w:ind w:left="2291"/>
    </w:pPr>
  </w:style>
  <w:style w:type="paragraph" w:customStyle="1" w:styleId="ZTIRPKTzmpkttiret">
    <w:name w:val="Z_TIR/PKT – zm. pkt tiret"/>
    <w:basedOn w:val="PKTpunkt"/>
    <w:uiPriority w:val="56"/>
    <w:qFormat/>
    <w:rsid w:val="0083260A"/>
    <w:pPr>
      <w:ind w:left="1893"/>
    </w:pPr>
  </w:style>
  <w:style w:type="paragraph" w:customStyle="1" w:styleId="ZTIRLITwPKTzmlitwpkttiret">
    <w:name w:val="Z_TIR/LIT_w_PKT – zm. lit. w pkt tiret"/>
    <w:basedOn w:val="LITlitera"/>
    <w:uiPriority w:val="57"/>
    <w:qFormat/>
    <w:rsid w:val="0083260A"/>
    <w:pPr>
      <w:ind w:left="2336"/>
    </w:pPr>
  </w:style>
  <w:style w:type="paragraph" w:customStyle="1" w:styleId="ZTIRCZWSPLITwPKTzmczciwsplitwpkttiret">
    <w:name w:val="Z_TIR/CZ_WSP_LIT_w_PKT – zm. części wsp. lit. w pkt tiret"/>
    <w:basedOn w:val="CZWSPLITczwsplnaliter"/>
    <w:uiPriority w:val="59"/>
    <w:qFormat/>
    <w:rsid w:val="0083260A"/>
    <w:pPr>
      <w:ind w:left="1860"/>
    </w:pPr>
  </w:style>
  <w:style w:type="paragraph" w:customStyle="1" w:styleId="ZTIR2TIRwLITzmpodwtirwlittiret">
    <w:name w:val="Z_TIR/2TIR_w_LIT – zm. podw. tir. w lit. tiret"/>
    <w:basedOn w:val="TIRtiret"/>
    <w:uiPriority w:val="79"/>
    <w:qFormat/>
    <w:rsid w:val="0083260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83260A"/>
    <w:pPr>
      <w:ind w:left="2257"/>
    </w:pPr>
  </w:style>
  <w:style w:type="paragraph" w:customStyle="1" w:styleId="ZTIR2TIRwTIRzmpodwtirwtirtiret">
    <w:name w:val="Z_TIR/2TIR_w_TIR – zm. podw. tir. w tir. tiret"/>
    <w:basedOn w:val="TIRtiret"/>
    <w:uiPriority w:val="78"/>
    <w:qFormat/>
    <w:rsid w:val="0083260A"/>
    <w:pPr>
      <w:ind w:left="2177"/>
    </w:pPr>
  </w:style>
  <w:style w:type="paragraph" w:customStyle="1" w:styleId="ZTIRCZWSP2TIRwTIRzmczciwsppodwtirwtirtiret">
    <w:name w:val="Z_TIR/CZ_WSP_2TIR_w_TIR – zm. części wsp. podw. tir. w tir. tiret"/>
    <w:basedOn w:val="CZWSPTIRczwsplnatiret"/>
    <w:uiPriority w:val="79"/>
    <w:qFormat/>
    <w:rsid w:val="0083260A"/>
    <w:pPr>
      <w:ind w:left="1780"/>
    </w:pPr>
  </w:style>
  <w:style w:type="paragraph" w:customStyle="1" w:styleId="Z2TIRLITzmlitpodwjnymtiret">
    <w:name w:val="Z_2TIR/LIT – zm. lit. podwójnym tiret"/>
    <w:basedOn w:val="LITlitera"/>
    <w:uiPriority w:val="84"/>
    <w:qFormat/>
    <w:rsid w:val="0083260A"/>
    <w:pPr>
      <w:ind w:left="2256"/>
    </w:pPr>
  </w:style>
  <w:style w:type="paragraph" w:customStyle="1" w:styleId="ZZ2TIRwTIRzmianazmpodwtirwtir">
    <w:name w:val="ZZ/2TIR_w_TIR – zmiana zm. podw. tir. w tir."/>
    <w:basedOn w:val="ZZCZWSP2TIRzmianazmczciwsppodwtir"/>
    <w:uiPriority w:val="93"/>
    <w:qFormat/>
    <w:rsid w:val="0083260A"/>
    <w:pPr>
      <w:ind w:left="2688" w:hanging="397"/>
    </w:pPr>
  </w:style>
  <w:style w:type="paragraph" w:customStyle="1" w:styleId="ZZ2TIRwLITzmianazmpodwtirwlit">
    <w:name w:val="ZZ/2TIR_w_LIT – zmiana zm. podw. tir. w lit."/>
    <w:basedOn w:val="ZZ2TIRwTIRzmianazmpodwtirwtir"/>
    <w:uiPriority w:val="94"/>
    <w:qFormat/>
    <w:rsid w:val="0083260A"/>
    <w:pPr>
      <w:ind w:left="3164"/>
    </w:pPr>
  </w:style>
  <w:style w:type="paragraph" w:customStyle="1" w:styleId="Z2TIRTIRwLITzmtirwlitpodwjnymtiret">
    <w:name w:val="Z_2TIR/TIR_w_LIT – zm. tir. w lit. podwójnym tiret"/>
    <w:basedOn w:val="TIRtiret"/>
    <w:uiPriority w:val="84"/>
    <w:qFormat/>
    <w:rsid w:val="0083260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83260A"/>
    <w:pPr>
      <w:ind w:left="2257"/>
    </w:pPr>
  </w:style>
  <w:style w:type="paragraph" w:customStyle="1" w:styleId="ZZ2TIRwPKTzmianazmpodwtirwpkt">
    <w:name w:val="ZZ/2TIR_w_PKT – zmiana zm. podw. tir. w pkt"/>
    <w:basedOn w:val="ZZ2TIRwLITzmianazmpodwtirwlit"/>
    <w:uiPriority w:val="94"/>
    <w:qFormat/>
    <w:rsid w:val="0083260A"/>
    <w:pPr>
      <w:ind w:left="3674"/>
    </w:pPr>
  </w:style>
  <w:style w:type="paragraph" w:customStyle="1" w:styleId="ZZCZWSP2TIRwTIRzmianazmczciwsppodwtirwtir">
    <w:name w:val="ZZ/CZ_WSP_2TIR_w_TIR – zmiana zm. części wsp. podw. tir. w tir."/>
    <w:basedOn w:val="ZZ2TIRwLITzmianazmpodwtirwlit"/>
    <w:uiPriority w:val="94"/>
    <w:qFormat/>
    <w:rsid w:val="0083260A"/>
    <w:pPr>
      <w:ind w:left="2291" w:firstLine="0"/>
    </w:pPr>
  </w:style>
  <w:style w:type="paragraph" w:customStyle="1" w:styleId="Z2TIR2TIRwTIRzmpodwtirwtirpodwjnymtiret">
    <w:name w:val="Z_2TIR/2TIR_w_TIR – zm. podw. tir. w tir. podwójnym tiret"/>
    <w:basedOn w:val="TIRtiret"/>
    <w:uiPriority w:val="85"/>
    <w:qFormat/>
    <w:rsid w:val="0083260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83260A"/>
    <w:pPr>
      <w:ind w:left="2177"/>
    </w:pPr>
  </w:style>
  <w:style w:type="paragraph" w:customStyle="1" w:styleId="Z2TIR2TIRwLITzmpodwtirwlitpodwjnymtiret">
    <w:name w:val="Z_2TIR/2TIR_w_LIT – zm. podw. tir. w lit. podwójnym tiret"/>
    <w:basedOn w:val="TIRtiret"/>
    <w:uiPriority w:val="86"/>
    <w:qFormat/>
    <w:rsid w:val="0083260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83260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83260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83260A"/>
    <w:pPr>
      <w:spacing w:after="120"/>
      <w:ind w:left="510"/>
    </w:pPr>
    <w:rPr>
      <w:b w:val="0"/>
    </w:rPr>
  </w:style>
  <w:style w:type="character" w:styleId="Odwoaniedokomentarza">
    <w:name w:val="annotation reference"/>
    <w:basedOn w:val="Domylnaczcionkaakapitu"/>
    <w:uiPriority w:val="99"/>
    <w:semiHidden/>
    <w:rsid w:val="0083260A"/>
    <w:rPr>
      <w:sz w:val="16"/>
      <w:szCs w:val="16"/>
    </w:rPr>
  </w:style>
  <w:style w:type="paragraph" w:styleId="Tekstkomentarza">
    <w:name w:val="annotation text"/>
    <w:basedOn w:val="Normalny"/>
    <w:link w:val="TekstkomentarzaZnak"/>
    <w:uiPriority w:val="99"/>
    <w:semiHidden/>
    <w:rsid w:val="0083260A"/>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83260A"/>
  </w:style>
  <w:style w:type="paragraph" w:styleId="Tematkomentarza">
    <w:name w:val="annotation subject"/>
    <w:basedOn w:val="Tekstkomentarza"/>
    <w:next w:val="Tekstkomentarza"/>
    <w:link w:val="TematkomentarzaZnak"/>
    <w:uiPriority w:val="99"/>
    <w:semiHidden/>
    <w:rsid w:val="0083260A"/>
    <w:rPr>
      <w:b/>
      <w:bCs/>
    </w:rPr>
  </w:style>
  <w:style w:type="character" w:customStyle="1" w:styleId="TematkomentarzaZnak">
    <w:name w:val="Temat komentarza Znak"/>
    <w:basedOn w:val="TekstkomentarzaZnak"/>
    <w:link w:val="Tematkomentarza"/>
    <w:uiPriority w:val="99"/>
    <w:semiHidden/>
    <w:rsid w:val="0083260A"/>
    <w:rPr>
      <w:b/>
      <w:bCs/>
    </w:rPr>
  </w:style>
  <w:style w:type="paragraph" w:customStyle="1" w:styleId="ZZARTzmianazmart">
    <w:name w:val="ZZ/ART(§) – zmiana zm. art. (§)"/>
    <w:basedOn w:val="ZARTzmartartykuempunktem"/>
    <w:uiPriority w:val="65"/>
    <w:qFormat/>
    <w:rsid w:val="0083260A"/>
    <w:pPr>
      <w:ind w:left="1894"/>
    </w:pPr>
  </w:style>
  <w:style w:type="paragraph" w:customStyle="1" w:styleId="ZZPKTzmianazmpkt">
    <w:name w:val="ZZ/PKT – zmiana zm. pkt"/>
    <w:basedOn w:val="ZPKTzmpktartykuempunktem"/>
    <w:uiPriority w:val="66"/>
    <w:qFormat/>
    <w:rsid w:val="0083260A"/>
    <w:pPr>
      <w:ind w:left="2404"/>
    </w:pPr>
  </w:style>
  <w:style w:type="paragraph" w:customStyle="1" w:styleId="ZZLITwPKTzmianazmlitwpkt">
    <w:name w:val="ZZ/LIT_w_PKT – zmiana zm. lit. w pkt"/>
    <w:basedOn w:val="ZLITwPKTzmlitwpktartykuempunktem"/>
    <w:uiPriority w:val="67"/>
    <w:qFormat/>
    <w:rsid w:val="0083260A"/>
    <w:pPr>
      <w:ind w:left="2880"/>
    </w:pPr>
  </w:style>
  <w:style w:type="paragraph" w:customStyle="1" w:styleId="ZZTIRwPKTzmianazmtirwpkt">
    <w:name w:val="ZZ/TIR_w_PKT – zmiana zm. tir. w pkt"/>
    <w:basedOn w:val="ZTIRwPKTzmtirwpktartykuempunktem"/>
    <w:uiPriority w:val="67"/>
    <w:qFormat/>
    <w:rsid w:val="0083260A"/>
    <w:pPr>
      <w:ind w:left="3277"/>
    </w:pPr>
  </w:style>
  <w:style w:type="paragraph" w:customStyle="1" w:styleId="ZZWMATFIZCHEMzmwzorumatfizlubchem">
    <w:name w:val="ZZ/W_MAT(FIZ|CHEM) – zm. wzoru mat. (fiz. lub chem.)"/>
    <w:basedOn w:val="ZWMATFIZCHEMzmwzorumatfizlubchemartykuempunktem"/>
    <w:uiPriority w:val="71"/>
    <w:qFormat/>
    <w:rsid w:val="0083260A"/>
    <w:pPr>
      <w:ind w:left="2404"/>
    </w:pPr>
  </w:style>
  <w:style w:type="paragraph" w:customStyle="1" w:styleId="ODNONIKtreodnonika">
    <w:name w:val="ODNOŚNIK – treść odnośnika"/>
    <w:uiPriority w:val="24"/>
    <w:qFormat/>
    <w:rsid w:val="0083260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83260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83260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83260A"/>
    <w:rPr>
      <w:rFonts w:ascii="Times New Roman" w:hAnsi="Times New Roman"/>
    </w:rPr>
  </w:style>
  <w:style w:type="paragraph" w:customStyle="1" w:styleId="ZTIRTIRwPKTzmtirwpkttiret">
    <w:name w:val="Z_TIR/TIR_w_PKT – zm. tir. w pkt tiret"/>
    <w:basedOn w:val="ZTIRTIRwLITzmtirwlittiret"/>
    <w:uiPriority w:val="57"/>
    <w:qFormat/>
    <w:rsid w:val="0083260A"/>
    <w:pPr>
      <w:ind w:left="2733"/>
    </w:pPr>
  </w:style>
  <w:style w:type="paragraph" w:customStyle="1" w:styleId="ZTIRCZWSPTIRwPKTzmczciwsptirtiret">
    <w:name w:val="Z_TIR/CZ_WSP_TIR_w_PKT – zm. części wsp. tir. tiret"/>
    <w:basedOn w:val="ZTIRTIRwPKTzmtirwpkttiret"/>
    <w:next w:val="TIRtiret"/>
    <w:uiPriority w:val="60"/>
    <w:qFormat/>
    <w:rsid w:val="0083260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3260A"/>
    <w:pPr>
      <w:ind w:left="510" w:firstLine="0"/>
    </w:pPr>
  </w:style>
  <w:style w:type="paragraph" w:customStyle="1" w:styleId="ROZDZODDZOZNoznaczenierozdziauluboddziau">
    <w:name w:val="ROZDZ(ODDZ)_OZN – oznaczenie rozdziału lub oddziału"/>
    <w:next w:val="ARTartustawynprozporzdzenia"/>
    <w:uiPriority w:val="10"/>
    <w:qFormat/>
    <w:rsid w:val="0083260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83260A"/>
    <w:pPr>
      <w:ind w:left="2177"/>
    </w:pPr>
  </w:style>
  <w:style w:type="paragraph" w:customStyle="1" w:styleId="Z2TIRTIRzmtirpodwjnymtiret">
    <w:name w:val="Z_2TIR/TIR – zm. tir. podwójnym tiret"/>
    <w:basedOn w:val="TIRtiret"/>
    <w:uiPriority w:val="84"/>
    <w:qFormat/>
    <w:rsid w:val="0083260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83260A"/>
    <w:pPr>
      <w:ind w:left="1021"/>
    </w:pPr>
  </w:style>
  <w:style w:type="paragraph" w:customStyle="1" w:styleId="ZLITSKARNzmsankcjikarnejliter">
    <w:name w:val="Z_LIT/S_KARN – zm. sankcji karnej literą"/>
    <w:basedOn w:val="ZSKARNzmsankcjikarnejwszczeglnociwKodeksiekarnym"/>
    <w:uiPriority w:val="53"/>
    <w:qFormat/>
    <w:rsid w:val="0083260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83260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83260A"/>
    <w:pPr>
      <w:ind w:left="1894" w:firstLine="0"/>
    </w:pPr>
  </w:style>
  <w:style w:type="paragraph" w:customStyle="1" w:styleId="Z2TIRwLITzmpodwtirwlitartykuempunktem">
    <w:name w:val="Z/2TIR_w_LIT – zm. podw. tir. w lit. artykułem (punktem)"/>
    <w:basedOn w:val="Z2TIRwPKTzmpodwtirwpktartykuempunktem"/>
    <w:uiPriority w:val="74"/>
    <w:qFormat/>
    <w:rsid w:val="0083260A"/>
    <w:pPr>
      <w:ind w:left="1780"/>
    </w:pPr>
  </w:style>
  <w:style w:type="paragraph" w:customStyle="1" w:styleId="Z2TIRwTIRzmpodwtirwtirartykuempunktem">
    <w:name w:val="Z/2TIR_w_TIR – zm. podw. tir. w tir. artykułem (punktem)"/>
    <w:basedOn w:val="Z2TIRwLITzmpodwtirwlitartykuempunktem"/>
    <w:uiPriority w:val="73"/>
    <w:qFormat/>
    <w:rsid w:val="0083260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83260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83260A"/>
    <w:pPr>
      <w:ind w:left="1383" w:firstLine="0"/>
    </w:pPr>
  </w:style>
  <w:style w:type="paragraph" w:customStyle="1" w:styleId="ZZCZWSP2TIRzmianazmczciwsppodwtir">
    <w:name w:val="ZZ/CZ_WSP_2TIR – zmiana zm. części wsp. podw. tir."/>
    <w:basedOn w:val="ZZTIRzmianazmtir"/>
    <w:next w:val="ZZUSTzmianazmust"/>
    <w:uiPriority w:val="94"/>
    <w:qFormat/>
    <w:rsid w:val="0083260A"/>
    <w:pPr>
      <w:ind w:left="1894" w:firstLine="0"/>
    </w:pPr>
  </w:style>
  <w:style w:type="paragraph" w:customStyle="1" w:styleId="PKTODNONIKApunktodnonika">
    <w:name w:val="PKT_ODNOŚNIKA – punkt odnośnika"/>
    <w:basedOn w:val="ODNONIKtreodnonika"/>
    <w:uiPriority w:val="19"/>
    <w:qFormat/>
    <w:rsid w:val="0083260A"/>
    <w:pPr>
      <w:ind w:left="568"/>
    </w:pPr>
  </w:style>
  <w:style w:type="paragraph" w:customStyle="1" w:styleId="ZODNONIKAzmtekstuodnonikaartykuempunktem">
    <w:name w:val="Z/ODNOŚNIKA – zm. tekstu odnośnika artykułem (punktem)"/>
    <w:basedOn w:val="ODNONIKtreodnonika"/>
    <w:uiPriority w:val="39"/>
    <w:qFormat/>
    <w:rsid w:val="0083260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83260A"/>
    <w:pPr>
      <w:ind w:left="1304"/>
    </w:pPr>
  </w:style>
  <w:style w:type="paragraph" w:customStyle="1" w:styleId="ZPKTODNONIKAzmpktodnonikaartykuempunktem">
    <w:name w:val="Z/PKT_ODNOŚNIKA – zm. pkt odnośnika artykułem (punktem)"/>
    <w:basedOn w:val="ZODNONIKAzmtekstuodnonikaartykuempunktem"/>
    <w:uiPriority w:val="39"/>
    <w:qFormat/>
    <w:rsid w:val="0083260A"/>
  </w:style>
  <w:style w:type="paragraph" w:customStyle="1" w:styleId="ZLIT2TIRwTIRzmpodwtirwtirliter">
    <w:name w:val="Z_LIT/2TIR_w_TIR – zm. podw. tir. w tir. literą"/>
    <w:basedOn w:val="ZLIT2TIRzmpodwtirliter"/>
    <w:uiPriority w:val="75"/>
    <w:qFormat/>
    <w:rsid w:val="0083260A"/>
    <w:pPr>
      <w:ind w:left="1780"/>
    </w:pPr>
  </w:style>
  <w:style w:type="paragraph" w:customStyle="1" w:styleId="ZLIT2TIRwLITzmpodwtirwlitliter">
    <w:name w:val="Z_LIT/2TIR_w_LIT – zm. podw. tir. w lit. literą"/>
    <w:basedOn w:val="ZLIT2TIRwTIRzmpodwtirwtirliter"/>
    <w:uiPriority w:val="76"/>
    <w:qFormat/>
    <w:rsid w:val="0083260A"/>
    <w:pPr>
      <w:ind w:left="2257"/>
    </w:pPr>
  </w:style>
  <w:style w:type="paragraph" w:customStyle="1" w:styleId="ZLIT2TIRwPKTzmpodwtirwpktliter">
    <w:name w:val="Z_LIT/2TIR_w_PKT – zm. podw. tir. w pkt literą"/>
    <w:basedOn w:val="ZLIT2TIRwLITzmpodwtirwlitliter"/>
    <w:uiPriority w:val="76"/>
    <w:qFormat/>
    <w:rsid w:val="0083260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83260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83260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83260A"/>
    <w:pPr>
      <w:ind w:left="2370" w:firstLine="0"/>
    </w:pPr>
  </w:style>
  <w:style w:type="paragraph" w:customStyle="1" w:styleId="ZTIR2TIRwPKTzmpodwtirwpkttiret">
    <w:name w:val="Z_TIR/2TIR_w_PKT – zm. podw. tir. w pkt tiret"/>
    <w:basedOn w:val="ZTIR2TIRwLITzmpodwtirwlittiret"/>
    <w:uiPriority w:val="79"/>
    <w:qFormat/>
    <w:rsid w:val="0083260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83260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83260A"/>
    <w:pPr>
      <w:ind w:left="2767"/>
    </w:pPr>
  </w:style>
  <w:style w:type="paragraph" w:customStyle="1" w:styleId="ZZCZWSP2TIRwPKTzmianazmczciwsppodwtirwpkt">
    <w:name w:val="ZZ/CZ_WSP_2TIR_w_PKT – zmiana zm. części wsp. podw. tir. w pkt"/>
    <w:basedOn w:val="ZZ2TIRwLITzmianazmpodwtirwlit"/>
    <w:uiPriority w:val="95"/>
    <w:qFormat/>
    <w:rsid w:val="0083260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83260A"/>
  </w:style>
  <w:style w:type="paragraph" w:customStyle="1" w:styleId="ZLITCZWSP2TIRzmczciwsppodwtirliter">
    <w:name w:val="Z_LIT/CZ_WSP_2TIR – zm. części wsp. podw. tir. literą"/>
    <w:basedOn w:val="ZLITCZWSPPKTzmczciwsppktliter"/>
    <w:next w:val="LITlitera"/>
    <w:uiPriority w:val="76"/>
    <w:qFormat/>
    <w:rsid w:val="0083260A"/>
  </w:style>
  <w:style w:type="paragraph" w:customStyle="1" w:styleId="ZTIRCZWSP2TIRzmczciwsppodwtirtiret">
    <w:name w:val="Z_TIR/CZ_WSP_2TIR – zm. części wsp. podw. tir. tiret"/>
    <w:basedOn w:val="ZLITCZWSP2TIRzmczciwsppodwtirliter"/>
    <w:next w:val="TIRtiret"/>
    <w:uiPriority w:val="79"/>
    <w:qFormat/>
    <w:rsid w:val="0083260A"/>
  </w:style>
  <w:style w:type="paragraph" w:customStyle="1" w:styleId="ZZ2TIRzmianazmpodwtir">
    <w:name w:val="ZZ/2TIR – zmiana zm. podw. tir."/>
    <w:basedOn w:val="ZZCZWSP2TIRzmianazmczciwsppodwtir"/>
    <w:uiPriority w:val="93"/>
    <w:qFormat/>
    <w:rsid w:val="0083260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83260A"/>
  </w:style>
  <w:style w:type="paragraph" w:customStyle="1" w:styleId="ZCZWSPTIRzmczciwsptirartykuempunktem">
    <w:name w:val="Z/CZ_WSP_TIR – zm. części wsp. tir. artykułem (punktem)"/>
    <w:basedOn w:val="ZCZWSPPKTzmczciwsppktartykuempunktem"/>
    <w:next w:val="PKTpunkt"/>
    <w:uiPriority w:val="35"/>
    <w:qFormat/>
    <w:rsid w:val="0083260A"/>
  </w:style>
  <w:style w:type="paragraph" w:customStyle="1" w:styleId="ZLITCZWSPLITzmczciwsplitliter">
    <w:name w:val="Z_LIT/CZ_WSP_LIT – zm. części wsp. lit. literą"/>
    <w:basedOn w:val="ZLITCZWSPPKTzmczciwsppktliter"/>
    <w:next w:val="LITlitera"/>
    <w:uiPriority w:val="51"/>
    <w:qFormat/>
    <w:rsid w:val="0083260A"/>
  </w:style>
  <w:style w:type="paragraph" w:customStyle="1" w:styleId="ZLITCZWSPTIRzmczciwsptirliter">
    <w:name w:val="Z_LIT/CZ_WSP_TIR – zm. części wsp. tir. literą"/>
    <w:basedOn w:val="ZLITCZWSPPKTzmczciwsppktliter"/>
    <w:next w:val="LITlitera"/>
    <w:uiPriority w:val="51"/>
    <w:qFormat/>
    <w:rsid w:val="0083260A"/>
  </w:style>
  <w:style w:type="paragraph" w:customStyle="1" w:styleId="ZTIRCZWSPLITzmczciwsplittiret">
    <w:name w:val="Z_TIR/CZ_WSP_LIT – zm. części wsp. lit. tiret"/>
    <w:basedOn w:val="ZTIRCZWSPPKTzmczciwsppkttiret"/>
    <w:next w:val="TIRtiret"/>
    <w:uiPriority w:val="59"/>
    <w:qFormat/>
    <w:rsid w:val="0083260A"/>
  </w:style>
  <w:style w:type="paragraph" w:customStyle="1" w:styleId="ZTIRCZWSPTIRzmczciwsptirtiret">
    <w:name w:val="Z_TIR/CZ_WSP_TIR – zm. części wsp. tir. tiret"/>
    <w:basedOn w:val="ZTIRCZWSPPKTzmczciwsppkttiret"/>
    <w:next w:val="TIRtiret"/>
    <w:uiPriority w:val="60"/>
    <w:qFormat/>
    <w:rsid w:val="0083260A"/>
  </w:style>
  <w:style w:type="paragraph" w:customStyle="1" w:styleId="ZZCZWSPLITzmianazmczciwsplit">
    <w:name w:val="ZZ/CZ_WSP_LIT – zmiana. zm. części wsp. lit."/>
    <w:basedOn w:val="ZZCZWSPPKTzmianazmczciwsppkt"/>
    <w:uiPriority w:val="69"/>
    <w:qFormat/>
    <w:rsid w:val="0083260A"/>
  </w:style>
  <w:style w:type="paragraph" w:customStyle="1" w:styleId="ZZCZWSPTIRzmianazmczciwsptir">
    <w:name w:val="ZZ/CZ_WSP_TIR – zmiana. zm. części wsp. tir."/>
    <w:basedOn w:val="ZZCZWSPPKTzmianazmczciwsppkt"/>
    <w:uiPriority w:val="69"/>
    <w:qFormat/>
    <w:rsid w:val="0083260A"/>
  </w:style>
  <w:style w:type="paragraph" w:customStyle="1" w:styleId="Z2TIRCZWSPTIRzmczciwsptirpodwjnymtiret">
    <w:name w:val="Z_2TIR/CZ_WSP_TIR – zm. części wsp. tir. podwójnym tiret"/>
    <w:basedOn w:val="Z2TIRCZWSPLITzmczciwsplitpodwjnymtiret"/>
    <w:next w:val="2TIRpodwjnytiret"/>
    <w:uiPriority w:val="87"/>
    <w:qFormat/>
    <w:rsid w:val="0083260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83260A"/>
  </w:style>
  <w:style w:type="paragraph" w:customStyle="1" w:styleId="ZUSTzmustartykuempunktem">
    <w:name w:val="Z/UST(§) – zm. ust. (§) artykułem (punktem)"/>
    <w:basedOn w:val="ZARTzmartartykuempunktem"/>
    <w:uiPriority w:val="30"/>
    <w:qFormat/>
    <w:rsid w:val="0083260A"/>
  </w:style>
  <w:style w:type="paragraph" w:customStyle="1" w:styleId="ZZUSTzmianazmust">
    <w:name w:val="ZZ/UST(§) – zmiana zm. ust. (§)"/>
    <w:basedOn w:val="ZZARTzmianazmart"/>
    <w:uiPriority w:val="65"/>
    <w:qFormat/>
    <w:rsid w:val="0083260A"/>
  </w:style>
  <w:style w:type="paragraph" w:customStyle="1" w:styleId="TYTDZPRZEDMprzedmiotregulacjitytuulubdziau">
    <w:name w:val="TYT(DZ)_PRZEDM – przedmiot regulacji tytułu lub działu"/>
    <w:next w:val="ARTartustawynprozporzdzenia"/>
    <w:uiPriority w:val="9"/>
    <w:qFormat/>
    <w:rsid w:val="0083260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83260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83260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83260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83260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83260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83260A"/>
    <w:pPr>
      <w:ind w:left="1894"/>
    </w:pPr>
  </w:style>
  <w:style w:type="paragraph" w:customStyle="1" w:styleId="P1wTABELIpoziom1numeracjiwtabeli">
    <w:name w:val="P1_w_TABELI – poziom 1 numeracji w tabeli"/>
    <w:basedOn w:val="PKTpunkt"/>
    <w:uiPriority w:val="24"/>
    <w:qFormat/>
    <w:rsid w:val="0083260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83260A"/>
    <w:pPr>
      <w:ind w:left="0" w:firstLine="0"/>
    </w:pPr>
  </w:style>
  <w:style w:type="paragraph" w:customStyle="1" w:styleId="P2wTABELIpoziom2numeracjiwtabeli">
    <w:name w:val="P2_w_TABELI – poziom 2 numeracji w tabeli"/>
    <w:basedOn w:val="P1wTABELIpoziom1numeracjiwtabeli"/>
    <w:uiPriority w:val="24"/>
    <w:qFormat/>
    <w:rsid w:val="0083260A"/>
    <w:pPr>
      <w:ind w:left="794"/>
    </w:pPr>
  </w:style>
  <w:style w:type="paragraph" w:customStyle="1" w:styleId="P3wTABELIpoziom3numeracjiwtabeli">
    <w:name w:val="P3_w_TABELI – poziom 3 numeracji w tabeli"/>
    <w:basedOn w:val="P2wTABELIpoziom2numeracjiwtabeli"/>
    <w:uiPriority w:val="24"/>
    <w:qFormat/>
    <w:rsid w:val="0083260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83260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83260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83260A"/>
    <w:pPr>
      <w:ind w:left="1191"/>
    </w:pPr>
  </w:style>
  <w:style w:type="paragraph" w:customStyle="1" w:styleId="P4wTABELIpoziom4numeracjiwtabeli">
    <w:name w:val="P4_w_TABELI – poziom 4 numeracji w tabeli"/>
    <w:basedOn w:val="P3wTABELIpoziom3numeracjiwtabeli"/>
    <w:uiPriority w:val="24"/>
    <w:qFormat/>
    <w:rsid w:val="0083260A"/>
    <w:pPr>
      <w:ind w:left="1588"/>
    </w:pPr>
  </w:style>
  <w:style w:type="paragraph" w:customStyle="1" w:styleId="TYTTABELItytutabeli">
    <w:name w:val="TYT_TABELI – tytuł tabeli"/>
    <w:basedOn w:val="TYTDZOZNoznaczenietytuulubdziau"/>
    <w:uiPriority w:val="22"/>
    <w:qFormat/>
    <w:rsid w:val="0083260A"/>
    <w:rPr>
      <w:b/>
    </w:rPr>
  </w:style>
  <w:style w:type="paragraph" w:customStyle="1" w:styleId="OZNPROJEKTUwskazaniedatylubwersjiprojektu">
    <w:name w:val="OZN_PROJEKTU – wskazanie daty lub wersji projektu"/>
    <w:next w:val="OZNRODZAKTUtznustawalubrozporzdzenieiorganwydajcy"/>
    <w:uiPriority w:val="5"/>
    <w:qFormat/>
    <w:rsid w:val="0083260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83260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3260A"/>
    <w:pPr>
      <w:ind w:left="0" w:right="4820"/>
      <w:jc w:val="left"/>
    </w:pPr>
  </w:style>
  <w:style w:type="paragraph" w:customStyle="1" w:styleId="TEKSTwporozumieniu">
    <w:name w:val="TEKST&quot;w porozumieniu:&quot;"/>
    <w:next w:val="NAZORGWPOROZUMIENIUnazwaorganuwporozumieniuzktrymaktjestwydawany"/>
    <w:uiPriority w:val="27"/>
    <w:qFormat/>
    <w:rsid w:val="0083260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83260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83260A"/>
    <w:pPr>
      <w:ind w:left="510" w:firstLine="0"/>
    </w:pPr>
  </w:style>
  <w:style w:type="paragraph" w:customStyle="1" w:styleId="NOTATKILEGISLATORA">
    <w:name w:val="NOTATKI_LEGISLATORA"/>
    <w:basedOn w:val="Normalny"/>
    <w:uiPriority w:val="5"/>
    <w:qFormat/>
    <w:rsid w:val="00F51B12"/>
    <w:pPr>
      <w:spacing w:before="480"/>
      <w:contextualSpacing/>
    </w:pPr>
    <w:rPr>
      <w:b/>
      <w:i/>
    </w:rPr>
  </w:style>
  <w:style w:type="paragraph" w:customStyle="1" w:styleId="OZNZACZNIKAwskazanienrzacznika">
    <w:name w:val="OZN_ZAŁĄCZNIKA – wskazanie nr załącznika"/>
    <w:basedOn w:val="OZNPROJEKTUwskazaniedatylubwersjiprojektu"/>
    <w:uiPriority w:val="28"/>
    <w:qFormat/>
    <w:rsid w:val="0083260A"/>
    <w:pPr>
      <w:keepNext/>
    </w:pPr>
    <w:rPr>
      <w:b/>
      <w:u w:val="none"/>
    </w:rPr>
  </w:style>
  <w:style w:type="paragraph" w:customStyle="1" w:styleId="OZNPARAFYADNOTACJE">
    <w:name w:val="OZN_PARAFY(ADNOTACJE)"/>
    <w:basedOn w:val="ODNONIKtreodnonika"/>
    <w:uiPriority w:val="26"/>
    <w:qFormat/>
    <w:rsid w:val="0083260A"/>
  </w:style>
  <w:style w:type="paragraph" w:customStyle="1" w:styleId="TEKSTZacznikido">
    <w:name w:val="TEKST&quot;Załącznik(i) do ...&quot;"/>
    <w:uiPriority w:val="28"/>
    <w:qFormat/>
    <w:rsid w:val="0083260A"/>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83260A"/>
    <w:pPr>
      <w:ind w:left="851"/>
    </w:pPr>
  </w:style>
  <w:style w:type="paragraph" w:customStyle="1" w:styleId="CZWSPLITODNONIKAczwspliterodnonika">
    <w:name w:val="CZ_WSP_LIT_ODNOŚNIKA – część wsp. liter odnośnika"/>
    <w:basedOn w:val="LITODNONIKAliteraodnonika"/>
    <w:uiPriority w:val="22"/>
    <w:qFormat/>
    <w:rsid w:val="0083260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83260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83260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83260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83260A"/>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83260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83260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83260A"/>
  </w:style>
  <w:style w:type="paragraph" w:customStyle="1" w:styleId="ZLITwPKTODNONIKAzmlitwpktodnonikaartykuempunktem">
    <w:name w:val="Z/LIT_w_PKT_ODNOŚNIKA – zm. lit. w pkt odnośnika artykułem (punktem)"/>
    <w:basedOn w:val="ZLITODNONIKAzmlitodnonikaartykuempunktem"/>
    <w:uiPriority w:val="40"/>
    <w:qFormat/>
    <w:rsid w:val="0083260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83260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83260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83260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83260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83260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83260A"/>
  </w:style>
  <w:style w:type="paragraph" w:customStyle="1" w:styleId="ZZFRAGzmianazmfragmentunpzdania">
    <w:name w:val="ZZ/FRAG – zmiana zm. fragmentu (np. zdania)"/>
    <w:basedOn w:val="ZZCZWSPPKTzmianazmczciwsppkt"/>
    <w:uiPriority w:val="70"/>
    <w:qFormat/>
    <w:rsid w:val="0083260A"/>
  </w:style>
  <w:style w:type="paragraph" w:customStyle="1" w:styleId="Z2TIRPKTzmpktpodwjnymtiret">
    <w:name w:val="Z_2TIR/PKT – zm. pkt podwójnym tiret"/>
    <w:basedOn w:val="Z2TIRLITzmlitpodwjnymtiret"/>
    <w:uiPriority w:val="83"/>
    <w:qFormat/>
    <w:rsid w:val="0083260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83260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83260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83260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83260A"/>
    <w:pPr>
      <w:ind w:left="1780" w:firstLine="510"/>
    </w:pPr>
  </w:style>
  <w:style w:type="paragraph" w:customStyle="1" w:styleId="Z2TIRUSTzmustpodwjnymtiret">
    <w:name w:val="Z_2TIR/UST(§) – zm. ust. (§) podwójnym tiret"/>
    <w:basedOn w:val="Z2TIRPKTzmpktpodwjnymtiret"/>
    <w:uiPriority w:val="82"/>
    <w:qFormat/>
    <w:rsid w:val="0083260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83260A"/>
    <w:pPr>
      <w:ind w:left="3164" w:firstLine="0"/>
    </w:pPr>
  </w:style>
  <w:style w:type="paragraph" w:customStyle="1" w:styleId="Z2TIRCZWSPPKTzmczciwsppktpodwjnymtiret">
    <w:name w:val="Z_2TIR/CZ_WSP_PKT – zm. części wsp. pkt podwójnym tiret"/>
    <w:basedOn w:val="Z2TIRPKTzmpktpodwjnymtiret"/>
    <w:uiPriority w:val="86"/>
    <w:qFormat/>
    <w:rsid w:val="0083260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83260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83260A"/>
    <w:pPr>
      <w:ind w:left="2767" w:firstLine="0"/>
    </w:pPr>
  </w:style>
  <w:style w:type="paragraph" w:customStyle="1" w:styleId="ZLITARTzmartliter">
    <w:name w:val="Z_LIT/ART(§) – zm. art. (§) literą"/>
    <w:basedOn w:val="ZLITUSTzmustliter"/>
    <w:uiPriority w:val="46"/>
    <w:qFormat/>
    <w:rsid w:val="0083260A"/>
    <w:rPr>
      <w:rFonts w:ascii="Times New Roman" w:hAnsi="Times New Roman"/>
    </w:rPr>
  </w:style>
  <w:style w:type="paragraph" w:customStyle="1" w:styleId="ZTIRARTzmarttiret">
    <w:name w:val="Z_TIR/ART(§) – zm. art. (§) tiret"/>
    <w:basedOn w:val="ZTIRPKTzmpkttiret"/>
    <w:uiPriority w:val="55"/>
    <w:qFormat/>
    <w:rsid w:val="0083260A"/>
    <w:pPr>
      <w:ind w:left="1383" w:firstLine="510"/>
    </w:pPr>
    <w:rPr>
      <w:rFonts w:ascii="Times New Roman" w:hAnsi="Times New Roman"/>
    </w:rPr>
  </w:style>
  <w:style w:type="paragraph" w:customStyle="1" w:styleId="ZTIRUSTzmusttiret">
    <w:name w:val="Z_TIR/UST(§) – zm. ust. (§) tiret"/>
    <w:basedOn w:val="ZTIRARTzmarttiret"/>
    <w:uiPriority w:val="55"/>
    <w:qFormat/>
    <w:rsid w:val="0083260A"/>
  </w:style>
  <w:style w:type="paragraph" w:customStyle="1" w:styleId="ZLITKSIGIzmozniprzedmksigiliter">
    <w:name w:val="Z_LIT/KSIĘGI – zm. ozn. i przedm. księgi literą"/>
    <w:basedOn w:val="ZCZCIKSIGIzmozniprzedmczciksigiartykuempunktem"/>
    <w:uiPriority w:val="44"/>
    <w:qFormat/>
    <w:rsid w:val="0083260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83260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83260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83260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83260A"/>
    <w:pPr>
      <w:ind w:left="987"/>
    </w:pPr>
  </w:style>
  <w:style w:type="paragraph" w:customStyle="1" w:styleId="ZTIRDZOZNzmozndziautiret">
    <w:name w:val="Z_TIR/DZ_OZN – zm. ozn. działu tiret"/>
    <w:basedOn w:val="ZLITTYTDZOZNzmozntytuudziauliter"/>
    <w:next w:val="ZTIRDZPRZEDMzmprzedmdziautiret"/>
    <w:uiPriority w:val="54"/>
    <w:qFormat/>
    <w:rsid w:val="0083260A"/>
    <w:pPr>
      <w:ind w:left="1383"/>
    </w:pPr>
  </w:style>
  <w:style w:type="paragraph" w:customStyle="1" w:styleId="ZTIRDZPRZEDMzmprzedmdziautiret">
    <w:name w:val="Z_TIR/DZ_PRZEDM – zm. przedm. działu tiret"/>
    <w:basedOn w:val="ZLITTYTDZPRZEDMzmprzedmtytuudziauliter"/>
    <w:uiPriority w:val="54"/>
    <w:qFormat/>
    <w:rsid w:val="0083260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83260A"/>
    <w:pPr>
      <w:ind w:left="1383"/>
    </w:pPr>
  </w:style>
  <w:style w:type="paragraph" w:customStyle="1" w:styleId="ZTIRROZDZODDZPRZEDMzmprzedmrozdzoddztiret">
    <w:name w:val="Z_TIR/ROZDZ(ODDZ)_PRZEDM – zm. przedm. rozdz. (oddz.) tiret"/>
    <w:basedOn w:val="ZLITROZDZODDZPRZEDMzmprzedmrozdzoddzliter"/>
    <w:uiPriority w:val="54"/>
    <w:qFormat/>
    <w:rsid w:val="0083260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83260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83260A"/>
    <w:pPr>
      <w:ind w:left="1780"/>
    </w:pPr>
  </w:style>
  <w:style w:type="character" w:customStyle="1" w:styleId="IGindeksgrny">
    <w:name w:val="_IG_ – indeks górny"/>
    <w:basedOn w:val="Domylnaczcionkaakapitu"/>
    <w:uiPriority w:val="2"/>
    <w:qFormat/>
    <w:rsid w:val="0083260A"/>
    <w:rPr>
      <w:b w:val="0"/>
      <w:i w:val="0"/>
      <w:vanish w:val="0"/>
      <w:spacing w:val="0"/>
      <w:vertAlign w:val="superscript"/>
    </w:rPr>
  </w:style>
  <w:style w:type="character" w:customStyle="1" w:styleId="IDindeksdolny">
    <w:name w:val="_ID_ – indeks dolny"/>
    <w:basedOn w:val="Domylnaczcionkaakapitu"/>
    <w:uiPriority w:val="3"/>
    <w:qFormat/>
    <w:rsid w:val="0083260A"/>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83260A"/>
    <w:rPr>
      <w:b/>
      <w:vanish w:val="0"/>
      <w:spacing w:val="0"/>
      <w:vertAlign w:val="subscript"/>
    </w:rPr>
  </w:style>
  <w:style w:type="character" w:customStyle="1" w:styleId="IDKindeksdolnyikursywa">
    <w:name w:val="_ID_K_ – indeks dolny i kursywa"/>
    <w:basedOn w:val="Domylnaczcionkaakapitu"/>
    <w:uiPriority w:val="3"/>
    <w:qFormat/>
    <w:rsid w:val="0083260A"/>
    <w:rPr>
      <w:i/>
      <w:vanish w:val="0"/>
      <w:spacing w:val="0"/>
      <w:vertAlign w:val="subscript"/>
    </w:rPr>
  </w:style>
  <w:style w:type="character" w:customStyle="1" w:styleId="IGPindeksgrnyipogrubienie">
    <w:name w:val="_IG_P_ – indeks górny i pogrubienie"/>
    <w:basedOn w:val="Domylnaczcionkaakapitu"/>
    <w:uiPriority w:val="2"/>
    <w:qFormat/>
    <w:rsid w:val="0083260A"/>
    <w:rPr>
      <w:b/>
      <w:vanish w:val="0"/>
      <w:spacing w:val="0"/>
      <w:vertAlign w:val="superscript"/>
    </w:rPr>
  </w:style>
  <w:style w:type="character" w:customStyle="1" w:styleId="IGKindeksgrnyikursywa">
    <w:name w:val="_IG_K_ – indeks górny i kursywa"/>
    <w:basedOn w:val="Domylnaczcionkaakapitu"/>
    <w:uiPriority w:val="2"/>
    <w:qFormat/>
    <w:rsid w:val="0083260A"/>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83260A"/>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83260A"/>
    <w:rPr>
      <w:b/>
      <w:i/>
      <w:vanish w:val="0"/>
      <w:spacing w:val="0"/>
      <w:vertAlign w:val="subscript"/>
    </w:rPr>
  </w:style>
  <w:style w:type="character" w:customStyle="1" w:styleId="Ppogrubienie">
    <w:name w:val="_P_ – pogrubienie"/>
    <w:basedOn w:val="Domylnaczcionkaakapitu"/>
    <w:uiPriority w:val="1"/>
    <w:qFormat/>
    <w:rsid w:val="0083260A"/>
    <w:rPr>
      <w:b/>
    </w:rPr>
  </w:style>
  <w:style w:type="character" w:customStyle="1" w:styleId="Kkursywa">
    <w:name w:val="_K_ – kursywa"/>
    <w:basedOn w:val="Domylnaczcionkaakapitu"/>
    <w:uiPriority w:val="1"/>
    <w:qFormat/>
    <w:rsid w:val="0083260A"/>
    <w:rPr>
      <w:i/>
    </w:rPr>
  </w:style>
  <w:style w:type="character" w:customStyle="1" w:styleId="PKpogrubieniekursywa">
    <w:name w:val="_P_K_ – pogrubienie kursywa"/>
    <w:basedOn w:val="Domylnaczcionkaakapitu"/>
    <w:uiPriority w:val="1"/>
    <w:qFormat/>
    <w:rsid w:val="0083260A"/>
    <w:rPr>
      <w:b/>
      <w:i/>
    </w:rPr>
  </w:style>
  <w:style w:type="character" w:customStyle="1" w:styleId="TEKSTOZNACZONYWDOKUMENCIERDOWYMJAKOUKRYTY">
    <w:name w:val="_TEKST_OZNACZONY_W_DOKUMENCIE_ŹRÓDŁOWYM_JAKO_UKRYTY_"/>
    <w:basedOn w:val="Domylnaczcionkaakapitu"/>
    <w:uiPriority w:val="4"/>
    <w:unhideWhenUsed/>
    <w:qFormat/>
    <w:rsid w:val="0083260A"/>
    <w:rPr>
      <w:vanish w:val="0"/>
      <w:color w:val="FF0000"/>
      <w:u w:val="single" w:color="FF0000"/>
    </w:rPr>
  </w:style>
  <w:style w:type="character" w:customStyle="1" w:styleId="BEZWERSALIKW">
    <w:name w:val="_BEZ_WERSALIKÓW_"/>
    <w:basedOn w:val="Domylnaczcionkaakapitu"/>
    <w:uiPriority w:val="4"/>
    <w:qFormat/>
    <w:rsid w:val="0083260A"/>
    <w:rPr>
      <w:caps/>
    </w:rPr>
  </w:style>
  <w:style w:type="character" w:customStyle="1" w:styleId="IIGPindeksgrnyindeksugrnegoipogrubienie">
    <w:name w:val="_IIG_P_ – indeks górny indeksu górnego i pogrubienie"/>
    <w:basedOn w:val="Domylnaczcionkaakapitu"/>
    <w:uiPriority w:val="3"/>
    <w:qFormat/>
    <w:rsid w:val="0083260A"/>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83260A"/>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83260A"/>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83260A"/>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83260A"/>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83260A"/>
    <w:pPr>
      <w:ind w:left="1894"/>
    </w:pPr>
  </w:style>
  <w:style w:type="paragraph" w:customStyle="1" w:styleId="ZZSKARNzmianazmsankcjikarnej">
    <w:name w:val="ZZ/S_KARN – zmiana zm. sankcji karnej"/>
    <w:basedOn w:val="ZZFRAGzmianazmfragmentunpzdania"/>
    <w:uiPriority w:val="71"/>
    <w:qFormat/>
    <w:rsid w:val="0083260A"/>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83260A"/>
    <w:pPr>
      <w:ind w:left="2291" w:firstLine="0"/>
    </w:pPr>
  </w:style>
  <w:style w:type="paragraph" w:customStyle="1" w:styleId="WMATFIZCHEMwzrmatfizlubchem">
    <w:name w:val="W_MAT(FIZ|CHEM) – wzór mat. (fiz. lub chem.)"/>
    <w:uiPriority w:val="18"/>
    <w:qFormat/>
    <w:rsid w:val="0083260A"/>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83260A"/>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83260A"/>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83260A"/>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83260A"/>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83260A"/>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83260A"/>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83260A"/>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83260A"/>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83260A"/>
    <w:pPr>
      <w:ind w:left="3085"/>
    </w:pPr>
  </w:style>
  <w:style w:type="paragraph" w:customStyle="1" w:styleId="ZLITCYTzmcytatunpprzysigiliter">
    <w:name w:val="Z_LIT/CYT – zm. cytatu np. przysięgi literą"/>
    <w:basedOn w:val="ZCYTzmcytatunpprzysigiartykuempunktem"/>
    <w:uiPriority w:val="53"/>
    <w:qFormat/>
    <w:rsid w:val="0083260A"/>
    <w:pPr>
      <w:ind w:left="1497"/>
    </w:pPr>
  </w:style>
  <w:style w:type="paragraph" w:customStyle="1" w:styleId="ZTIRCYTzmcytatunpprzysigitiret">
    <w:name w:val="Z_TIR/CYT – zm. cytatu np. przysięgi tiret"/>
    <w:basedOn w:val="ZLITCYTzmcytatunpprzysigiliter"/>
    <w:next w:val="ZTIRUSTzmusttiret"/>
    <w:uiPriority w:val="61"/>
    <w:qFormat/>
    <w:rsid w:val="0083260A"/>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83260A"/>
    <w:pPr>
      <w:ind w:left="2291"/>
    </w:pPr>
  </w:style>
  <w:style w:type="paragraph" w:customStyle="1" w:styleId="ZZCYTzmianazmcytatunpprzysigi">
    <w:name w:val="ZZ/CYT – zmiana zm. cytatu np. przysięgi"/>
    <w:basedOn w:val="ZZFRAGzmianazmfragmentunpzdania"/>
    <w:next w:val="ZZUSTzmianazmust"/>
    <w:uiPriority w:val="71"/>
    <w:qFormat/>
    <w:rsid w:val="0083260A"/>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83260A"/>
    <w:pPr>
      <w:ind w:left="1780"/>
    </w:pPr>
  </w:style>
  <w:style w:type="table" w:styleId="Tabela-Siatka">
    <w:name w:val="Table Grid"/>
    <w:basedOn w:val="Standardowy"/>
    <w:locked/>
    <w:rsid w:val="0083260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83260A"/>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83260A"/>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83260A"/>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83260A"/>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83260A"/>
    <w:rPr>
      <w:color w:val="808080"/>
    </w:rPr>
  </w:style>
  <w:style w:type="paragraph" w:customStyle="1" w:styleId="OZNACZENIEPUNKTUWUCHWALESENACKIEJ">
    <w:name w:val="OZNACZENIE PUNKTU W UCHWALE SENACKIEJ"/>
    <w:basedOn w:val="Akapitzlist"/>
    <w:qFormat/>
    <w:rsid w:val="00BB44BB"/>
    <w:pPr>
      <w:numPr>
        <w:numId w:val="48"/>
      </w:numPr>
      <w:spacing w:before="480"/>
      <w:ind w:left="480"/>
    </w:pPr>
  </w:style>
  <w:style w:type="paragraph" w:styleId="Akapitzlist">
    <w:name w:val="List Paragraph"/>
    <w:basedOn w:val="Normalny"/>
    <w:uiPriority w:val="99"/>
    <w:semiHidden/>
    <w:rsid w:val="0083260A"/>
    <w:pPr>
      <w:ind w:left="720"/>
      <w:contextualSpacing/>
    </w:pPr>
  </w:style>
  <w:style w:type="paragraph" w:customStyle="1" w:styleId="TREPUNKTUWUCHWALESENACKIEJ">
    <w:name w:val="TREŚĆ PUNKTU W UCHWALE SENACKIEJ"/>
    <w:basedOn w:val="Normalny"/>
    <w:qFormat/>
    <w:rsid w:val="0083260A"/>
    <w:pPr>
      <w:spacing w:before="480"/>
    </w:pPr>
  </w:style>
  <w:style w:type="paragraph" w:customStyle="1" w:styleId="LITERAWUCHWALESENACKIEJ">
    <w:name w:val="LITERA W UCHWALE SENACKIEJ"/>
    <w:basedOn w:val="Normalny"/>
    <w:qFormat/>
    <w:rsid w:val="0083260A"/>
    <w:pPr>
      <w:ind w:left="284" w:hanging="284"/>
    </w:pPr>
  </w:style>
  <w:style w:type="paragraph" w:customStyle="1" w:styleId="TIRETWUCHWALESENACKIEJ">
    <w:name w:val="TIRET W UCHWALE SENACKIEJ"/>
    <w:basedOn w:val="LITERAWUCHWALESENACKIEJ"/>
    <w:qFormat/>
    <w:rsid w:val="0083260A"/>
    <w:pPr>
      <w:ind w:left="568"/>
    </w:pPr>
  </w:style>
  <w:style w:type="paragraph" w:customStyle="1" w:styleId="AUTORPOPRAWKIZAMIESZCZONEJWZESTAWIENIUWNIOSKW">
    <w:name w:val="AUTOR POPRAWKI ZAMIESZCZONEJ  W ZESTAWIENIU WNIOSKÓW"/>
    <w:basedOn w:val="Normalny"/>
    <w:qFormat/>
    <w:rsid w:val="00F51B12"/>
    <w:pPr>
      <w:widowControl/>
      <w:autoSpaceDE/>
      <w:autoSpaceDN/>
      <w:adjustRightInd/>
      <w:spacing w:before="480" w:line="240" w:lineRule="auto"/>
      <w:contextualSpacing/>
      <w:jc w:val="left"/>
    </w:pPr>
    <w:rPr>
      <w:sz w:val="20"/>
    </w:rPr>
  </w:style>
  <w:style w:type="paragraph" w:customStyle="1" w:styleId="POPIERAJCYPOPRAWKZAMIESZCZONWZESTAWIENIUWNIOSKW">
    <w:name w:val="POPIERAJĄCY POPRAWKĘ ZAMIESZCZONĄ W ZESTAWIENIU WNIOSKÓW"/>
    <w:basedOn w:val="AUTORPOPRAWKIZAMIESZCZONEJWZESTAWIENIUWNIOSKW"/>
    <w:qFormat/>
    <w:rsid w:val="00DF02B8"/>
    <w:pPr>
      <w:spacing w:before="0"/>
    </w:pPr>
  </w:style>
  <w:style w:type="paragraph" w:customStyle="1" w:styleId="OZNACZENIEWNIOSKUWZESTAWIENIU">
    <w:name w:val="OZNACZENIE WNIOSKU W ZESTAWIENIU"/>
    <w:basedOn w:val="OZNACZENIEPUNKTUWUCHWALESENACKIEJ"/>
    <w:qFormat/>
    <w:rsid w:val="00BB44BB"/>
    <w:pPr>
      <w:ind w:left="0" w:firstLine="0"/>
    </w:pPr>
  </w:style>
  <w:style w:type="character" w:customStyle="1" w:styleId="PKTpunktZnak">
    <w:name w:val="PKT – punkt Znak"/>
    <w:basedOn w:val="Domylnaczcionkaakapitu"/>
    <w:link w:val="PKTpunkt"/>
    <w:uiPriority w:val="16"/>
    <w:locked/>
    <w:rsid w:val="003B3509"/>
    <w:rPr>
      <w:rFonts w:eastAsiaTheme="minorEastAsia" w:cs="Arial"/>
      <w:bCs/>
      <w:szCs w:val="20"/>
    </w:rPr>
  </w:style>
  <w:style w:type="character" w:customStyle="1" w:styleId="ZPKTzmpktartykuempunktemZnak">
    <w:name w:val="Z/PKT – zm. pkt artykułem (punktem) Znak"/>
    <w:basedOn w:val="PKTpunktZnak"/>
    <w:link w:val="ZPKTzmpktartykuempunktem"/>
    <w:uiPriority w:val="33"/>
    <w:rsid w:val="003B3509"/>
    <w:rPr>
      <w:rFonts w:eastAsiaTheme="minorEastAsia" w:cs="Arial"/>
      <w:bCs/>
      <w:szCs w:val="20"/>
    </w:rPr>
  </w:style>
  <w:style w:type="paragraph" w:customStyle="1" w:styleId="CZWSPLNALITERWUCHWALESENACKIEJ">
    <w:name w:val="CZĘŚĆ WSPÓLNA LITER W UCHWALE SENACKIEJ"/>
    <w:basedOn w:val="LITERAWUCHWALESENACKIEJ"/>
    <w:qFormat/>
    <w:rsid w:val="003B3509"/>
    <w:pPr>
      <w:ind w:left="0" w:firstLine="0"/>
    </w:pPr>
  </w:style>
  <w:style w:type="paragraph" w:customStyle="1" w:styleId="PODWJNETIRETWUCHWALESENACKIEJ">
    <w:name w:val="PODWÓJNE TIRET W UCHWALE SENACKIEJ"/>
    <w:basedOn w:val="Normalny"/>
    <w:qFormat/>
    <w:rsid w:val="00E24D9C"/>
    <w:pPr>
      <w:ind w:left="968" w:hanging="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046096">
      <w:bodyDiv w:val="1"/>
      <w:marLeft w:val="0"/>
      <w:marRight w:val="0"/>
      <w:marTop w:val="0"/>
      <w:marBottom w:val="0"/>
      <w:divBdr>
        <w:top w:val="none" w:sz="0" w:space="0" w:color="auto"/>
        <w:left w:val="none" w:sz="0" w:space="0" w:color="auto"/>
        <w:bottom w:val="none" w:sz="0" w:space="0" w:color="auto"/>
        <w:right w:val="none" w:sz="0" w:space="0" w:color="auto"/>
      </w:divBdr>
    </w:div>
    <w:div w:id="128642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4DE4C1-A29F-4728-96D8-19B8377CA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851</Words>
  <Characters>4745</Characters>
  <Application>Microsoft Office Word</Application>
  <DocSecurity>0</DocSecurity>
  <Lines>39</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Krzysztof Madej</dc:creator>
  <cp:lastModifiedBy>Schubert Jacek</cp:lastModifiedBy>
  <cp:revision>3</cp:revision>
  <cp:lastPrinted>2025-02-12T17:37:00Z</cp:lastPrinted>
  <dcterms:created xsi:type="dcterms:W3CDTF">2025-02-12T17:40:00Z</dcterms:created>
  <dcterms:modified xsi:type="dcterms:W3CDTF">2025-02-13T06:39:00Z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