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03A5" w14:textId="77777777" w:rsidR="003C6D47" w:rsidRDefault="005365B5">
      <w:pPr>
        <w:pStyle w:val="OZNPROJEKTUwskazaniedatylubwersjiprojektu"/>
      </w:pPr>
      <w:r>
        <w:t>Projekt</w:t>
      </w:r>
    </w:p>
    <w:p w14:paraId="1014BC1C" w14:textId="77777777" w:rsidR="003C6D47" w:rsidRDefault="003C6D47" w:rsidP="0054469E">
      <w:pPr>
        <w:pStyle w:val="OZNRODZAKTUtznustawalubrozporzdzenieiorganwydajcy"/>
        <w:jc w:val="left"/>
      </w:pPr>
    </w:p>
    <w:p w14:paraId="06814A01" w14:textId="77777777" w:rsidR="003C6D47" w:rsidRDefault="005365B5">
      <w:pPr>
        <w:pStyle w:val="OZNRODZAKTUtznustawalubrozporzdzenieiorganwydajcy"/>
      </w:pPr>
      <w:r>
        <w:rPr>
          <w:lang w:val="de-DE"/>
        </w:rPr>
        <w:t>Uchwa</w:t>
      </w:r>
      <w:r>
        <w:t xml:space="preserve">ła </w:t>
      </w:r>
    </w:p>
    <w:p w14:paraId="2900B4F3" w14:textId="77777777" w:rsidR="003C6D47" w:rsidRDefault="005365B5">
      <w:pPr>
        <w:pStyle w:val="OZNRODZAKTUtznustawalubrozporzdzenieiorganwydajcy"/>
      </w:pPr>
      <w:r>
        <w:t>Sejmu rzeczypospolitej polskiej</w:t>
      </w:r>
    </w:p>
    <w:p w14:paraId="1B2A84AE" w14:textId="77777777" w:rsidR="003C6D47" w:rsidRDefault="005365B5">
      <w:pPr>
        <w:pStyle w:val="DATAAKTUdatauchwalenialubwydaniaaktu"/>
      </w:pPr>
      <w:r>
        <w:t>z dnia                2025 r.</w:t>
      </w:r>
    </w:p>
    <w:p w14:paraId="4930B5BE" w14:textId="77777777" w:rsidR="003C6D47" w:rsidRDefault="005365B5">
      <w:pPr>
        <w:pStyle w:val="DATAAKTUdatauchwalenialubwydaniaaktu"/>
        <w:rPr>
          <w:rStyle w:val="Ppogrubienie"/>
        </w:rPr>
      </w:pPr>
      <w:bookmarkStart w:id="0" w:name="_Hlk188366611"/>
      <w:r>
        <w:rPr>
          <w:rStyle w:val="Ppogrubienie"/>
        </w:rPr>
        <w:t>w sprawie zmiany Regulaminu Sejmu Rzeczypospolitej Polskiej</w:t>
      </w:r>
      <w:bookmarkEnd w:id="0"/>
    </w:p>
    <w:p w14:paraId="6CB90C24" w14:textId="77777777" w:rsidR="003C6D47" w:rsidRDefault="003C6D47">
      <w:pPr>
        <w:pStyle w:val="TYTUAKTUprzedmiotregulacjiustawylubrozporzdzenia"/>
      </w:pPr>
    </w:p>
    <w:p w14:paraId="1213C448" w14:textId="3146783F" w:rsidR="003C6D47" w:rsidRDefault="005365B5">
      <w:pPr>
        <w:pStyle w:val="ARTartustawynprozporzdzenia"/>
      </w:pPr>
      <w:r>
        <w:rPr>
          <w:rStyle w:val="Ppogrubienie"/>
        </w:rPr>
        <w:t>Art. 1.</w:t>
      </w:r>
      <w:r>
        <w:t xml:space="preserve"> W uchwale Sejmu Rzeczypospolitej Polskiej z dnia 30 lipca 1992 r. </w:t>
      </w:r>
      <w:r>
        <w:br/>
        <w:t xml:space="preserve">– Regulamin Sejmu Rzeczypospolitej Polskiej (M.P. z 2022 r. poz. 990,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  <w:rFonts w:eastAsia="Times New Roman" w:cs="Times New Roman"/>
        </w:rPr>
        <w:footnoteReference w:id="2"/>
      </w:r>
      <w:r>
        <w:t>) wprowadza się następujące zmiany:</w:t>
      </w:r>
    </w:p>
    <w:p w14:paraId="1B5DB3BC" w14:textId="77777777" w:rsidR="003C6D47" w:rsidRDefault="003C6D47">
      <w:pPr>
        <w:pStyle w:val="PKTpunkt"/>
      </w:pPr>
    </w:p>
    <w:p w14:paraId="74C4E1E6" w14:textId="77777777" w:rsidR="003C6D47" w:rsidRDefault="005365B5">
      <w:pPr>
        <w:pStyle w:val="PKTpunkt"/>
      </w:pPr>
      <w:r>
        <w:rPr>
          <w:rFonts w:eastAsia="Arial Unicode MS" w:cs="Arial Unicode MS"/>
        </w:rPr>
        <w:t>1) w art. 18 w ust. 1 pkt 11 otrzymuje brzmienie:</w:t>
      </w:r>
    </w:p>
    <w:p w14:paraId="401B3402" w14:textId="751448DC" w:rsidR="003C6D47" w:rsidRPr="00ED233B" w:rsidRDefault="005365B5">
      <w:pPr>
        <w:pStyle w:val="ZLITPKTzmpktliter"/>
        <w:rPr>
          <w:color w:val="auto"/>
        </w:rPr>
      </w:pPr>
      <w:r>
        <w:t>„</w:t>
      </w:r>
      <w:r w:rsidRPr="00ED233B">
        <w:rPr>
          <w:color w:val="auto"/>
        </w:rPr>
        <w:t xml:space="preserve">11) Kultury, Dziedzictwa Narodowego i </w:t>
      </w:r>
      <w:proofErr w:type="spellStart"/>
      <w:r w:rsidRPr="00ED233B">
        <w:rPr>
          <w:color w:val="auto"/>
        </w:rPr>
        <w:t>Środk</w:t>
      </w:r>
      <w:r w:rsidRPr="00ED233B">
        <w:rPr>
          <w:color w:val="auto"/>
          <w:lang w:val="es-ES_tradnl"/>
        </w:rPr>
        <w:t>ó</w:t>
      </w:r>
      <w:proofErr w:type="spellEnd"/>
      <w:r w:rsidRPr="00ED233B">
        <w:rPr>
          <w:color w:val="auto"/>
        </w:rPr>
        <w:t>w Przekazu</w:t>
      </w:r>
      <w:r w:rsidR="00ED233B" w:rsidRPr="00ED233B">
        <w:rPr>
          <w:color w:val="auto"/>
        </w:rPr>
        <w:t>,</w:t>
      </w:r>
      <w:r w:rsidRPr="00ED233B">
        <w:rPr>
          <w:color w:val="auto"/>
        </w:rPr>
        <w:t>”;</w:t>
      </w:r>
    </w:p>
    <w:p w14:paraId="6EA70984" w14:textId="77777777" w:rsidR="003C6D47" w:rsidRDefault="005365B5">
      <w:pPr>
        <w:pStyle w:val="ZLITPKTzmpktliter"/>
        <w:ind w:left="0" w:firstLine="0"/>
      </w:pPr>
      <w:r>
        <w:t>2) w art. 33a:</w:t>
      </w:r>
    </w:p>
    <w:p w14:paraId="1924F029" w14:textId="732AF4D6" w:rsidR="003C6D47" w:rsidRPr="00ED233B" w:rsidRDefault="005365B5">
      <w:pPr>
        <w:pStyle w:val="ZLITPKTzmpktliter"/>
        <w:ind w:left="510" w:firstLine="0"/>
        <w:rPr>
          <w:color w:val="auto"/>
        </w:rPr>
      </w:pPr>
      <w:r>
        <w:t xml:space="preserve">a) w ust. 2 wyrazy „Kultury i </w:t>
      </w:r>
      <w:proofErr w:type="spellStart"/>
      <w:r>
        <w:t>Środk</w:t>
      </w:r>
      <w:r>
        <w:rPr>
          <w:lang w:val="es-ES_tradnl"/>
        </w:rPr>
        <w:t>ó</w:t>
      </w:r>
      <w:proofErr w:type="spellEnd"/>
      <w:r>
        <w:t xml:space="preserve">w Przekazu” zastępuje się wyrazami </w:t>
      </w:r>
      <w:bookmarkStart w:id="1" w:name="_Hlk187397838"/>
      <w:r>
        <w:t>„</w:t>
      </w:r>
      <w:r w:rsidRPr="00ED233B">
        <w:rPr>
          <w:color w:val="auto"/>
        </w:rPr>
        <w:t xml:space="preserve">Kultury, Dziedzictwa Narodowego i </w:t>
      </w:r>
      <w:proofErr w:type="spellStart"/>
      <w:r w:rsidRPr="00ED233B">
        <w:rPr>
          <w:color w:val="auto"/>
        </w:rPr>
        <w:t>Środk</w:t>
      </w:r>
      <w:r w:rsidRPr="00ED233B">
        <w:rPr>
          <w:color w:val="auto"/>
          <w:lang w:val="es-ES_tradnl"/>
        </w:rPr>
        <w:t>ó</w:t>
      </w:r>
      <w:proofErr w:type="spellEnd"/>
      <w:r w:rsidRPr="00ED233B">
        <w:rPr>
          <w:color w:val="auto"/>
        </w:rPr>
        <w:t>w Przekazu</w:t>
      </w:r>
      <w:r w:rsidR="00ED233B" w:rsidRPr="00ED233B">
        <w:rPr>
          <w:color w:val="auto"/>
        </w:rPr>
        <w:t>.</w:t>
      </w:r>
      <w:r w:rsidRPr="00ED233B">
        <w:rPr>
          <w:color w:val="auto"/>
        </w:rPr>
        <w:t>”,</w:t>
      </w:r>
      <w:bookmarkEnd w:id="1"/>
    </w:p>
    <w:p w14:paraId="391E1B41" w14:textId="51FF9B0B" w:rsidR="003C6D47" w:rsidRPr="00ED233B" w:rsidRDefault="005365B5">
      <w:pPr>
        <w:pStyle w:val="ZLITPKTzmpktliter"/>
        <w:ind w:left="510" w:firstLine="0"/>
        <w:rPr>
          <w:color w:val="auto"/>
        </w:rPr>
      </w:pPr>
      <w:r w:rsidRPr="00ED233B">
        <w:rPr>
          <w:color w:val="auto"/>
        </w:rPr>
        <w:t xml:space="preserve">b) w ust. 3 wyrazy „Kultury i </w:t>
      </w:r>
      <w:proofErr w:type="spellStart"/>
      <w:r w:rsidRPr="00ED233B">
        <w:rPr>
          <w:color w:val="auto"/>
        </w:rPr>
        <w:t>Środk</w:t>
      </w:r>
      <w:r w:rsidRPr="00ED233B">
        <w:rPr>
          <w:color w:val="auto"/>
          <w:lang w:val="es-ES_tradnl"/>
        </w:rPr>
        <w:t>ó</w:t>
      </w:r>
      <w:proofErr w:type="spellEnd"/>
      <w:r w:rsidRPr="00ED233B">
        <w:rPr>
          <w:color w:val="auto"/>
        </w:rPr>
        <w:t xml:space="preserve">w Przekazu” zastępuje się wyrazami „Kultury, Dziedzictwa Narodowego i </w:t>
      </w:r>
      <w:proofErr w:type="spellStart"/>
      <w:r w:rsidRPr="00ED233B">
        <w:rPr>
          <w:color w:val="auto"/>
        </w:rPr>
        <w:t>Środk</w:t>
      </w:r>
      <w:r w:rsidRPr="00ED233B">
        <w:rPr>
          <w:color w:val="auto"/>
          <w:lang w:val="es-ES_tradnl"/>
        </w:rPr>
        <w:t>ó</w:t>
      </w:r>
      <w:proofErr w:type="spellEnd"/>
      <w:r w:rsidRPr="00ED233B">
        <w:rPr>
          <w:color w:val="auto"/>
        </w:rPr>
        <w:t>w Przekazu</w:t>
      </w:r>
      <w:r w:rsidR="00ED233B" w:rsidRPr="00ED233B">
        <w:rPr>
          <w:color w:val="auto"/>
        </w:rPr>
        <w:t>.</w:t>
      </w:r>
      <w:r w:rsidRPr="00ED233B">
        <w:rPr>
          <w:color w:val="auto"/>
        </w:rPr>
        <w:t>”,</w:t>
      </w:r>
    </w:p>
    <w:p w14:paraId="53085598" w14:textId="55EBE503" w:rsidR="003C6D47" w:rsidRPr="00ED233B" w:rsidRDefault="005365B5">
      <w:pPr>
        <w:pStyle w:val="ZLITPKTzmpktliter"/>
        <w:ind w:left="510" w:firstLine="0"/>
        <w:rPr>
          <w:color w:val="auto"/>
        </w:rPr>
      </w:pPr>
      <w:r w:rsidRPr="00ED233B">
        <w:rPr>
          <w:color w:val="auto"/>
        </w:rPr>
        <w:t xml:space="preserve">c) w ust. 4 w pkt 2 wyrazy „Kultury i </w:t>
      </w:r>
      <w:proofErr w:type="spellStart"/>
      <w:r w:rsidRPr="00ED233B">
        <w:rPr>
          <w:color w:val="auto"/>
        </w:rPr>
        <w:t>Środk</w:t>
      </w:r>
      <w:r w:rsidRPr="00ED233B">
        <w:rPr>
          <w:color w:val="auto"/>
          <w:lang w:val="es-ES_tradnl"/>
        </w:rPr>
        <w:t>ó</w:t>
      </w:r>
      <w:proofErr w:type="spellEnd"/>
      <w:r w:rsidRPr="00ED233B">
        <w:rPr>
          <w:color w:val="auto"/>
        </w:rPr>
        <w:t xml:space="preserve">w Przekazu” zastępuje się wyrazami „Kultury, Dziedzictwa Narodowego i </w:t>
      </w:r>
      <w:proofErr w:type="spellStart"/>
      <w:r w:rsidRPr="00ED233B">
        <w:rPr>
          <w:color w:val="auto"/>
        </w:rPr>
        <w:t>Środk</w:t>
      </w:r>
      <w:r w:rsidRPr="00ED233B">
        <w:rPr>
          <w:color w:val="auto"/>
          <w:lang w:val="es-ES_tradnl"/>
        </w:rPr>
        <w:t>ó</w:t>
      </w:r>
      <w:proofErr w:type="spellEnd"/>
      <w:r w:rsidRPr="00ED233B">
        <w:rPr>
          <w:color w:val="auto"/>
        </w:rPr>
        <w:t>w Przekazu”;</w:t>
      </w:r>
    </w:p>
    <w:p w14:paraId="01C87EEA" w14:textId="3C63F4B5" w:rsidR="003C6D47" w:rsidRDefault="005365B5">
      <w:pPr>
        <w:pStyle w:val="PKTpunkt"/>
      </w:pPr>
      <w:r>
        <w:rPr>
          <w:rFonts w:eastAsia="Arial Unicode MS" w:cs="Arial Unicode MS"/>
        </w:rPr>
        <w:t xml:space="preserve">3) w załączniku </w:t>
      </w:r>
      <w:r w:rsidR="00ED233B">
        <w:rPr>
          <w:rFonts w:eastAsia="Arial Unicode MS" w:cs="Arial Unicode MS"/>
        </w:rPr>
        <w:t xml:space="preserve">do uchwały </w:t>
      </w:r>
      <w:r>
        <w:rPr>
          <w:rFonts w:eastAsia="Arial Unicode MS" w:cs="Arial Unicode MS"/>
        </w:rPr>
        <w:t>pkt 11 otrzymuje brzmienie:</w:t>
      </w:r>
    </w:p>
    <w:p w14:paraId="00EB5E40" w14:textId="3F879D44" w:rsidR="003C6D47" w:rsidRDefault="005365B5" w:rsidP="00ED233B">
      <w:pPr>
        <w:pStyle w:val="PKTpunkt"/>
        <w:ind w:left="1020" w:firstLine="0"/>
      </w:pPr>
      <w:r>
        <w:t xml:space="preserve">„11) </w:t>
      </w:r>
      <w:r w:rsidR="00ED233B">
        <w:rPr>
          <w:color w:val="auto"/>
        </w:rPr>
        <w:t>„</w:t>
      </w:r>
      <w:r>
        <w:t xml:space="preserve">Kultury, Dziedzictwa Narodowego i </w:t>
      </w:r>
      <w:proofErr w:type="spellStart"/>
      <w:r>
        <w:t>Środk</w:t>
      </w:r>
      <w:r>
        <w:rPr>
          <w:lang w:val="es-ES_tradnl"/>
        </w:rPr>
        <w:t>ó</w:t>
      </w:r>
      <w:proofErr w:type="spellEnd"/>
      <w:r>
        <w:t xml:space="preserve">w Przekazu” należą sprawy polityki kulturalnej, </w:t>
      </w:r>
      <w:r w:rsidRPr="00ED233B">
        <w:rPr>
          <w:color w:val="auto"/>
        </w:rPr>
        <w:t xml:space="preserve">historycznej oraz </w:t>
      </w:r>
      <w:r>
        <w:t xml:space="preserve">informacyjnej państwa, w tym rozwoju kultury i sztuki, </w:t>
      </w:r>
      <w:proofErr w:type="spellStart"/>
      <w:r>
        <w:t>tw</w:t>
      </w:r>
      <w:r>
        <w:rPr>
          <w:lang w:val="es-ES_tradnl"/>
        </w:rPr>
        <w:t>ó</w:t>
      </w:r>
      <w:r>
        <w:t>rczości</w:t>
      </w:r>
      <w:proofErr w:type="spellEnd"/>
      <w:r>
        <w:t>, upowszechniania kultury, ochrony dziedzictwa kulturalnego, prasy, radia i telewizji, wydawnictw, społecznego ruchu kulturalnego, współpracy kulturalnej z zagranicą oraz ochrony dziedzictwa narodowego;”.</w:t>
      </w:r>
    </w:p>
    <w:p w14:paraId="269E7064" w14:textId="77777777" w:rsidR="00ED233B" w:rsidRDefault="00ED233B" w:rsidP="00ED233B">
      <w:pPr>
        <w:pStyle w:val="PKTpunkt"/>
        <w:ind w:left="1020" w:firstLine="0"/>
      </w:pPr>
    </w:p>
    <w:p w14:paraId="608B6C5E" w14:textId="77777777" w:rsidR="003C6D47" w:rsidRDefault="005365B5">
      <w:pPr>
        <w:pStyle w:val="ARTartustawynprozporzdzenia"/>
        <w:rPr>
          <w:rStyle w:val="Teksttreci"/>
        </w:rPr>
      </w:pPr>
      <w:r>
        <w:rPr>
          <w:rStyle w:val="Ppogrubienie"/>
        </w:rPr>
        <w:t>Art. 2.</w:t>
      </w:r>
      <w:r>
        <w:rPr>
          <w:rStyle w:val="Teksttreci"/>
        </w:rPr>
        <w:t xml:space="preserve"> Uchwała wchodzi w życie z dniem </w:t>
      </w:r>
      <w:proofErr w:type="spellStart"/>
      <w:r>
        <w:rPr>
          <w:rStyle w:val="Teksttreci"/>
        </w:rPr>
        <w:t>podję</w:t>
      </w:r>
      <w:proofErr w:type="spellEnd"/>
      <w:r>
        <w:rPr>
          <w:rStyle w:val="Teksttreci"/>
          <w:lang w:val="it-IT"/>
        </w:rPr>
        <w:t>cia.</w:t>
      </w:r>
    </w:p>
    <w:p w14:paraId="5FC94CC2" w14:textId="77777777" w:rsidR="003C6D47" w:rsidRDefault="003C6D47">
      <w:pPr>
        <w:pStyle w:val="ARTartustawynprozporzdzenia"/>
        <w:rPr>
          <w:rStyle w:val="Teksttreci"/>
        </w:rPr>
      </w:pPr>
    </w:p>
    <w:p w14:paraId="4892A17E" w14:textId="77777777" w:rsidR="003C6D47" w:rsidRDefault="005365B5">
      <w:pPr>
        <w:pStyle w:val="Teksttreci0"/>
        <w:spacing w:line="360" w:lineRule="auto"/>
        <w:jc w:val="center"/>
        <w:rPr>
          <w:rStyle w:val="Ppogrubienie"/>
        </w:rPr>
      </w:pPr>
      <w:r>
        <w:rPr>
          <w:rStyle w:val="Ppogrubienie"/>
        </w:rPr>
        <w:lastRenderedPageBreak/>
        <w:t>UZASADNIENIE</w:t>
      </w:r>
    </w:p>
    <w:p w14:paraId="3C4A31A5" w14:textId="77777777" w:rsidR="003C6D47" w:rsidRDefault="003C6D47">
      <w:pPr>
        <w:pStyle w:val="Teksttreci0"/>
        <w:spacing w:line="360" w:lineRule="auto"/>
        <w:jc w:val="center"/>
        <w:rPr>
          <w:b/>
          <w:bCs/>
        </w:rPr>
      </w:pPr>
    </w:p>
    <w:p w14:paraId="53BC7797" w14:textId="00BDA02E" w:rsidR="0054469E" w:rsidRDefault="0054469E">
      <w:pPr>
        <w:pStyle w:val="Teksttreci0"/>
        <w:spacing w:line="360" w:lineRule="auto"/>
        <w:jc w:val="both"/>
        <w:rPr>
          <w:color w:val="auto"/>
        </w:rPr>
      </w:pPr>
      <w:bookmarkStart w:id="2" w:name="_Hlk188366768"/>
      <w:r w:rsidRPr="0054469E">
        <w:rPr>
          <w:color w:val="auto"/>
        </w:rPr>
        <w:t xml:space="preserve">Na wstępie należy zaznaczyć, że resort odpowiedzialny za szeroko pojętą kulturę od 1999 roku funkcjonuje pod nazwą </w:t>
      </w:r>
      <w:r>
        <w:rPr>
          <w:color w:val="auto"/>
        </w:rPr>
        <w:t>„</w:t>
      </w:r>
      <w:r w:rsidRPr="0054469E">
        <w:rPr>
          <w:color w:val="auto"/>
        </w:rPr>
        <w:t>Ministerstwo Kultury i Dziedzictwa Narodowego</w:t>
      </w:r>
      <w:r>
        <w:rPr>
          <w:color w:val="auto"/>
        </w:rPr>
        <w:t>”</w:t>
      </w:r>
      <w:r w:rsidRPr="0054469E">
        <w:rPr>
          <w:color w:val="auto"/>
        </w:rPr>
        <w:t xml:space="preserve">, </w:t>
      </w:r>
      <w:r>
        <w:rPr>
          <w:color w:val="auto"/>
        </w:rPr>
        <w:br/>
      </w:r>
      <w:r w:rsidRPr="0054469E">
        <w:rPr>
          <w:color w:val="auto"/>
        </w:rPr>
        <w:t>podkreśla</w:t>
      </w:r>
      <w:r>
        <w:rPr>
          <w:color w:val="auto"/>
        </w:rPr>
        <w:t>jącą</w:t>
      </w:r>
      <w:r w:rsidRPr="0054469E">
        <w:rPr>
          <w:color w:val="auto"/>
        </w:rPr>
        <w:t xml:space="preserve"> znaczenie ochrony i promocji dziedzictwa narodowego jako integralnej części polityki kulturalnej państwa. W związku z tym zasadnym wydaje się rozszerzenie nazwy Komisji Kultury i Środków Przekazu o element „dziedzictwa narodowego”, </w:t>
      </w:r>
      <w:r>
        <w:rPr>
          <w:color w:val="auto"/>
        </w:rPr>
        <w:br/>
        <w:t xml:space="preserve">aby </w:t>
      </w:r>
      <w:r w:rsidRPr="0054469E">
        <w:rPr>
          <w:color w:val="auto"/>
        </w:rPr>
        <w:t>lepiej odzwierciedla</w:t>
      </w:r>
      <w:r>
        <w:rPr>
          <w:color w:val="auto"/>
        </w:rPr>
        <w:t>ła</w:t>
      </w:r>
      <w:r w:rsidRPr="0054469E">
        <w:rPr>
          <w:color w:val="auto"/>
        </w:rPr>
        <w:t xml:space="preserve"> zakres jej działań oraz korespond</w:t>
      </w:r>
      <w:r>
        <w:rPr>
          <w:color w:val="auto"/>
        </w:rPr>
        <w:t>owała</w:t>
      </w:r>
      <w:r w:rsidRPr="0054469E">
        <w:rPr>
          <w:color w:val="auto"/>
        </w:rPr>
        <w:t xml:space="preserve"> z oficjalną nomenklaturą ministerialną.</w:t>
      </w:r>
    </w:p>
    <w:p w14:paraId="36757150" w14:textId="66833CB2" w:rsidR="003C6D47" w:rsidRDefault="00ED233B">
      <w:pPr>
        <w:pStyle w:val="Teksttreci0"/>
        <w:spacing w:line="360" w:lineRule="auto"/>
        <w:jc w:val="both"/>
        <w:rPr>
          <w:rStyle w:val="Teksttreci"/>
        </w:rPr>
      </w:pPr>
      <w:r w:rsidRPr="0054469E">
        <w:rPr>
          <w:color w:val="auto"/>
        </w:rPr>
        <w:t xml:space="preserve">Celem </w:t>
      </w:r>
      <w:r w:rsidR="005365B5">
        <w:rPr>
          <w:rStyle w:val="Teksttreci"/>
        </w:rPr>
        <w:t xml:space="preserve">projektowanej zmiany Regulaminu Sejmu jest rozszerzenie zakresu przedmiotowego sejmowej Komisji Kultury i </w:t>
      </w:r>
      <w:proofErr w:type="spellStart"/>
      <w:r w:rsidR="005365B5">
        <w:rPr>
          <w:rStyle w:val="Teksttreci"/>
        </w:rPr>
        <w:t>Środk</w:t>
      </w:r>
      <w:r w:rsidR="005365B5">
        <w:rPr>
          <w:rStyle w:val="Teksttreci"/>
          <w:lang w:val="es-ES_tradnl"/>
        </w:rPr>
        <w:t>ó</w:t>
      </w:r>
      <w:proofErr w:type="spellEnd"/>
      <w:r w:rsidR="005365B5">
        <w:rPr>
          <w:rStyle w:val="Teksttreci"/>
        </w:rPr>
        <w:t xml:space="preserve">w Przekazu o sprawy dotyczące ochrony dziedzictwa narodowego, tj. sprawy rozwoju i opieki nad materialnym </w:t>
      </w:r>
      <w:r w:rsidR="005365B5">
        <w:rPr>
          <w:rStyle w:val="Teksttreci"/>
        </w:rPr>
        <w:br/>
        <w:t xml:space="preserve">i niematerialnym dziedzictwem narodowym. Do spraw tych można zaliczyć </w:t>
      </w:r>
      <w:r w:rsidR="005365B5">
        <w:rPr>
          <w:rStyle w:val="Teksttreci"/>
        </w:rPr>
        <w:br/>
        <w:t xml:space="preserve">w </w:t>
      </w:r>
      <w:proofErr w:type="spellStart"/>
      <w:r w:rsidR="005365B5">
        <w:rPr>
          <w:rStyle w:val="Teksttreci"/>
        </w:rPr>
        <w:t>szczeg</w:t>
      </w:r>
      <w:r w:rsidR="005365B5">
        <w:rPr>
          <w:rStyle w:val="Teksttreci"/>
          <w:lang w:val="es-ES_tradnl"/>
        </w:rPr>
        <w:t>ó</w:t>
      </w:r>
      <w:r w:rsidR="005365B5">
        <w:rPr>
          <w:rStyle w:val="Teksttreci"/>
        </w:rPr>
        <w:t>lności</w:t>
      </w:r>
      <w:proofErr w:type="spellEnd"/>
      <w:r w:rsidR="005365B5">
        <w:rPr>
          <w:rStyle w:val="Teksttreci"/>
        </w:rPr>
        <w:t xml:space="preserve"> kwestie:</w:t>
      </w:r>
      <w:bookmarkEnd w:id="2"/>
    </w:p>
    <w:p w14:paraId="5288DBCF" w14:textId="77777777" w:rsidR="003C6D47" w:rsidRDefault="005365B5">
      <w:pPr>
        <w:pStyle w:val="Teksttreci0"/>
        <w:spacing w:line="360" w:lineRule="auto"/>
        <w:ind w:firstLine="170"/>
        <w:jc w:val="both"/>
        <w:rPr>
          <w:rStyle w:val="Teksttreci"/>
        </w:rPr>
      </w:pPr>
      <w:r>
        <w:rPr>
          <w:rStyle w:val="Teksttreci"/>
        </w:rPr>
        <w:t xml:space="preserve">1) </w:t>
      </w:r>
      <w:bookmarkStart w:id="3" w:name="_Hlk188366876"/>
      <w:r>
        <w:rPr>
          <w:rStyle w:val="Teksttreci"/>
        </w:rPr>
        <w:t>podtrzymywania i rozpowszechniania tradycji narodowej i państwowej;</w:t>
      </w:r>
      <w:bookmarkEnd w:id="3"/>
    </w:p>
    <w:p w14:paraId="6765748E" w14:textId="77777777" w:rsidR="003C6D47" w:rsidRDefault="005365B5">
      <w:pPr>
        <w:pStyle w:val="Teksttreci0"/>
        <w:spacing w:line="360" w:lineRule="auto"/>
        <w:ind w:left="170"/>
        <w:jc w:val="both"/>
        <w:rPr>
          <w:rStyle w:val="Teksttreci"/>
        </w:rPr>
      </w:pPr>
      <w:r>
        <w:rPr>
          <w:rStyle w:val="Teksttreci"/>
        </w:rPr>
        <w:t xml:space="preserve">2) </w:t>
      </w:r>
      <w:bookmarkStart w:id="4" w:name="_Hlk188366893"/>
      <w:r>
        <w:rPr>
          <w:rStyle w:val="Teksttreci"/>
        </w:rPr>
        <w:t xml:space="preserve">upamiętnienia walk i męczeństwa, w tym miejsc pamięci narodowej, </w:t>
      </w:r>
      <w:proofErr w:type="spellStart"/>
      <w:r>
        <w:rPr>
          <w:rStyle w:val="Teksttreci"/>
        </w:rPr>
        <w:t>grob</w:t>
      </w:r>
      <w:r>
        <w:rPr>
          <w:rStyle w:val="Teksttreci"/>
          <w:lang w:val="es-ES_tradnl"/>
        </w:rPr>
        <w:t>ó</w:t>
      </w:r>
      <w:proofErr w:type="spellEnd"/>
      <w:r>
        <w:rPr>
          <w:rStyle w:val="Teksttreci"/>
        </w:rPr>
        <w:t xml:space="preserve">w </w:t>
      </w:r>
      <w:r>
        <w:rPr>
          <w:rStyle w:val="Teksttreci"/>
        </w:rPr>
        <w:br/>
        <w:t>i cmentarzy wojennych, pomnik</w:t>
      </w:r>
      <w:proofErr w:type="spellStart"/>
      <w:r>
        <w:rPr>
          <w:rStyle w:val="Teksttreci"/>
          <w:lang w:val="es-ES_tradnl"/>
        </w:rPr>
        <w:t>ó</w:t>
      </w:r>
      <w:proofErr w:type="spellEnd"/>
      <w:r>
        <w:rPr>
          <w:rStyle w:val="Teksttreci"/>
        </w:rPr>
        <w:t>w zagłady i ich stref ochronnych;</w:t>
      </w:r>
      <w:bookmarkEnd w:id="4"/>
    </w:p>
    <w:p w14:paraId="3A355C0E" w14:textId="77777777" w:rsidR="003C6D47" w:rsidRDefault="005365B5">
      <w:pPr>
        <w:pStyle w:val="Teksttreci0"/>
        <w:spacing w:line="360" w:lineRule="auto"/>
        <w:ind w:firstLine="170"/>
        <w:jc w:val="both"/>
        <w:rPr>
          <w:rStyle w:val="Teksttreci"/>
        </w:rPr>
      </w:pPr>
      <w:r>
        <w:rPr>
          <w:rStyle w:val="Teksttreci"/>
        </w:rPr>
        <w:t xml:space="preserve">3) </w:t>
      </w:r>
      <w:bookmarkStart w:id="5" w:name="_Hlk188366917"/>
      <w:r>
        <w:rPr>
          <w:rStyle w:val="Teksttreci"/>
        </w:rPr>
        <w:t>wydawnictw historycznych, księgarstwa, bibliotek i czytelnictwa;</w:t>
      </w:r>
      <w:bookmarkEnd w:id="5"/>
    </w:p>
    <w:p w14:paraId="2C195137" w14:textId="77777777" w:rsidR="003C6D47" w:rsidRDefault="005365B5">
      <w:pPr>
        <w:pStyle w:val="Teksttreci0"/>
        <w:spacing w:line="360" w:lineRule="auto"/>
        <w:ind w:firstLine="170"/>
        <w:jc w:val="both"/>
        <w:rPr>
          <w:rStyle w:val="Teksttreci"/>
        </w:rPr>
      </w:pPr>
      <w:r>
        <w:rPr>
          <w:rStyle w:val="Teksttreci"/>
        </w:rPr>
        <w:t xml:space="preserve">4) </w:t>
      </w:r>
      <w:bookmarkStart w:id="6" w:name="_Hlk188366924"/>
      <w:r>
        <w:rPr>
          <w:rStyle w:val="Teksttreci"/>
        </w:rPr>
        <w:t>edukacji narodowej;</w:t>
      </w:r>
      <w:bookmarkEnd w:id="6"/>
    </w:p>
    <w:p w14:paraId="624D736F" w14:textId="77777777" w:rsidR="003C6D47" w:rsidRDefault="005365B5">
      <w:pPr>
        <w:pStyle w:val="Teksttreci0"/>
        <w:spacing w:line="360" w:lineRule="auto"/>
        <w:ind w:firstLine="170"/>
        <w:jc w:val="both"/>
        <w:rPr>
          <w:rStyle w:val="Teksttreci"/>
        </w:rPr>
      </w:pPr>
      <w:r>
        <w:rPr>
          <w:rStyle w:val="Teksttreci"/>
        </w:rPr>
        <w:t xml:space="preserve">5) </w:t>
      </w:r>
      <w:bookmarkStart w:id="7" w:name="_Hlk188366932"/>
      <w:r>
        <w:rPr>
          <w:rStyle w:val="Teksttreci"/>
        </w:rPr>
        <w:t>badań historycznych;</w:t>
      </w:r>
      <w:bookmarkEnd w:id="7"/>
    </w:p>
    <w:p w14:paraId="50525BF7" w14:textId="77777777" w:rsidR="003C6D47" w:rsidRDefault="005365B5">
      <w:pPr>
        <w:pStyle w:val="Teksttreci0"/>
        <w:spacing w:line="360" w:lineRule="auto"/>
        <w:ind w:firstLine="170"/>
        <w:jc w:val="both"/>
        <w:rPr>
          <w:rStyle w:val="Teksttreci"/>
        </w:rPr>
      </w:pPr>
      <w:r>
        <w:rPr>
          <w:rStyle w:val="Teksttreci"/>
        </w:rPr>
        <w:t xml:space="preserve">5) </w:t>
      </w:r>
      <w:bookmarkStart w:id="8" w:name="_Hlk188366938"/>
      <w:r>
        <w:rPr>
          <w:rStyle w:val="Teksttreci"/>
        </w:rPr>
        <w:t>wystaw historycznych;</w:t>
      </w:r>
      <w:bookmarkEnd w:id="8"/>
    </w:p>
    <w:p w14:paraId="029EE920" w14:textId="77777777" w:rsidR="003C6D47" w:rsidRDefault="005365B5">
      <w:pPr>
        <w:pStyle w:val="Teksttreci0"/>
        <w:spacing w:line="360" w:lineRule="auto"/>
        <w:ind w:firstLine="170"/>
        <w:jc w:val="both"/>
        <w:rPr>
          <w:rStyle w:val="Teksttreci"/>
        </w:rPr>
      </w:pPr>
      <w:r>
        <w:rPr>
          <w:rStyle w:val="Teksttreci"/>
        </w:rPr>
        <w:t xml:space="preserve">6) </w:t>
      </w:r>
      <w:bookmarkStart w:id="9" w:name="_Hlk188366945"/>
      <w:proofErr w:type="spellStart"/>
      <w:r>
        <w:rPr>
          <w:rStyle w:val="Teksttreci"/>
        </w:rPr>
        <w:t>archiw</w:t>
      </w:r>
      <w:r>
        <w:rPr>
          <w:rStyle w:val="Teksttreci"/>
          <w:lang w:val="es-ES_tradnl"/>
        </w:rPr>
        <w:t>ó</w:t>
      </w:r>
      <w:proofErr w:type="spellEnd"/>
      <w:r>
        <w:rPr>
          <w:rStyle w:val="Teksttreci"/>
        </w:rPr>
        <w:t>w.</w:t>
      </w:r>
      <w:bookmarkEnd w:id="9"/>
    </w:p>
    <w:p w14:paraId="256234A9" w14:textId="77777777" w:rsidR="003C6D47" w:rsidRDefault="005365B5" w:rsidP="007363F5">
      <w:pPr>
        <w:pStyle w:val="Teksttreci0"/>
        <w:spacing w:line="360" w:lineRule="auto"/>
        <w:jc w:val="both"/>
        <w:rPr>
          <w:rStyle w:val="Teksttreci"/>
        </w:rPr>
      </w:pPr>
      <w:r>
        <w:rPr>
          <w:rStyle w:val="Teksttreci"/>
        </w:rPr>
        <w:t xml:space="preserve">Zmiana ta podyktowana jest dążeniem </w:t>
      </w:r>
      <w:proofErr w:type="spellStart"/>
      <w:r>
        <w:rPr>
          <w:rStyle w:val="Teksttreci"/>
        </w:rPr>
        <w:t>projektodawc</w:t>
      </w:r>
      <w:r>
        <w:rPr>
          <w:rStyle w:val="Teksttreci"/>
          <w:lang w:val="es-ES_tradnl"/>
        </w:rPr>
        <w:t>ó</w:t>
      </w:r>
      <w:proofErr w:type="spellEnd"/>
      <w:r>
        <w:rPr>
          <w:rStyle w:val="Teksttreci"/>
        </w:rPr>
        <w:t>w do przeciwdziałania upolitycznianiu i instrumentalnemu traktowaniu kwestii związanych z:</w:t>
      </w:r>
    </w:p>
    <w:p w14:paraId="438B0E8A" w14:textId="77777777" w:rsidR="003C6D47" w:rsidRDefault="005365B5">
      <w:pPr>
        <w:pStyle w:val="Teksttreci0"/>
        <w:spacing w:line="360" w:lineRule="auto"/>
        <w:jc w:val="both"/>
        <w:rPr>
          <w:rStyle w:val="Teksttreci"/>
        </w:rPr>
      </w:pPr>
      <w:r>
        <w:rPr>
          <w:rStyle w:val="Teksttreci"/>
        </w:rPr>
        <w:t xml:space="preserve">- zachowaniem pamięci o ogromie ofiar, strat i </w:t>
      </w:r>
      <w:proofErr w:type="spellStart"/>
      <w:r>
        <w:rPr>
          <w:rStyle w:val="Teksttreci"/>
        </w:rPr>
        <w:t>szk</w:t>
      </w:r>
      <w:r>
        <w:rPr>
          <w:rStyle w:val="Teksttreci"/>
          <w:lang w:val="es-ES_tradnl"/>
        </w:rPr>
        <w:t>ó</w:t>
      </w:r>
      <w:proofErr w:type="spellEnd"/>
      <w:r>
        <w:rPr>
          <w:rStyle w:val="Teksttreci"/>
        </w:rPr>
        <w:t xml:space="preserve">d poniesionych przez </w:t>
      </w:r>
      <w:proofErr w:type="spellStart"/>
      <w:r>
        <w:rPr>
          <w:rStyle w:val="Teksttreci"/>
        </w:rPr>
        <w:t>Nar</w:t>
      </w:r>
      <w:r>
        <w:rPr>
          <w:rStyle w:val="Teksttreci"/>
          <w:lang w:val="es-ES_tradnl"/>
        </w:rPr>
        <w:t>ó</w:t>
      </w:r>
      <w:proofErr w:type="spellEnd"/>
      <w:r>
        <w:rPr>
          <w:rStyle w:val="Teksttreci"/>
        </w:rPr>
        <w:t xml:space="preserve">d Polski </w:t>
      </w:r>
      <w:r>
        <w:rPr>
          <w:rStyle w:val="Teksttreci"/>
        </w:rPr>
        <w:br/>
        <w:t>w latach II wojny światowej i po jej zakończeniu,</w:t>
      </w:r>
    </w:p>
    <w:p w14:paraId="48B99821" w14:textId="77777777" w:rsidR="003C6D47" w:rsidRDefault="005365B5">
      <w:pPr>
        <w:pStyle w:val="Teksttreci0"/>
        <w:spacing w:line="360" w:lineRule="auto"/>
        <w:jc w:val="both"/>
        <w:rPr>
          <w:rStyle w:val="Teksttreci"/>
        </w:rPr>
      </w:pPr>
      <w:r>
        <w:rPr>
          <w:rStyle w:val="Teksttreci"/>
        </w:rPr>
        <w:t xml:space="preserve">– patriotyczną tradycją zmagań Narodu Polskiego z okupantami, nazizmem </w:t>
      </w:r>
      <w:r>
        <w:rPr>
          <w:rStyle w:val="Teksttreci"/>
        </w:rPr>
        <w:br/>
        <w:t>i komunizmem,</w:t>
      </w:r>
    </w:p>
    <w:p w14:paraId="130DF538" w14:textId="77777777" w:rsidR="003C6D47" w:rsidRDefault="005365B5">
      <w:pPr>
        <w:pStyle w:val="Teksttreci0"/>
        <w:spacing w:line="360" w:lineRule="auto"/>
        <w:jc w:val="both"/>
        <w:rPr>
          <w:rStyle w:val="Teksttreci"/>
        </w:rPr>
      </w:pPr>
      <w:r>
        <w:rPr>
          <w:rStyle w:val="Teksttreci"/>
        </w:rPr>
        <w:t xml:space="preserve">– czynami obywateli dokonywanymi na rzecz niepodległego bytu Państwa Polskiego </w:t>
      </w:r>
      <w:r>
        <w:rPr>
          <w:rStyle w:val="Teksttreci"/>
        </w:rPr>
        <w:br/>
        <w:t>i w obronie wolności oraz godności ludzkiej,</w:t>
      </w:r>
    </w:p>
    <w:p w14:paraId="198526E9" w14:textId="77777777" w:rsidR="003C6D47" w:rsidRDefault="005365B5">
      <w:pPr>
        <w:pStyle w:val="Teksttreci0"/>
        <w:spacing w:line="360" w:lineRule="auto"/>
        <w:jc w:val="both"/>
        <w:rPr>
          <w:rStyle w:val="Teksttreci"/>
        </w:rPr>
      </w:pPr>
      <w:r>
        <w:rPr>
          <w:rStyle w:val="Teksttreci"/>
        </w:rPr>
        <w:t>– obowiązkiem ścigania zbrodni przeciwko pokojowi, ludzkości i zbrodni wojennych,</w:t>
      </w:r>
    </w:p>
    <w:p w14:paraId="243269A6" w14:textId="77777777" w:rsidR="003C6D47" w:rsidRDefault="005365B5">
      <w:pPr>
        <w:pStyle w:val="Teksttreci0"/>
        <w:spacing w:line="360" w:lineRule="auto"/>
        <w:jc w:val="both"/>
        <w:rPr>
          <w:rStyle w:val="Teksttreci"/>
        </w:rPr>
      </w:pPr>
      <w:r>
        <w:rPr>
          <w:rStyle w:val="Teksttreci"/>
        </w:rPr>
        <w:t xml:space="preserve">– a także powinnością </w:t>
      </w:r>
      <w:proofErr w:type="spellStart"/>
      <w:r>
        <w:rPr>
          <w:rStyle w:val="Teksttreci"/>
          <w:lang w:val="es-ES_tradnl"/>
        </w:rPr>
        <w:t>zado</w:t>
      </w:r>
      <w:r>
        <w:rPr>
          <w:rStyle w:val="Teksttreci"/>
        </w:rPr>
        <w:t>śćuczynienia</w:t>
      </w:r>
      <w:proofErr w:type="spellEnd"/>
      <w:r>
        <w:rPr>
          <w:rStyle w:val="Teksttreci"/>
        </w:rPr>
        <w:t xml:space="preserve"> przez nasze państwo wszystkim pokrzywdzonym przez państwo łamiące prawa człowieka. </w:t>
      </w:r>
    </w:p>
    <w:p w14:paraId="3D0BD734" w14:textId="1D03F072" w:rsidR="003C6D47" w:rsidRPr="0054469E" w:rsidRDefault="0054469E" w:rsidP="0054469E">
      <w:pPr>
        <w:pStyle w:val="Teksttreci0"/>
        <w:spacing w:line="360" w:lineRule="auto"/>
        <w:jc w:val="both"/>
        <w:rPr>
          <w:color w:val="auto"/>
        </w:rPr>
      </w:pPr>
      <w:r>
        <w:rPr>
          <w:rStyle w:val="Teksttreci"/>
        </w:rPr>
        <w:lastRenderedPageBreak/>
        <w:t>W</w:t>
      </w:r>
      <w:r w:rsidR="005365B5">
        <w:rPr>
          <w:rStyle w:val="Teksttreci"/>
        </w:rPr>
        <w:t xml:space="preserve"> gestii przedmiotowej Komisji powinny znaleźć się zwłaszcza zagadnienia dotyczące działalności archiwalnej, edukacyjnej i wydawniczej Instytutu Pamięci Narodowej – Komisji Ścigania Zbrodni przeciwko Narodowi Polskiemu </w:t>
      </w:r>
      <w:r w:rsidR="005365B5" w:rsidRPr="0054469E">
        <w:rPr>
          <w:rStyle w:val="Teksttreci"/>
          <w:color w:val="auto"/>
        </w:rPr>
        <w:t xml:space="preserve">oraz </w:t>
      </w:r>
      <w:r w:rsidR="005365B5" w:rsidRPr="0054469E">
        <w:rPr>
          <w:color w:val="auto"/>
        </w:rPr>
        <w:t xml:space="preserve">Urzędu do Spraw Kombatantów i Osób Represjonowanych. </w:t>
      </w:r>
    </w:p>
    <w:p w14:paraId="0A4BADD3" w14:textId="248FEB1E" w:rsidR="003C6D47" w:rsidRDefault="005365B5" w:rsidP="0054469E">
      <w:pPr>
        <w:pStyle w:val="Teksttreci0"/>
        <w:spacing w:line="360" w:lineRule="auto"/>
        <w:jc w:val="both"/>
      </w:pPr>
      <w:bookmarkStart w:id="10" w:name="_Hlk188366970"/>
      <w:r>
        <w:rPr>
          <w:rStyle w:val="Teksttreci"/>
        </w:rPr>
        <w:t xml:space="preserve">Konsekwencją rozszerzenia zakresu przedmiotowego komisji jest zmiana jej nazwy z  „Kultury i </w:t>
      </w:r>
      <w:proofErr w:type="spellStart"/>
      <w:r>
        <w:rPr>
          <w:rStyle w:val="Teksttreci"/>
        </w:rPr>
        <w:t>Środk</w:t>
      </w:r>
      <w:r>
        <w:rPr>
          <w:rStyle w:val="Teksttreci"/>
          <w:lang w:val="es-ES_tradnl"/>
        </w:rPr>
        <w:t>ó</w:t>
      </w:r>
      <w:proofErr w:type="spellEnd"/>
      <w:r>
        <w:rPr>
          <w:rStyle w:val="Teksttreci"/>
        </w:rPr>
        <w:t xml:space="preserve">w Przekazu” na „Kultury, </w:t>
      </w:r>
      <w:r>
        <w:t xml:space="preserve">Dziedzictwa Narodowego i </w:t>
      </w:r>
      <w:proofErr w:type="spellStart"/>
      <w:r>
        <w:rPr>
          <w:rStyle w:val="Teksttreci"/>
        </w:rPr>
        <w:t>Środk</w:t>
      </w:r>
      <w:r>
        <w:rPr>
          <w:rStyle w:val="Teksttreci"/>
          <w:lang w:val="es-ES_tradnl"/>
        </w:rPr>
        <w:t>ó</w:t>
      </w:r>
      <w:proofErr w:type="spellEnd"/>
      <w:r>
        <w:rPr>
          <w:rStyle w:val="Teksttreci"/>
        </w:rPr>
        <w:t>w Przekazu”.</w:t>
      </w:r>
      <w:bookmarkEnd w:id="10"/>
      <w:r>
        <w:rPr>
          <w:rStyle w:val="Teksttreci"/>
        </w:rPr>
        <w:t xml:space="preserve"> </w:t>
      </w:r>
    </w:p>
    <w:sectPr w:rsidR="003C6D47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10" w:right="1654" w:bottom="1201" w:left="1664" w:header="426" w:footer="77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976C" w14:textId="77777777" w:rsidR="005365B5" w:rsidRDefault="005365B5">
      <w:r>
        <w:separator/>
      </w:r>
    </w:p>
  </w:endnote>
  <w:endnote w:type="continuationSeparator" w:id="0">
    <w:p w14:paraId="5611C0F5" w14:textId="77777777" w:rsidR="005365B5" w:rsidRDefault="0053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FF2D" w14:textId="77777777" w:rsidR="003C6D47" w:rsidRDefault="003C6D47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291B" w14:textId="77777777" w:rsidR="003C6D47" w:rsidRDefault="003C6D4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49D5" w14:textId="77777777" w:rsidR="003C6D47" w:rsidRDefault="005365B5">
      <w:r>
        <w:separator/>
      </w:r>
    </w:p>
  </w:footnote>
  <w:footnote w:type="continuationSeparator" w:id="0">
    <w:p w14:paraId="2F07022D" w14:textId="77777777" w:rsidR="003C6D47" w:rsidRDefault="005365B5">
      <w:r>
        <w:continuationSeparator/>
      </w:r>
    </w:p>
  </w:footnote>
  <w:footnote w:type="continuationNotice" w:id="1">
    <w:p w14:paraId="70C84C97" w14:textId="77777777" w:rsidR="003C6D47" w:rsidRDefault="003C6D47"/>
  </w:footnote>
  <w:footnote w:id="2">
    <w:p w14:paraId="1B3C0B0C" w14:textId="77777777" w:rsidR="003C6D47" w:rsidRDefault="005365B5">
      <w:pPr>
        <w:pStyle w:val="ODNONIKtreodnonika"/>
      </w:pPr>
      <w:r>
        <w:rPr>
          <w:rStyle w:val="Odwoanieprzypisudolnego"/>
        </w:rPr>
        <w:footnoteRef/>
      </w:r>
      <w:r>
        <w:rPr>
          <w:rStyle w:val="Odwoanieprzypisudolnego"/>
          <w:rFonts w:eastAsia="Arial Unicode MS" w:cs="Arial Unicode MS"/>
        </w:rPr>
        <w:t>)</w:t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ab/>
        <w:t>Zmiany tekstu jednolitego wymienionej uchwały został</w:t>
      </w:r>
      <w:r>
        <w:rPr>
          <w:rFonts w:eastAsia="Arial Unicode MS" w:cs="Arial Unicode MS"/>
          <w:lang w:val="da-DK"/>
        </w:rPr>
        <w:t>y og</w:t>
      </w:r>
      <w:r>
        <w:rPr>
          <w:rFonts w:eastAsia="Arial Unicode MS" w:cs="Arial Unicode MS"/>
        </w:rPr>
        <w:t>łoszone w M.P. z 2022 r. poz. 1092 i 1204, z 2023 r. poz. 273, 724 i 1360 oraz z 2024 r. poz. 570, 667 i 751.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4668" w14:textId="77777777" w:rsidR="003C6D47" w:rsidRDefault="003C6D47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6BCA" w14:textId="77777777" w:rsidR="003C6D47" w:rsidRDefault="003C6D47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7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47"/>
    <w:rsid w:val="0033724F"/>
    <w:rsid w:val="003C6D47"/>
    <w:rsid w:val="003F0725"/>
    <w:rsid w:val="005365B5"/>
    <w:rsid w:val="0054469E"/>
    <w:rsid w:val="007363F5"/>
    <w:rsid w:val="008D2F9B"/>
    <w:rsid w:val="00A97FAC"/>
    <w:rsid w:val="00ED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E8F9"/>
  <w15:docId w15:val="{0124A3F8-F767-420A-ACAD-27781B73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pPr>
      <w:widowControl w:val="0"/>
      <w:spacing w:line="360" w:lineRule="auto"/>
      <w:jc w:val="right"/>
    </w:pPr>
    <w:rPr>
      <w:rFonts w:cs="Arial Unicode MS"/>
      <w:color w:val="000000"/>
      <w:sz w:val="24"/>
      <w:szCs w:val="24"/>
      <w:u w:val="single" w:color="000000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pPr>
      <w:keepNext/>
      <w:widowControl w:val="0"/>
      <w:suppressAutoHyphens/>
      <w:spacing w:after="120" w:line="360" w:lineRule="auto"/>
      <w:jc w:val="center"/>
    </w:pPr>
    <w:rPr>
      <w:rFonts w:cs="Arial Unicode MS"/>
      <w:b/>
      <w:bCs/>
      <w:caps/>
      <w:color w:val="000000"/>
      <w:spacing w:val="53"/>
      <w:kern w:val="24"/>
      <w:sz w:val="24"/>
      <w:szCs w:val="24"/>
      <w:u w:color="000000"/>
    </w:rPr>
  </w:style>
  <w:style w:type="paragraph" w:customStyle="1" w:styleId="DATAAKTUdatauchwalenialubwydaniaaktu">
    <w:name w:val="DATA_AKTU – data uchwalenia lub wydania aktu"/>
    <w:next w:val="TYTUAKTUprzedmiotregulacjiustawylubrozporzdzenia"/>
    <w:pPr>
      <w:keepNext/>
      <w:widowControl w:val="0"/>
      <w:suppressAutoHyphens/>
      <w:spacing w:before="120" w:after="120" w:line="360" w:lineRule="auto"/>
      <w:jc w:val="center"/>
    </w:pPr>
    <w:rPr>
      <w:rFonts w:cs="Arial Unicode MS"/>
      <w:color w:val="000000"/>
      <w:sz w:val="24"/>
      <w:szCs w:val="24"/>
      <w:u w:color="00000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pPr>
      <w:keepNext/>
      <w:widowControl w:val="0"/>
      <w:suppressAutoHyphens/>
      <w:spacing w:before="120" w:after="360"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ARTartustawynprozporzdzenia">
    <w:name w:val="ART(§) – art. ustawy (§ np. rozporządzenia)"/>
    <w:pPr>
      <w:widowControl w:val="0"/>
      <w:suppressAutoHyphens/>
      <w:spacing w:before="120" w:line="360" w:lineRule="auto"/>
      <w:ind w:firstLine="510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Ppogrubienie">
    <w:name w:val="_P_ – pogrubienie"/>
    <w:rPr>
      <w:rFonts w:ascii="Times New Roman" w:hAnsi="Times New Roman"/>
      <w:b/>
      <w:bCs/>
    </w:rPr>
  </w:style>
  <w:style w:type="character" w:styleId="Odwoanieprzypisudolnego">
    <w:name w:val="footnote reference"/>
    <w:rPr>
      <w:vertAlign w:val="superscript"/>
    </w:rPr>
  </w:style>
  <w:style w:type="paragraph" w:customStyle="1" w:styleId="ODNONIKtreodnonika">
    <w:name w:val="ODNOŚNIK – treść odnośnika"/>
    <w:pPr>
      <w:widowControl w:val="0"/>
      <w:ind w:left="284" w:hanging="284"/>
      <w:jc w:val="both"/>
    </w:pPr>
    <w:rPr>
      <w:rFonts w:eastAsia="Times New Roman"/>
      <w:color w:val="000000"/>
      <w:u w:color="000000"/>
    </w:rPr>
  </w:style>
  <w:style w:type="paragraph" w:customStyle="1" w:styleId="PKTpunkt">
    <w:name w:val="PKT – punkt"/>
    <w:pPr>
      <w:widowControl w:val="0"/>
      <w:spacing w:line="360" w:lineRule="auto"/>
      <w:ind w:left="510" w:hanging="51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ZLITPKTzmpktliter">
    <w:name w:val="Z_LIT/PKT – zm. pkt literą"/>
    <w:pPr>
      <w:spacing w:line="360" w:lineRule="auto"/>
      <w:ind w:left="1497" w:hanging="510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Teksttreci">
    <w:name w:val="Tekst treści_"/>
    <w:rPr>
      <w:rFonts w:ascii="Times New Roman" w:hAnsi="Times New Roman"/>
    </w:rPr>
  </w:style>
  <w:style w:type="paragraph" w:customStyle="1" w:styleId="Teksttreci0">
    <w:name w:val="Tekst treści"/>
    <w:pPr>
      <w:widowControl w:val="0"/>
      <w:spacing w:after="4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527</Words>
  <Characters>3162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2025-02-05T10:27:00Z</cp:lastPrinted>
  <dcterms:created xsi:type="dcterms:W3CDTF">2025-02-05T10:05:00Z</dcterms:created>
  <dcterms:modified xsi:type="dcterms:W3CDTF">2025-02-05T10:27:00Z</dcterms:modified>
</cp:coreProperties>
</file>