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19FC" w14:textId="77777777" w:rsidR="00F248E5" w:rsidRPr="009A64BA" w:rsidRDefault="00AC6EE9" w:rsidP="009A64BA">
      <w:pPr>
        <w:pStyle w:val="Tekstpodstawowy"/>
        <w:spacing w:before="79"/>
        <w:ind w:left="141"/>
        <w:jc w:val="right"/>
        <w:rPr>
          <w:u w:val="single"/>
        </w:rPr>
      </w:pPr>
      <w:r w:rsidRPr="009A64BA">
        <w:rPr>
          <w:spacing w:val="-2"/>
          <w:u w:val="single"/>
        </w:rPr>
        <w:t>Projekt</w:t>
      </w:r>
    </w:p>
    <w:p w14:paraId="33D9E2C4" w14:textId="77777777" w:rsidR="00F248E5" w:rsidRPr="009A64BA" w:rsidRDefault="00F248E5">
      <w:pPr>
        <w:pStyle w:val="Tekstpodstawowy"/>
        <w:spacing w:before="89"/>
        <w:ind w:left="0"/>
        <w:jc w:val="left"/>
      </w:pPr>
    </w:p>
    <w:p w14:paraId="48DD4508" w14:textId="77777777" w:rsidR="00F248E5" w:rsidRPr="009A64BA" w:rsidRDefault="00AC6EE9">
      <w:pPr>
        <w:ind w:left="3009" w:right="3009"/>
        <w:jc w:val="center"/>
        <w:rPr>
          <w:b/>
          <w:sz w:val="24"/>
        </w:rPr>
      </w:pPr>
      <w:r w:rsidRPr="009A64BA">
        <w:rPr>
          <w:b/>
          <w:spacing w:val="-2"/>
          <w:sz w:val="24"/>
        </w:rPr>
        <w:t>Uchwała</w:t>
      </w:r>
    </w:p>
    <w:p w14:paraId="6BAE16D9" w14:textId="77777777" w:rsidR="00F248E5" w:rsidRPr="009A64BA" w:rsidRDefault="00AC6EE9">
      <w:pPr>
        <w:spacing w:before="180" w:line="400" w:lineRule="auto"/>
        <w:ind w:left="3009" w:right="3007"/>
        <w:jc w:val="center"/>
        <w:rPr>
          <w:b/>
          <w:sz w:val="24"/>
        </w:rPr>
      </w:pPr>
      <w:r w:rsidRPr="009A64BA">
        <w:rPr>
          <w:b/>
          <w:sz w:val="24"/>
        </w:rPr>
        <w:t>Sejmu</w:t>
      </w:r>
      <w:r w:rsidRPr="009A64BA">
        <w:rPr>
          <w:b/>
          <w:spacing w:val="-15"/>
          <w:sz w:val="24"/>
        </w:rPr>
        <w:t xml:space="preserve"> </w:t>
      </w:r>
      <w:r w:rsidRPr="009A64BA">
        <w:rPr>
          <w:b/>
          <w:sz w:val="24"/>
        </w:rPr>
        <w:t>Rzeczypospolitej</w:t>
      </w:r>
      <w:r w:rsidRPr="009A64BA">
        <w:rPr>
          <w:b/>
          <w:spacing w:val="-15"/>
          <w:sz w:val="24"/>
        </w:rPr>
        <w:t xml:space="preserve"> </w:t>
      </w:r>
      <w:r w:rsidRPr="009A64BA">
        <w:rPr>
          <w:b/>
          <w:sz w:val="24"/>
        </w:rPr>
        <w:t>Polskiej z dnia … 2025 r.</w:t>
      </w:r>
    </w:p>
    <w:p w14:paraId="10AF85F6" w14:textId="77777777" w:rsidR="00F248E5" w:rsidRPr="009A64BA" w:rsidRDefault="00AC6EE9">
      <w:pPr>
        <w:spacing w:line="259" w:lineRule="auto"/>
        <w:ind w:left="200" w:right="198"/>
        <w:jc w:val="center"/>
        <w:rPr>
          <w:b/>
          <w:sz w:val="24"/>
        </w:rPr>
      </w:pPr>
      <w:r w:rsidRPr="009A64BA">
        <w:rPr>
          <w:b/>
          <w:sz w:val="24"/>
        </w:rPr>
        <w:t>w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sprawie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niewprowadzania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w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życie</w:t>
      </w:r>
      <w:r w:rsidRPr="009A64BA">
        <w:rPr>
          <w:b/>
          <w:spacing w:val="-4"/>
          <w:sz w:val="24"/>
        </w:rPr>
        <w:t xml:space="preserve"> </w:t>
      </w:r>
      <w:r w:rsidRPr="009A64BA">
        <w:rPr>
          <w:b/>
          <w:sz w:val="24"/>
        </w:rPr>
        <w:t>przepisów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aktów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prawnych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składających</w:t>
      </w:r>
      <w:r w:rsidRPr="009A64BA">
        <w:rPr>
          <w:b/>
          <w:spacing w:val="-3"/>
          <w:sz w:val="24"/>
        </w:rPr>
        <w:t xml:space="preserve"> </w:t>
      </w:r>
      <w:r w:rsidRPr="009A64BA">
        <w:rPr>
          <w:b/>
          <w:sz w:val="24"/>
        </w:rPr>
        <w:t>się</w:t>
      </w:r>
      <w:r w:rsidRPr="009A64BA">
        <w:rPr>
          <w:b/>
          <w:spacing w:val="-4"/>
          <w:sz w:val="24"/>
        </w:rPr>
        <w:t xml:space="preserve"> </w:t>
      </w:r>
      <w:r w:rsidRPr="009A64BA">
        <w:rPr>
          <w:b/>
          <w:sz w:val="24"/>
        </w:rPr>
        <w:t>na tzw. Pakt o migracji i azylu</w:t>
      </w:r>
    </w:p>
    <w:p w14:paraId="38B2DD0C" w14:textId="77777777" w:rsidR="00F248E5" w:rsidRPr="009A64BA" w:rsidRDefault="00F248E5">
      <w:pPr>
        <w:pStyle w:val="Tekstpodstawowy"/>
        <w:ind w:left="0"/>
        <w:jc w:val="left"/>
        <w:rPr>
          <w:b/>
        </w:rPr>
      </w:pPr>
    </w:p>
    <w:p w14:paraId="5C6F5B47" w14:textId="77777777" w:rsidR="009A64BA" w:rsidRDefault="009A64BA" w:rsidP="009A64BA">
      <w:pPr>
        <w:pStyle w:val="Tekstpodstawowy"/>
        <w:spacing w:line="259" w:lineRule="auto"/>
        <w:ind w:left="0" w:right="138"/>
        <w:rPr>
          <w:b/>
        </w:rPr>
      </w:pPr>
    </w:p>
    <w:p w14:paraId="1191DE78" w14:textId="32B18399" w:rsidR="00F248E5" w:rsidRPr="00993149" w:rsidRDefault="00993149" w:rsidP="00993149">
      <w:pPr>
        <w:pStyle w:val="Tekstpodstawowy"/>
        <w:ind w:left="0" w:right="138"/>
      </w:pPr>
      <w:r w:rsidRPr="00993149">
        <w:rPr>
          <w:b/>
        </w:rPr>
        <w:tab/>
      </w:r>
      <w:r w:rsidRPr="00993149">
        <w:t>Pakt o migracji i azylu (Pakt), zatwierdzony przez Parlament Europejski 10 kwietnia 2024 roku i przyjęty przez Radę Unii Europejskiej 14 maja 2024 roku to zestaw nowych przepisów</w:t>
      </w:r>
      <w:r w:rsidRPr="00993149">
        <w:rPr>
          <w:spacing w:val="-1"/>
        </w:rPr>
        <w:t xml:space="preserve"> </w:t>
      </w:r>
      <w:r w:rsidRPr="00993149">
        <w:t>regulujących</w:t>
      </w:r>
      <w:r w:rsidRPr="00993149">
        <w:rPr>
          <w:spacing w:val="-1"/>
        </w:rPr>
        <w:t xml:space="preserve"> </w:t>
      </w:r>
      <w:r w:rsidRPr="00993149">
        <w:t>migrację</w:t>
      </w:r>
      <w:r w:rsidRPr="00993149">
        <w:rPr>
          <w:spacing w:val="-1"/>
        </w:rPr>
        <w:t xml:space="preserve"> </w:t>
      </w:r>
      <w:r w:rsidRPr="00993149">
        <w:t>i</w:t>
      </w:r>
      <w:r w:rsidRPr="00993149">
        <w:rPr>
          <w:spacing w:val="-1"/>
        </w:rPr>
        <w:t xml:space="preserve"> </w:t>
      </w:r>
      <w:r w:rsidRPr="00993149">
        <w:t>ustanawiających</w:t>
      </w:r>
      <w:r w:rsidRPr="00993149">
        <w:rPr>
          <w:spacing w:val="-1"/>
        </w:rPr>
        <w:t xml:space="preserve"> </w:t>
      </w:r>
      <w:r w:rsidRPr="00993149">
        <w:t>wspólny</w:t>
      </w:r>
      <w:r w:rsidRPr="00993149">
        <w:rPr>
          <w:spacing w:val="-1"/>
        </w:rPr>
        <w:t xml:space="preserve"> </w:t>
      </w:r>
      <w:r w:rsidRPr="00993149">
        <w:t>system</w:t>
      </w:r>
      <w:r w:rsidRPr="00993149">
        <w:rPr>
          <w:spacing w:val="-1"/>
        </w:rPr>
        <w:t xml:space="preserve"> </w:t>
      </w:r>
      <w:r w:rsidRPr="00993149">
        <w:t>azylowy</w:t>
      </w:r>
      <w:r w:rsidRPr="00993149">
        <w:rPr>
          <w:spacing w:val="-1"/>
        </w:rPr>
        <w:t xml:space="preserve"> </w:t>
      </w:r>
      <w:r w:rsidRPr="00993149">
        <w:t>na</w:t>
      </w:r>
      <w:r w:rsidRPr="00993149">
        <w:rPr>
          <w:spacing w:val="-1"/>
        </w:rPr>
        <w:t xml:space="preserve"> </w:t>
      </w:r>
      <w:r w:rsidRPr="00993149">
        <w:t>szczeblu</w:t>
      </w:r>
      <w:r w:rsidRPr="00993149">
        <w:rPr>
          <w:spacing w:val="-1"/>
        </w:rPr>
        <w:t xml:space="preserve"> </w:t>
      </w:r>
      <w:r w:rsidRPr="00993149">
        <w:t>UE. Na Pakt składają się następujące dyrektywy i rozporządzenia:</w:t>
      </w:r>
    </w:p>
    <w:p w14:paraId="241057D8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54"/>
        <w:ind w:left="854" w:hanging="358"/>
        <w:jc w:val="left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2024/1351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2206C06E" w14:textId="77777777" w:rsidR="00F248E5" w:rsidRPr="00993149" w:rsidRDefault="00AC6EE9" w:rsidP="00993149">
      <w:pPr>
        <w:pStyle w:val="Tekstpodstawowy"/>
        <w:spacing w:before="25"/>
        <w:ind w:right="138"/>
        <w:jc w:val="left"/>
      </w:pPr>
      <w:r w:rsidRPr="00993149">
        <w:t>r.</w:t>
      </w:r>
      <w:r w:rsidRPr="00993149">
        <w:rPr>
          <w:spacing w:val="37"/>
        </w:rPr>
        <w:t xml:space="preserve"> </w:t>
      </w:r>
      <w:r w:rsidRPr="00993149">
        <w:t>w</w:t>
      </w:r>
      <w:r w:rsidRPr="00993149">
        <w:rPr>
          <w:spacing w:val="37"/>
        </w:rPr>
        <w:t xml:space="preserve"> </w:t>
      </w:r>
      <w:r w:rsidRPr="00993149">
        <w:t>sprawie</w:t>
      </w:r>
      <w:r w:rsidRPr="00993149">
        <w:rPr>
          <w:spacing w:val="37"/>
        </w:rPr>
        <w:t xml:space="preserve"> </w:t>
      </w:r>
      <w:r w:rsidRPr="00993149">
        <w:t>zarządzania</w:t>
      </w:r>
      <w:r w:rsidRPr="00993149">
        <w:rPr>
          <w:spacing w:val="37"/>
        </w:rPr>
        <w:t xml:space="preserve"> </w:t>
      </w:r>
      <w:r w:rsidRPr="00993149">
        <w:t>azylem</w:t>
      </w:r>
      <w:r w:rsidRPr="00993149">
        <w:rPr>
          <w:spacing w:val="37"/>
        </w:rPr>
        <w:t xml:space="preserve"> </w:t>
      </w:r>
      <w:r w:rsidRPr="00993149">
        <w:t>i</w:t>
      </w:r>
      <w:r w:rsidRPr="00993149">
        <w:rPr>
          <w:spacing w:val="37"/>
        </w:rPr>
        <w:t xml:space="preserve"> </w:t>
      </w:r>
      <w:r w:rsidRPr="00993149">
        <w:t>migracją,</w:t>
      </w:r>
      <w:r w:rsidRPr="00993149">
        <w:rPr>
          <w:spacing w:val="37"/>
        </w:rPr>
        <w:t xml:space="preserve"> </w:t>
      </w:r>
      <w:r w:rsidRPr="00993149">
        <w:t>zmiany</w:t>
      </w:r>
      <w:r w:rsidRPr="00993149">
        <w:rPr>
          <w:spacing w:val="37"/>
        </w:rPr>
        <w:t xml:space="preserve"> </w:t>
      </w:r>
      <w:r w:rsidRPr="00993149">
        <w:t>rozporządzeń</w:t>
      </w:r>
      <w:r w:rsidRPr="00993149">
        <w:rPr>
          <w:spacing w:val="37"/>
        </w:rPr>
        <w:t xml:space="preserve"> </w:t>
      </w:r>
      <w:r w:rsidRPr="00993149">
        <w:t>(UE)</w:t>
      </w:r>
      <w:r w:rsidRPr="00993149">
        <w:rPr>
          <w:spacing w:val="37"/>
        </w:rPr>
        <w:t xml:space="preserve"> </w:t>
      </w:r>
      <w:r w:rsidRPr="00993149">
        <w:t>2021/1147 i (UE) 2021/1060 oraz uchylenia rozporządzenia (UE) nr 604/2013;</w:t>
      </w:r>
    </w:p>
    <w:p w14:paraId="7810EFF5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17"/>
        <w:ind w:left="854" w:hanging="358"/>
        <w:jc w:val="left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2024/1348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3CD28C74" w14:textId="77777777" w:rsidR="00F248E5" w:rsidRPr="00993149" w:rsidRDefault="00AC6EE9" w:rsidP="00993149">
      <w:pPr>
        <w:pStyle w:val="Tekstpodstawowy"/>
        <w:tabs>
          <w:tab w:val="left" w:pos="1228"/>
          <w:tab w:val="left" w:pos="1634"/>
          <w:tab w:val="left" w:pos="2614"/>
          <w:tab w:val="left" w:pos="4114"/>
          <w:tab w:val="left" w:pos="5214"/>
          <w:tab w:val="left" w:pos="6420"/>
          <w:tab w:val="left" w:pos="7586"/>
          <w:tab w:val="left" w:pos="8086"/>
          <w:tab w:val="left" w:pos="8440"/>
        </w:tabs>
        <w:spacing w:before="25"/>
        <w:ind w:right="138"/>
        <w:jc w:val="left"/>
      </w:pPr>
      <w:r w:rsidRPr="00993149">
        <w:rPr>
          <w:spacing w:val="-6"/>
        </w:rPr>
        <w:t>r.</w:t>
      </w:r>
      <w:r w:rsidRPr="00993149">
        <w:tab/>
      </w:r>
      <w:r w:rsidRPr="00993149">
        <w:rPr>
          <w:spacing w:val="-10"/>
        </w:rPr>
        <w:t>w</w:t>
      </w:r>
      <w:r w:rsidRPr="00993149">
        <w:tab/>
      </w:r>
      <w:r w:rsidRPr="00993149">
        <w:rPr>
          <w:spacing w:val="-2"/>
        </w:rPr>
        <w:t>sprawie</w:t>
      </w:r>
      <w:r w:rsidRPr="00993149">
        <w:tab/>
      </w:r>
      <w:r w:rsidRPr="00993149">
        <w:rPr>
          <w:spacing w:val="-2"/>
        </w:rPr>
        <w:t>ustanowienia</w:t>
      </w:r>
      <w:r w:rsidRPr="00993149">
        <w:tab/>
      </w:r>
      <w:r w:rsidRPr="00993149">
        <w:rPr>
          <w:spacing w:val="-2"/>
        </w:rPr>
        <w:t>wspólnej</w:t>
      </w:r>
      <w:r w:rsidRPr="00993149">
        <w:tab/>
      </w:r>
      <w:r w:rsidRPr="00993149">
        <w:rPr>
          <w:spacing w:val="-2"/>
        </w:rPr>
        <w:t>procedury</w:t>
      </w:r>
      <w:r w:rsidRPr="00993149">
        <w:tab/>
      </w:r>
      <w:r w:rsidRPr="00993149">
        <w:rPr>
          <w:spacing w:val="-2"/>
        </w:rPr>
        <w:t>ubiegania</w:t>
      </w:r>
      <w:r w:rsidRPr="00993149">
        <w:tab/>
      </w:r>
      <w:r w:rsidRPr="00993149">
        <w:rPr>
          <w:spacing w:val="-4"/>
        </w:rPr>
        <w:t>się</w:t>
      </w:r>
      <w:r w:rsidRPr="00993149">
        <w:tab/>
      </w:r>
      <w:r w:rsidRPr="00993149">
        <w:rPr>
          <w:spacing w:val="-10"/>
        </w:rPr>
        <w:t>o</w:t>
      </w:r>
      <w:r w:rsidRPr="00993149">
        <w:tab/>
      </w:r>
      <w:r w:rsidRPr="00993149">
        <w:rPr>
          <w:spacing w:val="-2"/>
        </w:rPr>
        <w:t xml:space="preserve">ochronę </w:t>
      </w:r>
      <w:r w:rsidRPr="00993149">
        <w:t>międzynarodową w Unii i uchylenia dyrektywy 2013/32/UE;</w:t>
      </w:r>
    </w:p>
    <w:p w14:paraId="7463211E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17"/>
        <w:ind w:left="854" w:hanging="358"/>
        <w:jc w:val="left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2024/1349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19FA7A15" w14:textId="77777777" w:rsidR="00F248E5" w:rsidRPr="00993149" w:rsidRDefault="00AC6EE9" w:rsidP="00993149">
      <w:pPr>
        <w:pStyle w:val="Tekstpodstawowy"/>
        <w:spacing w:before="25"/>
        <w:jc w:val="left"/>
      </w:pPr>
      <w:r w:rsidRPr="00993149">
        <w:t>r. w sprawie ustanowienia powrotowej procedury granicznej i zmiany rozporządzenia (UE) 2021/1148;</w:t>
      </w:r>
    </w:p>
    <w:p w14:paraId="392A269C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ind w:left="854" w:hanging="358"/>
        <w:jc w:val="left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2024/1359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2118043E" w14:textId="77777777" w:rsidR="00F248E5" w:rsidRPr="00993149" w:rsidRDefault="00AC6EE9" w:rsidP="00993149">
      <w:pPr>
        <w:pStyle w:val="Tekstpodstawowy"/>
        <w:spacing w:before="21"/>
        <w:ind w:right="138"/>
      </w:pPr>
      <w:r w:rsidRPr="00993149">
        <w:t xml:space="preserve">r. w sprawie </w:t>
      </w:r>
      <w:r w:rsidRPr="00993149">
        <w:t>reagowania na sytuacje kryzysowe i sytuacje spowodowane działaniem siły</w:t>
      </w:r>
      <w:r w:rsidRPr="00993149">
        <w:rPr>
          <w:spacing w:val="-4"/>
        </w:rPr>
        <w:t xml:space="preserve"> </w:t>
      </w:r>
      <w:r w:rsidRPr="00993149">
        <w:t>wyższej</w:t>
      </w:r>
      <w:r w:rsidRPr="00993149">
        <w:rPr>
          <w:spacing w:val="-4"/>
        </w:rPr>
        <w:t xml:space="preserve"> </w:t>
      </w:r>
      <w:r w:rsidRPr="00993149">
        <w:t>w</w:t>
      </w:r>
      <w:r w:rsidRPr="00993149">
        <w:rPr>
          <w:spacing w:val="-4"/>
        </w:rPr>
        <w:t xml:space="preserve"> </w:t>
      </w:r>
      <w:r w:rsidRPr="00993149">
        <w:t>dziedzinie</w:t>
      </w:r>
      <w:r w:rsidRPr="00993149">
        <w:rPr>
          <w:spacing w:val="-4"/>
        </w:rPr>
        <w:t xml:space="preserve"> </w:t>
      </w:r>
      <w:r w:rsidRPr="00993149">
        <w:t>migracji</w:t>
      </w:r>
      <w:r w:rsidRPr="00993149">
        <w:rPr>
          <w:spacing w:val="-4"/>
        </w:rPr>
        <w:t xml:space="preserve"> </w:t>
      </w:r>
      <w:r w:rsidRPr="00993149">
        <w:t>i</w:t>
      </w:r>
      <w:r w:rsidRPr="00993149">
        <w:rPr>
          <w:spacing w:val="-4"/>
        </w:rPr>
        <w:t xml:space="preserve"> </w:t>
      </w:r>
      <w:r w:rsidRPr="00993149">
        <w:t>azylu</w:t>
      </w:r>
      <w:r w:rsidRPr="00993149">
        <w:rPr>
          <w:spacing w:val="-4"/>
        </w:rPr>
        <w:t xml:space="preserve"> </w:t>
      </w:r>
      <w:r w:rsidRPr="00993149">
        <w:t>oraz</w:t>
      </w:r>
      <w:r w:rsidRPr="00993149">
        <w:rPr>
          <w:spacing w:val="-4"/>
        </w:rPr>
        <w:t xml:space="preserve"> </w:t>
      </w:r>
      <w:r w:rsidRPr="00993149">
        <w:t>w</w:t>
      </w:r>
      <w:r w:rsidRPr="00993149">
        <w:rPr>
          <w:spacing w:val="-4"/>
        </w:rPr>
        <w:t xml:space="preserve"> </w:t>
      </w:r>
      <w:r w:rsidRPr="00993149">
        <w:t>sprawie</w:t>
      </w:r>
      <w:r w:rsidRPr="00993149">
        <w:rPr>
          <w:spacing w:val="-4"/>
        </w:rPr>
        <w:t xml:space="preserve"> </w:t>
      </w:r>
      <w:r w:rsidRPr="00993149">
        <w:t>zmiany</w:t>
      </w:r>
      <w:r w:rsidRPr="00993149">
        <w:rPr>
          <w:spacing w:val="-4"/>
        </w:rPr>
        <w:t xml:space="preserve"> </w:t>
      </w:r>
      <w:r w:rsidRPr="00993149">
        <w:t>rozporządzenia</w:t>
      </w:r>
      <w:r w:rsidRPr="00993149">
        <w:rPr>
          <w:spacing w:val="-4"/>
        </w:rPr>
        <w:t xml:space="preserve"> </w:t>
      </w:r>
      <w:r w:rsidRPr="00993149">
        <w:t xml:space="preserve">(UE) </w:t>
      </w:r>
      <w:r w:rsidRPr="00993149">
        <w:rPr>
          <w:spacing w:val="-2"/>
        </w:rPr>
        <w:t>2021/1147;</w:t>
      </w:r>
    </w:p>
    <w:p w14:paraId="316782A2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ind w:left="854" w:hanging="358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2024/1358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6B0B5EF6" w14:textId="77777777" w:rsidR="00F248E5" w:rsidRPr="00993149" w:rsidRDefault="00AC6EE9" w:rsidP="00993149">
      <w:pPr>
        <w:pStyle w:val="Tekstpodstawowy"/>
        <w:spacing w:before="26"/>
        <w:ind w:right="138"/>
      </w:pPr>
      <w:r w:rsidRPr="00993149">
        <w:t>r.</w:t>
      </w:r>
      <w:r w:rsidRPr="00993149">
        <w:rPr>
          <w:spacing w:val="-4"/>
        </w:rPr>
        <w:t xml:space="preserve"> </w:t>
      </w:r>
      <w:r w:rsidRPr="00993149">
        <w:t>w</w:t>
      </w:r>
      <w:r w:rsidRPr="00993149">
        <w:rPr>
          <w:spacing w:val="-4"/>
        </w:rPr>
        <w:t xml:space="preserve"> </w:t>
      </w:r>
      <w:r w:rsidRPr="00993149">
        <w:t>sprawie</w:t>
      </w:r>
      <w:r w:rsidRPr="00993149">
        <w:rPr>
          <w:spacing w:val="-4"/>
        </w:rPr>
        <w:t xml:space="preserve"> </w:t>
      </w:r>
      <w:r w:rsidRPr="00993149">
        <w:t>ustanowienia</w:t>
      </w:r>
      <w:r w:rsidRPr="00993149">
        <w:rPr>
          <w:spacing w:val="-4"/>
        </w:rPr>
        <w:t xml:space="preserve"> </w:t>
      </w:r>
      <w:r w:rsidRPr="00993149">
        <w:t>systemu</w:t>
      </w:r>
      <w:r w:rsidRPr="00993149">
        <w:rPr>
          <w:spacing w:val="-4"/>
        </w:rPr>
        <w:t xml:space="preserve"> </w:t>
      </w:r>
      <w:r w:rsidRPr="00993149">
        <w:t>Eurodac</w:t>
      </w:r>
      <w:r w:rsidRPr="00993149">
        <w:rPr>
          <w:spacing w:val="-4"/>
        </w:rPr>
        <w:t xml:space="preserve"> </w:t>
      </w:r>
      <w:r w:rsidRPr="00993149">
        <w:t>do</w:t>
      </w:r>
      <w:r w:rsidRPr="00993149">
        <w:rPr>
          <w:spacing w:val="-4"/>
        </w:rPr>
        <w:t xml:space="preserve"> </w:t>
      </w:r>
      <w:r w:rsidRPr="00993149">
        <w:t>porównywania</w:t>
      </w:r>
      <w:r w:rsidRPr="00993149">
        <w:rPr>
          <w:spacing w:val="-4"/>
        </w:rPr>
        <w:t xml:space="preserve"> </w:t>
      </w:r>
      <w:r w:rsidRPr="00993149">
        <w:t>danych</w:t>
      </w:r>
      <w:r w:rsidRPr="00993149">
        <w:rPr>
          <w:spacing w:val="-4"/>
        </w:rPr>
        <w:t xml:space="preserve"> </w:t>
      </w:r>
      <w:r w:rsidRPr="00993149">
        <w:t>biometrycznych w celu skutecznego stosowania rozporządzeń Parlamentu Europejskiego i Rady (UE) 2024/1351 i (UE) 2024/1350 i dyrektywy Rady 2001/55/WE oraz w celu identyfikowania nielegalnie przebywających obywateli państw trzecich oraz bezpaństwowców, w sprawie występowania z wnioskami o porównanie z danymi Eurodac przez organy ścigania państw członkowskich i Europol na potrzeby ochrony porządku</w:t>
      </w:r>
      <w:r w:rsidRPr="00993149">
        <w:rPr>
          <w:spacing w:val="40"/>
        </w:rPr>
        <w:t xml:space="preserve"> </w:t>
      </w:r>
      <w:r w:rsidRPr="00993149">
        <w:t>publicznego,</w:t>
      </w:r>
      <w:r w:rsidRPr="00993149">
        <w:rPr>
          <w:spacing w:val="40"/>
        </w:rPr>
        <w:t xml:space="preserve"> </w:t>
      </w:r>
      <w:r w:rsidRPr="00993149">
        <w:t>w</w:t>
      </w:r>
      <w:r w:rsidRPr="00993149">
        <w:rPr>
          <w:spacing w:val="40"/>
        </w:rPr>
        <w:t xml:space="preserve"> </w:t>
      </w:r>
      <w:r w:rsidRPr="00993149">
        <w:t>sprawie</w:t>
      </w:r>
      <w:r w:rsidRPr="00993149">
        <w:rPr>
          <w:spacing w:val="40"/>
        </w:rPr>
        <w:t xml:space="preserve"> </w:t>
      </w:r>
      <w:r w:rsidRPr="00993149">
        <w:t>zmiany</w:t>
      </w:r>
      <w:r w:rsidRPr="00993149">
        <w:rPr>
          <w:spacing w:val="40"/>
        </w:rPr>
        <w:t xml:space="preserve"> </w:t>
      </w:r>
      <w:r w:rsidRPr="00993149">
        <w:t>rozporządzeń</w:t>
      </w:r>
      <w:r w:rsidRPr="00993149">
        <w:rPr>
          <w:spacing w:val="40"/>
        </w:rPr>
        <w:t xml:space="preserve"> </w:t>
      </w:r>
      <w:r w:rsidRPr="00993149">
        <w:t>Parlamentu</w:t>
      </w:r>
      <w:r w:rsidRPr="00993149">
        <w:rPr>
          <w:spacing w:val="40"/>
        </w:rPr>
        <w:t xml:space="preserve"> </w:t>
      </w:r>
      <w:r w:rsidRPr="00993149">
        <w:t>Europejskiego</w:t>
      </w:r>
      <w:r w:rsidRPr="00993149">
        <w:rPr>
          <w:spacing w:val="80"/>
        </w:rPr>
        <w:t xml:space="preserve"> </w:t>
      </w:r>
      <w:r w:rsidRPr="00993149">
        <w:t>i</w:t>
      </w:r>
      <w:r w:rsidRPr="00993149">
        <w:rPr>
          <w:spacing w:val="-2"/>
        </w:rPr>
        <w:t xml:space="preserve"> </w:t>
      </w:r>
      <w:r w:rsidRPr="00993149">
        <w:t>Rady (UE) 2018/1240 i (UE) 2019/818 oraz w sprawie uchylenia rozporządzenia Parlamentu Europejskiego i Rady (UE) nr 603/2013;</w:t>
      </w:r>
    </w:p>
    <w:p w14:paraId="2E46E29A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13"/>
        <w:ind w:left="854" w:hanging="358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2024/1356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707002B0" w14:textId="77777777" w:rsidR="00F248E5" w:rsidRPr="00993149" w:rsidRDefault="00AC6EE9" w:rsidP="00993149">
      <w:pPr>
        <w:pStyle w:val="Tekstpodstawowy"/>
        <w:spacing w:before="25"/>
        <w:ind w:right="138"/>
      </w:pPr>
      <w:r w:rsidRPr="00993149">
        <w:t>r. w sprawie wprowadzenia kontroli przesiewowej obywateli państw trzecich na granicach</w:t>
      </w:r>
      <w:r w:rsidRPr="00993149">
        <w:rPr>
          <w:spacing w:val="-15"/>
        </w:rPr>
        <w:t xml:space="preserve"> </w:t>
      </w:r>
      <w:r w:rsidRPr="00993149">
        <w:t>zewnętrznych</w:t>
      </w:r>
      <w:r w:rsidRPr="00993149">
        <w:rPr>
          <w:spacing w:val="-15"/>
        </w:rPr>
        <w:t xml:space="preserve"> </w:t>
      </w:r>
      <w:r w:rsidRPr="00993149">
        <w:t>oraz</w:t>
      </w:r>
      <w:r w:rsidRPr="00993149">
        <w:rPr>
          <w:spacing w:val="-15"/>
        </w:rPr>
        <w:t xml:space="preserve"> </w:t>
      </w:r>
      <w:r w:rsidRPr="00993149">
        <w:t>zmiany</w:t>
      </w:r>
      <w:r w:rsidRPr="00993149">
        <w:rPr>
          <w:spacing w:val="-15"/>
        </w:rPr>
        <w:t xml:space="preserve"> </w:t>
      </w:r>
      <w:r w:rsidRPr="00993149">
        <w:t>rozporządzeń</w:t>
      </w:r>
      <w:r w:rsidRPr="00993149">
        <w:rPr>
          <w:spacing w:val="-15"/>
        </w:rPr>
        <w:t xml:space="preserve"> </w:t>
      </w:r>
      <w:r w:rsidRPr="00993149">
        <w:t>(WE)</w:t>
      </w:r>
      <w:r w:rsidRPr="00993149">
        <w:rPr>
          <w:spacing w:val="-15"/>
        </w:rPr>
        <w:t xml:space="preserve"> </w:t>
      </w:r>
      <w:r w:rsidRPr="00993149">
        <w:t>nr</w:t>
      </w:r>
      <w:r w:rsidRPr="00993149">
        <w:rPr>
          <w:spacing w:val="-15"/>
        </w:rPr>
        <w:t xml:space="preserve"> </w:t>
      </w:r>
      <w:r w:rsidRPr="00993149">
        <w:t>767/2008,</w:t>
      </w:r>
      <w:r w:rsidRPr="00993149">
        <w:rPr>
          <w:spacing w:val="-15"/>
        </w:rPr>
        <w:t xml:space="preserve"> </w:t>
      </w:r>
      <w:r w:rsidRPr="00993149">
        <w:t>(UE)</w:t>
      </w:r>
      <w:r w:rsidRPr="00993149">
        <w:rPr>
          <w:spacing w:val="-15"/>
        </w:rPr>
        <w:t xml:space="preserve"> </w:t>
      </w:r>
      <w:r w:rsidRPr="00993149">
        <w:t>2017/2226, (UE) 2018/1240 i (UE) 2019/817;</w:t>
      </w:r>
    </w:p>
    <w:p w14:paraId="1424047D" w14:textId="77777777" w:rsidR="00F248E5" w:rsidRPr="00993149" w:rsidRDefault="00F248E5" w:rsidP="00993149">
      <w:pPr>
        <w:pStyle w:val="Tekstpodstawowy"/>
        <w:sectPr w:rsidR="00F248E5" w:rsidRPr="00993149">
          <w:headerReference w:type="default" r:id="rId7"/>
          <w:footerReference w:type="default" r:id="rId8"/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44CCEE46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76"/>
        <w:ind w:left="854" w:hanging="358"/>
        <w:rPr>
          <w:sz w:val="24"/>
          <w:szCs w:val="24"/>
        </w:rPr>
      </w:pPr>
      <w:r w:rsidRPr="00993149">
        <w:rPr>
          <w:sz w:val="24"/>
          <w:szCs w:val="24"/>
        </w:rPr>
        <w:lastRenderedPageBreak/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2024/1347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04DDDC7C" w14:textId="77777777" w:rsidR="00F248E5" w:rsidRPr="00993149" w:rsidRDefault="00AC6EE9" w:rsidP="00993149">
      <w:pPr>
        <w:pStyle w:val="Tekstpodstawowy"/>
        <w:spacing w:before="26"/>
        <w:ind w:right="138"/>
      </w:pPr>
      <w:r w:rsidRPr="00993149">
        <w:t>r. w sprawie norm dotyczących kwalifikowania obywateli państw trzecich lub bezpaństwowców jako osób korzystających z ochrony międzynarodowej, jednolitego statusu</w:t>
      </w:r>
      <w:r w:rsidRPr="00993149">
        <w:rPr>
          <w:spacing w:val="-5"/>
        </w:rPr>
        <w:t xml:space="preserve"> </w:t>
      </w:r>
      <w:r w:rsidRPr="00993149">
        <w:t>uchodźców</w:t>
      </w:r>
      <w:r w:rsidRPr="00993149">
        <w:rPr>
          <w:spacing w:val="-5"/>
        </w:rPr>
        <w:t xml:space="preserve"> </w:t>
      </w:r>
      <w:r w:rsidRPr="00993149">
        <w:t>lub</w:t>
      </w:r>
      <w:r w:rsidRPr="00993149">
        <w:rPr>
          <w:spacing w:val="-5"/>
        </w:rPr>
        <w:t xml:space="preserve"> </w:t>
      </w:r>
      <w:r w:rsidRPr="00993149">
        <w:t>osób</w:t>
      </w:r>
      <w:r w:rsidRPr="00993149">
        <w:rPr>
          <w:spacing w:val="-5"/>
        </w:rPr>
        <w:t xml:space="preserve"> </w:t>
      </w:r>
      <w:r w:rsidRPr="00993149">
        <w:t>kwalifikujących</w:t>
      </w:r>
      <w:r w:rsidRPr="00993149">
        <w:rPr>
          <w:spacing w:val="-5"/>
        </w:rPr>
        <w:t xml:space="preserve"> </w:t>
      </w:r>
      <w:r w:rsidRPr="00993149">
        <w:t>się</w:t>
      </w:r>
      <w:r w:rsidRPr="00993149">
        <w:rPr>
          <w:spacing w:val="-5"/>
        </w:rPr>
        <w:t xml:space="preserve"> </w:t>
      </w:r>
      <w:r w:rsidRPr="00993149">
        <w:t>do</w:t>
      </w:r>
      <w:r w:rsidRPr="00993149">
        <w:rPr>
          <w:spacing w:val="-5"/>
        </w:rPr>
        <w:t xml:space="preserve"> </w:t>
      </w:r>
      <w:r w:rsidRPr="00993149">
        <w:t>otrzymania</w:t>
      </w:r>
      <w:r w:rsidRPr="00993149">
        <w:rPr>
          <w:spacing w:val="-5"/>
        </w:rPr>
        <w:t xml:space="preserve"> </w:t>
      </w:r>
      <w:r w:rsidRPr="00993149">
        <w:t>ochrony</w:t>
      </w:r>
      <w:r w:rsidRPr="00993149">
        <w:rPr>
          <w:spacing w:val="-5"/>
        </w:rPr>
        <w:t xml:space="preserve"> </w:t>
      </w:r>
      <w:r w:rsidRPr="00993149">
        <w:t>uzupełniającej oraz zakresu udzielanej ochrony, zmieniające dyrektywę Rady 2003/109/WE oraz uchylające dyrektywę Parlamentu Europejskiego i Rady 2011/95/UE;</w:t>
      </w:r>
    </w:p>
    <w:p w14:paraId="4E60277C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5"/>
        </w:tabs>
        <w:spacing w:before="115"/>
        <w:ind w:right="138"/>
        <w:rPr>
          <w:sz w:val="24"/>
          <w:szCs w:val="24"/>
        </w:rPr>
      </w:pPr>
      <w:r w:rsidRPr="00993149">
        <w:rPr>
          <w:sz w:val="24"/>
          <w:szCs w:val="24"/>
        </w:rPr>
        <w:t>Dyrektywa Parlamentu Europejskiego i Rady (UE) 2024/1346 z dnia 14 maja 2024 r. w</w:t>
      </w:r>
      <w:r w:rsidRPr="00993149">
        <w:rPr>
          <w:spacing w:val="-2"/>
          <w:sz w:val="24"/>
          <w:szCs w:val="24"/>
        </w:rPr>
        <w:t xml:space="preserve"> </w:t>
      </w:r>
      <w:r w:rsidRPr="00993149">
        <w:rPr>
          <w:sz w:val="24"/>
          <w:szCs w:val="24"/>
        </w:rPr>
        <w:t>sprawie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ustanowienia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norm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dotyczących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przyjmowania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osób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ubiegających</w:t>
      </w:r>
      <w:r w:rsidRPr="00993149">
        <w:rPr>
          <w:spacing w:val="80"/>
          <w:sz w:val="24"/>
          <w:szCs w:val="24"/>
        </w:rPr>
        <w:t xml:space="preserve"> </w:t>
      </w:r>
      <w:r w:rsidRPr="00993149">
        <w:rPr>
          <w:sz w:val="24"/>
          <w:szCs w:val="24"/>
        </w:rPr>
        <w:t>się o ochronę międzynarodową;</w:t>
      </w:r>
    </w:p>
    <w:p w14:paraId="59D7A0DA" w14:textId="77777777" w:rsidR="00F248E5" w:rsidRPr="00993149" w:rsidRDefault="00AC6EE9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18"/>
        <w:ind w:left="854" w:hanging="358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>2024/1350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z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dnia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14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maja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pacing w:val="-4"/>
          <w:sz w:val="24"/>
          <w:szCs w:val="24"/>
        </w:rPr>
        <w:t>2024</w:t>
      </w:r>
    </w:p>
    <w:p w14:paraId="4042BF1C" w14:textId="2D80AA28" w:rsidR="00F248E5" w:rsidRPr="00993149" w:rsidRDefault="00AC6EE9" w:rsidP="00993149">
      <w:pPr>
        <w:pStyle w:val="Tekstpodstawowy"/>
        <w:spacing w:before="21"/>
        <w:ind w:right="138"/>
      </w:pPr>
      <w:r w:rsidRPr="00993149">
        <w:t xml:space="preserve">r. ustanawiające unijne </w:t>
      </w:r>
      <w:r w:rsidRPr="00993149">
        <w:t>ramy przesiedleń i przyjmowania ze względów humanitarnych oraz zmieniające rozporządzenie (UE) 2021/1147</w:t>
      </w:r>
      <w:r w:rsidR="009A0EEF" w:rsidRPr="00993149">
        <w:t>;</w:t>
      </w:r>
    </w:p>
    <w:p w14:paraId="64815387" w14:textId="72340D6F" w:rsidR="009A0EEF" w:rsidRPr="00993149" w:rsidRDefault="009A0EEF" w:rsidP="00993149">
      <w:pPr>
        <w:pStyle w:val="Akapitzlist"/>
        <w:numPr>
          <w:ilvl w:val="0"/>
          <w:numId w:val="1"/>
        </w:numPr>
        <w:tabs>
          <w:tab w:val="left" w:pos="854"/>
        </w:tabs>
        <w:spacing w:before="118"/>
        <w:rPr>
          <w:sz w:val="24"/>
          <w:szCs w:val="24"/>
        </w:rPr>
      </w:pPr>
      <w:r w:rsidRPr="00993149">
        <w:rPr>
          <w:sz w:val="24"/>
          <w:szCs w:val="24"/>
        </w:rPr>
        <w:t>Rozporządzenie</w:t>
      </w:r>
      <w:r w:rsidRPr="00993149">
        <w:rPr>
          <w:spacing w:val="-15"/>
          <w:sz w:val="24"/>
          <w:szCs w:val="24"/>
        </w:rPr>
        <w:t xml:space="preserve"> </w:t>
      </w:r>
      <w:r w:rsidRPr="00993149">
        <w:rPr>
          <w:sz w:val="24"/>
          <w:szCs w:val="24"/>
        </w:rPr>
        <w:t>Parlamentu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Europejskiego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Rady</w:t>
      </w:r>
      <w:r w:rsidRPr="00993149">
        <w:rPr>
          <w:spacing w:val="-12"/>
          <w:sz w:val="24"/>
          <w:szCs w:val="24"/>
        </w:rPr>
        <w:t xml:space="preserve"> </w:t>
      </w:r>
      <w:r w:rsidRPr="00993149">
        <w:rPr>
          <w:sz w:val="24"/>
          <w:szCs w:val="24"/>
        </w:rPr>
        <w:t>(UE)</w:t>
      </w:r>
      <w:r w:rsidRPr="00993149">
        <w:rPr>
          <w:spacing w:val="-13"/>
          <w:sz w:val="24"/>
          <w:szCs w:val="24"/>
        </w:rPr>
        <w:t xml:space="preserve"> </w:t>
      </w:r>
      <w:r w:rsidRPr="00993149">
        <w:rPr>
          <w:sz w:val="24"/>
          <w:szCs w:val="24"/>
        </w:rPr>
        <w:t xml:space="preserve">2024/1352 z 14 maja 2024 r. </w:t>
      </w:r>
      <w:r w:rsidR="009A64BA" w:rsidRPr="00993149">
        <w:rPr>
          <w:sz w:val="24"/>
          <w:szCs w:val="24"/>
        </w:rPr>
        <w:br/>
      </w:r>
      <w:r w:rsidRPr="00993149">
        <w:rPr>
          <w:sz w:val="24"/>
          <w:szCs w:val="24"/>
        </w:rPr>
        <w:t>w sprawie zmiany rozporządzeń (UE) 2019/816 i (UE) 2019/818 do celów wprowadzenia kontroli przesiewowej obywateli państw trzecich na granicach zewnętrznych.</w:t>
      </w:r>
    </w:p>
    <w:p w14:paraId="785A95D4" w14:textId="77777777" w:rsidR="009A64BA" w:rsidRPr="00993149" w:rsidRDefault="009A64BA" w:rsidP="00993149">
      <w:pPr>
        <w:tabs>
          <w:tab w:val="left" w:pos="854"/>
        </w:tabs>
        <w:spacing w:before="118"/>
        <w:jc w:val="both"/>
        <w:rPr>
          <w:spacing w:val="-2"/>
          <w:sz w:val="24"/>
          <w:szCs w:val="24"/>
        </w:rPr>
      </w:pPr>
      <w:r w:rsidRPr="00993149">
        <w:rPr>
          <w:b/>
          <w:sz w:val="24"/>
          <w:szCs w:val="24"/>
        </w:rPr>
        <w:tab/>
      </w:r>
      <w:r w:rsidR="009A0EEF" w:rsidRPr="00993149">
        <w:rPr>
          <w:b/>
          <w:sz w:val="24"/>
          <w:szCs w:val="24"/>
        </w:rPr>
        <w:t xml:space="preserve">Problem masowej migracji do Unii Europejskiej narasta. Stanowi on poważne wyzwanie dla spójności społecznej, tożsamości kulturowej oraz stabilności ekonomicznej naszego kontynentu. </w:t>
      </w:r>
      <w:r w:rsidR="009A0EEF" w:rsidRPr="00993149">
        <w:rPr>
          <w:sz w:val="24"/>
          <w:szCs w:val="24"/>
        </w:rPr>
        <w:t xml:space="preserve">Warto tutaj przytoczyć dane wskazujące na skalę </w:t>
      </w:r>
      <w:r w:rsidR="009A0EEF" w:rsidRPr="00993149">
        <w:rPr>
          <w:spacing w:val="-2"/>
          <w:sz w:val="24"/>
          <w:szCs w:val="24"/>
        </w:rPr>
        <w:t>zjawiska.</w:t>
      </w:r>
    </w:p>
    <w:p w14:paraId="40DD442E" w14:textId="77777777" w:rsidR="009A64BA" w:rsidRPr="00993149" w:rsidRDefault="009A64BA" w:rsidP="00993149">
      <w:pPr>
        <w:tabs>
          <w:tab w:val="left" w:pos="854"/>
        </w:tabs>
        <w:spacing w:before="118"/>
        <w:jc w:val="both"/>
        <w:rPr>
          <w:sz w:val="24"/>
          <w:szCs w:val="24"/>
        </w:rPr>
      </w:pPr>
      <w:r w:rsidRPr="00993149">
        <w:rPr>
          <w:spacing w:val="-2"/>
          <w:sz w:val="24"/>
          <w:szCs w:val="24"/>
        </w:rPr>
        <w:tab/>
      </w:r>
      <w:r w:rsidRPr="00993149">
        <w:rPr>
          <w:sz w:val="24"/>
          <w:szCs w:val="24"/>
        </w:rPr>
        <w:t>W 2023 roku liczba osób ubiegających się o azyl w krajach UE przekroczyła 1,1 miliona, co stanowi wzrost o 18% w porównaniu z rokiem poprzednim i jest najwyższym wynikiem od 2016 roku. Najwięcej wniosków złożono w Niemczech (31,4% wszystkich aplikacji),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Hiszpanii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(15,3%),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Francji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(13,8%)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oraz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Włoszech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(12,4%).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Głównymi</w:t>
      </w:r>
      <w:r w:rsidRPr="00993149">
        <w:rPr>
          <w:spacing w:val="-1"/>
          <w:sz w:val="24"/>
          <w:szCs w:val="24"/>
        </w:rPr>
        <w:t xml:space="preserve"> </w:t>
      </w:r>
      <w:r w:rsidRPr="00993149">
        <w:rPr>
          <w:sz w:val="24"/>
          <w:szCs w:val="24"/>
        </w:rPr>
        <w:t>krajami pochodzenia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wnioskodawców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były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Syria,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Afganistan,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Turcja,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Wenezuela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i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Kolumbia, co</w:t>
      </w:r>
      <w:r w:rsidRPr="00993149">
        <w:rPr>
          <w:spacing w:val="-2"/>
          <w:sz w:val="24"/>
          <w:szCs w:val="24"/>
        </w:rPr>
        <w:t xml:space="preserve"> </w:t>
      </w:r>
      <w:r w:rsidRPr="00993149">
        <w:rPr>
          <w:sz w:val="24"/>
          <w:szCs w:val="24"/>
        </w:rPr>
        <w:t>łącznie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stanowiło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niemal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połowę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wszystkich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aplikacji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–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mówimy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jednak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wyłącznie o</w:t>
      </w:r>
      <w:r w:rsidRPr="00993149">
        <w:rPr>
          <w:spacing w:val="-2"/>
          <w:sz w:val="24"/>
          <w:szCs w:val="24"/>
        </w:rPr>
        <w:t xml:space="preserve"> </w:t>
      </w:r>
      <w:r w:rsidRPr="00993149">
        <w:rPr>
          <w:sz w:val="24"/>
          <w:szCs w:val="24"/>
        </w:rPr>
        <w:t>legalnej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procedurze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azylowej.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Sama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migracja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w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roku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2023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szacowana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sz w:val="24"/>
          <w:szCs w:val="24"/>
        </w:rPr>
        <w:t>była</w:t>
      </w:r>
      <w:r w:rsidRPr="00993149">
        <w:rPr>
          <w:spacing w:val="20"/>
          <w:sz w:val="24"/>
          <w:szCs w:val="24"/>
        </w:rPr>
        <w:t xml:space="preserve"> </w:t>
      </w:r>
      <w:r w:rsidRPr="00993149">
        <w:rPr>
          <w:b/>
          <w:sz w:val="24"/>
          <w:szCs w:val="24"/>
        </w:rPr>
        <w:t>na</w:t>
      </w:r>
      <w:r w:rsidRPr="00993149">
        <w:rPr>
          <w:b/>
          <w:spacing w:val="20"/>
          <w:sz w:val="24"/>
          <w:szCs w:val="24"/>
        </w:rPr>
        <w:t xml:space="preserve"> </w:t>
      </w:r>
      <w:r w:rsidRPr="00993149">
        <w:rPr>
          <w:b/>
          <w:sz w:val="24"/>
          <w:szCs w:val="24"/>
        </w:rPr>
        <w:t>niemal 4</w:t>
      </w:r>
      <w:r w:rsidRPr="00993149">
        <w:rPr>
          <w:b/>
          <w:spacing w:val="-2"/>
          <w:sz w:val="24"/>
          <w:szCs w:val="24"/>
        </w:rPr>
        <w:t xml:space="preserve"> </w:t>
      </w:r>
      <w:r w:rsidRPr="00993149">
        <w:rPr>
          <w:b/>
          <w:sz w:val="24"/>
          <w:szCs w:val="24"/>
        </w:rPr>
        <w:t>mln osób</w:t>
      </w:r>
      <w:r w:rsidRPr="00993149">
        <w:rPr>
          <w:sz w:val="24"/>
          <w:szCs w:val="24"/>
        </w:rPr>
        <w:t xml:space="preserve">. Tak znaczący napływ ludności z odmiennych kręgów kulturowych prowadzi do nieodwracalnych zmian w strukturze demograficznej Europy. </w:t>
      </w:r>
      <w:r w:rsidRPr="00993149">
        <w:rPr>
          <w:b/>
          <w:sz w:val="24"/>
          <w:szCs w:val="24"/>
        </w:rPr>
        <w:t>Obywatele państw trzecich stanowią obecnie około 6% populacji UE</w:t>
      </w:r>
      <w:r w:rsidRPr="00993149">
        <w:rPr>
          <w:sz w:val="24"/>
          <w:szCs w:val="24"/>
        </w:rPr>
        <w:t>.</w:t>
      </w:r>
    </w:p>
    <w:p w14:paraId="4A1DBE4F" w14:textId="77777777" w:rsidR="009A64BA" w:rsidRPr="00993149" w:rsidRDefault="009A64BA" w:rsidP="00993149">
      <w:pPr>
        <w:tabs>
          <w:tab w:val="left" w:pos="854"/>
        </w:tabs>
        <w:spacing w:before="118"/>
        <w:jc w:val="both"/>
        <w:rPr>
          <w:sz w:val="24"/>
          <w:szCs w:val="24"/>
        </w:rPr>
      </w:pPr>
      <w:r w:rsidRPr="00993149">
        <w:rPr>
          <w:sz w:val="24"/>
          <w:szCs w:val="24"/>
        </w:rPr>
        <w:tab/>
        <w:t>Choć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imigranci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często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podejmują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prace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w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sektorach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o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niedoborze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siły</w:t>
      </w:r>
      <w:r w:rsidRPr="00993149">
        <w:rPr>
          <w:spacing w:val="40"/>
          <w:sz w:val="24"/>
          <w:szCs w:val="24"/>
        </w:rPr>
        <w:t xml:space="preserve"> </w:t>
      </w:r>
      <w:r w:rsidRPr="00993149">
        <w:rPr>
          <w:sz w:val="24"/>
          <w:szCs w:val="24"/>
        </w:rPr>
        <w:t>roboczej, ich</w:t>
      </w:r>
      <w:r w:rsidRPr="00993149">
        <w:rPr>
          <w:spacing w:val="-3"/>
          <w:sz w:val="24"/>
          <w:szCs w:val="24"/>
        </w:rPr>
        <w:t xml:space="preserve"> </w:t>
      </w:r>
      <w:r w:rsidRPr="00993149">
        <w:rPr>
          <w:sz w:val="24"/>
          <w:szCs w:val="24"/>
        </w:rPr>
        <w:t>masowy napływ może prowadzić do presji na systemy socjalne państw członkowskich oraz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do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napięć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na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rynkach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pracy.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Wzrost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konkurencji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o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miejsca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pracy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może</w:t>
      </w:r>
      <w:r w:rsidRPr="00993149">
        <w:rPr>
          <w:spacing w:val="28"/>
          <w:sz w:val="24"/>
          <w:szCs w:val="24"/>
        </w:rPr>
        <w:t xml:space="preserve"> </w:t>
      </w:r>
      <w:r w:rsidRPr="00993149">
        <w:rPr>
          <w:sz w:val="24"/>
          <w:szCs w:val="24"/>
        </w:rPr>
        <w:t>prowadzić do</w:t>
      </w:r>
      <w:r w:rsidRPr="00993149">
        <w:rPr>
          <w:spacing w:val="-2"/>
          <w:sz w:val="24"/>
          <w:szCs w:val="24"/>
        </w:rPr>
        <w:t xml:space="preserve"> </w:t>
      </w:r>
      <w:r w:rsidRPr="00993149">
        <w:rPr>
          <w:sz w:val="24"/>
          <w:szCs w:val="24"/>
        </w:rPr>
        <w:t xml:space="preserve">obniżenia wynagrodzeń w niektórych sektorach oraz do wzrostu bezrobocia wśród obywateli państw przyjmujących. Ponadto, integracja tak dużej liczby osób wymaga znacznych nakładów finansowych na edukację, opiekę zdrowotną oraz inne usługi </w:t>
      </w:r>
      <w:r w:rsidRPr="00993149">
        <w:rPr>
          <w:spacing w:val="-2"/>
          <w:sz w:val="24"/>
          <w:szCs w:val="24"/>
        </w:rPr>
        <w:t>publiczne.</w:t>
      </w:r>
    </w:p>
    <w:p w14:paraId="3E933783" w14:textId="1C015E36" w:rsidR="009A64BA" w:rsidRPr="00993149" w:rsidRDefault="009A64BA" w:rsidP="00993149">
      <w:pPr>
        <w:tabs>
          <w:tab w:val="left" w:pos="854"/>
        </w:tabs>
        <w:spacing w:before="118"/>
        <w:jc w:val="both"/>
        <w:rPr>
          <w:sz w:val="24"/>
          <w:szCs w:val="24"/>
        </w:rPr>
        <w:sectPr w:rsidR="009A64BA" w:rsidRPr="00993149">
          <w:pgSz w:w="11910" w:h="16840"/>
          <w:pgMar w:top="1320" w:right="1275" w:bottom="280" w:left="1275" w:header="708" w:footer="708" w:gutter="0"/>
          <w:cols w:space="708"/>
        </w:sectPr>
      </w:pPr>
      <w:r w:rsidRPr="00993149">
        <w:rPr>
          <w:sz w:val="24"/>
          <w:szCs w:val="24"/>
        </w:rPr>
        <w:tab/>
        <w:t xml:space="preserve">Polska od początku konfliktu na Ukrainie przyjęła znaczną liczbę uchodźców, udzielając im schronienia i wsparcia. Według danych Urzędu do Spraw Cudzoziemców, </w:t>
      </w:r>
      <w:r w:rsidRPr="00993149">
        <w:rPr>
          <w:b/>
          <w:sz w:val="24"/>
          <w:szCs w:val="24"/>
        </w:rPr>
        <w:t>od</w:t>
      </w:r>
      <w:r w:rsidRPr="00993149">
        <w:rPr>
          <w:b/>
          <w:spacing w:val="-2"/>
          <w:sz w:val="24"/>
          <w:szCs w:val="24"/>
        </w:rPr>
        <w:t xml:space="preserve"> </w:t>
      </w:r>
      <w:r w:rsidRPr="00993149">
        <w:rPr>
          <w:b/>
          <w:sz w:val="24"/>
          <w:szCs w:val="24"/>
        </w:rPr>
        <w:t>24 lutego 2022 roku z ochrony czasowej w Polsce korzysta prawie 1 milion obywateli Ukrainy</w:t>
      </w:r>
      <w:r w:rsidRPr="00993149">
        <w:rPr>
          <w:sz w:val="24"/>
          <w:szCs w:val="24"/>
        </w:rPr>
        <w:t>, głównie kobiet i dzieci. Łącznie ważne zezwolenia na pobyt w kraju posiada natomiast 1,4 mln osób.</w:t>
      </w:r>
    </w:p>
    <w:p w14:paraId="30C584AB" w14:textId="77777777" w:rsidR="00F248E5" w:rsidRPr="00993149" w:rsidRDefault="00AC6EE9" w:rsidP="00993149">
      <w:pPr>
        <w:pStyle w:val="Tekstpodstawowy"/>
        <w:spacing w:before="79"/>
        <w:ind w:left="0" w:right="138" w:firstLine="720"/>
      </w:pPr>
      <w:r w:rsidRPr="00993149">
        <w:lastRenderedPageBreak/>
        <w:t>W obliczu tak znaczącego obciążenia infrastruktury społecznej i gospodarczej kraju oczekiwanie,</w:t>
      </w:r>
      <w:r w:rsidRPr="00993149">
        <w:rPr>
          <w:spacing w:val="-10"/>
        </w:rPr>
        <w:t xml:space="preserve"> </w:t>
      </w:r>
      <w:r w:rsidRPr="00993149">
        <w:t>że</w:t>
      </w:r>
      <w:r w:rsidRPr="00993149">
        <w:rPr>
          <w:spacing w:val="-10"/>
        </w:rPr>
        <w:t xml:space="preserve"> </w:t>
      </w:r>
      <w:r w:rsidRPr="00993149">
        <w:t>Polska</w:t>
      </w:r>
      <w:r w:rsidRPr="00993149">
        <w:rPr>
          <w:spacing w:val="-10"/>
        </w:rPr>
        <w:t xml:space="preserve"> </w:t>
      </w:r>
      <w:r w:rsidRPr="00993149">
        <w:t>będzie</w:t>
      </w:r>
      <w:r w:rsidRPr="00993149">
        <w:rPr>
          <w:spacing w:val="-10"/>
        </w:rPr>
        <w:t xml:space="preserve"> </w:t>
      </w:r>
      <w:r w:rsidRPr="00993149">
        <w:t>uczestniczyć</w:t>
      </w:r>
      <w:r w:rsidRPr="00993149">
        <w:rPr>
          <w:spacing w:val="-10"/>
        </w:rPr>
        <w:t xml:space="preserve"> </w:t>
      </w:r>
      <w:r w:rsidRPr="00993149">
        <w:t>w</w:t>
      </w:r>
      <w:r w:rsidRPr="00993149">
        <w:rPr>
          <w:spacing w:val="-10"/>
        </w:rPr>
        <w:t xml:space="preserve"> </w:t>
      </w:r>
      <w:r w:rsidRPr="00993149">
        <w:t>mechanizmie</w:t>
      </w:r>
      <w:r w:rsidRPr="00993149">
        <w:rPr>
          <w:spacing w:val="-10"/>
        </w:rPr>
        <w:t xml:space="preserve"> </w:t>
      </w:r>
      <w:r w:rsidRPr="00993149">
        <w:t>relokacji</w:t>
      </w:r>
      <w:r w:rsidRPr="00993149">
        <w:rPr>
          <w:spacing w:val="-10"/>
        </w:rPr>
        <w:t xml:space="preserve"> </w:t>
      </w:r>
      <w:r w:rsidRPr="00993149">
        <w:t>migrantów</w:t>
      </w:r>
      <w:r w:rsidRPr="00993149">
        <w:rPr>
          <w:spacing w:val="-10"/>
        </w:rPr>
        <w:t xml:space="preserve"> </w:t>
      </w:r>
      <w:r w:rsidRPr="00993149">
        <w:t>w</w:t>
      </w:r>
      <w:r w:rsidRPr="00993149">
        <w:rPr>
          <w:spacing w:val="-10"/>
        </w:rPr>
        <w:t xml:space="preserve"> </w:t>
      </w:r>
      <w:r w:rsidRPr="00993149">
        <w:t>ramach Unii</w:t>
      </w:r>
      <w:r w:rsidRPr="00993149">
        <w:rPr>
          <w:spacing w:val="80"/>
        </w:rPr>
        <w:t xml:space="preserve"> </w:t>
      </w:r>
      <w:r w:rsidRPr="00993149">
        <w:t>Europejskiej,</w:t>
      </w:r>
      <w:r w:rsidRPr="00993149">
        <w:rPr>
          <w:spacing w:val="80"/>
        </w:rPr>
        <w:t xml:space="preserve"> </w:t>
      </w:r>
      <w:r w:rsidRPr="00993149">
        <w:t>jest</w:t>
      </w:r>
      <w:r w:rsidRPr="00993149">
        <w:rPr>
          <w:spacing w:val="80"/>
        </w:rPr>
        <w:t xml:space="preserve"> </w:t>
      </w:r>
      <w:r w:rsidRPr="00993149">
        <w:rPr>
          <w:b/>
        </w:rPr>
        <w:t>nieproporcjonalne</w:t>
      </w:r>
      <w:r w:rsidRPr="00993149">
        <w:rPr>
          <w:b/>
          <w:spacing w:val="80"/>
        </w:rPr>
        <w:t xml:space="preserve"> </w:t>
      </w:r>
      <w:r w:rsidRPr="00993149">
        <w:rPr>
          <w:b/>
        </w:rPr>
        <w:t>i</w:t>
      </w:r>
      <w:r w:rsidRPr="00993149">
        <w:rPr>
          <w:b/>
          <w:spacing w:val="80"/>
        </w:rPr>
        <w:t xml:space="preserve"> </w:t>
      </w:r>
      <w:r w:rsidRPr="00993149">
        <w:rPr>
          <w:b/>
        </w:rPr>
        <w:t>niesprawiedliwe</w:t>
      </w:r>
      <w:r w:rsidRPr="00993149">
        <w:t>.</w:t>
      </w:r>
      <w:r w:rsidRPr="00993149">
        <w:rPr>
          <w:spacing w:val="80"/>
        </w:rPr>
        <w:t xml:space="preserve"> </w:t>
      </w:r>
      <w:r w:rsidRPr="00993149">
        <w:t>Należy</w:t>
      </w:r>
      <w:r w:rsidRPr="00993149">
        <w:rPr>
          <w:spacing w:val="80"/>
        </w:rPr>
        <w:t xml:space="preserve"> </w:t>
      </w:r>
      <w:r w:rsidRPr="00993149">
        <w:t>podkreślić,</w:t>
      </w:r>
      <w:r w:rsidRPr="00993149">
        <w:rPr>
          <w:spacing w:val="80"/>
        </w:rPr>
        <w:t xml:space="preserve"> </w:t>
      </w:r>
      <w:r w:rsidRPr="00993149">
        <w:t>że</w:t>
      </w:r>
      <w:r w:rsidRPr="00993149">
        <w:rPr>
          <w:spacing w:val="-2"/>
        </w:rPr>
        <w:t xml:space="preserve"> </w:t>
      </w:r>
      <w:r w:rsidRPr="00993149">
        <w:t>Polska</w:t>
      </w:r>
      <w:r w:rsidRPr="00993149">
        <w:rPr>
          <w:spacing w:val="-8"/>
        </w:rPr>
        <w:t xml:space="preserve"> </w:t>
      </w:r>
      <w:r w:rsidRPr="00993149">
        <w:t>już</w:t>
      </w:r>
      <w:r w:rsidRPr="00993149">
        <w:rPr>
          <w:spacing w:val="-8"/>
        </w:rPr>
        <w:t xml:space="preserve"> </w:t>
      </w:r>
      <w:r w:rsidRPr="00993149">
        <w:t>teraz</w:t>
      </w:r>
      <w:r w:rsidRPr="00993149">
        <w:rPr>
          <w:spacing w:val="-8"/>
        </w:rPr>
        <w:t xml:space="preserve"> </w:t>
      </w:r>
      <w:r w:rsidRPr="00993149">
        <w:t>ponosi</w:t>
      </w:r>
      <w:r w:rsidRPr="00993149">
        <w:rPr>
          <w:spacing w:val="-8"/>
        </w:rPr>
        <w:t xml:space="preserve"> </w:t>
      </w:r>
      <w:r w:rsidRPr="00993149">
        <w:t>znaczące</w:t>
      </w:r>
      <w:r w:rsidRPr="00993149">
        <w:rPr>
          <w:spacing w:val="-8"/>
        </w:rPr>
        <w:t xml:space="preserve"> </w:t>
      </w:r>
      <w:r w:rsidRPr="00993149">
        <w:t>koszty</w:t>
      </w:r>
      <w:r w:rsidRPr="00993149">
        <w:rPr>
          <w:spacing w:val="-8"/>
        </w:rPr>
        <w:t xml:space="preserve"> </w:t>
      </w:r>
      <w:r w:rsidRPr="00993149">
        <w:t>związane</w:t>
      </w:r>
      <w:r w:rsidRPr="00993149">
        <w:rPr>
          <w:spacing w:val="-8"/>
        </w:rPr>
        <w:t xml:space="preserve"> </w:t>
      </w:r>
      <w:r w:rsidRPr="00993149">
        <w:t>z</w:t>
      </w:r>
      <w:r w:rsidRPr="00993149">
        <w:rPr>
          <w:spacing w:val="-8"/>
        </w:rPr>
        <w:t xml:space="preserve"> </w:t>
      </w:r>
      <w:r w:rsidRPr="00993149">
        <w:t>zapewnieniem</w:t>
      </w:r>
      <w:r w:rsidRPr="00993149">
        <w:rPr>
          <w:spacing w:val="-8"/>
        </w:rPr>
        <w:t xml:space="preserve"> </w:t>
      </w:r>
      <w:r w:rsidRPr="00993149">
        <w:t>opieki</w:t>
      </w:r>
      <w:r w:rsidRPr="00993149">
        <w:rPr>
          <w:spacing w:val="-8"/>
        </w:rPr>
        <w:t xml:space="preserve"> </w:t>
      </w:r>
      <w:r w:rsidRPr="00993149">
        <w:t>i</w:t>
      </w:r>
      <w:r w:rsidRPr="00993149">
        <w:rPr>
          <w:spacing w:val="-8"/>
        </w:rPr>
        <w:t xml:space="preserve"> </w:t>
      </w:r>
      <w:r w:rsidRPr="00993149">
        <w:t>integracji</w:t>
      </w:r>
      <w:r w:rsidRPr="00993149">
        <w:rPr>
          <w:spacing w:val="-8"/>
        </w:rPr>
        <w:t xml:space="preserve"> </w:t>
      </w:r>
      <w:r w:rsidRPr="00993149">
        <w:t>dla dużej liczby uchodźców z Ukrainy, co stanowi istotny wkład w europejską solidarność.</w:t>
      </w:r>
    </w:p>
    <w:p w14:paraId="2CAC82E0" w14:textId="77777777" w:rsidR="009A64BA" w:rsidRPr="00993149" w:rsidRDefault="001064FD" w:rsidP="00993149">
      <w:pPr>
        <w:pStyle w:val="Tekstpodstawowy"/>
        <w:spacing w:before="121"/>
        <w:ind w:left="0" w:right="138" w:firstLine="720"/>
        <w:rPr>
          <w:b/>
        </w:rPr>
      </w:pPr>
      <w:r w:rsidRPr="00993149">
        <w:rPr>
          <w:b/>
        </w:rPr>
        <w:t>Sejm Rzeczypospolitej Polskiej nie wyraża zgody na implementację tzw. paktu migracyjnego opisanego w ww. dokumentach do polskiego porządku prawnego.</w:t>
      </w:r>
    </w:p>
    <w:p w14:paraId="43A25678" w14:textId="2AA8E6D7" w:rsidR="00F248E5" w:rsidRPr="00993149" w:rsidRDefault="00AC6EE9" w:rsidP="00993149">
      <w:pPr>
        <w:pStyle w:val="Tekstpodstawowy"/>
        <w:spacing w:before="121"/>
        <w:ind w:left="0" w:right="138" w:firstLine="720"/>
        <w:rPr>
          <w:b/>
        </w:rPr>
      </w:pPr>
      <w:r w:rsidRPr="00993149">
        <w:t>Należy</w:t>
      </w:r>
      <w:r w:rsidRPr="00993149">
        <w:rPr>
          <w:spacing w:val="-9"/>
        </w:rPr>
        <w:t xml:space="preserve"> </w:t>
      </w:r>
      <w:r w:rsidRPr="00993149">
        <w:t>także</w:t>
      </w:r>
      <w:r w:rsidRPr="00993149">
        <w:rPr>
          <w:spacing w:val="-9"/>
        </w:rPr>
        <w:t xml:space="preserve"> </w:t>
      </w:r>
      <w:r w:rsidRPr="00993149">
        <w:t>podkreślić,</w:t>
      </w:r>
      <w:r w:rsidRPr="00993149">
        <w:rPr>
          <w:spacing w:val="-9"/>
        </w:rPr>
        <w:t xml:space="preserve"> </w:t>
      </w:r>
      <w:r w:rsidRPr="00993149">
        <w:t>że</w:t>
      </w:r>
      <w:r w:rsidRPr="00993149">
        <w:rPr>
          <w:spacing w:val="-9"/>
        </w:rPr>
        <w:t xml:space="preserve"> </w:t>
      </w:r>
      <w:r w:rsidRPr="00993149">
        <w:rPr>
          <w:b/>
        </w:rPr>
        <w:t>niewykonywanie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>prawa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>Unii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>Europejskiej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>w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>tej</w:t>
      </w:r>
      <w:r w:rsidRPr="00993149">
        <w:rPr>
          <w:b/>
          <w:spacing w:val="-9"/>
        </w:rPr>
        <w:t xml:space="preserve"> </w:t>
      </w:r>
      <w:r w:rsidRPr="00993149">
        <w:rPr>
          <w:b/>
        </w:rPr>
        <w:t xml:space="preserve">sprawie przez Polskę nie będzie odbiegać od obowiązujących standardów </w:t>
      </w:r>
      <w:r w:rsidRPr="00993149">
        <w:t>– na co wskazuje przykład Niemiec. Warto zwrócić w tym kontekście uwagę na orzeczenie Federalnego Trybunału</w:t>
      </w:r>
      <w:r w:rsidRPr="00993149">
        <w:rPr>
          <w:spacing w:val="76"/>
        </w:rPr>
        <w:t xml:space="preserve"> </w:t>
      </w:r>
      <w:r w:rsidRPr="00993149">
        <w:t>Konstytucyjnego</w:t>
      </w:r>
      <w:r w:rsidRPr="00993149">
        <w:rPr>
          <w:spacing w:val="76"/>
        </w:rPr>
        <w:t xml:space="preserve"> </w:t>
      </w:r>
      <w:r w:rsidRPr="00993149">
        <w:t>w</w:t>
      </w:r>
      <w:r w:rsidRPr="00993149">
        <w:rPr>
          <w:spacing w:val="76"/>
        </w:rPr>
        <w:t xml:space="preserve"> </w:t>
      </w:r>
      <w:r w:rsidRPr="00993149">
        <w:t>Karlsruhe</w:t>
      </w:r>
      <w:r w:rsidRPr="00993149">
        <w:rPr>
          <w:spacing w:val="76"/>
        </w:rPr>
        <w:t xml:space="preserve"> </w:t>
      </w:r>
      <w:r w:rsidRPr="00993149">
        <w:t>z</w:t>
      </w:r>
      <w:r w:rsidRPr="00993149">
        <w:rPr>
          <w:spacing w:val="76"/>
        </w:rPr>
        <w:t xml:space="preserve"> </w:t>
      </w:r>
      <w:r w:rsidRPr="00993149">
        <w:t>5</w:t>
      </w:r>
      <w:r w:rsidRPr="00993149">
        <w:rPr>
          <w:spacing w:val="76"/>
        </w:rPr>
        <w:t xml:space="preserve"> </w:t>
      </w:r>
      <w:r w:rsidRPr="00993149">
        <w:t>maja</w:t>
      </w:r>
      <w:r w:rsidRPr="00993149">
        <w:rPr>
          <w:spacing w:val="76"/>
        </w:rPr>
        <w:t xml:space="preserve"> </w:t>
      </w:r>
      <w:r w:rsidRPr="00993149">
        <w:t>2020</w:t>
      </w:r>
      <w:r w:rsidRPr="00993149">
        <w:rPr>
          <w:spacing w:val="76"/>
        </w:rPr>
        <w:t xml:space="preserve"> </w:t>
      </w:r>
      <w:r w:rsidRPr="00993149">
        <w:t>roku.</w:t>
      </w:r>
      <w:r w:rsidRPr="00993149">
        <w:rPr>
          <w:spacing w:val="76"/>
        </w:rPr>
        <w:t xml:space="preserve"> </w:t>
      </w:r>
      <w:r w:rsidRPr="00993149">
        <w:t>Trybunał</w:t>
      </w:r>
      <w:r w:rsidRPr="00993149">
        <w:rPr>
          <w:spacing w:val="76"/>
        </w:rPr>
        <w:t xml:space="preserve"> </w:t>
      </w:r>
      <w:r w:rsidRPr="00993149">
        <w:t>ten</w:t>
      </w:r>
      <w:r w:rsidRPr="00993149">
        <w:rPr>
          <w:spacing w:val="76"/>
        </w:rPr>
        <w:t xml:space="preserve"> </w:t>
      </w:r>
      <w:r w:rsidRPr="00993149">
        <w:t>uznał, że</w:t>
      </w:r>
      <w:r w:rsidRPr="00993149">
        <w:rPr>
          <w:spacing w:val="-3"/>
        </w:rPr>
        <w:t xml:space="preserve"> </w:t>
      </w:r>
      <w:r w:rsidRPr="00993149">
        <w:t>Europejski Bank Centralny przekroczył swoje uprawnienia, co podważyło nadrzędność prawa</w:t>
      </w:r>
      <w:r w:rsidRPr="00993149">
        <w:rPr>
          <w:spacing w:val="-1"/>
        </w:rPr>
        <w:t xml:space="preserve"> </w:t>
      </w:r>
      <w:r w:rsidRPr="00993149">
        <w:t>unijnego</w:t>
      </w:r>
      <w:r w:rsidRPr="00993149">
        <w:rPr>
          <w:spacing w:val="-1"/>
        </w:rPr>
        <w:t xml:space="preserve"> </w:t>
      </w:r>
      <w:r w:rsidRPr="00993149">
        <w:t>nad</w:t>
      </w:r>
      <w:r w:rsidRPr="00993149">
        <w:rPr>
          <w:spacing w:val="-1"/>
        </w:rPr>
        <w:t xml:space="preserve"> </w:t>
      </w:r>
      <w:r w:rsidRPr="00993149">
        <w:t>niemieckim.</w:t>
      </w:r>
      <w:r w:rsidRPr="00993149">
        <w:rPr>
          <w:spacing w:val="-1"/>
        </w:rPr>
        <w:t xml:space="preserve"> </w:t>
      </w:r>
      <w:r w:rsidRPr="00993149">
        <w:t>Decyzja</w:t>
      </w:r>
      <w:r w:rsidRPr="00993149">
        <w:rPr>
          <w:spacing w:val="-1"/>
        </w:rPr>
        <w:t xml:space="preserve"> </w:t>
      </w:r>
      <w:r w:rsidRPr="00993149">
        <w:t>ta</w:t>
      </w:r>
      <w:r w:rsidRPr="00993149">
        <w:rPr>
          <w:spacing w:val="-1"/>
        </w:rPr>
        <w:t xml:space="preserve"> </w:t>
      </w:r>
      <w:r w:rsidRPr="00993149">
        <w:t>wywołała</w:t>
      </w:r>
      <w:r w:rsidRPr="00993149">
        <w:rPr>
          <w:spacing w:val="-1"/>
        </w:rPr>
        <w:t xml:space="preserve"> </w:t>
      </w:r>
      <w:r w:rsidRPr="00993149">
        <w:t>reakcję</w:t>
      </w:r>
      <w:r w:rsidRPr="00993149">
        <w:rPr>
          <w:spacing w:val="-1"/>
        </w:rPr>
        <w:t xml:space="preserve"> </w:t>
      </w:r>
      <w:r w:rsidRPr="00993149">
        <w:t>Komisji</w:t>
      </w:r>
      <w:r w:rsidRPr="00993149">
        <w:rPr>
          <w:spacing w:val="-1"/>
        </w:rPr>
        <w:t xml:space="preserve"> </w:t>
      </w:r>
      <w:r w:rsidRPr="00993149">
        <w:t>Europejskiej,</w:t>
      </w:r>
      <w:r w:rsidRPr="00993149">
        <w:rPr>
          <w:spacing w:val="-1"/>
        </w:rPr>
        <w:t xml:space="preserve"> </w:t>
      </w:r>
      <w:r w:rsidRPr="00993149">
        <w:t xml:space="preserve">która wszczęła postępowanie wobec Niemiec w związku z podważaniem prymatu prawa UE. Warto zauważyć, </w:t>
      </w:r>
      <w:r w:rsidRPr="00993149">
        <w:t>że niemiecki rząd, odpowiadając na zarzuty Komisji, podkreślił niezawisłość swojego Trybunału Konstytucyjnego i nie planuje inicjatyw legislacyjnych</w:t>
      </w:r>
      <w:r w:rsidRPr="00993149">
        <w:rPr>
          <w:spacing w:val="40"/>
        </w:rPr>
        <w:t xml:space="preserve"> </w:t>
      </w:r>
      <w:r w:rsidRPr="00993149">
        <w:t>w</w:t>
      </w:r>
      <w:r w:rsidRPr="00993149">
        <w:rPr>
          <w:spacing w:val="-2"/>
        </w:rPr>
        <w:t xml:space="preserve"> </w:t>
      </w:r>
      <w:r w:rsidRPr="00993149">
        <w:t>tej sprawie. W związku z tym pojawia się pytanie, dlaczego Polska nie miałaby przyjąć podobnej interpretacji, uznając nadrzędność własnej konstytucji nad prawem unijnym, skoro takie stanowisko prezentuje największe państwo członkowskie UE.</w:t>
      </w:r>
    </w:p>
    <w:sectPr w:rsidR="00F248E5" w:rsidRPr="00993149">
      <w:pgSz w:w="11910" w:h="16840"/>
      <w:pgMar w:top="132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5BE1" w14:textId="77777777" w:rsidR="00FE506F" w:rsidRDefault="00FE506F" w:rsidP="009A64BA">
      <w:r>
        <w:separator/>
      </w:r>
    </w:p>
  </w:endnote>
  <w:endnote w:type="continuationSeparator" w:id="0">
    <w:p w14:paraId="58D5EFAD" w14:textId="77777777" w:rsidR="00FE506F" w:rsidRDefault="00FE506F" w:rsidP="009A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33F9" w14:textId="77777777" w:rsidR="009A64BA" w:rsidRDefault="009A64BA" w:rsidP="009A64B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132D4D"/>
      </w:rPr>
    </w:pPr>
  </w:p>
  <w:p w14:paraId="7B82B963" w14:textId="77777777" w:rsidR="009A64BA" w:rsidRDefault="009A64BA" w:rsidP="009A64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132D4D"/>
      </w:rPr>
    </w:pPr>
  </w:p>
  <w:p w14:paraId="610EF450" w14:textId="77777777" w:rsidR="009A64BA" w:rsidRDefault="009A64BA" w:rsidP="009A64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132D4D"/>
      </w:rPr>
    </w:pPr>
    <w:r>
      <w:rPr>
        <w:b/>
        <w:color w:val="132D4D"/>
      </w:rPr>
      <w:t>Konfederacja Wolność i Niepodległość</w:t>
    </w:r>
    <w:r>
      <w:rPr>
        <w:color w:val="132D4D"/>
      </w:rPr>
      <w:t xml:space="preserve">  </w:t>
    </w:r>
    <w:r>
      <w:rPr>
        <w:color w:val="BFBFBF"/>
      </w:rPr>
      <w:t>|</w:t>
    </w:r>
    <w:r>
      <w:rPr>
        <w:color w:val="132D4D"/>
      </w:rPr>
      <w:t xml:space="preserve">  konfederacja.pl</w:t>
    </w:r>
  </w:p>
  <w:p w14:paraId="40AF6000" w14:textId="77777777" w:rsidR="009A64BA" w:rsidRDefault="009A6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DBFF" w14:textId="77777777" w:rsidR="00FE506F" w:rsidRDefault="00FE506F" w:rsidP="009A64BA">
      <w:r>
        <w:separator/>
      </w:r>
    </w:p>
  </w:footnote>
  <w:footnote w:type="continuationSeparator" w:id="0">
    <w:p w14:paraId="65194CC9" w14:textId="77777777" w:rsidR="00FE506F" w:rsidRDefault="00FE506F" w:rsidP="009A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A1D8" w14:textId="6C97B993" w:rsidR="009A64BA" w:rsidRDefault="009A64BA">
    <w:pPr>
      <w:pStyle w:val="Nagwek"/>
    </w:pPr>
    <w:r>
      <w:rPr>
        <w:noProof/>
        <w:color w:val="000000"/>
      </w:rPr>
      <w:drawing>
        <wp:inline distT="0" distB="0" distL="0" distR="0" wp14:anchorId="13B7351D" wp14:editId="1446A91F">
          <wp:extent cx="2736000" cy="493749"/>
          <wp:effectExtent l="0" t="0" r="0" b="0"/>
          <wp:docPr id="499512554" name="image1.jpg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Obraz zawierający tekst, Czcionka, logo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6000" cy="493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D9C"/>
    <w:multiLevelType w:val="hybridMultilevel"/>
    <w:tmpl w:val="8AD695B6"/>
    <w:lvl w:ilvl="0" w:tplc="E9781E56">
      <w:numFmt w:val="bullet"/>
      <w:lvlText w:val=""/>
      <w:lvlJc w:val="left"/>
      <w:pPr>
        <w:ind w:left="855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F29B7A">
      <w:numFmt w:val="bullet"/>
      <w:lvlText w:val="•"/>
      <w:lvlJc w:val="left"/>
      <w:pPr>
        <w:ind w:left="1709" w:hanging="359"/>
      </w:pPr>
      <w:rPr>
        <w:rFonts w:hint="default"/>
        <w:lang w:val="pl-PL" w:eastAsia="en-US" w:bidi="ar-SA"/>
      </w:rPr>
    </w:lvl>
    <w:lvl w:ilvl="2" w:tplc="36D637A2">
      <w:numFmt w:val="bullet"/>
      <w:lvlText w:val="•"/>
      <w:lvlJc w:val="left"/>
      <w:pPr>
        <w:ind w:left="2558" w:hanging="359"/>
      </w:pPr>
      <w:rPr>
        <w:rFonts w:hint="default"/>
        <w:lang w:val="pl-PL" w:eastAsia="en-US" w:bidi="ar-SA"/>
      </w:rPr>
    </w:lvl>
    <w:lvl w:ilvl="3" w:tplc="9806CCD4">
      <w:numFmt w:val="bullet"/>
      <w:lvlText w:val="•"/>
      <w:lvlJc w:val="left"/>
      <w:pPr>
        <w:ind w:left="3408" w:hanging="359"/>
      </w:pPr>
      <w:rPr>
        <w:rFonts w:hint="default"/>
        <w:lang w:val="pl-PL" w:eastAsia="en-US" w:bidi="ar-SA"/>
      </w:rPr>
    </w:lvl>
    <w:lvl w:ilvl="4" w:tplc="5F408A74">
      <w:numFmt w:val="bullet"/>
      <w:lvlText w:val="•"/>
      <w:lvlJc w:val="left"/>
      <w:pPr>
        <w:ind w:left="4257" w:hanging="359"/>
      </w:pPr>
      <w:rPr>
        <w:rFonts w:hint="default"/>
        <w:lang w:val="pl-PL" w:eastAsia="en-US" w:bidi="ar-SA"/>
      </w:rPr>
    </w:lvl>
    <w:lvl w:ilvl="5" w:tplc="159C810E">
      <w:numFmt w:val="bullet"/>
      <w:lvlText w:val="•"/>
      <w:lvlJc w:val="left"/>
      <w:pPr>
        <w:ind w:left="5107" w:hanging="359"/>
      </w:pPr>
      <w:rPr>
        <w:rFonts w:hint="default"/>
        <w:lang w:val="pl-PL" w:eastAsia="en-US" w:bidi="ar-SA"/>
      </w:rPr>
    </w:lvl>
    <w:lvl w:ilvl="6" w:tplc="882C8920">
      <w:numFmt w:val="bullet"/>
      <w:lvlText w:val="•"/>
      <w:lvlJc w:val="left"/>
      <w:pPr>
        <w:ind w:left="5956" w:hanging="359"/>
      </w:pPr>
      <w:rPr>
        <w:rFonts w:hint="default"/>
        <w:lang w:val="pl-PL" w:eastAsia="en-US" w:bidi="ar-SA"/>
      </w:rPr>
    </w:lvl>
    <w:lvl w:ilvl="7" w:tplc="3048AA7C">
      <w:numFmt w:val="bullet"/>
      <w:lvlText w:val="•"/>
      <w:lvlJc w:val="left"/>
      <w:pPr>
        <w:ind w:left="6805" w:hanging="359"/>
      </w:pPr>
      <w:rPr>
        <w:rFonts w:hint="default"/>
        <w:lang w:val="pl-PL" w:eastAsia="en-US" w:bidi="ar-SA"/>
      </w:rPr>
    </w:lvl>
    <w:lvl w:ilvl="8" w:tplc="0A362F80">
      <w:numFmt w:val="bullet"/>
      <w:lvlText w:val="•"/>
      <w:lvlJc w:val="left"/>
      <w:pPr>
        <w:ind w:left="7655" w:hanging="359"/>
      </w:pPr>
      <w:rPr>
        <w:rFonts w:hint="default"/>
        <w:lang w:val="pl-PL" w:eastAsia="en-US" w:bidi="ar-SA"/>
      </w:rPr>
    </w:lvl>
  </w:abstractNum>
  <w:num w:numId="1" w16cid:durableId="16276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8E5"/>
    <w:rsid w:val="001064FD"/>
    <w:rsid w:val="004204C4"/>
    <w:rsid w:val="00711F3C"/>
    <w:rsid w:val="0075172F"/>
    <w:rsid w:val="008B0483"/>
    <w:rsid w:val="008B6165"/>
    <w:rsid w:val="00993149"/>
    <w:rsid w:val="009A0EEF"/>
    <w:rsid w:val="009A64BA"/>
    <w:rsid w:val="00AC6EE9"/>
    <w:rsid w:val="00DD0E3D"/>
    <w:rsid w:val="00F248E5"/>
    <w:rsid w:val="00F938EE"/>
    <w:rsid w:val="00FE34DF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DD1"/>
  <w15:docId w15:val="{A4067CEB-20EF-46B7-B545-9162240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6"/>
      <w:ind w:left="85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6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B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6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B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Molesztak</dc:creator>
  <cp:lastModifiedBy>Grzegorz Molesztak</cp:lastModifiedBy>
  <cp:revision>3</cp:revision>
  <cp:lastPrinted>2025-02-20T11:37:00Z</cp:lastPrinted>
  <dcterms:created xsi:type="dcterms:W3CDTF">2025-02-06T14:58:00Z</dcterms:created>
  <dcterms:modified xsi:type="dcterms:W3CDTF">2025-02-20T11:37:00Z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macOS Wersja 12.6 (kompilacja 21G115) Quartz PDFContext</vt:lpwstr>
  </property>
</Properties>
</file>