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8BD5A" w14:textId="77777777" w:rsidR="00AE1E2F" w:rsidRPr="00032B3C" w:rsidRDefault="00AE1E2F" w:rsidP="00032B3C">
      <w:pPr>
        <w:spacing w:after="240" w:line="360" w:lineRule="auto"/>
        <w:jc w:val="center"/>
        <w:rPr>
          <w:rFonts w:ascii="Times New Roman" w:hAnsi="Times New Roman" w:cs="Times New Roman"/>
          <w:bCs/>
          <w:sz w:val="24"/>
          <w:szCs w:val="24"/>
        </w:rPr>
      </w:pPr>
      <w:r w:rsidRPr="00032B3C">
        <w:rPr>
          <w:rFonts w:ascii="Times New Roman" w:hAnsi="Times New Roman" w:cs="Times New Roman"/>
          <w:bCs/>
          <w:sz w:val="24"/>
          <w:szCs w:val="24"/>
        </w:rPr>
        <w:t>UZASADNIENIE</w:t>
      </w:r>
    </w:p>
    <w:p w14:paraId="3D44D367" w14:textId="2B7EDCE4"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Analiza statusu Agencji Mienia Wojskowego utworzonej ustawą z dnia 10 lipca 2015 r. o Agencji Mienia Wojskowego (Dz. U. z 2024 r. poz. 98</w:t>
      </w:r>
      <w:r w:rsidR="00501484">
        <w:rPr>
          <w:rFonts w:ascii="Times New Roman" w:hAnsi="Times New Roman" w:cs="Times New Roman"/>
          <w:sz w:val="24"/>
          <w:szCs w:val="24"/>
        </w:rPr>
        <w:t xml:space="preserve">, z </w:t>
      </w:r>
      <w:proofErr w:type="spellStart"/>
      <w:r w:rsidR="00501484">
        <w:rPr>
          <w:rFonts w:ascii="Times New Roman" w:hAnsi="Times New Roman" w:cs="Times New Roman"/>
          <w:sz w:val="24"/>
          <w:szCs w:val="24"/>
        </w:rPr>
        <w:t>późn</w:t>
      </w:r>
      <w:proofErr w:type="spellEnd"/>
      <w:r w:rsidR="00501484">
        <w:rPr>
          <w:rFonts w:ascii="Times New Roman" w:hAnsi="Times New Roman" w:cs="Times New Roman"/>
          <w:sz w:val="24"/>
          <w:szCs w:val="24"/>
        </w:rPr>
        <w:t>. zm.</w:t>
      </w:r>
      <w:r w:rsidRPr="00AE1E2F">
        <w:rPr>
          <w:rFonts w:ascii="Times New Roman" w:hAnsi="Times New Roman" w:cs="Times New Roman"/>
          <w:sz w:val="24"/>
          <w:szCs w:val="24"/>
        </w:rPr>
        <w:t>), zwanej dalej „ustawą o AMW”, wykazała konieczność dokonania zmian ustawowych. Celem projektu jest umożliwienie Agencji Mienia Wojskowego, zwanej dalej „Agencją”, efektywniejszej realizacji ustawowych zadań na rzecz obronności i bezpieczeństwa państwa. Dodatkowo należy podnieść, że część propozycji ma charakter optymalizujący, doprecyzowujący oraz ujednolicający. Z tego względu w ustawie o AMW wprowadzono następujące zmiany.</w:t>
      </w:r>
    </w:p>
    <w:p w14:paraId="146EE89E" w14:textId="3CECE487"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W art. 1 wprowadza się nowe brzmienie pkt 3, który doprecyzowuje przedmiot ustawy</w:t>
      </w:r>
      <w:r w:rsidR="00A73A44">
        <w:rPr>
          <w:rFonts w:ascii="Times New Roman" w:hAnsi="Times New Roman" w:cs="Times New Roman"/>
          <w:sz w:val="24"/>
          <w:szCs w:val="24"/>
        </w:rPr>
        <w:t>,</w:t>
      </w:r>
      <w:r w:rsidRPr="00AE1E2F">
        <w:rPr>
          <w:rFonts w:ascii="Times New Roman" w:hAnsi="Times New Roman" w:cs="Times New Roman"/>
          <w:sz w:val="24"/>
          <w:szCs w:val="24"/>
        </w:rPr>
        <w:t xml:space="preserve"> określając zasady i tryb gospodarowania mieniem Skarb</w:t>
      </w:r>
      <w:r w:rsidR="00146584">
        <w:rPr>
          <w:rFonts w:ascii="Times New Roman" w:hAnsi="Times New Roman" w:cs="Times New Roman"/>
          <w:sz w:val="24"/>
          <w:szCs w:val="24"/>
        </w:rPr>
        <w:t>u</w:t>
      </w:r>
      <w:r w:rsidRPr="00AE1E2F">
        <w:rPr>
          <w:rFonts w:ascii="Times New Roman" w:hAnsi="Times New Roman" w:cs="Times New Roman"/>
          <w:sz w:val="24"/>
          <w:szCs w:val="24"/>
        </w:rPr>
        <w:t xml:space="preserve"> Państwa, które zostało przekazane Agencji.</w:t>
      </w:r>
    </w:p>
    <w:p w14:paraId="7DDEB2D6" w14:textId="6707F6BE"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 xml:space="preserve">W art. 6 w ust. 1 dodany zostaje pkt 4, który rozszerza katalog powierzonych Agencji do wykonania praw rzeczowych przypadających Skarbowi Państwa. Proponowana zmiana pozwala na włączenie </w:t>
      </w:r>
      <w:proofErr w:type="gramStart"/>
      <w:r w:rsidRPr="00AE1E2F">
        <w:rPr>
          <w:rFonts w:ascii="Times New Roman" w:hAnsi="Times New Roman" w:cs="Times New Roman"/>
          <w:sz w:val="24"/>
          <w:szCs w:val="24"/>
        </w:rPr>
        <w:t>Agencji,</w:t>
      </w:r>
      <w:proofErr w:type="gramEnd"/>
      <w:r w:rsidRPr="00AE1E2F">
        <w:rPr>
          <w:rFonts w:ascii="Times New Roman" w:hAnsi="Times New Roman" w:cs="Times New Roman"/>
          <w:sz w:val="24"/>
          <w:szCs w:val="24"/>
        </w:rPr>
        <w:t xml:space="preserve"> jako podmiotu wyspecjalizowanego w zarządzaniu i obrocie mieniem ruchomym Skarbu Państwa, do procesu realizacji polityki międzynarodowej Państwa oraz utrzymania międzynarodowego pokoju i bezpieczeństwa.</w:t>
      </w:r>
    </w:p>
    <w:p w14:paraId="637FB9D8" w14:textId="6D79C617" w:rsidR="00AE1E2F" w:rsidRPr="00AE1E2F" w:rsidRDefault="00501484"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P</w:t>
      </w:r>
      <w:r>
        <w:rPr>
          <w:rFonts w:ascii="Times New Roman" w:hAnsi="Times New Roman" w:cs="Times New Roman"/>
          <w:sz w:val="24"/>
          <w:szCs w:val="24"/>
        </w:rPr>
        <w:t>rojektowana</w:t>
      </w:r>
      <w:r w:rsidRPr="00AE1E2F">
        <w:rPr>
          <w:rFonts w:ascii="Times New Roman" w:hAnsi="Times New Roman" w:cs="Times New Roman"/>
          <w:sz w:val="24"/>
          <w:szCs w:val="24"/>
        </w:rPr>
        <w:t xml:space="preserve"> </w:t>
      </w:r>
      <w:r w:rsidR="00AE1E2F" w:rsidRPr="00AE1E2F">
        <w:rPr>
          <w:rFonts w:ascii="Times New Roman" w:hAnsi="Times New Roman" w:cs="Times New Roman"/>
          <w:sz w:val="24"/>
          <w:szCs w:val="24"/>
        </w:rPr>
        <w:t>zmiana art. 7 ust. 1 pkt 14 ma charakter doprecyzowujący oraz ujednolicający obecne przepisy ustawowe. Nowo</w:t>
      </w:r>
      <w:r w:rsidR="00A73A44">
        <w:rPr>
          <w:rFonts w:ascii="Times New Roman" w:hAnsi="Times New Roman" w:cs="Times New Roman"/>
          <w:sz w:val="24"/>
          <w:szCs w:val="24"/>
        </w:rPr>
        <w:t xml:space="preserve"> </w:t>
      </w:r>
      <w:r w:rsidR="00AE1E2F" w:rsidRPr="00AE1E2F">
        <w:rPr>
          <w:rFonts w:ascii="Times New Roman" w:hAnsi="Times New Roman" w:cs="Times New Roman"/>
          <w:sz w:val="24"/>
          <w:szCs w:val="24"/>
        </w:rPr>
        <w:t>dodany art. 7b pozwoli na uniknięcie przy okazji organizacji wydarzeń promujących Siły Zbrojne Rzeczypospolitej Polskiej, w tym kolejnych edycji pokazów lotniczych</w:t>
      </w:r>
      <w:r w:rsidR="00A73A44">
        <w:rPr>
          <w:rFonts w:ascii="Times New Roman" w:hAnsi="Times New Roman" w:cs="Times New Roman"/>
          <w:sz w:val="24"/>
          <w:szCs w:val="24"/>
        </w:rPr>
        <w:t>,</w:t>
      </w:r>
      <w:r w:rsidR="00AE1E2F" w:rsidRPr="00AE1E2F">
        <w:rPr>
          <w:rFonts w:ascii="Times New Roman" w:hAnsi="Times New Roman" w:cs="Times New Roman"/>
          <w:sz w:val="24"/>
          <w:szCs w:val="24"/>
        </w:rPr>
        <w:t xml:space="preserve"> rozbieżności kompetencyjnych</w:t>
      </w:r>
      <w:r w:rsidR="00A73A44">
        <w:rPr>
          <w:rFonts w:ascii="Times New Roman" w:hAnsi="Times New Roman" w:cs="Times New Roman"/>
          <w:sz w:val="24"/>
          <w:szCs w:val="24"/>
        </w:rPr>
        <w:t>,</w:t>
      </w:r>
      <w:r w:rsidR="00AE1E2F" w:rsidRPr="00AE1E2F">
        <w:rPr>
          <w:rFonts w:ascii="Times New Roman" w:hAnsi="Times New Roman" w:cs="Times New Roman"/>
          <w:sz w:val="24"/>
          <w:szCs w:val="24"/>
        </w:rPr>
        <w:t xml:space="preserve"> jakie pojawiają się pomiędzy Agencją a instytucjami, dowództwami czy jednostkami wojskowymi zaangażowanymi w organizację tego typu wydarzeń, m.in. jak Międzynarodowe Pokazy Lotnicze AIR SHOW. Uregulowanie tego obszaru pozwoli na optymalne wykorzystanie posiadanego potencjału podmiotów biorących udział w ich organizowaniu i optymalizacji, racjonalizacji poniesionych kosztów.</w:t>
      </w:r>
    </w:p>
    <w:p w14:paraId="36098848" w14:textId="77777777"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Jednocześnie należy zaznaczyć, iż finansowanie zadań niezbędnych dla organizacji i przeprowadzenia wydarzeń promujących (w tym pokazów lotniczych) realizowane jest samodzielnie przez poszczególne podmioty uczestniczące w tych przedsięwzięciach w oparciu o własne plany finansowe/budżety i środki. Przyjmuje się, iż wszystkie podmioty uczestniczące w powyższych działaniach ponoszą odpowiedzialność finansową w związku ze zobowiązaniami zaciągniętymi przy organizacji działań promocyjnych w takim zakresie, jaki wynika z ich planów finansowych/budżetów własnych oraz z obowiązujących każdą ze Stron procedur własnych i przepisów prawa.</w:t>
      </w:r>
    </w:p>
    <w:p w14:paraId="26BE12D1" w14:textId="15CF26D8" w:rsidR="00AE1E2F" w:rsidRPr="00AE1E2F" w:rsidRDefault="00AE1E2F" w:rsidP="004B1C3E">
      <w:pPr>
        <w:spacing w:before="120" w:after="0" w:line="360" w:lineRule="auto"/>
        <w:jc w:val="both"/>
        <w:rPr>
          <w:rFonts w:ascii="Times New Roman" w:eastAsia="Times New Roman" w:hAnsi="Times New Roman" w:cs="Times New Roman"/>
          <w:sz w:val="24"/>
          <w:szCs w:val="24"/>
          <w:lang w:eastAsia="pl-PL" w:bidi="pl-PL"/>
        </w:rPr>
      </w:pPr>
      <w:r w:rsidRPr="00AE1E2F">
        <w:rPr>
          <w:rFonts w:ascii="Times New Roman" w:eastAsia="Times New Roman" w:hAnsi="Times New Roman" w:cs="Times New Roman"/>
          <w:sz w:val="24"/>
          <w:szCs w:val="24"/>
          <w:lang w:eastAsia="pl-PL" w:bidi="pl-PL"/>
        </w:rPr>
        <w:lastRenderedPageBreak/>
        <w:t>Agencja musi posiadać kompetencje do zawierania umów w sprawie organizowania wydarzeń promujących Siły Zbrojne</w:t>
      </w:r>
      <w:r w:rsidRPr="00AE1E2F">
        <w:rPr>
          <w:rFonts w:ascii="Times New Roman" w:hAnsi="Times New Roman" w:cs="Times New Roman"/>
          <w:sz w:val="24"/>
          <w:szCs w:val="24"/>
        </w:rPr>
        <w:t xml:space="preserve"> </w:t>
      </w:r>
      <w:r w:rsidRPr="00AE1E2F">
        <w:rPr>
          <w:rFonts w:ascii="Times New Roman" w:eastAsia="Times New Roman" w:hAnsi="Times New Roman" w:cs="Times New Roman"/>
          <w:sz w:val="24"/>
          <w:szCs w:val="24"/>
          <w:lang w:eastAsia="pl-PL" w:bidi="pl-PL"/>
        </w:rPr>
        <w:t>Rzeczypospolitej Polskiej, w tym pokazy lotnicze</w:t>
      </w:r>
      <w:r w:rsidR="00AC15AF">
        <w:rPr>
          <w:rFonts w:ascii="Times New Roman" w:eastAsia="Times New Roman" w:hAnsi="Times New Roman" w:cs="Times New Roman"/>
          <w:sz w:val="24"/>
          <w:szCs w:val="24"/>
          <w:lang w:eastAsia="pl-PL" w:bidi="pl-PL"/>
        </w:rPr>
        <w:t>,</w:t>
      </w:r>
      <w:r w:rsidRPr="00AE1E2F">
        <w:rPr>
          <w:rFonts w:ascii="Times New Roman" w:eastAsia="Times New Roman" w:hAnsi="Times New Roman" w:cs="Times New Roman"/>
          <w:sz w:val="24"/>
          <w:szCs w:val="24"/>
          <w:lang w:eastAsia="pl-PL" w:bidi="pl-PL"/>
        </w:rPr>
        <w:t xml:space="preserve"> również z instytucjami, przedsiębiorstwami, firmami spoza resortu obrony narodowej</w:t>
      </w:r>
      <w:r w:rsidR="00AC15AF">
        <w:rPr>
          <w:rFonts w:ascii="Times New Roman" w:eastAsia="Times New Roman" w:hAnsi="Times New Roman" w:cs="Times New Roman"/>
          <w:sz w:val="24"/>
          <w:szCs w:val="24"/>
          <w:lang w:eastAsia="pl-PL" w:bidi="pl-PL"/>
        </w:rPr>
        <w:t>,</w:t>
      </w:r>
      <w:r w:rsidRPr="00AE1E2F">
        <w:rPr>
          <w:rFonts w:ascii="Times New Roman" w:eastAsia="Times New Roman" w:hAnsi="Times New Roman" w:cs="Times New Roman"/>
          <w:sz w:val="24"/>
          <w:szCs w:val="24"/>
          <w:lang w:eastAsia="pl-PL" w:bidi="pl-PL"/>
        </w:rPr>
        <w:t xml:space="preserve"> z zaznaczeniem, że każda strona takiej umowy pokrywa koszty swojego zaangażowania lub zaproponowane świadczenia będą miały charakter ekwiwalentny.</w:t>
      </w:r>
    </w:p>
    <w:p w14:paraId="64E49B8A" w14:textId="1E828CBB" w:rsidR="00AE1E2F" w:rsidRPr="00AE1E2F" w:rsidRDefault="00AE1E2F" w:rsidP="00032B3C">
      <w:pPr>
        <w:spacing w:before="120" w:after="0" w:line="360" w:lineRule="auto"/>
        <w:jc w:val="both"/>
        <w:rPr>
          <w:rFonts w:ascii="Times New Roman" w:hAnsi="Times New Roman" w:cs="Times New Roman"/>
          <w:sz w:val="24"/>
          <w:szCs w:val="24"/>
          <w:lang w:eastAsia="pl-PL" w:bidi="pl-PL"/>
        </w:rPr>
      </w:pPr>
      <w:r w:rsidRPr="00AE1E2F">
        <w:rPr>
          <w:rFonts w:ascii="Times New Roman" w:hAnsi="Times New Roman" w:cs="Times New Roman"/>
          <w:sz w:val="24"/>
          <w:szCs w:val="24"/>
          <w:lang w:eastAsia="pl-PL" w:bidi="pl-PL"/>
        </w:rPr>
        <w:t xml:space="preserve">Należy podkreślić, że organizacja pokazów lotniczych będzie realizowana na podstawie stosownych decyzji Ministra Obrony Narodowej, </w:t>
      </w:r>
      <w:r w:rsidR="00AC15AF" w:rsidRPr="00AE1E2F">
        <w:rPr>
          <w:rFonts w:ascii="Times New Roman" w:hAnsi="Times New Roman" w:cs="Times New Roman"/>
          <w:sz w:val="24"/>
          <w:szCs w:val="24"/>
          <w:lang w:eastAsia="pl-PL" w:bidi="pl-PL"/>
        </w:rPr>
        <w:t>któr</w:t>
      </w:r>
      <w:r w:rsidR="00AC15AF">
        <w:rPr>
          <w:rFonts w:ascii="Times New Roman" w:hAnsi="Times New Roman" w:cs="Times New Roman"/>
          <w:sz w:val="24"/>
          <w:szCs w:val="24"/>
          <w:lang w:eastAsia="pl-PL" w:bidi="pl-PL"/>
        </w:rPr>
        <w:t>e</w:t>
      </w:r>
      <w:r w:rsidR="00AC15AF" w:rsidRPr="00AE1E2F">
        <w:rPr>
          <w:rFonts w:ascii="Times New Roman" w:hAnsi="Times New Roman" w:cs="Times New Roman"/>
          <w:sz w:val="24"/>
          <w:szCs w:val="24"/>
          <w:lang w:eastAsia="pl-PL" w:bidi="pl-PL"/>
        </w:rPr>
        <w:t xml:space="preserve"> będ</w:t>
      </w:r>
      <w:r w:rsidR="00AC15AF">
        <w:rPr>
          <w:rFonts w:ascii="Times New Roman" w:hAnsi="Times New Roman" w:cs="Times New Roman"/>
          <w:sz w:val="24"/>
          <w:szCs w:val="24"/>
          <w:lang w:eastAsia="pl-PL" w:bidi="pl-PL"/>
        </w:rPr>
        <w:t>ą</w:t>
      </w:r>
      <w:r w:rsidR="00AC15AF" w:rsidRPr="00AE1E2F">
        <w:rPr>
          <w:rFonts w:ascii="Times New Roman" w:hAnsi="Times New Roman" w:cs="Times New Roman"/>
          <w:sz w:val="24"/>
          <w:szCs w:val="24"/>
          <w:lang w:eastAsia="pl-PL" w:bidi="pl-PL"/>
        </w:rPr>
        <w:t xml:space="preserve"> regulował</w:t>
      </w:r>
      <w:r w:rsidR="00AC15AF">
        <w:rPr>
          <w:rFonts w:ascii="Times New Roman" w:hAnsi="Times New Roman" w:cs="Times New Roman"/>
          <w:sz w:val="24"/>
          <w:szCs w:val="24"/>
          <w:lang w:eastAsia="pl-PL" w:bidi="pl-PL"/>
        </w:rPr>
        <w:t>y</w:t>
      </w:r>
      <w:r w:rsidR="00AC15AF" w:rsidRPr="00AE1E2F">
        <w:rPr>
          <w:rFonts w:ascii="Times New Roman" w:hAnsi="Times New Roman" w:cs="Times New Roman"/>
          <w:sz w:val="24"/>
          <w:szCs w:val="24"/>
          <w:lang w:eastAsia="pl-PL" w:bidi="pl-PL"/>
        </w:rPr>
        <w:t xml:space="preserve"> </w:t>
      </w:r>
      <w:r w:rsidRPr="00AE1E2F">
        <w:rPr>
          <w:rFonts w:ascii="Times New Roman" w:hAnsi="Times New Roman" w:cs="Times New Roman"/>
          <w:sz w:val="24"/>
          <w:szCs w:val="24"/>
          <w:lang w:eastAsia="pl-PL" w:bidi="pl-PL"/>
        </w:rPr>
        <w:t>zaangażowanie poszczególnych instytucji, dowództw, komórek podległych Ministrowi Obrony Narodowej.</w:t>
      </w:r>
    </w:p>
    <w:p w14:paraId="312FDF24" w14:textId="115D96B0"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 xml:space="preserve">Dodanie </w:t>
      </w:r>
      <w:r w:rsidR="00AC15AF">
        <w:rPr>
          <w:rFonts w:ascii="Times New Roman" w:hAnsi="Times New Roman" w:cs="Times New Roman"/>
          <w:sz w:val="24"/>
          <w:szCs w:val="24"/>
        </w:rPr>
        <w:t>przepisu</w:t>
      </w:r>
      <w:r w:rsidR="00AC15AF" w:rsidRPr="00AE1E2F">
        <w:rPr>
          <w:rFonts w:ascii="Times New Roman" w:hAnsi="Times New Roman" w:cs="Times New Roman"/>
          <w:sz w:val="24"/>
          <w:szCs w:val="24"/>
        </w:rPr>
        <w:t xml:space="preserve"> </w:t>
      </w:r>
      <w:r w:rsidRPr="00AE1E2F">
        <w:rPr>
          <w:rFonts w:ascii="Times New Roman" w:hAnsi="Times New Roman" w:cs="Times New Roman"/>
          <w:sz w:val="24"/>
          <w:szCs w:val="24"/>
        </w:rPr>
        <w:t>art. 43 ust. 3 jest efektem zmian wprowadzonych w całej ustawie</w:t>
      </w:r>
      <w:r w:rsidR="00AC15AF">
        <w:rPr>
          <w:rFonts w:ascii="Times New Roman" w:hAnsi="Times New Roman" w:cs="Times New Roman"/>
          <w:sz w:val="24"/>
          <w:szCs w:val="24"/>
        </w:rPr>
        <w:t>,</w:t>
      </w:r>
      <w:r w:rsidRPr="00AE1E2F">
        <w:rPr>
          <w:rFonts w:ascii="Times New Roman" w:hAnsi="Times New Roman" w:cs="Times New Roman"/>
          <w:sz w:val="24"/>
          <w:szCs w:val="24"/>
        </w:rPr>
        <w:t xml:space="preserve"> powodujących konieczność rozszerzenia katalogu mienia przekazywanego na rzecz Agencji.</w:t>
      </w:r>
    </w:p>
    <w:p w14:paraId="14903209" w14:textId="77777777"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Zaproponowane zmiany w art. 47 ust. 5 dotyczące dodania pkt 3 są konsekwencją rozszerzenia uprawnień Agencji, co wymaga wskazania organów odpowiedzialnych za określenie wartości w protokole zdawczo-odbiorczym mienia ruchomego Skarbu Państwa lub produktów podwójnego zastosowania i uzbrojenia, o których mowa w art. 3 pkt 1 i 2 ustawy z dnia 29 listopada 2000 r. o obrocie z zagranicą towarami, technologiami i usługami o znaczeniu strategicznym dla bezpieczeństwa państwa, a także dla utrzymania międzynarodowego pokoju i bezpieczeństwa, przeznaczonych do przekazania siłom zbrojnym państw obcych.</w:t>
      </w:r>
    </w:p>
    <w:p w14:paraId="7ADC4175" w14:textId="77777777"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Zmiana w art. 54 ust. 1 jest zmianą o charakterze doprecyzowującym w związku z wprowadzeniem nowego brzmienia innych przepisów przedmiotowej ustawy.</w:t>
      </w:r>
    </w:p>
    <w:p w14:paraId="6EC81C90" w14:textId="459D1008"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Dodanie art. 56a stanowi rozszerzenie uprawnień Agencji, której jednym z zadań własnych wskazanych przez ustawodawcę w art. 7 ust. 1 pkt 1 ustawy o AMW jest już gospodarowanie mieniem Skarbu Państwa powierzonym i użyczonym Agencji, w tym obrót z zagranicą towarami, technologiami i usługami o znaczeniu strategicznym dla bezpieczeństwa państwa, o którym mowa w ustawie z dnia 29 listopada 2000 r. o obrocie z zagranicą towarami, technologiami i usługami o znaczeniu strategicznym dla bezpieczeństwa państwa (Dz.</w:t>
      </w:r>
      <w:r>
        <w:rPr>
          <w:rFonts w:ascii="Times New Roman" w:hAnsi="Times New Roman" w:cs="Times New Roman"/>
          <w:sz w:val="24"/>
          <w:szCs w:val="24"/>
        </w:rPr>
        <w:t xml:space="preserve"> </w:t>
      </w:r>
      <w:r w:rsidRPr="00AE1E2F">
        <w:rPr>
          <w:rFonts w:ascii="Times New Roman" w:hAnsi="Times New Roman" w:cs="Times New Roman"/>
          <w:sz w:val="24"/>
          <w:szCs w:val="24"/>
        </w:rPr>
        <w:t xml:space="preserve">U. z 2023 r. poz. 1582), a także dla utrzymania międzynarodowego pokoju i bezpieczeństwa. Aktualnie Minister Obrony Narodowej, zgodnie z treścią art. 92 ustawy AMW, może, na podstawie uchwały Rady Ministrów, ale bez pośrednictwa Agencji, przekazywać nieodpłatnie siłom zbrojnym państw obcych wskazanych w tej uchwale produkty podwójnego zastosowania w rozumieniu art. 2 pkt 1 rozporządzenia Parlamentu Europejskiego i Rady (UE) 2021/821 z dnia 20 maja 2021 r. ustanawiającego unijny system kontroli wywozu, pośrednictwa, pomocy technicznej, tranzytu i transferu produktów podwójnego zastosowania (Dz. Urz. UE L 206 z </w:t>
      </w:r>
      <w:r w:rsidRPr="00AE1E2F">
        <w:rPr>
          <w:rFonts w:ascii="Times New Roman" w:hAnsi="Times New Roman" w:cs="Times New Roman"/>
          <w:sz w:val="24"/>
          <w:szCs w:val="24"/>
        </w:rPr>
        <w:lastRenderedPageBreak/>
        <w:t xml:space="preserve">11.06.2021, str. 1, z </w:t>
      </w:r>
      <w:proofErr w:type="spellStart"/>
      <w:r w:rsidRPr="00AE1E2F">
        <w:rPr>
          <w:rFonts w:ascii="Times New Roman" w:hAnsi="Times New Roman" w:cs="Times New Roman"/>
          <w:sz w:val="24"/>
          <w:szCs w:val="24"/>
        </w:rPr>
        <w:t>późn</w:t>
      </w:r>
      <w:proofErr w:type="spellEnd"/>
      <w:r w:rsidRPr="00AE1E2F">
        <w:rPr>
          <w:rFonts w:ascii="Times New Roman" w:hAnsi="Times New Roman" w:cs="Times New Roman"/>
          <w:sz w:val="24"/>
          <w:szCs w:val="24"/>
        </w:rPr>
        <w:t>. zm.) i uzbrojenie w rozumieniu art. 3 pkt 2 ustawy z dnia 29 listopada 2000 r. o obrocie z zagranicą towarami, technologiami i usługami o znaczeniu strategicznym dla bezpieczeństwa państwa, a także dla utrzymania międzynarodowego pokoju i bezpieczeństwa, oraz mienie ruchome Skarbu Państwa. Powyższe powoduje konieczność realizacji przez Siły Zbrojne Rzeczypospolitej Polskiej dodatkowych zadań, które nie należą do ich podstawowych obowiązków, a mają charakter zarządczy w odniesieniu do mienia ruchomego Skarbu Państwa. Wprowadzenie proponowanych zmian pozwoli Agencji na włączenie się w realizację polityki międzynarodowej Państwa oraz utrzymania międzynarodowego pokoju i bezpieczeństwa.</w:t>
      </w:r>
    </w:p>
    <w:p w14:paraId="0DFCB248" w14:textId="77777777"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Podstawą do podjęcia powyższych zadań będzie właściwa uchwała Rady Ministrów, analogicznie jak ma to miejsce w przypadkach określonych w art. 92 ustawy. Wynika to z faktu, że podejmowanie tego rodzaju działań dotyczy sfery stosunków międzynarodowych co należy do kompetencji Rady Ministrów, zgodnie z art. 146 ust. 4 pkt 8 i 9 Konstytucji RP, a także z faktu, że będzie to mienie przekazywane siłom zbrojnym innych państw i będzie to mienie inne niż niewykorzystywane do realizacji zadań jednostek podległych Ministrowi Obrony Narodowej lub przez niego nadzorowanych. Mienie będące we władaniu jednostek organizacyjnych podległych Ministrowi Obrony Narodowej albo ministrowi właściwemu do spraw wewnętrznych lub przez nich nadzorowanych, niewykorzystywane do realizacji ich zadań, będzie mogło być przekazywane siłom zbrojnym państw obcych tak jak dotychczas przez Agencję na podstawie decyzji Ministra Obrony Narodowej albo decyzji ministra właściwego do spraw wewnętrznych, o czym stanowi art. 57 nowelizowanej ustawy o AMW.</w:t>
      </w:r>
    </w:p>
    <w:p w14:paraId="32503246" w14:textId="4E6A8C9E"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 xml:space="preserve">Nowe brzmienie art. 57 wynika z konieczności optymalizacji obowiązujących przepisów. Jednocześnie stanowi doprecyzowanie oraz ujednolicenie obecnych zapisów. Pozwoli to na efektywniejszą realizację ustawowego zadania polegającego na gospodarowaniu mieniem ruchomym, przeznaczonym do </w:t>
      </w:r>
      <w:r w:rsidR="00E96D47" w:rsidRPr="00AE1E2F">
        <w:rPr>
          <w:rFonts w:ascii="Times New Roman" w:hAnsi="Times New Roman" w:cs="Times New Roman"/>
          <w:sz w:val="24"/>
          <w:szCs w:val="24"/>
        </w:rPr>
        <w:t xml:space="preserve">zbycia </w:t>
      </w:r>
      <w:r w:rsidR="00E96D47">
        <w:rPr>
          <w:rFonts w:ascii="Times New Roman" w:hAnsi="Times New Roman" w:cs="Times New Roman"/>
          <w:sz w:val="24"/>
          <w:szCs w:val="24"/>
        </w:rPr>
        <w:t xml:space="preserve">lub </w:t>
      </w:r>
      <w:r w:rsidRPr="00AE1E2F">
        <w:rPr>
          <w:rFonts w:ascii="Times New Roman" w:hAnsi="Times New Roman" w:cs="Times New Roman"/>
          <w:sz w:val="24"/>
          <w:szCs w:val="24"/>
        </w:rPr>
        <w:t>nieodpłatnego przekazania.</w:t>
      </w:r>
    </w:p>
    <w:p w14:paraId="49A57129" w14:textId="68A16974"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Dodanie art. 57a jest spowodowane zmianami w przepisach dotyczących przekazywania i zbywania mienia przez Agencję. Rozszerzenie uprawnień Agencji i doprecyzowanie już obowiązujących przepisów implikuje konieczność wprowadzenia przepisów regulujących sposób określenia wartości mienia oraz wskazanie podmiotów za to odpowiedzialnych.</w:t>
      </w:r>
    </w:p>
    <w:p w14:paraId="6AF3018A" w14:textId="77777777"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Proponuje się, aby projektowana ustawa weszła w życie po upływie 14 dni od dnia ogłoszenia, co stanowi niezbędny okres vacatio legis do wprowadzenia projektowanych regulacji.</w:t>
      </w:r>
    </w:p>
    <w:p w14:paraId="078F0E90" w14:textId="1F26D5B2"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lastRenderedPageBreak/>
        <w:t xml:space="preserve">Projekt, z uwagi na swój charakter, nie zawiera regulacji dotyczących majątkowych praw i obowiązków przedsiębiorców lub praw i obowiązków przedsiębiorców wobec organów administracji publicznej, a zatem nie podlega obowiązkowi dokonania oceny przewidywanego wpływu proponowanych rozwiązań na działalność mikro-, małych i średnich przedsiębiorców, stosownie do przepisów ustawy z dnia 6 marca 2018 r. </w:t>
      </w:r>
      <w:r w:rsidRPr="00AE1E2F">
        <w:rPr>
          <w:rFonts w:ascii="Times New Roman" w:hAnsi="Times New Roman" w:cs="Times New Roman"/>
          <w:sz w:val="24"/>
          <w:szCs w:val="24"/>
        </w:rPr>
        <w:sym w:font="Symbol" w:char="F02D"/>
      </w:r>
      <w:r w:rsidRPr="00AE1E2F">
        <w:rPr>
          <w:rFonts w:ascii="Times New Roman" w:hAnsi="Times New Roman" w:cs="Times New Roman"/>
          <w:sz w:val="24"/>
          <w:szCs w:val="24"/>
        </w:rPr>
        <w:t xml:space="preserve"> Prawo przedsiębiorców (Dz. U. z 2024 r. poz. 236, z </w:t>
      </w:r>
      <w:proofErr w:type="spellStart"/>
      <w:r w:rsidRPr="00AE1E2F">
        <w:rPr>
          <w:rFonts w:ascii="Times New Roman" w:hAnsi="Times New Roman" w:cs="Times New Roman"/>
          <w:sz w:val="24"/>
          <w:szCs w:val="24"/>
        </w:rPr>
        <w:t>późn</w:t>
      </w:r>
      <w:proofErr w:type="spellEnd"/>
      <w:r w:rsidRPr="00AE1E2F">
        <w:rPr>
          <w:rFonts w:ascii="Times New Roman" w:hAnsi="Times New Roman" w:cs="Times New Roman"/>
          <w:sz w:val="24"/>
          <w:szCs w:val="24"/>
        </w:rPr>
        <w:t>. zm.).</w:t>
      </w:r>
    </w:p>
    <w:p w14:paraId="162E4E81" w14:textId="16A29606"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 xml:space="preserve">Stosownie do postanowień § 52 uchwały </w:t>
      </w:r>
      <w:r w:rsidR="00146584">
        <w:rPr>
          <w:rFonts w:ascii="Times New Roman" w:hAnsi="Times New Roman" w:cs="Times New Roman"/>
          <w:sz w:val="24"/>
          <w:szCs w:val="24"/>
        </w:rPr>
        <w:t>n</w:t>
      </w:r>
      <w:r w:rsidRPr="00AE1E2F">
        <w:rPr>
          <w:rFonts w:ascii="Times New Roman" w:hAnsi="Times New Roman" w:cs="Times New Roman"/>
          <w:sz w:val="24"/>
          <w:szCs w:val="24"/>
        </w:rPr>
        <w:t xml:space="preserve">r 190 Rady Ministrów z dnia 29 października 2013 r. </w:t>
      </w:r>
      <w:r>
        <w:rPr>
          <w:rFonts w:ascii="Times New Roman" w:hAnsi="Times New Roman" w:cs="Times New Roman"/>
          <w:sz w:val="24"/>
          <w:szCs w:val="24"/>
        </w:rPr>
        <w:t>–</w:t>
      </w:r>
      <w:r w:rsidRPr="00AE1E2F">
        <w:rPr>
          <w:rFonts w:ascii="Times New Roman" w:hAnsi="Times New Roman" w:cs="Times New Roman"/>
          <w:sz w:val="24"/>
          <w:szCs w:val="24"/>
        </w:rPr>
        <w:t xml:space="preserve"> Regulamin pracy Rady Ministrów (M.P. z 2024 r. poz. 806) oraz zgodnie z art. 5 ustawy z dnia 7 lipca 2005 r. o działalności lobbingowej w procesie stanowienia prawa (Dz. U. z 2017 r. poz. 248, z </w:t>
      </w:r>
      <w:proofErr w:type="spellStart"/>
      <w:r w:rsidRPr="00AE1E2F">
        <w:rPr>
          <w:rFonts w:ascii="Times New Roman" w:hAnsi="Times New Roman" w:cs="Times New Roman"/>
          <w:sz w:val="24"/>
          <w:szCs w:val="24"/>
        </w:rPr>
        <w:t>późn</w:t>
      </w:r>
      <w:proofErr w:type="spellEnd"/>
      <w:r w:rsidRPr="00AE1E2F">
        <w:rPr>
          <w:rFonts w:ascii="Times New Roman" w:hAnsi="Times New Roman" w:cs="Times New Roman"/>
          <w:sz w:val="24"/>
          <w:szCs w:val="24"/>
        </w:rPr>
        <w:t>. zm.) projekt ustawy został zamieszczony w Biuletynie Informacji Publicznej na stronie podmiotowej Rządowego Centrum Legislacji</w:t>
      </w:r>
      <w:r w:rsidR="00146584">
        <w:rPr>
          <w:rFonts w:ascii="Times New Roman" w:hAnsi="Times New Roman" w:cs="Times New Roman"/>
          <w:sz w:val="24"/>
          <w:szCs w:val="24"/>
        </w:rPr>
        <w:t>,</w:t>
      </w:r>
      <w:r w:rsidRPr="00AE1E2F">
        <w:rPr>
          <w:rFonts w:ascii="Times New Roman" w:hAnsi="Times New Roman" w:cs="Times New Roman"/>
          <w:sz w:val="24"/>
          <w:szCs w:val="24"/>
        </w:rPr>
        <w:t xml:space="preserve"> w serwisie Rządowy Proces Legislacyjny. Żadne podmioty nie wykazały zainteresowania pracami nad projektem w trybie tej ustawy.</w:t>
      </w:r>
    </w:p>
    <w:p w14:paraId="09867A71" w14:textId="77777777"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 xml:space="preserve">Projekt ustawy nie podlega notyfikacji zgodnie z procedurą określoną w rozporządzeniu Rady Ministrów z dnia 23 grudnia 2002 r. w sprawie sposobu funkcjonowania krajowego systemu notyfikacji norm i aktów prawnych (Dz. U. poz. 2039, z </w:t>
      </w:r>
      <w:proofErr w:type="spellStart"/>
      <w:r w:rsidRPr="00AE1E2F">
        <w:rPr>
          <w:rFonts w:ascii="Times New Roman" w:hAnsi="Times New Roman" w:cs="Times New Roman"/>
          <w:sz w:val="24"/>
          <w:szCs w:val="24"/>
        </w:rPr>
        <w:t>późn</w:t>
      </w:r>
      <w:proofErr w:type="spellEnd"/>
      <w:r w:rsidRPr="00AE1E2F">
        <w:rPr>
          <w:rFonts w:ascii="Times New Roman" w:hAnsi="Times New Roman" w:cs="Times New Roman"/>
          <w:sz w:val="24"/>
          <w:szCs w:val="24"/>
        </w:rPr>
        <w:t>. zm.).</w:t>
      </w:r>
    </w:p>
    <w:p w14:paraId="0713F0C9" w14:textId="77777777" w:rsidR="00AE1E2F" w:rsidRPr="00AE1E2F"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Projekt ustawy nie wymaga uzyskania opinii, dokonania powiadomienia, konsultacji albo uzgodnienia z właściwymi instytucjami i organami Unii Europejskiej, w tym Europejskim Bankiem Centralnym.</w:t>
      </w:r>
    </w:p>
    <w:p w14:paraId="16B68C61" w14:textId="76623506" w:rsidR="00581453" w:rsidRPr="00032B3C" w:rsidRDefault="00AE1E2F" w:rsidP="00032B3C">
      <w:pPr>
        <w:spacing w:before="120" w:after="0" w:line="360" w:lineRule="auto"/>
        <w:jc w:val="both"/>
        <w:rPr>
          <w:rFonts w:ascii="Times New Roman" w:hAnsi="Times New Roman" w:cs="Times New Roman"/>
          <w:sz w:val="24"/>
          <w:szCs w:val="24"/>
        </w:rPr>
      </w:pPr>
      <w:r w:rsidRPr="00AE1E2F">
        <w:rPr>
          <w:rFonts w:ascii="Times New Roman" w:hAnsi="Times New Roman" w:cs="Times New Roman"/>
          <w:sz w:val="24"/>
          <w:szCs w:val="24"/>
        </w:rPr>
        <w:t>Projekt ustawy nie jest objęty prawem Unii Europejskiej.</w:t>
      </w:r>
    </w:p>
    <w:sectPr w:rsidR="00581453" w:rsidRPr="00032B3C" w:rsidSect="00AE1E2F">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EA02" w14:textId="77777777" w:rsidR="00D62A61" w:rsidRDefault="00D62A61" w:rsidP="00AE1E2F">
      <w:pPr>
        <w:spacing w:after="0" w:line="240" w:lineRule="auto"/>
      </w:pPr>
      <w:r>
        <w:separator/>
      </w:r>
    </w:p>
  </w:endnote>
  <w:endnote w:type="continuationSeparator" w:id="0">
    <w:p w14:paraId="121F8A86" w14:textId="77777777" w:rsidR="00D62A61" w:rsidRDefault="00D62A61" w:rsidP="00AE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835425"/>
      <w:docPartObj>
        <w:docPartGallery w:val="Page Numbers (Bottom of Page)"/>
        <w:docPartUnique/>
      </w:docPartObj>
    </w:sdtPr>
    <w:sdtEndPr>
      <w:rPr>
        <w:rFonts w:ascii="Times New Roman" w:hAnsi="Times New Roman" w:cs="Times New Roman"/>
        <w:sz w:val="24"/>
        <w:szCs w:val="24"/>
      </w:rPr>
    </w:sdtEndPr>
    <w:sdtContent>
      <w:p w14:paraId="76C243C0" w14:textId="78A6E50E" w:rsidR="00AE1E2F" w:rsidRPr="00AE1E2F" w:rsidRDefault="00AE1E2F" w:rsidP="00AE1E2F">
        <w:pPr>
          <w:pStyle w:val="Stopka"/>
          <w:jc w:val="center"/>
          <w:rPr>
            <w:rFonts w:ascii="Times New Roman" w:hAnsi="Times New Roman" w:cs="Times New Roman"/>
            <w:sz w:val="24"/>
            <w:szCs w:val="24"/>
          </w:rPr>
        </w:pPr>
        <w:r w:rsidRPr="00AE1E2F">
          <w:rPr>
            <w:rFonts w:ascii="Times New Roman" w:hAnsi="Times New Roman" w:cs="Times New Roman"/>
            <w:sz w:val="24"/>
            <w:szCs w:val="24"/>
          </w:rPr>
          <w:fldChar w:fldCharType="begin"/>
        </w:r>
        <w:r w:rsidRPr="00AE1E2F">
          <w:rPr>
            <w:rFonts w:ascii="Times New Roman" w:hAnsi="Times New Roman" w:cs="Times New Roman"/>
            <w:sz w:val="24"/>
            <w:szCs w:val="24"/>
          </w:rPr>
          <w:instrText>PAGE   \* MERGEFORMAT</w:instrText>
        </w:r>
        <w:r w:rsidRPr="00AE1E2F">
          <w:rPr>
            <w:rFonts w:ascii="Times New Roman" w:hAnsi="Times New Roman" w:cs="Times New Roman"/>
            <w:sz w:val="24"/>
            <w:szCs w:val="24"/>
          </w:rPr>
          <w:fldChar w:fldCharType="separate"/>
        </w:r>
        <w:r w:rsidRPr="00AE1E2F">
          <w:rPr>
            <w:rFonts w:ascii="Times New Roman" w:hAnsi="Times New Roman" w:cs="Times New Roman"/>
            <w:sz w:val="24"/>
            <w:szCs w:val="24"/>
          </w:rPr>
          <w:t>2</w:t>
        </w:r>
        <w:r w:rsidRPr="00AE1E2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4539" w14:textId="77777777" w:rsidR="00D62A61" w:rsidRDefault="00D62A61" w:rsidP="00AE1E2F">
      <w:pPr>
        <w:spacing w:after="0" w:line="240" w:lineRule="auto"/>
      </w:pPr>
      <w:r>
        <w:separator/>
      </w:r>
    </w:p>
  </w:footnote>
  <w:footnote w:type="continuationSeparator" w:id="0">
    <w:p w14:paraId="5EFA02C2" w14:textId="77777777" w:rsidR="00D62A61" w:rsidRDefault="00D62A61" w:rsidP="00AE1E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2F"/>
    <w:rsid w:val="00032B3C"/>
    <w:rsid w:val="00040A9C"/>
    <w:rsid w:val="00146584"/>
    <w:rsid w:val="001759EE"/>
    <w:rsid w:val="002A2647"/>
    <w:rsid w:val="002A6D29"/>
    <w:rsid w:val="004B1C3E"/>
    <w:rsid w:val="00501484"/>
    <w:rsid w:val="00581453"/>
    <w:rsid w:val="00584492"/>
    <w:rsid w:val="00663719"/>
    <w:rsid w:val="00891572"/>
    <w:rsid w:val="00A73A44"/>
    <w:rsid w:val="00AC15AF"/>
    <w:rsid w:val="00AE1E2F"/>
    <w:rsid w:val="00C349B1"/>
    <w:rsid w:val="00C35896"/>
    <w:rsid w:val="00CB53E7"/>
    <w:rsid w:val="00D62A61"/>
    <w:rsid w:val="00E517B7"/>
    <w:rsid w:val="00E96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66E6"/>
  <w15:chartTrackingRefBased/>
  <w15:docId w15:val="{203D6B18-8ECA-4A33-AF5D-9F413914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E2F"/>
    <w:rPr>
      <w:kern w:val="0"/>
      <w14:ligatures w14:val="none"/>
    </w:rPr>
  </w:style>
  <w:style w:type="paragraph" w:styleId="Nagwek1">
    <w:name w:val="heading 1"/>
    <w:basedOn w:val="Normalny"/>
    <w:next w:val="Normalny"/>
    <w:link w:val="Nagwek1Znak"/>
    <w:uiPriority w:val="9"/>
    <w:qFormat/>
    <w:rsid w:val="00AE1E2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AE1E2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AE1E2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AE1E2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AE1E2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AE1E2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AE1E2F"/>
    <w:pPr>
      <w:keepNext/>
      <w:keepLines/>
      <w:spacing w:before="40" w:after="0"/>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AE1E2F"/>
    <w:pPr>
      <w:keepNext/>
      <w:keepLines/>
      <w:spacing w:after="0"/>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AE1E2F"/>
    <w:pPr>
      <w:keepNext/>
      <w:keepLines/>
      <w:spacing w:after="0"/>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1E2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E1E2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E1E2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E1E2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E1E2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E1E2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E1E2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E1E2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E1E2F"/>
    <w:rPr>
      <w:rFonts w:eastAsiaTheme="majorEastAsia" w:cstheme="majorBidi"/>
      <w:color w:val="272727" w:themeColor="text1" w:themeTint="D8"/>
    </w:rPr>
  </w:style>
  <w:style w:type="paragraph" w:styleId="Tytu">
    <w:name w:val="Title"/>
    <w:basedOn w:val="Normalny"/>
    <w:next w:val="Normalny"/>
    <w:link w:val="TytuZnak"/>
    <w:uiPriority w:val="10"/>
    <w:qFormat/>
    <w:rsid w:val="00AE1E2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AE1E2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E1E2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AE1E2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E1E2F"/>
    <w:pPr>
      <w:spacing w:before="160"/>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AE1E2F"/>
    <w:rPr>
      <w:i/>
      <w:iCs/>
      <w:color w:val="404040" w:themeColor="text1" w:themeTint="BF"/>
    </w:rPr>
  </w:style>
  <w:style w:type="paragraph" w:styleId="Akapitzlist">
    <w:name w:val="List Paragraph"/>
    <w:basedOn w:val="Normalny"/>
    <w:uiPriority w:val="34"/>
    <w:qFormat/>
    <w:rsid w:val="00AE1E2F"/>
    <w:pPr>
      <w:ind w:left="720"/>
      <w:contextualSpacing/>
    </w:pPr>
    <w:rPr>
      <w:kern w:val="2"/>
      <w14:ligatures w14:val="standardContextual"/>
    </w:rPr>
  </w:style>
  <w:style w:type="character" w:styleId="Wyrnienieintensywne">
    <w:name w:val="Intense Emphasis"/>
    <w:basedOn w:val="Domylnaczcionkaakapitu"/>
    <w:uiPriority w:val="21"/>
    <w:qFormat/>
    <w:rsid w:val="00AE1E2F"/>
    <w:rPr>
      <w:i/>
      <w:iCs/>
      <w:color w:val="0F4761" w:themeColor="accent1" w:themeShade="BF"/>
    </w:rPr>
  </w:style>
  <w:style w:type="paragraph" w:styleId="Cytatintensywny">
    <w:name w:val="Intense Quote"/>
    <w:basedOn w:val="Normalny"/>
    <w:next w:val="Normalny"/>
    <w:link w:val="CytatintensywnyZnak"/>
    <w:uiPriority w:val="30"/>
    <w:qFormat/>
    <w:rsid w:val="00AE1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AE1E2F"/>
    <w:rPr>
      <w:i/>
      <w:iCs/>
      <w:color w:val="0F4761" w:themeColor="accent1" w:themeShade="BF"/>
    </w:rPr>
  </w:style>
  <w:style w:type="character" w:styleId="Odwoanieintensywne">
    <w:name w:val="Intense Reference"/>
    <w:basedOn w:val="Domylnaczcionkaakapitu"/>
    <w:uiPriority w:val="32"/>
    <w:qFormat/>
    <w:rsid w:val="00AE1E2F"/>
    <w:rPr>
      <w:b/>
      <w:bCs/>
      <w:smallCaps/>
      <w:color w:val="0F4761" w:themeColor="accent1" w:themeShade="BF"/>
      <w:spacing w:val="5"/>
    </w:rPr>
  </w:style>
  <w:style w:type="paragraph" w:styleId="Poprawka">
    <w:name w:val="Revision"/>
    <w:hidden/>
    <w:uiPriority w:val="99"/>
    <w:semiHidden/>
    <w:rsid w:val="00AE1E2F"/>
    <w:pPr>
      <w:spacing w:after="0" w:line="240" w:lineRule="auto"/>
    </w:pPr>
    <w:rPr>
      <w:kern w:val="0"/>
      <w14:ligatures w14:val="none"/>
    </w:rPr>
  </w:style>
  <w:style w:type="paragraph" w:styleId="Nagwek">
    <w:name w:val="header"/>
    <w:basedOn w:val="Normalny"/>
    <w:link w:val="NagwekZnak"/>
    <w:uiPriority w:val="99"/>
    <w:unhideWhenUsed/>
    <w:rsid w:val="00AE1E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E2F"/>
    <w:rPr>
      <w:kern w:val="0"/>
      <w14:ligatures w14:val="none"/>
    </w:rPr>
  </w:style>
  <w:style w:type="paragraph" w:styleId="Stopka">
    <w:name w:val="footer"/>
    <w:basedOn w:val="Normalny"/>
    <w:link w:val="StopkaZnak"/>
    <w:uiPriority w:val="99"/>
    <w:unhideWhenUsed/>
    <w:rsid w:val="00AE1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1E2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7950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Bodych Dominika</dc:creator>
  <cp:keywords/>
  <dc:description/>
  <cp:lastModifiedBy>Bodych Dominika</cp:lastModifiedBy>
  <cp:revision>2</cp:revision>
  <dcterms:created xsi:type="dcterms:W3CDTF">2025-02-26T07:26:00Z</dcterms:created>
  <dcterms:modified xsi:type="dcterms:W3CDTF">2025-02-26T07:26:00Z</dcterms:modified>
</cp:coreProperties>
</file>