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BE0B" w14:textId="77777777" w:rsidR="00306451" w:rsidRPr="00E02A7F" w:rsidRDefault="00306451" w:rsidP="00306451">
      <w:pPr>
        <w:spacing w:after="0" w:line="360" w:lineRule="auto"/>
        <w:jc w:val="right"/>
        <w:rPr>
          <w:rFonts w:ascii="Times New Roman" w:hAnsi="Times New Roman" w:cs="Times New Roman"/>
          <w:u w:val="single"/>
        </w:rPr>
      </w:pPr>
      <w:r w:rsidRPr="00E02A7F">
        <w:rPr>
          <w:rFonts w:ascii="Times New Roman" w:hAnsi="Times New Roman" w:cs="Times New Roman"/>
          <w:u w:val="single"/>
        </w:rPr>
        <w:t>Projekt</w:t>
      </w:r>
    </w:p>
    <w:p w14:paraId="29A16E4F" w14:textId="77777777" w:rsidR="00306451" w:rsidRPr="00E02A7F" w:rsidRDefault="00306451" w:rsidP="00306451">
      <w:pPr>
        <w:spacing w:after="0" w:line="360" w:lineRule="auto"/>
        <w:rPr>
          <w:rFonts w:ascii="Times New Roman" w:hAnsi="Times New Roman" w:cs="Times New Roman"/>
          <w:b/>
          <w:bCs/>
        </w:rPr>
      </w:pPr>
    </w:p>
    <w:p w14:paraId="31119D06" w14:textId="77777777" w:rsidR="00306451" w:rsidRPr="00E02A7F" w:rsidRDefault="00306451" w:rsidP="00306451">
      <w:pPr>
        <w:spacing w:after="0" w:line="360" w:lineRule="auto"/>
        <w:jc w:val="center"/>
        <w:rPr>
          <w:rFonts w:ascii="Times New Roman" w:hAnsi="Times New Roman" w:cs="Times New Roman"/>
          <w:b/>
          <w:bCs/>
          <w:spacing w:val="20"/>
        </w:rPr>
      </w:pPr>
      <w:r w:rsidRPr="00E02A7F">
        <w:rPr>
          <w:rFonts w:ascii="Times New Roman" w:hAnsi="Times New Roman" w:cs="Times New Roman"/>
          <w:b/>
          <w:bCs/>
          <w:spacing w:val="20"/>
        </w:rPr>
        <w:t>USTAWA</w:t>
      </w:r>
    </w:p>
    <w:p w14:paraId="0BC1BE3C" w14:textId="77777777" w:rsidR="00306451" w:rsidRPr="00E02A7F" w:rsidRDefault="00306451" w:rsidP="00306451">
      <w:pPr>
        <w:spacing w:after="0" w:line="360" w:lineRule="auto"/>
        <w:jc w:val="center"/>
        <w:rPr>
          <w:rFonts w:ascii="Times New Roman" w:hAnsi="Times New Roman" w:cs="Times New Roman"/>
        </w:rPr>
      </w:pPr>
      <w:r w:rsidRPr="00E02A7F">
        <w:rPr>
          <w:rFonts w:ascii="Times New Roman" w:hAnsi="Times New Roman" w:cs="Times New Roman"/>
        </w:rPr>
        <w:t>z dnia</w:t>
      </w:r>
    </w:p>
    <w:p w14:paraId="22ABA91D" w14:textId="77777777" w:rsidR="00306451" w:rsidRPr="00E02A7F" w:rsidRDefault="00306451" w:rsidP="00306451">
      <w:pPr>
        <w:spacing w:after="0" w:line="360" w:lineRule="auto"/>
        <w:jc w:val="center"/>
        <w:rPr>
          <w:rFonts w:ascii="Times New Roman" w:hAnsi="Times New Roman" w:cs="Times New Roman"/>
          <w:b/>
          <w:bCs/>
        </w:rPr>
      </w:pPr>
      <w:r w:rsidRPr="00E02A7F">
        <w:rPr>
          <w:rFonts w:ascii="Times New Roman" w:hAnsi="Times New Roman" w:cs="Times New Roman"/>
          <w:b/>
          <w:bCs/>
        </w:rPr>
        <w:t>o zmianie ustawy o umowach międzynarodowych</w:t>
      </w:r>
    </w:p>
    <w:p w14:paraId="2E83828C" w14:textId="77777777" w:rsidR="00306451" w:rsidRPr="00E02A7F" w:rsidRDefault="00306451" w:rsidP="00306451">
      <w:pPr>
        <w:spacing w:after="0" w:line="360" w:lineRule="auto"/>
        <w:rPr>
          <w:rFonts w:ascii="Times New Roman" w:hAnsi="Times New Roman" w:cs="Times New Roman"/>
        </w:rPr>
      </w:pPr>
    </w:p>
    <w:p w14:paraId="0633F381" w14:textId="77777777" w:rsidR="00306451" w:rsidRDefault="00306451" w:rsidP="00306451">
      <w:pPr>
        <w:spacing w:after="0" w:line="360" w:lineRule="auto"/>
        <w:ind w:firstLine="426"/>
        <w:jc w:val="both"/>
        <w:rPr>
          <w:rFonts w:ascii="Times New Roman" w:hAnsi="Times New Roman" w:cs="Times New Roman"/>
        </w:rPr>
      </w:pPr>
      <w:r w:rsidRPr="00E02A7F">
        <w:rPr>
          <w:rFonts w:ascii="Times New Roman" w:hAnsi="Times New Roman" w:cs="Times New Roman"/>
          <w:b/>
          <w:bCs/>
        </w:rPr>
        <w:t xml:space="preserve">Art. 1. </w:t>
      </w:r>
      <w:r w:rsidRPr="00E02A7F">
        <w:rPr>
          <w:rFonts w:ascii="Times New Roman" w:hAnsi="Times New Roman" w:cs="Times New Roman"/>
        </w:rPr>
        <w:t>W ustawie z dnia 14 kwietnia 2000 r. o umowach międzynarodowych (Dz. U. z</w:t>
      </w:r>
      <w:r>
        <w:rPr>
          <w:rFonts w:ascii="Times New Roman" w:hAnsi="Times New Roman" w:cs="Times New Roman"/>
        </w:rPr>
        <w:t> </w:t>
      </w:r>
      <w:r w:rsidRPr="00E02A7F">
        <w:rPr>
          <w:rFonts w:ascii="Times New Roman" w:hAnsi="Times New Roman" w:cs="Times New Roman"/>
        </w:rPr>
        <w:t xml:space="preserve">2020 r. poz. 127) </w:t>
      </w:r>
      <w:r>
        <w:rPr>
          <w:rFonts w:ascii="Times New Roman" w:hAnsi="Times New Roman" w:cs="Times New Roman"/>
        </w:rPr>
        <w:t xml:space="preserve">w </w:t>
      </w:r>
      <w:r w:rsidRPr="00BB15C0">
        <w:rPr>
          <w:rFonts w:ascii="Times New Roman" w:hAnsi="Times New Roman" w:cs="Times New Roman"/>
        </w:rPr>
        <w:t xml:space="preserve">art. 22a </w:t>
      </w:r>
      <w:r w:rsidRPr="00E02A7F">
        <w:rPr>
          <w:rFonts w:ascii="Times New Roman" w:hAnsi="Times New Roman" w:cs="Times New Roman"/>
        </w:rPr>
        <w:t>w</w:t>
      </w:r>
      <w:r>
        <w:rPr>
          <w:rFonts w:ascii="Times New Roman" w:hAnsi="Times New Roman" w:cs="Times New Roman"/>
        </w:rPr>
        <w:t>prowadza się następujące zmiany:</w:t>
      </w:r>
    </w:p>
    <w:p w14:paraId="121149A6" w14:textId="77777777" w:rsidR="00306451" w:rsidRPr="00BB15C0" w:rsidRDefault="00306451" w:rsidP="00306451">
      <w:pPr>
        <w:pStyle w:val="Akapitzlist"/>
        <w:numPr>
          <w:ilvl w:val="0"/>
          <w:numId w:val="1"/>
        </w:numPr>
        <w:spacing w:after="0" w:line="360" w:lineRule="auto"/>
        <w:jc w:val="both"/>
        <w:rPr>
          <w:rFonts w:ascii="Times New Roman" w:hAnsi="Times New Roman" w:cs="Times New Roman"/>
        </w:rPr>
      </w:pPr>
      <w:r w:rsidRPr="00BB15C0">
        <w:rPr>
          <w:rFonts w:ascii="Times New Roman" w:hAnsi="Times New Roman" w:cs="Times New Roman"/>
        </w:rPr>
        <w:t xml:space="preserve">ust. 2 </w:t>
      </w:r>
      <w:r>
        <w:rPr>
          <w:rFonts w:ascii="Times New Roman" w:hAnsi="Times New Roman" w:cs="Times New Roman"/>
        </w:rPr>
        <w:t xml:space="preserve">otrzymuje </w:t>
      </w:r>
      <w:r w:rsidRPr="00BB15C0">
        <w:rPr>
          <w:rFonts w:ascii="Times New Roman" w:hAnsi="Times New Roman" w:cs="Times New Roman"/>
        </w:rPr>
        <w:t>brzmienie:</w:t>
      </w:r>
    </w:p>
    <w:p w14:paraId="3C43181B" w14:textId="77777777" w:rsidR="00306451" w:rsidRDefault="00306451" w:rsidP="00306451">
      <w:pPr>
        <w:spacing w:after="0" w:line="360" w:lineRule="auto"/>
        <w:ind w:left="360" w:firstLine="491"/>
        <w:jc w:val="both"/>
        <w:rPr>
          <w:rFonts w:ascii="Times New Roman" w:hAnsi="Times New Roman" w:cs="Times New Roman"/>
        </w:rPr>
      </w:pPr>
      <w:r w:rsidRPr="00E02A7F">
        <w:rPr>
          <w:rFonts w:ascii="Times New Roman" w:hAnsi="Times New Roman" w:cs="Times New Roman"/>
        </w:rPr>
        <w:t xml:space="preserve">„2. </w:t>
      </w:r>
      <w:r w:rsidRPr="00533FDA">
        <w:rPr>
          <w:rFonts w:ascii="Times New Roman" w:hAnsi="Times New Roman" w:cs="Times New Roman"/>
        </w:rPr>
        <w:t>Przedłożenie Prezydentowi Rzeczypospolitej Polskiej projektu decyzji o</w:t>
      </w:r>
      <w:r w:rsidRPr="00E02A7F">
        <w:rPr>
          <w:rFonts w:ascii="Times New Roman" w:hAnsi="Times New Roman" w:cs="Times New Roman"/>
        </w:rPr>
        <w:t> </w:t>
      </w:r>
      <w:r w:rsidRPr="00533FDA">
        <w:rPr>
          <w:rFonts w:ascii="Times New Roman" w:hAnsi="Times New Roman" w:cs="Times New Roman"/>
        </w:rPr>
        <w:t xml:space="preserve">wystąpieniu z Unii Europejskiej jest dokonywane po uzyskaniu zgody </w:t>
      </w:r>
      <w:r>
        <w:rPr>
          <w:rFonts w:ascii="Times New Roman" w:hAnsi="Times New Roman" w:cs="Times New Roman"/>
        </w:rPr>
        <w:t>uchwalonej</w:t>
      </w:r>
      <w:r w:rsidRPr="00533FDA">
        <w:rPr>
          <w:rFonts w:ascii="Times New Roman" w:hAnsi="Times New Roman" w:cs="Times New Roman"/>
        </w:rPr>
        <w:t xml:space="preserve"> w</w:t>
      </w:r>
      <w:r>
        <w:rPr>
          <w:rFonts w:ascii="Times New Roman" w:hAnsi="Times New Roman" w:cs="Times New Roman"/>
        </w:rPr>
        <w:t> </w:t>
      </w:r>
      <w:r w:rsidRPr="00533FDA">
        <w:rPr>
          <w:rFonts w:ascii="Times New Roman" w:hAnsi="Times New Roman" w:cs="Times New Roman"/>
        </w:rPr>
        <w:t>referendum ogólnokrajowym</w:t>
      </w:r>
      <w:r w:rsidRPr="00E02A7F">
        <w:rPr>
          <w:rFonts w:ascii="Times New Roman" w:hAnsi="Times New Roman" w:cs="Times New Roman"/>
        </w:rPr>
        <w:t>.</w:t>
      </w:r>
      <w:r>
        <w:rPr>
          <w:rFonts w:ascii="Times New Roman" w:hAnsi="Times New Roman" w:cs="Times New Roman"/>
        </w:rPr>
        <w:t>”;</w:t>
      </w:r>
    </w:p>
    <w:p w14:paraId="7500A37D" w14:textId="77777777" w:rsidR="00306451" w:rsidRDefault="00306451" w:rsidP="00306451">
      <w:pPr>
        <w:pStyle w:val="Akapitzlist"/>
        <w:numPr>
          <w:ilvl w:val="0"/>
          <w:numId w:val="1"/>
        </w:numPr>
        <w:spacing w:after="0" w:line="360" w:lineRule="auto"/>
        <w:jc w:val="both"/>
        <w:rPr>
          <w:rFonts w:ascii="Times New Roman" w:hAnsi="Times New Roman" w:cs="Times New Roman"/>
        </w:rPr>
      </w:pPr>
      <w:r>
        <w:rPr>
          <w:rFonts w:ascii="Times New Roman" w:hAnsi="Times New Roman" w:cs="Times New Roman"/>
        </w:rPr>
        <w:t>po ust. 4 dodaje się ust. 4a w brzmieniu:</w:t>
      </w:r>
    </w:p>
    <w:p w14:paraId="348CF0E4" w14:textId="77777777" w:rsidR="00306451" w:rsidRPr="00BD2DA1" w:rsidRDefault="00306451" w:rsidP="00306451">
      <w:pPr>
        <w:spacing w:after="0" w:line="360" w:lineRule="auto"/>
        <w:ind w:left="426" w:firstLine="425"/>
        <w:jc w:val="both"/>
        <w:rPr>
          <w:rFonts w:ascii="Times New Roman" w:hAnsi="Times New Roman" w:cs="Times New Roman"/>
        </w:rPr>
      </w:pPr>
      <w:r w:rsidRPr="00BB15C0">
        <w:rPr>
          <w:rFonts w:ascii="Times New Roman" w:hAnsi="Times New Roman" w:cs="Times New Roman"/>
        </w:rPr>
        <w:t>„</w:t>
      </w:r>
      <w:r>
        <w:rPr>
          <w:rFonts w:ascii="Times New Roman" w:hAnsi="Times New Roman" w:cs="Times New Roman"/>
        </w:rPr>
        <w:t>4a.</w:t>
      </w:r>
      <w:r w:rsidRPr="00BB15C0">
        <w:rPr>
          <w:rFonts w:ascii="Times New Roman" w:hAnsi="Times New Roman" w:cs="Times New Roman"/>
        </w:rPr>
        <w:t xml:space="preserve"> </w:t>
      </w:r>
      <w:bookmarkStart w:id="0" w:name="_Hlk187145187"/>
      <w:r w:rsidRPr="00BB15C0">
        <w:rPr>
          <w:rFonts w:ascii="Times New Roman" w:hAnsi="Times New Roman" w:cs="Times New Roman"/>
        </w:rPr>
        <w:t>Ratyfikacja umowy międzynarodowej określającej warunki wystąpienia Rzecz</w:t>
      </w:r>
      <w:r>
        <w:rPr>
          <w:rFonts w:ascii="Times New Roman" w:hAnsi="Times New Roman" w:cs="Times New Roman"/>
        </w:rPr>
        <w:t>y</w:t>
      </w:r>
      <w:r w:rsidRPr="00BB15C0">
        <w:rPr>
          <w:rFonts w:ascii="Times New Roman" w:hAnsi="Times New Roman" w:cs="Times New Roman"/>
        </w:rPr>
        <w:t xml:space="preserve">pospolitej Polskiej z Unii Europejskiej wymaga zgody </w:t>
      </w:r>
      <w:r w:rsidRPr="00BD2DA1">
        <w:rPr>
          <w:rFonts w:ascii="Times New Roman" w:hAnsi="Times New Roman" w:cs="Times New Roman"/>
        </w:rPr>
        <w:t>uchwalonej w referendum ogólnokrajow</w:t>
      </w:r>
      <w:r>
        <w:rPr>
          <w:rFonts w:ascii="Times New Roman" w:hAnsi="Times New Roman" w:cs="Times New Roman"/>
        </w:rPr>
        <w:t>ym</w:t>
      </w:r>
      <w:r w:rsidRPr="00BD2DA1">
        <w:rPr>
          <w:rFonts w:ascii="Times New Roman" w:hAnsi="Times New Roman" w:cs="Times New Roman"/>
        </w:rPr>
        <w:t>.”.</w:t>
      </w:r>
    </w:p>
    <w:bookmarkEnd w:id="0"/>
    <w:p w14:paraId="1E0225AF" w14:textId="77777777" w:rsidR="00306451" w:rsidRDefault="00306451" w:rsidP="00306451">
      <w:pPr>
        <w:spacing w:after="0" w:line="360" w:lineRule="auto"/>
        <w:ind w:firstLine="426"/>
        <w:jc w:val="both"/>
        <w:rPr>
          <w:rFonts w:ascii="Times New Roman" w:hAnsi="Times New Roman" w:cs="Times New Roman"/>
        </w:rPr>
      </w:pPr>
      <w:r w:rsidRPr="00E02A7F">
        <w:rPr>
          <w:rFonts w:ascii="Times New Roman" w:hAnsi="Times New Roman" w:cs="Times New Roman"/>
          <w:b/>
          <w:bCs/>
        </w:rPr>
        <w:t>Art. 2</w:t>
      </w:r>
      <w:r w:rsidRPr="00E02A7F">
        <w:rPr>
          <w:rFonts w:ascii="Times New Roman" w:hAnsi="Times New Roman" w:cs="Times New Roman"/>
        </w:rPr>
        <w:t xml:space="preserve">. Ustawa wchodzi w życie </w:t>
      </w:r>
      <w:r>
        <w:rPr>
          <w:rFonts w:ascii="Times New Roman" w:hAnsi="Times New Roman" w:cs="Times New Roman"/>
        </w:rPr>
        <w:t xml:space="preserve">po upływie </w:t>
      </w:r>
      <w:r w:rsidRPr="00E02A7F">
        <w:rPr>
          <w:rFonts w:ascii="Times New Roman" w:hAnsi="Times New Roman" w:cs="Times New Roman"/>
        </w:rPr>
        <w:t>14 dni od dnia ogłoszenia.</w:t>
      </w:r>
    </w:p>
    <w:p w14:paraId="536C6FA8" w14:textId="77777777" w:rsidR="00306451" w:rsidRDefault="00306451" w:rsidP="00306451">
      <w:pPr>
        <w:spacing w:after="0" w:line="360" w:lineRule="auto"/>
        <w:ind w:firstLine="426"/>
        <w:jc w:val="both"/>
        <w:rPr>
          <w:rFonts w:ascii="Times New Roman" w:hAnsi="Times New Roman" w:cs="Times New Roman"/>
        </w:rPr>
      </w:pPr>
    </w:p>
    <w:p w14:paraId="02046C02" w14:textId="77777777" w:rsidR="00306451" w:rsidRDefault="00306451" w:rsidP="00306451">
      <w:pPr>
        <w:spacing w:after="0" w:line="360" w:lineRule="auto"/>
        <w:ind w:firstLine="426"/>
        <w:jc w:val="both"/>
        <w:rPr>
          <w:rFonts w:ascii="Times New Roman" w:hAnsi="Times New Roman" w:cs="Times New Roman"/>
        </w:rPr>
      </w:pPr>
    </w:p>
    <w:p w14:paraId="7EB03262" w14:textId="77777777" w:rsidR="00306451" w:rsidRDefault="00306451" w:rsidP="00306451">
      <w:pPr>
        <w:spacing w:after="0" w:line="360" w:lineRule="auto"/>
        <w:ind w:firstLine="426"/>
        <w:jc w:val="both"/>
        <w:rPr>
          <w:rFonts w:ascii="Times New Roman" w:hAnsi="Times New Roman" w:cs="Times New Roman"/>
        </w:rPr>
      </w:pPr>
    </w:p>
    <w:p w14:paraId="4889D982" w14:textId="77777777" w:rsidR="00306451" w:rsidRDefault="00306451" w:rsidP="00306451">
      <w:pPr>
        <w:spacing w:after="0" w:line="360" w:lineRule="auto"/>
        <w:ind w:firstLine="426"/>
        <w:jc w:val="both"/>
        <w:rPr>
          <w:rFonts w:ascii="Times New Roman" w:hAnsi="Times New Roman" w:cs="Times New Roman"/>
        </w:rPr>
      </w:pPr>
    </w:p>
    <w:p w14:paraId="6B6A1D07" w14:textId="77777777" w:rsidR="00306451" w:rsidRDefault="00306451" w:rsidP="00306451">
      <w:pPr>
        <w:spacing w:after="0" w:line="360" w:lineRule="auto"/>
        <w:ind w:firstLine="426"/>
        <w:jc w:val="both"/>
        <w:rPr>
          <w:rFonts w:ascii="Times New Roman" w:hAnsi="Times New Roman" w:cs="Times New Roman"/>
        </w:rPr>
      </w:pPr>
    </w:p>
    <w:p w14:paraId="60E87659" w14:textId="77777777" w:rsidR="00306451" w:rsidRDefault="00306451" w:rsidP="00306451">
      <w:pPr>
        <w:spacing w:after="0" w:line="360" w:lineRule="auto"/>
        <w:ind w:firstLine="426"/>
        <w:jc w:val="both"/>
        <w:rPr>
          <w:rFonts w:ascii="Times New Roman" w:hAnsi="Times New Roman" w:cs="Times New Roman"/>
        </w:rPr>
      </w:pPr>
    </w:p>
    <w:p w14:paraId="5111283F" w14:textId="77777777" w:rsidR="00306451" w:rsidRDefault="00306451" w:rsidP="00306451">
      <w:pPr>
        <w:spacing w:after="0" w:line="360" w:lineRule="auto"/>
        <w:ind w:firstLine="426"/>
        <w:jc w:val="both"/>
        <w:rPr>
          <w:rFonts w:ascii="Times New Roman" w:hAnsi="Times New Roman" w:cs="Times New Roman"/>
        </w:rPr>
      </w:pPr>
    </w:p>
    <w:p w14:paraId="1A41D2A7" w14:textId="77777777" w:rsidR="00306451" w:rsidRDefault="00306451" w:rsidP="00306451">
      <w:pPr>
        <w:spacing w:after="0" w:line="360" w:lineRule="auto"/>
        <w:ind w:firstLine="426"/>
        <w:jc w:val="both"/>
        <w:rPr>
          <w:rFonts w:ascii="Times New Roman" w:hAnsi="Times New Roman" w:cs="Times New Roman"/>
        </w:rPr>
      </w:pPr>
    </w:p>
    <w:p w14:paraId="6A3B1B5F" w14:textId="77777777" w:rsidR="00306451" w:rsidRDefault="00306451" w:rsidP="00306451">
      <w:pPr>
        <w:rPr>
          <w:rFonts w:ascii="Times New Roman" w:hAnsi="Times New Roman" w:cs="Times New Roman"/>
        </w:rPr>
      </w:pPr>
      <w:r>
        <w:rPr>
          <w:rFonts w:ascii="Times New Roman" w:hAnsi="Times New Roman" w:cs="Times New Roman"/>
        </w:rPr>
        <w:br w:type="page"/>
      </w:r>
    </w:p>
    <w:p w14:paraId="7895E905" w14:textId="77777777" w:rsidR="00306451" w:rsidRDefault="00306451" w:rsidP="00306451">
      <w:pPr>
        <w:spacing w:after="0" w:line="360" w:lineRule="auto"/>
        <w:ind w:firstLine="426"/>
        <w:jc w:val="center"/>
        <w:rPr>
          <w:rFonts w:ascii="Times New Roman" w:hAnsi="Times New Roman" w:cs="Times New Roman"/>
          <w:b/>
          <w:bCs/>
        </w:rPr>
      </w:pPr>
      <w:r w:rsidRPr="008A6CDE">
        <w:rPr>
          <w:rFonts w:ascii="Times New Roman" w:hAnsi="Times New Roman" w:cs="Times New Roman"/>
          <w:b/>
          <w:bCs/>
        </w:rPr>
        <w:lastRenderedPageBreak/>
        <w:t>UZASADNIENIE</w:t>
      </w:r>
    </w:p>
    <w:p w14:paraId="2A195908" w14:textId="77777777" w:rsidR="00306451" w:rsidRDefault="00306451" w:rsidP="00306451">
      <w:pPr>
        <w:pStyle w:val="Akapitzlist"/>
        <w:numPr>
          <w:ilvl w:val="0"/>
          <w:numId w:val="2"/>
        </w:numPr>
        <w:spacing w:after="0" w:line="360" w:lineRule="auto"/>
        <w:rPr>
          <w:rFonts w:ascii="Times New Roman" w:hAnsi="Times New Roman" w:cs="Times New Roman"/>
          <w:b/>
          <w:bCs/>
        </w:rPr>
      </w:pPr>
      <w:r w:rsidRPr="008A6CDE">
        <w:rPr>
          <w:rFonts w:ascii="Times New Roman" w:hAnsi="Times New Roman" w:cs="Times New Roman"/>
          <w:b/>
          <w:bCs/>
        </w:rPr>
        <w:t xml:space="preserve">Potrzeba i cel wydania ustawy </w:t>
      </w:r>
    </w:p>
    <w:p w14:paraId="29795742"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Celem projektowanej nowelizacji jest </w:t>
      </w:r>
      <w:r>
        <w:rPr>
          <w:rFonts w:ascii="Times New Roman" w:hAnsi="Times New Roman" w:cs="Times New Roman"/>
          <w:b/>
          <w:bCs/>
        </w:rPr>
        <w:t>szczegółowe uregulowanie trybu wyjścia</w:t>
      </w:r>
      <w:r w:rsidRPr="00C64B8F">
        <w:rPr>
          <w:rFonts w:ascii="Times New Roman" w:hAnsi="Times New Roman" w:cs="Times New Roman"/>
          <w:b/>
          <w:bCs/>
        </w:rPr>
        <w:t xml:space="preserve"> Polski </w:t>
      </w:r>
      <w:r>
        <w:rPr>
          <w:rFonts w:ascii="Times New Roman" w:hAnsi="Times New Roman" w:cs="Times New Roman"/>
          <w:b/>
          <w:bCs/>
        </w:rPr>
        <w:t>z</w:t>
      </w:r>
      <w:r w:rsidRPr="00C64B8F">
        <w:rPr>
          <w:rFonts w:ascii="Times New Roman" w:hAnsi="Times New Roman" w:cs="Times New Roman"/>
          <w:b/>
          <w:bCs/>
        </w:rPr>
        <w:t xml:space="preserve"> Unii Europejskiej</w:t>
      </w:r>
      <w:r>
        <w:rPr>
          <w:rFonts w:ascii="Times New Roman" w:hAnsi="Times New Roman" w:cs="Times New Roman"/>
        </w:rPr>
        <w:t xml:space="preserve"> poprzez zmianę u</w:t>
      </w:r>
      <w:r w:rsidRPr="00F305C8">
        <w:rPr>
          <w:rFonts w:ascii="Times New Roman" w:hAnsi="Times New Roman" w:cs="Times New Roman"/>
        </w:rPr>
        <w:t>staw</w:t>
      </w:r>
      <w:r>
        <w:rPr>
          <w:rFonts w:ascii="Times New Roman" w:hAnsi="Times New Roman" w:cs="Times New Roman"/>
        </w:rPr>
        <w:t>y</w:t>
      </w:r>
      <w:r w:rsidRPr="00F305C8">
        <w:rPr>
          <w:rFonts w:ascii="Times New Roman" w:hAnsi="Times New Roman" w:cs="Times New Roman"/>
        </w:rPr>
        <w:t xml:space="preserve"> z dnia 14 kwietnia 2000 r. o umowach międzynarodowych</w:t>
      </w:r>
      <w:r w:rsidRPr="00ED2AC0">
        <w:t xml:space="preserve"> </w:t>
      </w:r>
      <w:r>
        <w:t>(</w:t>
      </w:r>
      <w:r w:rsidRPr="00ED2AC0">
        <w:rPr>
          <w:rFonts w:ascii="Times New Roman" w:hAnsi="Times New Roman" w:cs="Times New Roman"/>
        </w:rPr>
        <w:t>Dz. U. z 2020 r. poz. 127.</w:t>
      </w:r>
      <w:r>
        <w:rPr>
          <w:rFonts w:ascii="Times New Roman" w:hAnsi="Times New Roman" w:cs="Times New Roman"/>
        </w:rPr>
        <w:t>),</w:t>
      </w:r>
      <w:r w:rsidRPr="00ED2AC0">
        <w:rPr>
          <w:rFonts w:ascii="Times New Roman" w:hAnsi="Times New Roman" w:cs="Times New Roman"/>
        </w:rPr>
        <w:t xml:space="preserve"> dalej </w:t>
      </w:r>
      <w:r>
        <w:rPr>
          <w:rFonts w:ascii="Times New Roman" w:hAnsi="Times New Roman" w:cs="Times New Roman"/>
        </w:rPr>
        <w:t>„</w:t>
      </w:r>
      <w:r w:rsidRPr="00ED2AC0">
        <w:rPr>
          <w:rFonts w:ascii="Times New Roman" w:hAnsi="Times New Roman" w:cs="Times New Roman"/>
        </w:rPr>
        <w:t>ustawa o umowach międzynarodowych</w:t>
      </w:r>
      <w:r>
        <w:rPr>
          <w:rFonts w:ascii="Times New Roman" w:hAnsi="Times New Roman" w:cs="Times New Roman"/>
        </w:rPr>
        <w:t xml:space="preserve">”, z uwzględnieniem rangi i skutków tej decyzji. </w:t>
      </w:r>
      <w:r w:rsidRPr="00C64B8F">
        <w:rPr>
          <w:rFonts w:ascii="Times New Roman" w:hAnsi="Times New Roman" w:cs="Times New Roman"/>
          <w:b/>
          <w:bCs/>
        </w:rPr>
        <w:t>Wypowiedzenie traktatów unijnych</w:t>
      </w:r>
      <w:r>
        <w:rPr>
          <w:rFonts w:ascii="Times New Roman" w:hAnsi="Times New Roman" w:cs="Times New Roman"/>
        </w:rPr>
        <w:t xml:space="preserve">, czyli decyzja o wystąpieniu z UE, byłoby możliwe z poszanowaniem zasady suwerenności Narodu, wyrażonej w art. 4 Konstytucji RP, </w:t>
      </w:r>
      <w:r w:rsidRPr="00C64B8F">
        <w:rPr>
          <w:rFonts w:ascii="Times New Roman" w:hAnsi="Times New Roman" w:cs="Times New Roman"/>
          <w:b/>
          <w:bCs/>
        </w:rPr>
        <w:t>wyłącznie w drodze referendum ogólnokrajowego</w:t>
      </w:r>
      <w:r>
        <w:rPr>
          <w:rFonts w:ascii="Times New Roman" w:hAnsi="Times New Roman" w:cs="Times New Roman"/>
        </w:rPr>
        <w:t xml:space="preserve"> zgodnie z art. 125 Konstytucji RP, </w:t>
      </w:r>
      <w:r w:rsidRPr="00C64B8F">
        <w:rPr>
          <w:rFonts w:ascii="Times New Roman" w:hAnsi="Times New Roman" w:cs="Times New Roman"/>
          <w:b/>
          <w:bCs/>
        </w:rPr>
        <w:t>nie</w:t>
      </w:r>
      <w:r>
        <w:rPr>
          <w:rFonts w:ascii="Times New Roman" w:hAnsi="Times New Roman" w:cs="Times New Roman"/>
          <w:b/>
          <w:bCs/>
        </w:rPr>
        <w:t xml:space="preserve"> zaś, jak przewidują obecne regulacje, </w:t>
      </w:r>
      <w:r w:rsidRPr="00C64B8F">
        <w:rPr>
          <w:rFonts w:ascii="Times New Roman" w:hAnsi="Times New Roman" w:cs="Times New Roman"/>
          <w:b/>
          <w:bCs/>
        </w:rPr>
        <w:t>w procedurze uzyskania zwykłej większości głosów</w:t>
      </w:r>
      <w:r>
        <w:rPr>
          <w:rFonts w:ascii="Times New Roman" w:hAnsi="Times New Roman" w:cs="Times New Roman"/>
        </w:rPr>
        <w:t xml:space="preserve"> w Sejmie RP (na wniosek Rady Ministrów i decyzji Prezydenta po uprzednim wyrażeniu zgody przez Sejm w głosowaniu zwykłą większością głosów).</w:t>
      </w:r>
    </w:p>
    <w:p w14:paraId="2F15402A"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Społeczeństwo polskie zadecydowało o przystąpieniu do Unii Europejskiej w referendum ogólnokrajowym (na mocy art. 90 ust. 3 Konstytucji RP w związku z art. 125 Konstytucji RP), w którym za akcesją zagłosowała zdecydowana większość 77,45% głosujących, przy frekwencji 58,85% uprawnionych do głosowania. Decyzja podjęta przez suwerena była bezspornym wyrażeniem zgody na ratyfikację traktatu akcesyjnego (podpisanego w Atenach w dniu 16 kwietnia 2003 roku) oraz na dołączenie do Wspólnoty wraz z dniem 1 maja 2004 r. Obywatele Polski podjęli decyzję o gotowości uczestniczenia w procesach integracyjnych UE na mocy art. 90 ust. 1 Konstytucji RP, zgodnie z którym </w:t>
      </w:r>
      <w:r w:rsidRPr="008A17B2">
        <w:rPr>
          <w:rFonts w:ascii="Times New Roman" w:hAnsi="Times New Roman" w:cs="Times New Roman"/>
        </w:rPr>
        <w:t>Rzeczpospolita Polska może na podstawie umowy międzynarodowej przekazać organizacji międzynarodowej lub organowi międzynarodowemu kompetencje organów władzy państwowej w niektórych sprawach</w:t>
      </w:r>
      <w:r>
        <w:rPr>
          <w:rFonts w:ascii="Times New Roman" w:hAnsi="Times New Roman" w:cs="Times New Roman"/>
        </w:rPr>
        <w:t>. Zgoda na ratyfikację w trybie art. 90 Konstytucji RP odbyła się z zastosowaniem podwyższonych wymagań proceduralnych, nazywanych w literaturze tzw. wielką ratyfikacją</w:t>
      </w:r>
      <w:r>
        <w:rPr>
          <w:rStyle w:val="Odwoanieprzypisudolnego"/>
          <w:rFonts w:ascii="Times New Roman" w:hAnsi="Times New Roman" w:cs="Times New Roman"/>
        </w:rPr>
        <w:footnoteReference w:id="1"/>
      </w:r>
      <w:r>
        <w:rPr>
          <w:rFonts w:ascii="Times New Roman" w:hAnsi="Times New Roman" w:cs="Times New Roman"/>
        </w:rPr>
        <w:t>, przy obostrzonych kryteriach reprezentatywności i legitymacji</w:t>
      </w:r>
      <w:r>
        <w:rPr>
          <w:rStyle w:val="Odwoanieprzypisudolnego"/>
          <w:rFonts w:ascii="Times New Roman" w:hAnsi="Times New Roman" w:cs="Times New Roman"/>
        </w:rPr>
        <w:footnoteReference w:id="2"/>
      </w:r>
      <w:r>
        <w:rPr>
          <w:rFonts w:ascii="Times New Roman" w:hAnsi="Times New Roman" w:cs="Times New Roman"/>
        </w:rPr>
        <w:t xml:space="preserve">. </w:t>
      </w:r>
    </w:p>
    <w:p w14:paraId="5D4B6625"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W świetle art. 90 Konstytucji RP zgoda na ratyfikację umowy międzynarodowej może być udzielona poprzez: </w:t>
      </w:r>
    </w:p>
    <w:p w14:paraId="309A7FF2" w14:textId="77777777" w:rsidR="00306451" w:rsidRPr="00D54624" w:rsidRDefault="00306451" w:rsidP="00306451">
      <w:pPr>
        <w:pStyle w:val="Akapitzlist"/>
        <w:numPr>
          <w:ilvl w:val="0"/>
          <w:numId w:val="3"/>
        </w:numPr>
        <w:spacing w:after="0" w:line="360" w:lineRule="auto"/>
        <w:jc w:val="both"/>
        <w:rPr>
          <w:rFonts w:ascii="Times New Roman" w:hAnsi="Times New Roman" w:cs="Times New Roman"/>
        </w:rPr>
      </w:pPr>
      <w:r>
        <w:rPr>
          <w:rFonts w:ascii="Times New Roman" w:hAnsi="Times New Roman" w:cs="Times New Roman"/>
        </w:rPr>
        <w:t>u</w:t>
      </w:r>
      <w:r w:rsidRPr="00D54624">
        <w:rPr>
          <w:rFonts w:ascii="Times New Roman" w:hAnsi="Times New Roman" w:cs="Times New Roman"/>
        </w:rPr>
        <w:t>staw</w:t>
      </w:r>
      <w:r>
        <w:rPr>
          <w:rFonts w:ascii="Times New Roman" w:hAnsi="Times New Roman" w:cs="Times New Roman"/>
        </w:rPr>
        <w:t>ę</w:t>
      </w:r>
      <w:r w:rsidRPr="00D54624">
        <w:rPr>
          <w:rFonts w:ascii="Times New Roman" w:hAnsi="Times New Roman" w:cs="Times New Roman"/>
        </w:rPr>
        <w:t xml:space="preserve"> uchwal</w:t>
      </w:r>
      <w:r>
        <w:rPr>
          <w:rFonts w:ascii="Times New Roman" w:hAnsi="Times New Roman" w:cs="Times New Roman"/>
        </w:rPr>
        <w:t>oną</w:t>
      </w:r>
      <w:r w:rsidRPr="00D54624">
        <w:rPr>
          <w:rFonts w:ascii="Times New Roman" w:hAnsi="Times New Roman" w:cs="Times New Roman"/>
        </w:rPr>
        <w:t xml:space="preserve"> przez Sejm większością 2/3 głosów w obecności co najmniej połowy ustawowej liczby posłów oraz przez Senat większością 2/3 głosów w obecności co</w:t>
      </w:r>
      <w:r>
        <w:rPr>
          <w:rFonts w:ascii="Times New Roman" w:hAnsi="Times New Roman" w:cs="Times New Roman"/>
        </w:rPr>
        <w:t> </w:t>
      </w:r>
      <w:r w:rsidRPr="00D54624">
        <w:rPr>
          <w:rFonts w:ascii="Times New Roman" w:hAnsi="Times New Roman" w:cs="Times New Roman"/>
        </w:rPr>
        <w:t>najmniej połowy ustawowej liczby senatorów</w:t>
      </w:r>
      <w:r>
        <w:rPr>
          <w:rFonts w:ascii="Times New Roman" w:hAnsi="Times New Roman" w:cs="Times New Roman"/>
        </w:rPr>
        <w:t>,</w:t>
      </w:r>
    </w:p>
    <w:p w14:paraId="322B2CF9" w14:textId="77777777" w:rsidR="00306451" w:rsidRDefault="00306451" w:rsidP="00306451">
      <w:pPr>
        <w:pStyle w:val="Akapitzlist"/>
        <w:numPr>
          <w:ilvl w:val="0"/>
          <w:numId w:val="3"/>
        </w:numPr>
        <w:spacing w:after="0" w:line="360" w:lineRule="auto"/>
        <w:jc w:val="both"/>
        <w:rPr>
          <w:rFonts w:ascii="Times New Roman" w:hAnsi="Times New Roman" w:cs="Times New Roman"/>
        </w:rPr>
      </w:pPr>
      <w:r w:rsidRPr="00D54624">
        <w:rPr>
          <w:rFonts w:ascii="Times New Roman" w:hAnsi="Times New Roman" w:cs="Times New Roman"/>
        </w:rPr>
        <w:lastRenderedPageBreak/>
        <w:t>referendum ogólnokrajowym zgodnie z</w:t>
      </w:r>
      <w:r>
        <w:rPr>
          <w:rFonts w:ascii="Times New Roman" w:hAnsi="Times New Roman" w:cs="Times New Roman"/>
        </w:rPr>
        <w:t> </w:t>
      </w:r>
      <w:r w:rsidRPr="00D54624">
        <w:rPr>
          <w:rFonts w:ascii="Times New Roman" w:hAnsi="Times New Roman" w:cs="Times New Roman"/>
        </w:rPr>
        <w:t>przepisem art. 125</w:t>
      </w:r>
      <w:r>
        <w:rPr>
          <w:rFonts w:ascii="Times New Roman" w:hAnsi="Times New Roman" w:cs="Times New Roman"/>
        </w:rPr>
        <w:t xml:space="preserve"> Konstytucji RP</w:t>
      </w:r>
      <w:r w:rsidRPr="00D54624">
        <w:rPr>
          <w:rFonts w:ascii="Times New Roman" w:hAnsi="Times New Roman" w:cs="Times New Roman"/>
        </w:rPr>
        <w:t>.</w:t>
      </w:r>
      <w:r>
        <w:rPr>
          <w:rFonts w:ascii="Times New Roman" w:hAnsi="Times New Roman" w:cs="Times New Roman"/>
        </w:rPr>
        <w:t xml:space="preserve"> </w:t>
      </w:r>
    </w:p>
    <w:p w14:paraId="3D691FED" w14:textId="77777777" w:rsidR="00306451" w:rsidRPr="00C64B8F" w:rsidRDefault="00306451" w:rsidP="00306451">
      <w:pPr>
        <w:spacing w:after="0" w:line="360" w:lineRule="auto"/>
        <w:ind w:firstLine="426"/>
        <w:jc w:val="both"/>
        <w:rPr>
          <w:rFonts w:ascii="Times New Roman" w:hAnsi="Times New Roman" w:cs="Times New Roman"/>
          <w:b/>
          <w:bCs/>
        </w:rPr>
      </w:pPr>
      <w:r w:rsidRPr="00C64B8F">
        <w:rPr>
          <w:rFonts w:ascii="Times New Roman" w:hAnsi="Times New Roman" w:cs="Times New Roman"/>
          <w:b/>
          <w:bCs/>
        </w:rPr>
        <w:t>W omawianym przypadku akcesji Polski do UE, uchwałą Sejmu zdecydowano, że</w:t>
      </w:r>
      <w:r>
        <w:rPr>
          <w:rFonts w:ascii="Times New Roman" w:hAnsi="Times New Roman" w:cs="Times New Roman"/>
          <w:b/>
          <w:bCs/>
        </w:rPr>
        <w:t> </w:t>
      </w:r>
      <w:r w:rsidRPr="00C64B8F">
        <w:rPr>
          <w:rFonts w:ascii="Times New Roman" w:hAnsi="Times New Roman" w:cs="Times New Roman"/>
          <w:b/>
          <w:bCs/>
        </w:rPr>
        <w:t xml:space="preserve">właściwą formą wyrażenia zgody na ratyfikację będzie ta o największej demokratycznej legitymacji, czyli w drodze referendum ogólnokrajowego. </w:t>
      </w:r>
    </w:p>
    <w:p w14:paraId="04FAAE47" w14:textId="77777777" w:rsidR="00306451" w:rsidRDefault="00306451" w:rsidP="00306451">
      <w:pPr>
        <w:spacing w:after="0" w:line="360" w:lineRule="auto"/>
        <w:ind w:firstLine="709"/>
        <w:jc w:val="both"/>
        <w:rPr>
          <w:rFonts w:ascii="Times New Roman" w:hAnsi="Times New Roman" w:cs="Times New Roman"/>
        </w:rPr>
      </w:pPr>
      <w:r>
        <w:rPr>
          <w:rFonts w:ascii="Times New Roman" w:hAnsi="Times New Roman" w:cs="Times New Roman"/>
        </w:rPr>
        <w:t>Trybunał Konstytucyjny, w jednym z kluczowych wyroków dla polskiego procesu integracji z Unią Europejską, w sprawie o sygn. akt K 33/12 podkreślił, że „[u]</w:t>
      </w:r>
      <w:r w:rsidRPr="00BC5308">
        <w:rPr>
          <w:rFonts w:ascii="Times New Roman" w:hAnsi="Times New Roman" w:cs="Times New Roman"/>
        </w:rPr>
        <w:t>stawa ratyfikacyjna rozpatrywana w</w:t>
      </w:r>
      <w:r>
        <w:rPr>
          <w:rFonts w:ascii="Times New Roman" w:hAnsi="Times New Roman" w:cs="Times New Roman"/>
        </w:rPr>
        <w:t> </w:t>
      </w:r>
      <w:r w:rsidRPr="00BC5308">
        <w:rPr>
          <w:rFonts w:ascii="Times New Roman" w:hAnsi="Times New Roman" w:cs="Times New Roman"/>
        </w:rPr>
        <w:t>trybie art. 90 Konstytucji jest szczególnym rodzajem ustawy nie tylko ze względu na kwalifikowane wymogi jej uchwalenia, ale przede wszystkim z uwagi na jej cel, którym jest wyrażenie zgody na ratyfikację umów umożliwiających uczestnictwo Polski w</w:t>
      </w:r>
      <w:r>
        <w:rPr>
          <w:rFonts w:ascii="Times New Roman" w:hAnsi="Times New Roman" w:cs="Times New Roman"/>
        </w:rPr>
        <w:t> </w:t>
      </w:r>
      <w:r w:rsidRPr="00BC5308">
        <w:rPr>
          <w:rFonts w:ascii="Times New Roman" w:hAnsi="Times New Roman" w:cs="Times New Roman"/>
        </w:rPr>
        <w:t>procesach integracyjnych. Procedura i warunki wyrażenia zgody na ratyfikację w trybie art.</w:t>
      </w:r>
      <w:r>
        <w:rPr>
          <w:rFonts w:ascii="Times New Roman" w:hAnsi="Times New Roman" w:cs="Times New Roman"/>
        </w:rPr>
        <w:t> </w:t>
      </w:r>
      <w:r w:rsidRPr="00BC5308">
        <w:rPr>
          <w:rFonts w:ascii="Times New Roman" w:hAnsi="Times New Roman" w:cs="Times New Roman"/>
        </w:rPr>
        <w:t xml:space="preserve">90 Konstytucji zostały przez </w:t>
      </w:r>
      <w:proofErr w:type="spellStart"/>
      <w:r w:rsidRPr="00BC5308">
        <w:rPr>
          <w:rFonts w:ascii="Times New Roman" w:hAnsi="Times New Roman" w:cs="Times New Roman"/>
        </w:rPr>
        <w:t>ustrojodawc</w:t>
      </w:r>
      <w:r>
        <w:rPr>
          <w:rFonts w:ascii="Times New Roman" w:hAnsi="Times New Roman" w:cs="Times New Roman"/>
        </w:rPr>
        <w:t>ę</w:t>
      </w:r>
      <w:proofErr w:type="spellEnd"/>
      <w:r w:rsidRPr="00BC5308">
        <w:rPr>
          <w:rFonts w:ascii="Times New Roman" w:hAnsi="Times New Roman" w:cs="Times New Roman"/>
        </w:rPr>
        <w:t xml:space="preserve"> celowo odróżnione od procedury uchwalania ustaw zwykłych, w tym innych ustaw ratyfikacyjnych, o których mowa w art. 89 Konstytucji</w:t>
      </w:r>
      <w:r>
        <w:rPr>
          <w:rFonts w:ascii="Times New Roman" w:hAnsi="Times New Roman" w:cs="Times New Roman"/>
        </w:rPr>
        <w:t>”</w:t>
      </w:r>
      <w:r>
        <w:rPr>
          <w:rStyle w:val="Odwoanieprzypisudolnego"/>
          <w:rFonts w:ascii="Times New Roman" w:hAnsi="Times New Roman" w:cs="Times New Roman"/>
        </w:rPr>
        <w:footnoteReference w:id="3"/>
      </w:r>
      <w:r>
        <w:rPr>
          <w:rFonts w:ascii="Times New Roman" w:hAnsi="Times New Roman" w:cs="Times New Roman"/>
        </w:rPr>
        <w:t xml:space="preserve">. </w:t>
      </w:r>
    </w:p>
    <w:p w14:paraId="1FFC91D7" w14:textId="77777777" w:rsidR="00306451" w:rsidRDefault="00306451" w:rsidP="00306451">
      <w:pPr>
        <w:spacing w:after="0" w:line="360" w:lineRule="auto"/>
        <w:ind w:firstLine="709"/>
        <w:jc w:val="both"/>
        <w:rPr>
          <w:rFonts w:ascii="Times New Roman" w:hAnsi="Times New Roman" w:cs="Times New Roman"/>
          <w:b/>
          <w:bCs/>
        </w:rPr>
      </w:pPr>
      <w:r>
        <w:rPr>
          <w:rFonts w:ascii="Times New Roman" w:hAnsi="Times New Roman" w:cs="Times New Roman"/>
        </w:rPr>
        <w:t xml:space="preserve">Nie ulega zatem wątpliwości, że </w:t>
      </w:r>
      <w:r w:rsidRPr="00C64B8F">
        <w:rPr>
          <w:rFonts w:ascii="Times New Roman" w:hAnsi="Times New Roman" w:cs="Times New Roman"/>
          <w:b/>
          <w:bCs/>
        </w:rPr>
        <w:t>ewentualna decyzja o wystąpieniu z Unii Europejskiej powinna cieszyć się analogiczną, demokratyczną legitymacją poprzez zastosowanie identycznych rygorów, a w konsekwencji uwzględniać wagę społeczną i</w:t>
      </w:r>
      <w:r>
        <w:rPr>
          <w:rFonts w:ascii="Times New Roman" w:hAnsi="Times New Roman" w:cs="Times New Roman"/>
          <w:b/>
          <w:bCs/>
        </w:rPr>
        <w:t> </w:t>
      </w:r>
      <w:r w:rsidRPr="00C64B8F">
        <w:rPr>
          <w:rFonts w:ascii="Times New Roman" w:hAnsi="Times New Roman" w:cs="Times New Roman"/>
          <w:b/>
          <w:bCs/>
        </w:rPr>
        <w:t>ustrojową takiej dalekosiężnej decyzji.</w:t>
      </w:r>
      <w:r>
        <w:rPr>
          <w:rFonts w:ascii="Times New Roman" w:hAnsi="Times New Roman" w:cs="Times New Roman"/>
        </w:rPr>
        <w:t xml:space="preserve"> W kontekście akcesu Polski do UE przyjęło się, iż „[s]</w:t>
      </w:r>
      <w:proofErr w:type="spellStart"/>
      <w:r w:rsidRPr="00BC5308">
        <w:rPr>
          <w:rFonts w:ascii="Times New Roman" w:hAnsi="Times New Roman" w:cs="Times New Roman"/>
        </w:rPr>
        <w:t>tanowisko</w:t>
      </w:r>
      <w:proofErr w:type="spellEnd"/>
      <w:r w:rsidRPr="00BC5308">
        <w:rPr>
          <w:rFonts w:ascii="Times New Roman" w:hAnsi="Times New Roman" w:cs="Times New Roman"/>
        </w:rPr>
        <w:t xml:space="preserve"> Trybunału Konstytucyjnego w kwestii znaczenia art. 90 Konstytucji wspiera zasada przychylności procesowi integracji europejskiej i</w:t>
      </w:r>
      <w:r>
        <w:rPr>
          <w:rFonts w:ascii="Times New Roman" w:hAnsi="Times New Roman" w:cs="Times New Roman"/>
        </w:rPr>
        <w:t> </w:t>
      </w:r>
      <w:r w:rsidRPr="00BC5308">
        <w:rPr>
          <w:rFonts w:ascii="Times New Roman" w:hAnsi="Times New Roman" w:cs="Times New Roman"/>
        </w:rPr>
        <w:t>współpracy między państwami</w:t>
      </w:r>
      <w:r>
        <w:rPr>
          <w:rFonts w:ascii="Times New Roman" w:hAnsi="Times New Roman" w:cs="Times New Roman"/>
        </w:rPr>
        <w:t>”</w:t>
      </w:r>
      <w:r>
        <w:rPr>
          <w:rStyle w:val="Odwoanieprzypisudolnego"/>
          <w:rFonts w:ascii="Times New Roman" w:hAnsi="Times New Roman" w:cs="Times New Roman"/>
        </w:rPr>
        <w:footnoteReference w:id="4"/>
      </w:r>
      <w:r w:rsidRPr="00BC5308">
        <w:rPr>
          <w:rFonts w:ascii="Times New Roman" w:hAnsi="Times New Roman" w:cs="Times New Roman"/>
        </w:rPr>
        <w:t>.</w:t>
      </w:r>
      <w:r>
        <w:rPr>
          <w:rFonts w:ascii="Times New Roman" w:hAnsi="Times New Roman" w:cs="Times New Roman"/>
        </w:rPr>
        <w:t xml:space="preserve"> Decyzja o wystąpieniu z UE nie w mniejszym stopniu dotyczy procesów integracyjnych, w tym wypadku ich trwałego zerwania, a przede wszystkim nieodłącznie związana jest z pojęciem suwerenności. Stąd, w opinii projektodawców, konieczna jest </w:t>
      </w:r>
      <w:r w:rsidRPr="00C64B8F">
        <w:rPr>
          <w:rFonts w:ascii="Times New Roman" w:hAnsi="Times New Roman" w:cs="Times New Roman"/>
          <w:b/>
          <w:bCs/>
        </w:rPr>
        <w:t>symetria działania</w:t>
      </w:r>
      <w:r>
        <w:rPr>
          <w:rFonts w:ascii="Times New Roman" w:hAnsi="Times New Roman" w:cs="Times New Roman"/>
        </w:rPr>
        <w:t xml:space="preserve"> i takie odczytanie ustawy zasadniczej, zgodnie z którym wystąpienie z Unii Europejskiej byłoby możliwe wyłącznie </w:t>
      </w:r>
      <w:r w:rsidRPr="00C64B8F">
        <w:rPr>
          <w:rFonts w:ascii="Times New Roman" w:hAnsi="Times New Roman" w:cs="Times New Roman"/>
          <w:b/>
          <w:bCs/>
        </w:rPr>
        <w:t xml:space="preserve">w drodze </w:t>
      </w:r>
      <w:proofErr w:type="spellStart"/>
      <w:r w:rsidRPr="00C64B8F">
        <w:rPr>
          <w:rFonts w:ascii="Times New Roman" w:hAnsi="Times New Roman" w:cs="Times New Roman"/>
          <w:b/>
          <w:bCs/>
          <w:i/>
          <w:iCs/>
        </w:rPr>
        <w:t>actus</w:t>
      </w:r>
      <w:proofErr w:type="spellEnd"/>
      <w:r w:rsidRPr="00C64B8F">
        <w:rPr>
          <w:rFonts w:ascii="Times New Roman" w:hAnsi="Times New Roman" w:cs="Times New Roman"/>
          <w:b/>
          <w:bCs/>
          <w:i/>
          <w:iCs/>
        </w:rPr>
        <w:t xml:space="preserve"> </w:t>
      </w:r>
      <w:proofErr w:type="spellStart"/>
      <w:r w:rsidRPr="00C64B8F">
        <w:rPr>
          <w:rFonts w:ascii="Times New Roman" w:hAnsi="Times New Roman" w:cs="Times New Roman"/>
          <w:b/>
          <w:bCs/>
          <w:i/>
          <w:iCs/>
        </w:rPr>
        <w:t>contrarius</w:t>
      </w:r>
      <w:proofErr w:type="spellEnd"/>
      <w:r w:rsidRPr="00C64B8F">
        <w:rPr>
          <w:rFonts w:ascii="Times New Roman" w:hAnsi="Times New Roman" w:cs="Times New Roman"/>
          <w:b/>
          <w:bCs/>
        </w:rPr>
        <w:t>, czyli aktu prawnego przyjętego w</w:t>
      </w:r>
      <w:r>
        <w:rPr>
          <w:rFonts w:ascii="Times New Roman" w:hAnsi="Times New Roman" w:cs="Times New Roman"/>
          <w:b/>
          <w:bCs/>
        </w:rPr>
        <w:t> </w:t>
      </w:r>
      <w:r w:rsidRPr="00C64B8F">
        <w:rPr>
          <w:rFonts w:ascii="Times New Roman" w:hAnsi="Times New Roman" w:cs="Times New Roman"/>
          <w:b/>
          <w:bCs/>
        </w:rPr>
        <w:t xml:space="preserve">procedurze identycznej do tej, w jakiej nastąpiła ratyfikacja traktatu akcesyjnego </w:t>
      </w:r>
      <w:r>
        <w:rPr>
          <w:rFonts w:ascii="Times New Roman" w:hAnsi="Times New Roman" w:cs="Times New Roman"/>
          <w:b/>
          <w:bCs/>
        </w:rPr>
        <w:t>–</w:t>
      </w:r>
      <w:r w:rsidRPr="00C64B8F">
        <w:rPr>
          <w:rFonts w:ascii="Times New Roman" w:hAnsi="Times New Roman" w:cs="Times New Roman"/>
          <w:b/>
          <w:bCs/>
        </w:rPr>
        <w:t xml:space="preserve"> w</w:t>
      </w:r>
      <w:r>
        <w:rPr>
          <w:rFonts w:ascii="Times New Roman" w:hAnsi="Times New Roman" w:cs="Times New Roman"/>
          <w:b/>
          <w:bCs/>
        </w:rPr>
        <w:t> </w:t>
      </w:r>
      <w:r w:rsidRPr="00C64B8F">
        <w:rPr>
          <w:rFonts w:ascii="Times New Roman" w:hAnsi="Times New Roman" w:cs="Times New Roman"/>
          <w:b/>
          <w:bCs/>
        </w:rPr>
        <w:t>drodze referendum ogólnokrajowego.</w:t>
      </w:r>
      <w:r>
        <w:rPr>
          <w:rFonts w:ascii="Times New Roman" w:hAnsi="Times New Roman" w:cs="Times New Roman"/>
        </w:rPr>
        <w:t xml:space="preserve"> Z zasady przychylności integracji europejskiej należy implikować obowiązek odpowiedniego uzasadnienia zamiaru wystąpienia z Unii</w:t>
      </w:r>
      <w:r>
        <w:rPr>
          <w:rStyle w:val="Odwoanieprzypisudolnego"/>
          <w:rFonts w:ascii="Times New Roman" w:hAnsi="Times New Roman" w:cs="Times New Roman"/>
        </w:rPr>
        <w:footnoteReference w:id="5"/>
      </w:r>
      <w:r>
        <w:rPr>
          <w:rFonts w:ascii="Times New Roman" w:hAnsi="Times New Roman" w:cs="Times New Roman"/>
        </w:rPr>
        <w:t xml:space="preserve">. W świetle powyższego, niezgodna z Konstytucją RP, a dokładniej z zasadą suwerenności Narodu z art. 4 w zw. z art. 90 Konstytucji RP i art. 125 Konstytucji RP, jest obecna regulacja prawna, na mocy której Polska może opuścić Unię Europejską </w:t>
      </w:r>
      <w:bookmarkStart w:id="2" w:name="_Hlk186196832"/>
      <w:r>
        <w:rPr>
          <w:rFonts w:ascii="Times New Roman" w:hAnsi="Times New Roman" w:cs="Times New Roman"/>
        </w:rPr>
        <w:t xml:space="preserve">w wyniku uzyskania zwykłej większości podczas głosowania w Parlamencie </w:t>
      </w:r>
      <w:bookmarkEnd w:id="2"/>
      <w:r>
        <w:rPr>
          <w:rFonts w:ascii="Times New Roman" w:hAnsi="Times New Roman" w:cs="Times New Roman"/>
        </w:rPr>
        <w:t>zgodnie z art. 22a ust. 2 u</w:t>
      </w:r>
      <w:r w:rsidRPr="000F444A">
        <w:rPr>
          <w:rFonts w:ascii="Times New Roman" w:hAnsi="Times New Roman" w:cs="Times New Roman"/>
        </w:rPr>
        <w:t>staw</w:t>
      </w:r>
      <w:r>
        <w:rPr>
          <w:rFonts w:ascii="Times New Roman" w:hAnsi="Times New Roman" w:cs="Times New Roman"/>
        </w:rPr>
        <w:t>y</w:t>
      </w:r>
      <w:r w:rsidRPr="000F444A">
        <w:rPr>
          <w:rFonts w:ascii="Times New Roman" w:hAnsi="Times New Roman" w:cs="Times New Roman"/>
        </w:rPr>
        <w:t xml:space="preserve"> o umowach </w:t>
      </w:r>
      <w:r w:rsidRPr="000F444A">
        <w:rPr>
          <w:rFonts w:ascii="Times New Roman" w:hAnsi="Times New Roman" w:cs="Times New Roman"/>
        </w:rPr>
        <w:lastRenderedPageBreak/>
        <w:t>międzynarodowych</w:t>
      </w:r>
      <w:r>
        <w:rPr>
          <w:rFonts w:ascii="Times New Roman" w:hAnsi="Times New Roman" w:cs="Times New Roman"/>
        </w:rPr>
        <w:t xml:space="preserve">. Projektodawcy stoją na stanowisku, że </w:t>
      </w:r>
      <w:r w:rsidRPr="00C64B8F">
        <w:rPr>
          <w:rFonts w:ascii="Times New Roman" w:hAnsi="Times New Roman" w:cs="Times New Roman"/>
          <w:b/>
          <w:bCs/>
        </w:rPr>
        <w:t>decyzja Narodu wyrażona w</w:t>
      </w:r>
      <w:r>
        <w:rPr>
          <w:rFonts w:ascii="Times New Roman" w:hAnsi="Times New Roman" w:cs="Times New Roman"/>
          <w:b/>
          <w:bCs/>
        </w:rPr>
        <w:t> </w:t>
      </w:r>
      <w:r w:rsidRPr="00C64B8F">
        <w:rPr>
          <w:rFonts w:ascii="Times New Roman" w:hAnsi="Times New Roman" w:cs="Times New Roman"/>
          <w:b/>
          <w:bCs/>
        </w:rPr>
        <w:t>wiążącym ustawodawcę referendum nie powinna być zniweczona przez ustawę uchwaloną zwykłą większością głosów.</w:t>
      </w:r>
      <w:r>
        <w:rPr>
          <w:rFonts w:ascii="Times New Roman" w:hAnsi="Times New Roman" w:cs="Times New Roman"/>
          <w:b/>
          <w:bCs/>
        </w:rPr>
        <w:t xml:space="preserve"> </w:t>
      </w:r>
    </w:p>
    <w:p w14:paraId="3773B9DA" w14:textId="77777777" w:rsidR="00306451" w:rsidRPr="00FD5FE0" w:rsidRDefault="00306451" w:rsidP="00306451">
      <w:pPr>
        <w:spacing w:after="0" w:line="360" w:lineRule="auto"/>
        <w:ind w:firstLine="709"/>
        <w:jc w:val="both"/>
        <w:rPr>
          <w:rFonts w:ascii="Times New Roman" w:hAnsi="Times New Roman" w:cs="Times New Roman"/>
        </w:rPr>
      </w:pPr>
      <w:r w:rsidRPr="00FD5FE0">
        <w:rPr>
          <w:rFonts w:ascii="Times New Roman" w:hAnsi="Times New Roman" w:cs="Times New Roman"/>
        </w:rPr>
        <w:t xml:space="preserve">Tak ukształtowany stan prawny grozi podjęciem decyzji nieprzemyślanej i </w:t>
      </w:r>
      <w:r w:rsidRPr="00FD5FE0">
        <w:rPr>
          <w:rFonts w:ascii="Times New Roman" w:hAnsi="Times New Roman" w:cs="Times New Roman"/>
          <w:i/>
          <w:iCs/>
        </w:rPr>
        <w:t>ad hoc</w:t>
      </w:r>
      <w:r w:rsidRPr="00FD5FE0">
        <w:rPr>
          <w:rFonts w:ascii="Times New Roman" w:hAnsi="Times New Roman" w:cs="Times New Roman"/>
        </w:rPr>
        <w:t xml:space="preserve"> pod wpływem doraźnego impulsu, motywowanego krótkowzroczną chęcią politycznego zysku. To tym samym eksponuje nasz kraj na potencjalne manipulacje zewnętrzne i kreuje możliwość nadużywania obecnej regulacji, która nie uwzględnia wagi członkostwa Polski w Unii Europejskiej oraz roli suwerena w legitymowaniu najważniejszych decyzji dotyczących państwa. </w:t>
      </w:r>
    </w:p>
    <w:p w14:paraId="6DADA461" w14:textId="77777777" w:rsidR="00306451" w:rsidRDefault="00306451" w:rsidP="00306451">
      <w:pPr>
        <w:spacing w:after="0" w:line="360" w:lineRule="auto"/>
        <w:ind w:firstLine="709"/>
        <w:jc w:val="both"/>
        <w:rPr>
          <w:rFonts w:ascii="Times New Roman" w:hAnsi="Times New Roman" w:cs="Times New Roman"/>
        </w:rPr>
      </w:pPr>
      <w:r>
        <w:rPr>
          <w:rFonts w:ascii="Times New Roman" w:hAnsi="Times New Roman" w:cs="Times New Roman"/>
          <w:b/>
          <w:bCs/>
        </w:rPr>
        <w:t>Należy podkreślić, że a</w:t>
      </w:r>
      <w:r w:rsidRPr="00FA1812">
        <w:rPr>
          <w:rFonts w:ascii="Times New Roman" w:hAnsi="Times New Roman" w:cs="Times New Roman"/>
          <w:b/>
          <w:bCs/>
        </w:rPr>
        <w:t>nalogiczne stanowisko</w:t>
      </w:r>
      <w:r>
        <w:rPr>
          <w:rFonts w:ascii="Times New Roman" w:hAnsi="Times New Roman" w:cs="Times New Roman"/>
          <w:b/>
          <w:bCs/>
        </w:rPr>
        <w:t xml:space="preserve"> oraz zbieżne postulaty nowelizacji ustawy</w:t>
      </w:r>
      <w:r w:rsidRPr="00FA1812">
        <w:rPr>
          <w:rFonts w:ascii="Times New Roman" w:hAnsi="Times New Roman" w:cs="Times New Roman"/>
          <w:b/>
          <w:bCs/>
        </w:rPr>
        <w:t xml:space="preserve"> wyraził Rzecznik Praw Obywatelskich w piśmie z 10</w:t>
      </w:r>
      <w:r>
        <w:rPr>
          <w:rFonts w:ascii="Times New Roman" w:hAnsi="Times New Roman" w:cs="Times New Roman"/>
          <w:b/>
          <w:bCs/>
        </w:rPr>
        <w:t xml:space="preserve"> października </w:t>
      </w:r>
      <w:r w:rsidRPr="00FA1812">
        <w:rPr>
          <w:rFonts w:ascii="Times New Roman" w:hAnsi="Times New Roman" w:cs="Times New Roman"/>
          <w:b/>
          <w:bCs/>
        </w:rPr>
        <w:t>2024</w:t>
      </w:r>
      <w:r>
        <w:rPr>
          <w:rFonts w:ascii="Times New Roman" w:hAnsi="Times New Roman" w:cs="Times New Roman"/>
          <w:b/>
          <w:bCs/>
        </w:rPr>
        <w:t xml:space="preserve"> </w:t>
      </w:r>
      <w:r w:rsidRPr="00FA1812">
        <w:rPr>
          <w:rFonts w:ascii="Times New Roman" w:hAnsi="Times New Roman" w:cs="Times New Roman"/>
          <w:b/>
          <w:bCs/>
        </w:rPr>
        <w:t>r. do Marszałka Sejmu</w:t>
      </w:r>
      <w:r>
        <w:rPr>
          <w:rFonts w:ascii="Times New Roman" w:hAnsi="Times New Roman" w:cs="Times New Roman"/>
          <w:b/>
          <w:bCs/>
        </w:rPr>
        <w:t xml:space="preserve"> Szymona Hołowni</w:t>
      </w:r>
      <w:r w:rsidRPr="00FA1812">
        <w:rPr>
          <w:rFonts w:ascii="Times New Roman" w:hAnsi="Times New Roman" w:cs="Times New Roman"/>
          <w:b/>
          <w:bCs/>
        </w:rPr>
        <w:t>,</w:t>
      </w:r>
      <w:r>
        <w:rPr>
          <w:rFonts w:ascii="Times New Roman" w:hAnsi="Times New Roman" w:cs="Times New Roman"/>
          <w:b/>
          <w:bCs/>
        </w:rPr>
        <w:t xml:space="preserve"> które uprzednio skierowano do Marszałek Elżbiety Witek (pismem z 9 listopada 2021 r.).</w:t>
      </w:r>
      <w:r>
        <w:rPr>
          <w:rFonts w:ascii="Times New Roman" w:hAnsi="Times New Roman" w:cs="Times New Roman"/>
        </w:rPr>
        <w:t xml:space="preserve"> </w:t>
      </w:r>
    </w:p>
    <w:p w14:paraId="39880251" w14:textId="77777777" w:rsidR="00306451" w:rsidRDefault="00306451" w:rsidP="00306451">
      <w:pPr>
        <w:spacing w:after="0" w:line="360" w:lineRule="auto"/>
        <w:ind w:firstLine="708"/>
        <w:jc w:val="both"/>
        <w:rPr>
          <w:rFonts w:ascii="Times New Roman" w:hAnsi="Times New Roman" w:cs="Times New Roman"/>
        </w:rPr>
      </w:pPr>
      <w:r>
        <w:rPr>
          <w:rFonts w:ascii="Times New Roman" w:hAnsi="Times New Roman" w:cs="Times New Roman"/>
        </w:rPr>
        <w:t xml:space="preserve">Obecność Rzeczypospolitej Polski w Unii Europejskiej wiąże się niezliczonymi korzyściami, które od 2004 roku diametralnie zmieniły stan polskiej gospodarki, prawa oraz status naszego kraju na arenie międzynarodowej. Opuszczenie UE nie byłoby prostym odwróceniem skutków akcesji z 2004 roku. W dużej mierze wystąpienie ze struktur unijnych wiązałoby się z olbrzymią niepewnością i trudnością przewidzenia następstw takiego ruchu. Wyjście ze Wspólnoty implikowałoby przede wszystkim pozbawienie Polaków obywatelstwa Unii Europejskiej, co przełożyłoby się na stratę możliwości korzystania ze swobód rynku wewnętrznego: przepływu osób, towarów, usług i kapitału. Byłoby zatem końcem wolności wyboru miejsca zamieszkania, pracy i studiowania w państwach członkowskich Unii. Konsekwencją wyjścia ze strefy </w:t>
      </w:r>
      <w:proofErr w:type="spellStart"/>
      <w:r>
        <w:rPr>
          <w:rFonts w:ascii="Times New Roman" w:hAnsi="Times New Roman" w:cs="Times New Roman"/>
        </w:rPr>
        <w:t>Schengen</w:t>
      </w:r>
      <w:proofErr w:type="spellEnd"/>
      <w:r>
        <w:rPr>
          <w:rFonts w:ascii="Times New Roman" w:hAnsi="Times New Roman" w:cs="Times New Roman"/>
        </w:rPr>
        <w:t xml:space="preserve"> byłby zakaz swobodnego podróżowania (przemieszczania się i przybywania) przez kraje UE bez paszportu. Obywatele Polski nie mogliby się powoływać na gwarancje praw i wolności z Karty Praw Podstawowych oraz na inne uprawnienia wynikające z prawa pierwotnego i pochodnego Unii. Wyjście z UE to nie tylko zaprzestanie obowiązywania wspólnotowego dorobku prawnego </w:t>
      </w:r>
      <w:proofErr w:type="spellStart"/>
      <w:r w:rsidRPr="00EC494F">
        <w:rPr>
          <w:rFonts w:ascii="Times New Roman" w:hAnsi="Times New Roman" w:cs="Times New Roman"/>
          <w:i/>
          <w:iCs/>
        </w:rPr>
        <w:t>acquis</w:t>
      </w:r>
      <w:proofErr w:type="spellEnd"/>
      <w:r w:rsidRPr="00EC494F">
        <w:rPr>
          <w:rFonts w:ascii="Times New Roman" w:hAnsi="Times New Roman" w:cs="Times New Roman"/>
          <w:i/>
          <w:iCs/>
        </w:rPr>
        <w:t xml:space="preserve"> </w:t>
      </w:r>
      <w:proofErr w:type="spellStart"/>
      <w:r w:rsidRPr="00EC494F">
        <w:rPr>
          <w:rFonts w:ascii="Times New Roman" w:hAnsi="Times New Roman" w:cs="Times New Roman"/>
          <w:i/>
          <w:iCs/>
        </w:rPr>
        <w:t>communautaire</w:t>
      </w:r>
      <w:proofErr w:type="spellEnd"/>
      <w:r>
        <w:rPr>
          <w:rFonts w:ascii="Times New Roman" w:hAnsi="Times New Roman" w:cs="Times New Roman"/>
          <w:i/>
          <w:iCs/>
        </w:rPr>
        <w:t xml:space="preserve">, </w:t>
      </w:r>
      <w:r>
        <w:rPr>
          <w:rFonts w:ascii="Times New Roman" w:hAnsi="Times New Roman" w:cs="Times New Roman"/>
        </w:rPr>
        <w:t xml:space="preserve">który przez lata determinował kształt wszystkich gałęzi prawa w Polsce. To także przywrócenie ceł i przeszkód w handlu dla przedsiębiorców na granicach, koniec uczestnictwa w programach naukowych dla polskich studentów (jak Erasmus+), brak bezpośrednich dopłat dla rolników czy funduszy strukturalnych dla rozwoju regionów w Polsce. W czasach </w:t>
      </w:r>
      <w:proofErr w:type="spellStart"/>
      <w:r>
        <w:rPr>
          <w:rFonts w:ascii="Times New Roman" w:hAnsi="Times New Roman" w:cs="Times New Roman"/>
        </w:rPr>
        <w:t>polikryzysu</w:t>
      </w:r>
      <w:proofErr w:type="spellEnd"/>
      <w:r>
        <w:rPr>
          <w:rFonts w:ascii="Times New Roman" w:hAnsi="Times New Roman" w:cs="Times New Roman"/>
        </w:rPr>
        <w:t xml:space="preserve"> i geopolitycznych wyzwań, z jakimi od czasów II wojny światowej nie przyszło się mierzyć Europie, Polska straciłaby głos w europejskiej Wspólnej Polityce Zagranicznej i Bezpieczeństwa, a umowy międzynarodowe zawarte przez UE z </w:t>
      </w:r>
      <w:r>
        <w:rPr>
          <w:rFonts w:ascii="Times New Roman" w:hAnsi="Times New Roman" w:cs="Times New Roman"/>
        </w:rPr>
        <w:lastRenderedPageBreak/>
        <w:t xml:space="preserve">państwami trzecimi i organizacjami międzynarodowymi straciłyby zastosowanie wobec naszego kraju. </w:t>
      </w:r>
    </w:p>
    <w:p w14:paraId="31CDB89D" w14:textId="77777777" w:rsidR="00306451" w:rsidRDefault="00306451" w:rsidP="00306451">
      <w:pPr>
        <w:spacing w:after="0" w:line="360" w:lineRule="auto"/>
        <w:ind w:firstLine="708"/>
        <w:jc w:val="both"/>
        <w:rPr>
          <w:rFonts w:ascii="Times New Roman" w:hAnsi="Times New Roman" w:cs="Times New Roman"/>
        </w:rPr>
      </w:pPr>
      <w:r>
        <w:rPr>
          <w:rFonts w:ascii="Times New Roman" w:hAnsi="Times New Roman" w:cs="Times New Roman"/>
        </w:rPr>
        <w:t xml:space="preserve">Ogromu i powagi konsekwencji wystąpienia z UE nie da się przewidzieć. W świetle powyższego </w:t>
      </w:r>
      <w:r w:rsidRPr="000B1368">
        <w:rPr>
          <w:rFonts w:ascii="Times New Roman" w:hAnsi="Times New Roman" w:cs="Times New Roman"/>
          <w:b/>
          <w:bCs/>
        </w:rPr>
        <w:t>niniejsza nowelizacja jest niezbędna, jako zapewniająca gwarancję, że</w:t>
      </w:r>
      <w:r>
        <w:rPr>
          <w:rFonts w:ascii="Times New Roman" w:hAnsi="Times New Roman" w:cs="Times New Roman"/>
          <w:b/>
          <w:bCs/>
        </w:rPr>
        <w:t> </w:t>
      </w:r>
      <w:r w:rsidRPr="000B1368">
        <w:rPr>
          <w:rFonts w:ascii="Times New Roman" w:hAnsi="Times New Roman" w:cs="Times New Roman"/>
          <w:b/>
          <w:bCs/>
        </w:rPr>
        <w:t xml:space="preserve">najważniejsze decyzje w hipotetycznej możliwości opuszczenia struktur unijnych zostaną podjęte przez </w:t>
      </w:r>
      <w:r>
        <w:rPr>
          <w:rFonts w:ascii="Times New Roman" w:hAnsi="Times New Roman" w:cs="Times New Roman"/>
          <w:b/>
          <w:bCs/>
        </w:rPr>
        <w:t>N</w:t>
      </w:r>
      <w:r w:rsidRPr="000B1368">
        <w:rPr>
          <w:rFonts w:ascii="Times New Roman" w:hAnsi="Times New Roman" w:cs="Times New Roman"/>
          <w:b/>
          <w:bCs/>
        </w:rPr>
        <w:t>aród w drodze referendum ogólnokrajowego.</w:t>
      </w:r>
      <w:r>
        <w:rPr>
          <w:rFonts w:ascii="Times New Roman" w:hAnsi="Times New Roman" w:cs="Times New Roman"/>
        </w:rPr>
        <w:t xml:space="preserve"> </w:t>
      </w:r>
      <w:r w:rsidRPr="00FA1812">
        <w:rPr>
          <w:rFonts w:ascii="Times New Roman" w:hAnsi="Times New Roman" w:cs="Times New Roman"/>
        </w:rPr>
        <w:t>Warto zauważyć, że</w:t>
      </w:r>
      <w:r>
        <w:rPr>
          <w:rFonts w:ascii="Times New Roman" w:hAnsi="Times New Roman" w:cs="Times New Roman"/>
        </w:rPr>
        <w:t> </w:t>
      </w:r>
      <w:r w:rsidRPr="00FA1812">
        <w:rPr>
          <w:rFonts w:ascii="Times New Roman" w:hAnsi="Times New Roman" w:cs="Times New Roman"/>
        </w:rPr>
        <w:t>postulowane w niniejszym projekcie zmiany znalazły się, w podobnym zakresie, we</w:t>
      </w:r>
      <w:r>
        <w:rPr>
          <w:rFonts w:ascii="Times New Roman" w:hAnsi="Times New Roman" w:cs="Times New Roman"/>
        </w:rPr>
        <w:t> </w:t>
      </w:r>
      <w:r w:rsidRPr="00FA1812">
        <w:rPr>
          <w:rFonts w:ascii="Times New Roman" w:hAnsi="Times New Roman" w:cs="Times New Roman"/>
        </w:rPr>
        <w:t>wniesionym przez Prezydenta RP w 2010 r. projekcie ustawy o zmianie Konstytucji RP</w:t>
      </w:r>
      <w:r w:rsidRPr="00FA1812">
        <w:rPr>
          <w:rFonts w:ascii="Times New Roman" w:hAnsi="Times New Roman" w:cs="Times New Roman"/>
          <w:vertAlign w:val="superscript"/>
        </w:rPr>
        <w:footnoteReference w:id="6"/>
      </w:r>
      <w:r w:rsidRPr="00FA1812">
        <w:rPr>
          <w:rFonts w:ascii="Times New Roman" w:hAnsi="Times New Roman" w:cs="Times New Roman"/>
        </w:rPr>
        <w:t>, który kompleksowo regulował procedurę opuszczenia przez Polskę struktur unijnych. W</w:t>
      </w:r>
      <w:r>
        <w:rPr>
          <w:rFonts w:ascii="Times New Roman" w:hAnsi="Times New Roman" w:cs="Times New Roman"/>
        </w:rPr>
        <w:t> </w:t>
      </w:r>
      <w:r w:rsidRPr="00FA1812">
        <w:rPr>
          <w:rFonts w:ascii="Times New Roman" w:hAnsi="Times New Roman" w:cs="Times New Roman"/>
        </w:rPr>
        <w:t>projekcie ustawy z 2010 przewidziano, że wystąpienie z Unii byłoby możliwe za zgodą wyrażoną w</w:t>
      </w:r>
      <w:r>
        <w:rPr>
          <w:rFonts w:ascii="Times New Roman" w:hAnsi="Times New Roman" w:cs="Times New Roman"/>
        </w:rPr>
        <w:t> </w:t>
      </w:r>
      <w:r w:rsidRPr="00FA1812">
        <w:rPr>
          <w:rFonts w:ascii="Times New Roman" w:hAnsi="Times New Roman" w:cs="Times New Roman"/>
        </w:rPr>
        <w:t>ustawie stanowionej większością kwalifikowaną albo alternatywnie w drodze referendum ogólnokrajowego stosownie do art. 125 Konstytucji</w:t>
      </w:r>
      <w:r>
        <w:rPr>
          <w:rFonts w:ascii="Times New Roman" w:hAnsi="Times New Roman" w:cs="Times New Roman"/>
        </w:rPr>
        <w:t xml:space="preserve"> RP</w:t>
      </w:r>
      <w:r w:rsidRPr="00FA1812">
        <w:rPr>
          <w:rFonts w:ascii="Times New Roman" w:hAnsi="Times New Roman" w:cs="Times New Roman"/>
        </w:rPr>
        <w:t xml:space="preserve">. Ponadto, w takim samym trybie miałaby zostać wyrażona zgoda na ratyfikację umowy określającej warunki wystąpienia Polski z UE (zgodnie z art. 50 ust. 2 TUE). Twórcy projektu przyjęli zatem rozwiązania analogiczne, w duchu </w:t>
      </w:r>
      <w:proofErr w:type="spellStart"/>
      <w:r w:rsidRPr="00FA1812">
        <w:rPr>
          <w:rFonts w:ascii="Times New Roman" w:hAnsi="Times New Roman" w:cs="Times New Roman"/>
          <w:i/>
          <w:iCs/>
        </w:rPr>
        <w:t>actus</w:t>
      </w:r>
      <w:proofErr w:type="spellEnd"/>
      <w:r w:rsidRPr="00FA1812">
        <w:rPr>
          <w:rFonts w:ascii="Times New Roman" w:hAnsi="Times New Roman" w:cs="Times New Roman"/>
          <w:i/>
          <w:iCs/>
        </w:rPr>
        <w:t xml:space="preserve"> </w:t>
      </w:r>
      <w:proofErr w:type="spellStart"/>
      <w:r w:rsidRPr="00FA1812">
        <w:rPr>
          <w:rFonts w:ascii="Times New Roman" w:hAnsi="Times New Roman" w:cs="Times New Roman"/>
          <w:i/>
          <w:iCs/>
        </w:rPr>
        <w:t>contrarius</w:t>
      </w:r>
      <w:proofErr w:type="spellEnd"/>
      <w:r w:rsidRPr="00FA1812">
        <w:rPr>
          <w:rFonts w:ascii="Times New Roman" w:hAnsi="Times New Roman" w:cs="Times New Roman"/>
        </w:rPr>
        <w:t xml:space="preserve"> dla procedury akcesji z art. 90 Konstytucji</w:t>
      </w:r>
      <w:r>
        <w:rPr>
          <w:rFonts w:ascii="Times New Roman" w:hAnsi="Times New Roman" w:cs="Times New Roman"/>
        </w:rPr>
        <w:t xml:space="preserve"> RP</w:t>
      </w:r>
      <w:r w:rsidRPr="00FA1812">
        <w:rPr>
          <w:rFonts w:ascii="Times New Roman" w:hAnsi="Times New Roman" w:cs="Times New Roman"/>
        </w:rPr>
        <w:t>, kierując się jednocześnie zapisami art. 50 TUE, chcąc zapewnić właściwą legitymację dla decyzji kluczowych z punktu widzenia żywotnych interesów Rzeczypospolitej Polskiej.</w:t>
      </w:r>
    </w:p>
    <w:p w14:paraId="3C303B0C"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Jak wskazywano w literaturze obecna regulacja jest „wyjątkowo niefrasobliwa”, a procedura krajowa dla takiej decyzji winna gwarantować przejrzystość i mocną, społeczną legitymację</w:t>
      </w:r>
      <w:r>
        <w:rPr>
          <w:rStyle w:val="Odwoanieprzypisudolnego"/>
          <w:rFonts w:ascii="Times New Roman" w:hAnsi="Times New Roman" w:cs="Times New Roman"/>
        </w:rPr>
        <w:footnoteReference w:id="7"/>
      </w:r>
      <w:r>
        <w:rPr>
          <w:rFonts w:ascii="Times New Roman" w:hAnsi="Times New Roman" w:cs="Times New Roman"/>
        </w:rPr>
        <w:t xml:space="preserve">. Projektowana zmiana </w:t>
      </w:r>
      <w:r w:rsidRPr="00FA1812">
        <w:rPr>
          <w:rFonts w:ascii="Times New Roman" w:hAnsi="Times New Roman" w:cs="Times New Roman"/>
        </w:rPr>
        <w:t>odpowiada na podnoszone od lat postulaty doktryny i wielu środowisk</w:t>
      </w:r>
      <w:r>
        <w:rPr>
          <w:rFonts w:ascii="Times New Roman" w:hAnsi="Times New Roman" w:cs="Times New Roman"/>
        </w:rPr>
        <w:t xml:space="preserve"> oraz</w:t>
      </w:r>
      <w:r w:rsidRPr="00FA1812">
        <w:rPr>
          <w:rFonts w:ascii="Times New Roman" w:hAnsi="Times New Roman" w:cs="Times New Roman"/>
        </w:rPr>
        <w:t xml:space="preserve"> </w:t>
      </w:r>
      <w:r>
        <w:rPr>
          <w:rFonts w:ascii="Times New Roman" w:hAnsi="Times New Roman" w:cs="Times New Roman"/>
        </w:rPr>
        <w:t>wychodzi naprzeciw konieczności podjęcia pilnej zmiany stanu prawnego, w celu zabezpieczenia członkostwa RP w Unii Europejskiej. Co więcej, projektodawcy są zdania, że czas polskiej Prezydencji w Radzie UE</w:t>
      </w:r>
      <w:r>
        <w:rPr>
          <w:rStyle w:val="Odwoanieprzypisudolnego"/>
          <w:rFonts w:ascii="Times New Roman" w:hAnsi="Times New Roman" w:cs="Times New Roman"/>
        </w:rPr>
        <w:footnoteReference w:id="8"/>
      </w:r>
      <w:r>
        <w:rPr>
          <w:rFonts w:ascii="Times New Roman" w:hAnsi="Times New Roman" w:cs="Times New Roman"/>
        </w:rPr>
        <w:t xml:space="preserve">, to najwłaściwszy moment, aby podkreślić miejsce i wagę Polski w Unii Europejskiej. </w:t>
      </w:r>
    </w:p>
    <w:p w14:paraId="2156174C" w14:textId="77777777" w:rsidR="00306451" w:rsidRDefault="00306451" w:rsidP="00306451">
      <w:pPr>
        <w:spacing w:after="0" w:line="360" w:lineRule="auto"/>
        <w:rPr>
          <w:rFonts w:ascii="Times New Roman" w:hAnsi="Times New Roman" w:cs="Times New Roman"/>
        </w:rPr>
      </w:pPr>
    </w:p>
    <w:p w14:paraId="7EC89393" w14:textId="77777777" w:rsidR="00306451" w:rsidRDefault="00306451" w:rsidP="00306451">
      <w:pPr>
        <w:spacing w:after="0" w:line="360" w:lineRule="auto"/>
        <w:rPr>
          <w:rFonts w:ascii="Times New Roman" w:hAnsi="Times New Roman" w:cs="Times New Roman"/>
        </w:rPr>
      </w:pPr>
    </w:p>
    <w:p w14:paraId="6FD26DDA" w14:textId="77777777" w:rsidR="00306451" w:rsidRDefault="00306451" w:rsidP="00306451">
      <w:pPr>
        <w:spacing w:after="0" w:line="360" w:lineRule="auto"/>
        <w:rPr>
          <w:rFonts w:ascii="Times New Roman" w:hAnsi="Times New Roman" w:cs="Times New Roman"/>
        </w:rPr>
      </w:pPr>
    </w:p>
    <w:p w14:paraId="76CD4358" w14:textId="77777777" w:rsidR="00306451" w:rsidRPr="00F305C8" w:rsidRDefault="00306451" w:rsidP="00306451">
      <w:pPr>
        <w:spacing w:after="0" w:line="360" w:lineRule="auto"/>
        <w:rPr>
          <w:rFonts w:ascii="Times New Roman" w:hAnsi="Times New Roman" w:cs="Times New Roman"/>
        </w:rPr>
      </w:pPr>
    </w:p>
    <w:p w14:paraId="3B9D909D" w14:textId="77777777" w:rsidR="00306451" w:rsidRPr="00FD5FE0" w:rsidRDefault="00306451" w:rsidP="00306451">
      <w:pPr>
        <w:pStyle w:val="Akapitzlist"/>
        <w:numPr>
          <w:ilvl w:val="0"/>
          <w:numId w:val="2"/>
        </w:numPr>
        <w:spacing w:after="0" w:line="360" w:lineRule="auto"/>
        <w:ind w:left="782" w:hanging="357"/>
        <w:jc w:val="both"/>
        <w:rPr>
          <w:rFonts w:ascii="Times New Roman" w:hAnsi="Times New Roman" w:cs="Times New Roman"/>
          <w:b/>
          <w:bCs/>
        </w:rPr>
      </w:pPr>
      <w:r>
        <w:rPr>
          <w:rFonts w:ascii="Times New Roman" w:hAnsi="Times New Roman" w:cs="Times New Roman"/>
          <w:b/>
          <w:bCs/>
        </w:rPr>
        <w:t>R</w:t>
      </w:r>
      <w:r w:rsidRPr="00C74CB9">
        <w:rPr>
          <w:rFonts w:ascii="Times New Roman" w:hAnsi="Times New Roman" w:cs="Times New Roman"/>
          <w:b/>
          <w:bCs/>
        </w:rPr>
        <w:t xml:space="preserve">zeczywisty stan </w:t>
      </w:r>
      <w:r>
        <w:rPr>
          <w:rFonts w:ascii="Times New Roman" w:hAnsi="Times New Roman" w:cs="Times New Roman"/>
          <w:b/>
          <w:bCs/>
        </w:rPr>
        <w:t>prawny w dziedzinie</w:t>
      </w:r>
      <w:r w:rsidRPr="00C74CB9">
        <w:rPr>
          <w:rFonts w:ascii="Times New Roman" w:hAnsi="Times New Roman" w:cs="Times New Roman"/>
          <w:b/>
          <w:bCs/>
        </w:rPr>
        <w:t>, która ma być unormowana</w:t>
      </w:r>
      <w:r>
        <w:rPr>
          <w:rFonts w:ascii="Times New Roman" w:hAnsi="Times New Roman" w:cs="Times New Roman"/>
          <w:b/>
          <w:bCs/>
        </w:rPr>
        <w:t xml:space="preserve"> oraz </w:t>
      </w:r>
      <w:r w:rsidRPr="00C74CB9">
        <w:rPr>
          <w:rFonts w:ascii="Times New Roman" w:hAnsi="Times New Roman" w:cs="Times New Roman"/>
          <w:b/>
          <w:bCs/>
        </w:rPr>
        <w:t>przewidywane skutki prawne</w:t>
      </w:r>
      <w:r>
        <w:rPr>
          <w:rFonts w:ascii="Times New Roman" w:hAnsi="Times New Roman" w:cs="Times New Roman"/>
          <w:b/>
          <w:bCs/>
        </w:rPr>
        <w:t xml:space="preserve"> – </w:t>
      </w:r>
      <w:r w:rsidRPr="00FD5FE0">
        <w:rPr>
          <w:rFonts w:ascii="Times New Roman" w:hAnsi="Times New Roman" w:cs="Times New Roman"/>
          <w:b/>
          <w:bCs/>
        </w:rPr>
        <w:t>różnica pomiędzy dotychczasowym a projektowanym stanem prawnym</w:t>
      </w:r>
    </w:p>
    <w:p w14:paraId="26C1A470" w14:textId="77777777" w:rsidR="00306451" w:rsidRPr="001B1E75" w:rsidRDefault="00306451" w:rsidP="00306451">
      <w:pPr>
        <w:spacing w:after="0" w:line="360" w:lineRule="auto"/>
        <w:jc w:val="both"/>
        <w:rPr>
          <w:rFonts w:ascii="Times New Roman" w:hAnsi="Times New Roman" w:cs="Times New Roman"/>
          <w:b/>
          <w:bCs/>
        </w:rPr>
      </w:pPr>
    </w:p>
    <w:p w14:paraId="6DCE2883" w14:textId="77777777" w:rsidR="00306451" w:rsidRDefault="00306451" w:rsidP="00306451">
      <w:pPr>
        <w:pStyle w:val="Akapitzlist"/>
        <w:numPr>
          <w:ilvl w:val="0"/>
          <w:numId w:val="4"/>
        </w:numPr>
        <w:spacing w:after="0" w:line="360" w:lineRule="auto"/>
        <w:rPr>
          <w:rFonts w:ascii="Times New Roman" w:hAnsi="Times New Roman" w:cs="Times New Roman"/>
          <w:b/>
          <w:bCs/>
        </w:rPr>
      </w:pPr>
      <w:r w:rsidRPr="00CD0858">
        <w:rPr>
          <w:rFonts w:ascii="Times New Roman" w:hAnsi="Times New Roman" w:cs="Times New Roman"/>
          <w:b/>
          <w:bCs/>
        </w:rPr>
        <w:t xml:space="preserve">Dotychczasowy stan prawny </w:t>
      </w:r>
    </w:p>
    <w:p w14:paraId="18F522E7" w14:textId="77777777" w:rsidR="00306451" w:rsidRDefault="00306451" w:rsidP="00306451">
      <w:pPr>
        <w:spacing w:after="0" w:line="360" w:lineRule="auto"/>
        <w:ind w:firstLine="709"/>
        <w:jc w:val="both"/>
        <w:rPr>
          <w:rFonts w:ascii="Times New Roman" w:hAnsi="Times New Roman" w:cs="Times New Roman"/>
        </w:rPr>
      </w:pPr>
      <w:r>
        <w:rPr>
          <w:rFonts w:ascii="Times New Roman" w:hAnsi="Times New Roman" w:cs="Times New Roman"/>
        </w:rPr>
        <w:t xml:space="preserve">Obecnie procedura wystąpienia Polski z Unii Europejskiej jest regulowana przez </w:t>
      </w:r>
      <w:bookmarkStart w:id="4" w:name="_Hlk187140392"/>
      <w:r>
        <w:rPr>
          <w:rFonts w:ascii="Times New Roman" w:hAnsi="Times New Roman" w:cs="Times New Roman"/>
        </w:rPr>
        <w:t>art. 22a ustawy o umowach międzynarodowych</w:t>
      </w:r>
      <w:bookmarkEnd w:id="4"/>
      <w:r>
        <w:rPr>
          <w:rStyle w:val="Odwoanieprzypisudolnego"/>
          <w:rFonts w:ascii="Times New Roman" w:hAnsi="Times New Roman" w:cs="Times New Roman"/>
        </w:rPr>
        <w:footnoteReference w:id="9"/>
      </w:r>
      <w:r>
        <w:rPr>
          <w:rFonts w:ascii="Times New Roman" w:hAnsi="Times New Roman" w:cs="Times New Roman"/>
        </w:rPr>
        <w:t xml:space="preserve">, a w szczególności przez art. 22a ust. 2 tej ustawy, który stanowi, że </w:t>
      </w:r>
      <w:r w:rsidRPr="00992948">
        <w:rPr>
          <w:rFonts w:ascii="Times New Roman" w:hAnsi="Times New Roman" w:cs="Times New Roman"/>
          <w:b/>
          <w:bCs/>
        </w:rPr>
        <w:t>przedłożenie Prezydentowi Rzeczypospolitej Polskiej projektu decyzji o wystąpieniu z Unii Europejskiej jest dokonywane po uzyskaniu zgody wyrażonej w</w:t>
      </w:r>
      <w:r>
        <w:rPr>
          <w:rFonts w:ascii="Times New Roman" w:hAnsi="Times New Roman" w:cs="Times New Roman"/>
          <w:b/>
          <w:bCs/>
        </w:rPr>
        <w:t> </w:t>
      </w:r>
      <w:r w:rsidRPr="00992948">
        <w:rPr>
          <w:rFonts w:ascii="Times New Roman" w:hAnsi="Times New Roman" w:cs="Times New Roman"/>
          <w:b/>
          <w:bCs/>
        </w:rPr>
        <w:t>ustawie</w:t>
      </w:r>
      <w:r w:rsidRPr="00F92224">
        <w:rPr>
          <w:rFonts w:ascii="Times New Roman" w:hAnsi="Times New Roman" w:cs="Times New Roman"/>
        </w:rPr>
        <w:t>.</w:t>
      </w:r>
      <w:r>
        <w:rPr>
          <w:rFonts w:ascii="Times New Roman" w:hAnsi="Times New Roman" w:cs="Times New Roman"/>
        </w:rPr>
        <w:t xml:space="preserve"> W świetle obecnej regulacji przyjmuje się, że byłaby to ustawa uchwalona stosownie do art. 120 Konstytucji RP, czyli </w:t>
      </w:r>
      <w:r w:rsidRPr="00690BEC">
        <w:rPr>
          <w:rFonts w:ascii="Times New Roman" w:hAnsi="Times New Roman" w:cs="Times New Roman"/>
          <w:b/>
          <w:bCs/>
        </w:rPr>
        <w:t>zwykłą większością głosów</w:t>
      </w:r>
      <w:r>
        <w:rPr>
          <w:rFonts w:ascii="Times New Roman" w:hAnsi="Times New Roman" w:cs="Times New Roman"/>
        </w:rPr>
        <w:t xml:space="preserve"> w obecności co najmniej połowy ustawowej liczby posłów. Zatem dla wyrażenia zgody, o której mowa w art. 22a ust. 2 ustawy o umowach międzynarodowych (wystąpienie z UE), nie byłoby konieczne uzyskanie większości kwalifikowanej zgodnie z art. 90 ust. 2 Konstytucji RP albo przeprowadzenie referendum ogólnokrajowego stosownie do art. 90 ust. 3 Konstytucji RP. </w:t>
      </w:r>
    </w:p>
    <w:p w14:paraId="0F48AE65" w14:textId="77777777" w:rsidR="00306451" w:rsidRDefault="00306451" w:rsidP="00306451">
      <w:pPr>
        <w:spacing w:after="0" w:line="360" w:lineRule="auto"/>
        <w:ind w:firstLine="420"/>
        <w:jc w:val="both"/>
        <w:rPr>
          <w:rFonts w:ascii="Times New Roman" w:hAnsi="Times New Roman" w:cs="Times New Roman"/>
        </w:rPr>
      </w:pPr>
      <w:r>
        <w:rPr>
          <w:rFonts w:ascii="Times New Roman" w:hAnsi="Times New Roman" w:cs="Times New Roman"/>
        </w:rPr>
        <w:t>Na podkreślenie zasługuje fakt, że rozwiązania przyjęte w obecnej ustawie o umowach międzynarodowych zostały wdrożone w związku z wprowadzeniem art. 50 Traktatu o Unii Europejskiej</w:t>
      </w:r>
      <w:r>
        <w:rPr>
          <w:rStyle w:val="Odwoanieprzypisudolnego"/>
          <w:rFonts w:ascii="Times New Roman" w:hAnsi="Times New Roman" w:cs="Times New Roman"/>
        </w:rPr>
        <w:footnoteReference w:id="10"/>
      </w:r>
      <w:r>
        <w:rPr>
          <w:rFonts w:ascii="Times New Roman" w:hAnsi="Times New Roman" w:cs="Times New Roman"/>
        </w:rPr>
        <w:t>, jednakże nie dokonało się to w sposób wyczerpujący. Zgodnie z art. 50 TUE można wskazać trzy elementy, i etapy zarazem, kluczowe dla procedury wystąpienia z UE:</w:t>
      </w:r>
    </w:p>
    <w:p w14:paraId="72570E30" w14:textId="77777777" w:rsidR="00306451" w:rsidRDefault="00306451" w:rsidP="00306451">
      <w:pPr>
        <w:pStyle w:val="Akapitzlist"/>
        <w:numPr>
          <w:ilvl w:val="0"/>
          <w:numId w:val="6"/>
        </w:numPr>
        <w:spacing w:after="0" w:line="360" w:lineRule="auto"/>
        <w:jc w:val="both"/>
        <w:rPr>
          <w:rFonts w:ascii="Times New Roman" w:hAnsi="Times New Roman" w:cs="Times New Roman"/>
        </w:rPr>
      </w:pPr>
      <w:r w:rsidRPr="00A159CE">
        <w:rPr>
          <w:rFonts w:ascii="Times New Roman" w:hAnsi="Times New Roman" w:cs="Times New Roman"/>
        </w:rPr>
        <w:t>tryb podjęcia decyzji o wystąpieniu z Unii oraz notyfikację takiego zamiaru Radzie Europejskiej</w:t>
      </w:r>
      <w:r>
        <w:rPr>
          <w:rFonts w:ascii="Times New Roman" w:hAnsi="Times New Roman" w:cs="Times New Roman"/>
        </w:rPr>
        <w:t>,</w:t>
      </w:r>
      <w:r w:rsidRPr="00A159CE">
        <w:rPr>
          <w:rFonts w:ascii="Times New Roman" w:hAnsi="Times New Roman" w:cs="Times New Roman"/>
        </w:rPr>
        <w:t xml:space="preserve"> </w:t>
      </w:r>
    </w:p>
    <w:p w14:paraId="10C83BCE" w14:textId="77777777" w:rsidR="00306451" w:rsidRDefault="00306451" w:rsidP="00306451">
      <w:pPr>
        <w:pStyle w:val="Akapitzlist"/>
        <w:numPr>
          <w:ilvl w:val="0"/>
          <w:numId w:val="6"/>
        </w:numPr>
        <w:spacing w:after="0" w:line="360" w:lineRule="auto"/>
        <w:jc w:val="both"/>
        <w:rPr>
          <w:rFonts w:ascii="Times New Roman" w:hAnsi="Times New Roman" w:cs="Times New Roman"/>
        </w:rPr>
      </w:pPr>
      <w:r>
        <w:rPr>
          <w:rFonts w:ascii="Times New Roman" w:hAnsi="Times New Roman" w:cs="Times New Roman"/>
        </w:rPr>
        <w:t>z</w:t>
      </w:r>
      <w:r w:rsidRPr="00CE2117">
        <w:rPr>
          <w:rFonts w:ascii="Times New Roman" w:hAnsi="Times New Roman" w:cs="Times New Roman"/>
        </w:rPr>
        <w:t>awarcie umowy zawierającej warunki wystąpienia z UE (określającej przyszłe stosunki z Unią)</w:t>
      </w:r>
      <w:r>
        <w:rPr>
          <w:rFonts w:ascii="Times New Roman" w:hAnsi="Times New Roman" w:cs="Times New Roman"/>
        </w:rPr>
        <w:t>,</w:t>
      </w:r>
    </w:p>
    <w:p w14:paraId="6CAB04C2" w14:textId="77777777" w:rsidR="00306451" w:rsidRPr="00A159CE" w:rsidRDefault="00306451" w:rsidP="00306451">
      <w:pPr>
        <w:pStyle w:val="Akapitzlist"/>
        <w:numPr>
          <w:ilvl w:val="0"/>
          <w:numId w:val="6"/>
        </w:numPr>
        <w:spacing w:after="0" w:line="360" w:lineRule="auto"/>
        <w:jc w:val="both"/>
        <w:rPr>
          <w:rFonts w:ascii="Times New Roman" w:hAnsi="Times New Roman" w:cs="Times New Roman"/>
        </w:rPr>
      </w:pPr>
      <w:r>
        <w:rPr>
          <w:rFonts w:ascii="Times New Roman" w:hAnsi="Times New Roman" w:cs="Times New Roman"/>
        </w:rPr>
        <w:t>e</w:t>
      </w:r>
      <w:r w:rsidRPr="00A159CE">
        <w:rPr>
          <w:rFonts w:ascii="Times New Roman" w:hAnsi="Times New Roman" w:cs="Times New Roman"/>
        </w:rPr>
        <w:t xml:space="preserve">wentualne przedłużenie okresu obowiązywania unijnych Traktatów wobec danego państwa. </w:t>
      </w:r>
    </w:p>
    <w:p w14:paraId="77E265C8"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Przepisy art. 22a ust. 1-3 ustawy o umowach międzynarodowych normują właściwy tryb dla podjęcia decyzji o wystąpieniu z UE wraz z obowiązkiem notyfikacji przez </w:t>
      </w:r>
      <w:r w:rsidRPr="002F3F19">
        <w:rPr>
          <w:rFonts w:ascii="Times New Roman" w:hAnsi="Times New Roman" w:cs="Times New Roman"/>
        </w:rPr>
        <w:t>Prezes</w:t>
      </w:r>
      <w:r>
        <w:rPr>
          <w:rFonts w:ascii="Times New Roman" w:hAnsi="Times New Roman" w:cs="Times New Roman"/>
        </w:rPr>
        <w:t>a</w:t>
      </w:r>
      <w:r w:rsidRPr="002F3F19">
        <w:rPr>
          <w:rFonts w:ascii="Times New Roman" w:hAnsi="Times New Roman" w:cs="Times New Roman"/>
        </w:rPr>
        <w:t xml:space="preserve"> Rady Ministrów </w:t>
      </w:r>
      <w:r>
        <w:rPr>
          <w:rFonts w:ascii="Times New Roman" w:hAnsi="Times New Roman" w:cs="Times New Roman"/>
        </w:rPr>
        <w:t xml:space="preserve">decyzji o wystąpieniu z Unii </w:t>
      </w:r>
      <w:r w:rsidRPr="002F3F19">
        <w:rPr>
          <w:rFonts w:ascii="Times New Roman" w:hAnsi="Times New Roman" w:cs="Times New Roman"/>
        </w:rPr>
        <w:t>Radzie Europejskiej</w:t>
      </w:r>
      <w:r>
        <w:rPr>
          <w:rFonts w:ascii="Times New Roman" w:hAnsi="Times New Roman" w:cs="Times New Roman"/>
        </w:rPr>
        <w:t xml:space="preserve"> wyrażonym w ust. 4 ustawy. Przepisy art. 22a ust. 5 i 6 ww. ustawy regulują z kolei tryb wyrażenia zgody na przedłużenie dwuletniego okresu negocjacji umowy, która określi warunki na jakich państwo wystąpi z Unii, zgodnie z art. 50 ust. 3 TUE. Taką zgodę, niezbędną dla przedłużenia okresu </w:t>
      </w:r>
      <w:r>
        <w:rPr>
          <w:rFonts w:ascii="Times New Roman" w:hAnsi="Times New Roman" w:cs="Times New Roman"/>
        </w:rPr>
        <w:lastRenderedPageBreak/>
        <w:t xml:space="preserve">negocjacji, </w:t>
      </w:r>
      <w:r w:rsidRPr="00E93559">
        <w:rPr>
          <w:rFonts w:ascii="Times New Roman" w:hAnsi="Times New Roman" w:cs="Times New Roman"/>
        </w:rPr>
        <w:t>wyraża Prezydent Rzeczypospolitej Polskiej, na wniosek Rady Ministrów</w:t>
      </w:r>
      <w:r>
        <w:rPr>
          <w:rFonts w:ascii="Times New Roman" w:hAnsi="Times New Roman" w:cs="Times New Roman"/>
        </w:rPr>
        <w:t xml:space="preserve">, za zgodą wyrażoną w ustawie (uchwalonej zwykłą większością głosów). </w:t>
      </w:r>
    </w:p>
    <w:p w14:paraId="4367ABA8"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Co istotne, </w:t>
      </w:r>
      <w:r w:rsidRPr="000B1368">
        <w:rPr>
          <w:rFonts w:ascii="Times New Roman" w:hAnsi="Times New Roman" w:cs="Times New Roman"/>
          <w:b/>
          <w:bCs/>
        </w:rPr>
        <w:t>polska regulacja pomija</w:t>
      </w:r>
      <w:r>
        <w:rPr>
          <w:rFonts w:ascii="Times New Roman" w:hAnsi="Times New Roman" w:cs="Times New Roman"/>
        </w:rPr>
        <w:t xml:space="preserve"> w świetle powyższego drugi element, czyli </w:t>
      </w:r>
      <w:r w:rsidRPr="000B1368">
        <w:rPr>
          <w:rFonts w:ascii="Times New Roman" w:hAnsi="Times New Roman" w:cs="Times New Roman"/>
          <w:b/>
          <w:bCs/>
        </w:rPr>
        <w:t>sposób zawarcia umowy zawierającej warunki wystąpienia z UE, która określi przyszłe stosunki Rzeczypospolitej z Unią Europejską, stosownie do art. 50 ust. 2 TUE.</w:t>
      </w:r>
      <w:r>
        <w:rPr>
          <w:rFonts w:ascii="Times New Roman" w:hAnsi="Times New Roman" w:cs="Times New Roman"/>
        </w:rPr>
        <w:t xml:space="preserve"> Należy podkreślić, że </w:t>
      </w:r>
      <w:bookmarkStart w:id="5" w:name="_Hlk187144094"/>
      <w:r w:rsidRPr="000B1368">
        <w:rPr>
          <w:rFonts w:ascii="Times New Roman" w:hAnsi="Times New Roman" w:cs="Times New Roman"/>
          <w:b/>
          <w:bCs/>
        </w:rPr>
        <w:t>samo podjęcie decyzji o wystąpieniu z UE nie jest wystarczające dla opuszczenia struktur unijnych</w:t>
      </w:r>
      <w:r>
        <w:rPr>
          <w:rFonts w:ascii="Times New Roman" w:hAnsi="Times New Roman" w:cs="Times New Roman"/>
        </w:rPr>
        <w:t>. Jest to dopiero, stosownie do art. 50 ust. 2 zdanie pierwsze TUE, wyrażenie zamiaru podjęcia takich kroków. Kluczowa dla procedury opuszczenia Wspólnoty jest notyfikacja zamiaru wyjścia z UE, która otwiera zasadniczo 2-letni etap negocjacji między Unią a państwem występującym, których przedmiotem jest ustalenie warunków wystąpienia i ram przyszłych stosunków z UE</w:t>
      </w:r>
      <w:bookmarkEnd w:id="5"/>
      <w:r>
        <w:rPr>
          <w:rFonts w:ascii="Times New Roman" w:hAnsi="Times New Roman" w:cs="Times New Roman"/>
        </w:rPr>
        <w:t xml:space="preserve">. Negocjacje mogą być sfinalizowane dwutorowo. Jednym ze scenariuszy traktatowych jest zawarcie umowy międzynarodowej między Unią a państwem występującym, która określi ww. warunki opuszczenia Wspólnoty. Drugi ze scenariuszy to </w:t>
      </w:r>
      <w:r w:rsidRPr="00A46EEC">
        <w:rPr>
          <w:rFonts w:ascii="Times New Roman" w:hAnsi="Times New Roman" w:cs="Times New Roman"/>
        </w:rPr>
        <w:t>jednostronn</w:t>
      </w:r>
      <w:r>
        <w:rPr>
          <w:rFonts w:ascii="Times New Roman" w:hAnsi="Times New Roman" w:cs="Times New Roman"/>
        </w:rPr>
        <w:t>e</w:t>
      </w:r>
      <w:r w:rsidRPr="00A46EEC">
        <w:rPr>
          <w:rFonts w:ascii="Times New Roman" w:hAnsi="Times New Roman" w:cs="Times New Roman"/>
        </w:rPr>
        <w:t xml:space="preserve"> wystąpienie państwa z</w:t>
      </w:r>
      <w:r>
        <w:rPr>
          <w:rFonts w:ascii="Times New Roman" w:hAnsi="Times New Roman" w:cs="Times New Roman"/>
        </w:rPr>
        <w:t> </w:t>
      </w:r>
      <w:r w:rsidRPr="00A46EEC">
        <w:rPr>
          <w:rFonts w:ascii="Times New Roman" w:hAnsi="Times New Roman" w:cs="Times New Roman"/>
        </w:rPr>
        <w:t xml:space="preserve">Unii </w:t>
      </w:r>
      <w:r>
        <w:rPr>
          <w:rFonts w:ascii="Times New Roman" w:hAnsi="Times New Roman" w:cs="Times New Roman"/>
        </w:rPr>
        <w:t>(</w:t>
      </w:r>
      <w:r w:rsidRPr="00A46EEC">
        <w:rPr>
          <w:rFonts w:ascii="Times New Roman" w:hAnsi="Times New Roman" w:cs="Times New Roman"/>
        </w:rPr>
        <w:t xml:space="preserve">tzw. </w:t>
      </w:r>
      <w:r>
        <w:rPr>
          <w:rFonts w:ascii="Times New Roman" w:hAnsi="Times New Roman" w:cs="Times New Roman"/>
        </w:rPr>
        <w:t>„</w:t>
      </w:r>
      <w:r w:rsidRPr="00A46EEC">
        <w:rPr>
          <w:rFonts w:ascii="Times New Roman" w:hAnsi="Times New Roman" w:cs="Times New Roman"/>
        </w:rPr>
        <w:t>wyjście bez umowy</w:t>
      </w:r>
      <w:r>
        <w:rPr>
          <w:rFonts w:ascii="Times New Roman" w:hAnsi="Times New Roman" w:cs="Times New Roman"/>
        </w:rPr>
        <w:t xml:space="preserve">”), które nastąpi m.in. w sytuacji, gdy w okresie dwóch lat od notyfikacji umowa międzynarodowa nie wejdzie w życie, a okres negocjacji nie zostanie przedłużony. </w:t>
      </w:r>
    </w:p>
    <w:p w14:paraId="7B312B90" w14:textId="77777777" w:rsidR="00306451" w:rsidRPr="007F5BA1" w:rsidRDefault="00306451" w:rsidP="00306451">
      <w:pPr>
        <w:spacing w:after="0" w:line="360" w:lineRule="auto"/>
        <w:jc w:val="both"/>
        <w:rPr>
          <w:rFonts w:ascii="Times New Roman" w:hAnsi="Times New Roman" w:cs="Times New Roman"/>
        </w:rPr>
      </w:pPr>
    </w:p>
    <w:p w14:paraId="286123DB" w14:textId="77777777" w:rsidR="00306451" w:rsidRPr="004E74D4" w:rsidRDefault="00306451" w:rsidP="00306451">
      <w:pPr>
        <w:pStyle w:val="Akapitzlist"/>
        <w:numPr>
          <w:ilvl w:val="0"/>
          <w:numId w:val="4"/>
        </w:numPr>
        <w:spacing w:after="0" w:line="360" w:lineRule="auto"/>
        <w:rPr>
          <w:rFonts w:ascii="Times New Roman" w:hAnsi="Times New Roman" w:cs="Times New Roman"/>
          <w:b/>
          <w:bCs/>
        </w:rPr>
      </w:pPr>
      <w:r>
        <w:rPr>
          <w:rFonts w:ascii="Times New Roman" w:hAnsi="Times New Roman" w:cs="Times New Roman"/>
          <w:b/>
          <w:bCs/>
        </w:rPr>
        <w:t>Projektowany stan prawny</w:t>
      </w:r>
      <w:r w:rsidRPr="001B1E75">
        <w:rPr>
          <w:rFonts w:ascii="Times New Roman" w:hAnsi="Times New Roman" w:cs="Times New Roman"/>
          <w:b/>
          <w:bCs/>
        </w:rPr>
        <w:t xml:space="preserve"> </w:t>
      </w:r>
    </w:p>
    <w:p w14:paraId="31A95BCE" w14:textId="77777777" w:rsidR="00306451" w:rsidRPr="001D7760" w:rsidRDefault="00306451" w:rsidP="00306451">
      <w:pPr>
        <w:pStyle w:val="Akapitzlist"/>
        <w:numPr>
          <w:ilvl w:val="0"/>
          <w:numId w:val="5"/>
        </w:numPr>
        <w:spacing w:after="0" w:line="360" w:lineRule="auto"/>
        <w:rPr>
          <w:rFonts w:ascii="Times New Roman" w:hAnsi="Times New Roman" w:cs="Times New Roman"/>
          <w:b/>
          <w:bCs/>
        </w:rPr>
      </w:pPr>
      <w:r w:rsidRPr="001D7760">
        <w:rPr>
          <w:rFonts w:ascii="Times New Roman" w:hAnsi="Times New Roman" w:cs="Times New Roman"/>
          <w:b/>
          <w:bCs/>
        </w:rPr>
        <w:t xml:space="preserve">Wystąpienie z Unii Europejskiej za zgodą wyrażoną w referendum ogólnokrajowym </w:t>
      </w:r>
    </w:p>
    <w:p w14:paraId="4933C01B"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Projektowana nowelizacja przewiduje zmianę obecnego </w:t>
      </w:r>
      <w:r w:rsidRPr="000B1368">
        <w:rPr>
          <w:rFonts w:ascii="Times New Roman" w:hAnsi="Times New Roman" w:cs="Times New Roman"/>
        </w:rPr>
        <w:t xml:space="preserve">art. 22a </w:t>
      </w:r>
      <w:r>
        <w:rPr>
          <w:rFonts w:ascii="Times New Roman" w:hAnsi="Times New Roman" w:cs="Times New Roman"/>
        </w:rPr>
        <w:t xml:space="preserve">ust. 2 </w:t>
      </w:r>
      <w:r w:rsidRPr="000B1368">
        <w:rPr>
          <w:rFonts w:ascii="Times New Roman" w:hAnsi="Times New Roman" w:cs="Times New Roman"/>
        </w:rPr>
        <w:t>ustawy o</w:t>
      </w:r>
      <w:r>
        <w:rPr>
          <w:rFonts w:ascii="Times New Roman" w:hAnsi="Times New Roman" w:cs="Times New Roman"/>
        </w:rPr>
        <w:t> </w:t>
      </w:r>
      <w:r w:rsidRPr="000B1368">
        <w:rPr>
          <w:rFonts w:ascii="Times New Roman" w:hAnsi="Times New Roman" w:cs="Times New Roman"/>
        </w:rPr>
        <w:t>umowach międzynarodowych</w:t>
      </w:r>
      <w:r>
        <w:rPr>
          <w:rFonts w:ascii="Times New Roman" w:hAnsi="Times New Roman" w:cs="Times New Roman"/>
        </w:rPr>
        <w:t xml:space="preserve">, zgodnie z którą decyzja o wystąpieniu Rzeczypospolitej z Unii Europejskiej musiałaby charakteryzować się silną legitymizacją społeczną, </w:t>
      </w:r>
      <w:r w:rsidRPr="002323DF">
        <w:rPr>
          <w:rFonts w:ascii="Times New Roman" w:hAnsi="Times New Roman" w:cs="Times New Roman"/>
          <w:b/>
          <w:bCs/>
        </w:rPr>
        <w:t>uzyskaną w</w:t>
      </w:r>
      <w:r>
        <w:rPr>
          <w:rFonts w:ascii="Times New Roman" w:hAnsi="Times New Roman" w:cs="Times New Roman"/>
          <w:b/>
          <w:bCs/>
        </w:rPr>
        <w:t> </w:t>
      </w:r>
      <w:r w:rsidRPr="002323DF">
        <w:rPr>
          <w:rFonts w:ascii="Times New Roman" w:hAnsi="Times New Roman" w:cs="Times New Roman"/>
          <w:b/>
          <w:bCs/>
        </w:rPr>
        <w:t>drodze ogólnokrajowego referendum</w:t>
      </w:r>
      <w:r>
        <w:rPr>
          <w:rFonts w:ascii="Times New Roman" w:hAnsi="Times New Roman" w:cs="Times New Roman"/>
        </w:rPr>
        <w:t xml:space="preserve">, a nie jak dotychczas </w:t>
      </w:r>
      <w:r w:rsidRPr="002323DF">
        <w:rPr>
          <w:rFonts w:ascii="Times New Roman" w:hAnsi="Times New Roman" w:cs="Times New Roman"/>
        </w:rPr>
        <w:t xml:space="preserve">w procedurze właściwej dla głosowania ustawy zwykłej (dla uchwalenia której wystarczająca jest zwykła większość głosów). </w:t>
      </w:r>
    </w:p>
    <w:p w14:paraId="615DB694"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Projektowana zmiana jest niezbędna ze względu na konieczność </w:t>
      </w:r>
      <w:r w:rsidRPr="00992948">
        <w:rPr>
          <w:rFonts w:ascii="Times New Roman" w:hAnsi="Times New Roman" w:cs="Times New Roman"/>
          <w:b/>
          <w:bCs/>
        </w:rPr>
        <w:t>dostosowania regulacji ustawowej do Konstytucji RP oraz w celu uwzględnienia wagi ustrojowej, społecznej i gospodarczej członkostwa Polski w UE</w:t>
      </w:r>
      <w:r>
        <w:rPr>
          <w:rFonts w:ascii="Times New Roman" w:hAnsi="Times New Roman" w:cs="Times New Roman"/>
        </w:rPr>
        <w:t xml:space="preserve">. Obywatele Polski wyrazili zgodę na dołączenie do Wspólnoty w drodze referendum w 2003 r., dlatego analogiczna procedura powinna być w mocy dla rozstrzygnięć o skutku wprost odwrotnym, mianowicie dla opuszczenia Unii przez państwo członkowskie. Postulowane rozwiązanie przeprowadzenia referendum ogólnokrajowego uwzględnia żywotną wagę decyzji oraz dalekosiężnych </w:t>
      </w:r>
      <w:r>
        <w:rPr>
          <w:rFonts w:ascii="Times New Roman" w:hAnsi="Times New Roman" w:cs="Times New Roman"/>
        </w:rPr>
        <w:lastRenderedPageBreak/>
        <w:t xml:space="preserve">i nieprzewidywalnych skutków wyjścia z UE. Projektodawcy stoją tym samym na stanowisku, iż najważniejsze decyzje dla państwa powinny być podejmowane bezpośrednio przez suwerena, zaś w tej hipotetycznej procedurze wystąpienia ze Wspólnoty cały proces musi być poprzedzony szeroko zakrojoną debatą publiczną, której prowadzeniu rozpisanie referendum niewątpliwie będzie sprzyjać. </w:t>
      </w:r>
    </w:p>
    <w:p w14:paraId="633245BF" w14:textId="77777777" w:rsidR="00306451" w:rsidRDefault="00306451" w:rsidP="00306451">
      <w:pPr>
        <w:spacing w:after="0" w:line="360" w:lineRule="auto"/>
        <w:jc w:val="both"/>
        <w:rPr>
          <w:rFonts w:ascii="Times New Roman" w:hAnsi="Times New Roman" w:cs="Times New Roman"/>
        </w:rPr>
      </w:pPr>
    </w:p>
    <w:p w14:paraId="1AAAA581" w14:textId="77777777" w:rsidR="00306451" w:rsidRPr="001D7760" w:rsidRDefault="00306451" w:rsidP="00306451">
      <w:pPr>
        <w:pStyle w:val="Akapitzlist"/>
        <w:numPr>
          <w:ilvl w:val="0"/>
          <w:numId w:val="5"/>
        </w:numPr>
        <w:spacing w:after="0" w:line="360" w:lineRule="auto"/>
        <w:jc w:val="both"/>
        <w:rPr>
          <w:rFonts w:ascii="Times New Roman" w:hAnsi="Times New Roman" w:cs="Times New Roman"/>
          <w:b/>
          <w:bCs/>
        </w:rPr>
      </w:pPr>
      <w:r w:rsidRPr="001D7760">
        <w:rPr>
          <w:rFonts w:ascii="Times New Roman" w:hAnsi="Times New Roman" w:cs="Times New Roman"/>
          <w:b/>
          <w:bCs/>
        </w:rPr>
        <w:t xml:space="preserve">Drugie referendum w celu wyrażenia zgody przez suwerena na warunki wystąpienia i ramy przyszłych stosunków Polski z UE </w:t>
      </w:r>
    </w:p>
    <w:p w14:paraId="1F9BF5AB"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S</w:t>
      </w:r>
      <w:r w:rsidRPr="000663FB">
        <w:rPr>
          <w:rFonts w:ascii="Times New Roman" w:hAnsi="Times New Roman" w:cs="Times New Roman"/>
        </w:rPr>
        <w:t xml:space="preserve">amo podjęcie decyzji o wystąpieniu z UE nie jest wystarczające dla opuszczenia struktur unijnych. </w:t>
      </w:r>
      <w:r>
        <w:rPr>
          <w:rFonts w:ascii="Times New Roman" w:hAnsi="Times New Roman" w:cs="Times New Roman"/>
        </w:rPr>
        <w:t xml:space="preserve">Po </w:t>
      </w:r>
      <w:r w:rsidRPr="000663FB">
        <w:rPr>
          <w:rFonts w:ascii="Times New Roman" w:hAnsi="Times New Roman" w:cs="Times New Roman"/>
        </w:rPr>
        <w:t>notyfikacj</w:t>
      </w:r>
      <w:r>
        <w:rPr>
          <w:rFonts w:ascii="Times New Roman" w:hAnsi="Times New Roman" w:cs="Times New Roman"/>
        </w:rPr>
        <w:t>i</w:t>
      </w:r>
      <w:r w:rsidRPr="000663FB">
        <w:rPr>
          <w:rFonts w:ascii="Times New Roman" w:hAnsi="Times New Roman" w:cs="Times New Roman"/>
        </w:rPr>
        <w:t xml:space="preserve"> zamiaru wyjścia z UE</w:t>
      </w:r>
      <w:r>
        <w:rPr>
          <w:rFonts w:ascii="Times New Roman" w:hAnsi="Times New Roman" w:cs="Times New Roman"/>
        </w:rPr>
        <w:t xml:space="preserve"> otwiera się etap negocjacji, </w:t>
      </w:r>
      <w:r w:rsidRPr="000663FB">
        <w:rPr>
          <w:rFonts w:ascii="Times New Roman" w:hAnsi="Times New Roman" w:cs="Times New Roman"/>
        </w:rPr>
        <w:t xml:space="preserve">których przedmiotem jest ustalenie </w:t>
      </w:r>
      <w:bookmarkStart w:id="6" w:name="_Hlk187154428"/>
      <w:r w:rsidRPr="000663FB">
        <w:rPr>
          <w:rFonts w:ascii="Times New Roman" w:hAnsi="Times New Roman" w:cs="Times New Roman"/>
        </w:rPr>
        <w:t>warunków wystąpienia i ram przyszłych stosunków z UE</w:t>
      </w:r>
      <w:r>
        <w:rPr>
          <w:rFonts w:ascii="Times New Roman" w:hAnsi="Times New Roman" w:cs="Times New Roman"/>
        </w:rPr>
        <w:t xml:space="preserve"> </w:t>
      </w:r>
      <w:bookmarkEnd w:id="6"/>
      <w:r>
        <w:rPr>
          <w:rFonts w:ascii="Times New Roman" w:hAnsi="Times New Roman" w:cs="Times New Roman"/>
        </w:rPr>
        <w:t xml:space="preserve">w formie umowy międzynarodowej (art. 50 ust. 2 zdanie drugie TUE). Ustawa o umowach międzynarodowych w obecnym kształcie milczy nt. trybu zawierania ww. umowy z art. 50 ust. 2 TUE. Jest to luka prawna wymagająca pilnej interwencji ustawodawcy. </w:t>
      </w:r>
    </w:p>
    <w:p w14:paraId="3D2C769D"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Projektodawcy postulują dodanie do art. 22a ustawy o umowach międzynarodowych ust. 4a, który dla </w:t>
      </w:r>
      <w:r w:rsidRPr="00992948">
        <w:rPr>
          <w:rFonts w:ascii="Times New Roman" w:hAnsi="Times New Roman" w:cs="Times New Roman"/>
          <w:b/>
          <w:bCs/>
        </w:rPr>
        <w:t>ratyfikacji umowy międzynarodowej, określającej warunki wystąpienia Rzecz</w:t>
      </w:r>
      <w:r>
        <w:rPr>
          <w:rFonts w:ascii="Times New Roman" w:hAnsi="Times New Roman" w:cs="Times New Roman"/>
          <w:b/>
          <w:bCs/>
        </w:rPr>
        <w:t>y</w:t>
      </w:r>
      <w:r w:rsidRPr="00992948">
        <w:rPr>
          <w:rFonts w:ascii="Times New Roman" w:hAnsi="Times New Roman" w:cs="Times New Roman"/>
          <w:b/>
          <w:bCs/>
        </w:rPr>
        <w:t>pospolitej Polskiej z Unii Europejskiej, wymagałby zgody wyrażonej w</w:t>
      </w:r>
      <w:r>
        <w:rPr>
          <w:rFonts w:ascii="Times New Roman" w:hAnsi="Times New Roman" w:cs="Times New Roman"/>
          <w:b/>
          <w:bCs/>
        </w:rPr>
        <w:t> </w:t>
      </w:r>
      <w:r w:rsidRPr="00992948">
        <w:rPr>
          <w:rFonts w:ascii="Times New Roman" w:hAnsi="Times New Roman" w:cs="Times New Roman"/>
          <w:b/>
          <w:bCs/>
        </w:rPr>
        <w:t>referendum ogólnokrajowym</w:t>
      </w:r>
      <w:r>
        <w:rPr>
          <w:rStyle w:val="Odwoanieprzypisudolnego"/>
          <w:rFonts w:ascii="Times New Roman" w:hAnsi="Times New Roman" w:cs="Times New Roman"/>
        </w:rPr>
        <w:footnoteReference w:id="11"/>
      </w:r>
      <w:r>
        <w:rPr>
          <w:rFonts w:ascii="Times New Roman" w:hAnsi="Times New Roman" w:cs="Times New Roman"/>
        </w:rPr>
        <w:t xml:space="preserve">, analogicznie jak w przypadku decyzji o wystąpieniu z UE. Decyzja wyrażona przez obywateli w tym referendum różniłaby się od (pierwszego) referendum w sprawie opuszczenia Unii, dotycząc w tym wypadku </w:t>
      </w:r>
      <w:r w:rsidRPr="00992948">
        <w:rPr>
          <w:rFonts w:ascii="Times New Roman" w:hAnsi="Times New Roman" w:cs="Times New Roman"/>
          <w:b/>
          <w:bCs/>
        </w:rPr>
        <w:t>położenia Polski po wyjściu z</w:t>
      </w:r>
      <w:r>
        <w:rPr>
          <w:rFonts w:ascii="Times New Roman" w:hAnsi="Times New Roman" w:cs="Times New Roman"/>
          <w:b/>
          <w:bCs/>
        </w:rPr>
        <w:t> </w:t>
      </w:r>
      <w:r w:rsidRPr="00992948">
        <w:rPr>
          <w:rFonts w:ascii="Times New Roman" w:hAnsi="Times New Roman" w:cs="Times New Roman"/>
          <w:b/>
          <w:bCs/>
        </w:rPr>
        <w:t>Unii Europejskiej</w:t>
      </w:r>
      <w:r>
        <w:rPr>
          <w:rFonts w:ascii="Times New Roman" w:hAnsi="Times New Roman" w:cs="Times New Roman"/>
        </w:rPr>
        <w:t xml:space="preserve">. Poddanie omawianej umowy pod referendum jest niezbędne, a przedmiot przezeń regulowany nie może być traktowany jako akcesoryjny. Skutki umowy określającej warunki, na jakich kraj występuje z UE mogą bowiem mieć </w:t>
      </w:r>
      <w:r w:rsidRPr="00992948">
        <w:rPr>
          <w:rFonts w:ascii="Times New Roman" w:hAnsi="Times New Roman" w:cs="Times New Roman"/>
          <w:b/>
          <w:bCs/>
        </w:rPr>
        <w:t>olbrzymie implikacje społeczne, gospodarcze i</w:t>
      </w:r>
      <w:r>
        <w:rPr>
          <w:rFonts w:ascii="Times New Roman" w:hAnsi="Times New Roman" w:cs="Times New Roman"/>
          <w:b/>
          <w:bCs/>
        </w:rPr>
        <w:t> </w:t>
      </w:r>
      <w:r w:rsidRPr="00992948">
        <w:rPr>
          <w:rFonts w:ascii="Times New Roman" w:hAnsi="Times New Roman" w:cs="Times New Roman"/>
          <w:b/>
          <w:bCs/>
        </w:rPr>
        <w:t>finansowe</w:t>
      </w:r>
      <w:r>
        <w:rPr>
          <w:rFonts w:ascii="Times New Roman" w:hAnsi="Times New Roman" w:cs="Times New Roman"/>
        </w:rPr>
        <w:t xml:space="preserve">. </w:t>
      </w:r>
    </w:p>
    <w:p w14:paraId="6DCF488A"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Zawarcie umowy międzynarodowej w założeniu pozwala na uporządkowane uregulowanie warunków wystąpienia z UE, jest to zatem rozwiązanie niewątpliwie bardziej harmonijne, niźli jednostronne opuszczenie Wspólnoty. J</w:t>
      </w:r>
      <w:r w:rsidRPr="005E06A0">
        <w:rPr>
          <w:rFonts w:ascii="Times New Roman" w:hAnsi="Times New Roman" w:cs="Times New Roman"/>
        </w:rPr>
        <w:t xml:space="preserve">ednostronne opuszczenie </w:t>
      </w:r>
      <w:r>
        <w:rPr>
          <w:rFonts w:ascii="Times New Roman" w:hAnsi="Times New Roman" w:cs="Times New Roman"/>
        </w:rPr>
        <w:t>Unii</w:t>
      </w:r>
      <w:r w:rsidRPr="005E06A0">
        <w:rPr>
          <w:rFonts w:ascii="Times New Roman" w:hAnsi="Times New Roman" w:cs="Times New Roman"/>
        </w:rPr>
        <w:t xml:space="preserve"> będzie</w:t>
      </w:r>
      <w:r>
        <w:rPr>
          <w:rFonts w:ascii="Times New Roman" w:hAnsi="Times New Roman" w:cs="Times New Roman"/>
        </w:rPr>
        <w:t xml:space="preserve"> bowiem</w:t>
      </w:r>
      <w:r w:rsidRPr="005E06A0">
        <w:rPr>
          <w:rFonts w:ascii="Times New Roman" w:hAnsi="Times New Roman" w:cs="Times New Roman"/>
        </w:rPr>
        <w:t xml:space="preserve"> wiązało się ze znacznie większymi, trudnymi do przewidzenia konsekwencjami i nie powinno być traktowane jako rozwiązanie realistyczne</w:t>
      </w:r>
      <w:r w:rsidRPr="005E06A0">
        <w:rPr>
          <w:rFonts w:ascii="Times New Roman" w:hAnsi="Times New Roman" w:cs="Times New Roman"/>
          <w:vertAlign w:val="superscript"/>
        </w:rPr>
        <w:footnoteReference w:id="12"/>
      </w:r>
      <w:r w:rsidRPr="005E06A0">
        <w:rPr>
          <w:rFonts w:ascii="Times New Roman" w:hAnsi="Times New Roman" w:cs="Times New Roman"/>
        </w:rPr>
        <w:t xml:space="preserve">. </w:t>
      </w:r>
      <w:r>
        <w:rPr>
          <w:rFonts w:ascii="Times New Roman" w:hAnsi="Times New Roman" w:cs="Times New Roman"/>
        </w:rPr>
        <w:t xml:space="preserve">W omawianej umowie powinny zostać uregulowane kwestie dot. harmonogramu stopniowego ograniczania praw i </w:t>
      </w:r>
      <w:r>
        <w:rPr>
          <w:rFonts w:ascii="Times New Roman" w:hAnsi="Times New Roman" w:cs="Times New Roman"/>
        </w:rPr>
        <w:lastRenderedPageBreak/>
        <w:t>obowiązków państwa, osób i innych podmiotów z państwa występującego w relacji do Unii jako całości oraz wszystkich, pozostałych państw członkowskich. Nie ulega wątpliwości, że umowa będzie obejmować ponadprzeciętny zakres spraw, regulując chociażby przepisy przejściowe np. dot. korzystanie przez obywateli z państwa występującego ze swobód rynku wewnętrznego. Istotną częścią umowy, o której mowa w art. 50 ust. 2 TUE, będzie również ustalenie stosunków Unii z państwem występującym. Należy zaznaczyć, że sporządzenie treści omawianej umowy będzie procesem czasochłonnym, wymagającym zgodnej woli stron. Stąd, trzeba zaznaczyć, że Unia – reprezentująca interesy wszystkich państw członkowskich - będzie stroną silniejszą przy stole negocjacyjnym, a o sile głosu państwa występującego będą decydowały różnorodne i zmienne czynniki. Proces negocjacji, szczególnie uwzględniwszy doświadczenia opuszczenia przez Zjednoczone Królestwo UE (tzw. „</w:t>
      </w:r>
      <w:proofErr w:type="spellStart"/>
      <w:r>
        <w:rPr>
          <w:rFonts w:ascii="Times New Roman" w:hAnsi="Times New Roman" w:cs="Times New Roman"/>
        </w:rPr>
        <w:t>Brexitu</w:t>
      </w:r>
      <w:proofErr w:type="spellEnd"/>
      <w:r>
        <w:rPr>
          <w:rFonts w:ascii="Times New Roman" w:hAnsi="Times New Roman" w:cs="Times New Roman"/>
        </w:rPr>
        <w:t xml:space="preserve">”), będzie rozciągnięty na kilka lat, zaś finalnej wersji umowy określającej warunki wystąpienia nie da się </w:t>
      </w:r>
      <w:r w:rsidRPr="0013336C">
        <w:rPr>
          <w:rFonts w:ascii="Times New Roman" w:hAnsi="Times New Roman" w:cs="Times New Roman"/>
          <w:i/>
          <w:iCs/>
        </w:rPr>
        <w:t>a priori</w:t>
      </w:r>
      <w:r>
        <w:rPr>
          <w:rFonts w:ascii="Times New Roman" w:hAnsi="Times New Roman" w:cs="Times New Roman"/>
        </w:rPr>
        <w:t xml:space="preserve"> przewidzieć. Można przypuszczać, że pomiędzy omawianymi referendami upłynie, co najmniej kilka lat, w ciągu których zmianie ulec mogą okoliczności, które determinowały wyjście danego państwa z Unii (kontekst polityczny, społeczny czy gospodarczy). Dlatego nie można wykluczyć, że dane państwo, które notyfikowało decyzję o wystąpieniu z UE, zawróci z tej drogi i wycofa się z procedury opuszczenia Unii. Jak przyjmuje się w literaturze, taka zmiana jest możliwa zasadniczo w każdej chwili aż do dnia formalnego wystąpienia z Unii</w:t>
      </w:r>
      <w:r>
        <w:rPr>
          <w:rStyle w:val="Odwoanieprzypisudolnego"/>
          <w:rFonts w:ascii="Times New Roman" w:hAnsi="Times New Roman" w:cs="Times New Roman"/>
        </w:rPr>
        <w:footnoteReference w:id="13"/>
      </w:r>
      <w:r>
        <w:rPr>
          <w:rFonts w:ascii="Times New Roman" w:hAnsi="Times New Roman" w:cs="Times New Roman"/>
        </w:rPr>
        <w:t xml:space="preserve">. </w:t>
      </w:r>
    </w:p>
    <w:p w14:paraId="441EB85D"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Mając na uwadze przywołane względy, </w:t>
      </w:r>
      <w:r w:rsidRPr="0043168D">
        <w:rPr>
          <w:rFonts w:ascii="Times New Roman" w:hAnsi="Times New Roman" w:cs="Times New Roman"/>
          <w:b/>
          <w:bCs/>
        </w:rPr>
        <w:t>umowa określająca warunki wystąpienia i</w:t>
      </w:r>
      <w:r>
        <w:rPr>
          <w:rFonts w:ascii="Times New Roman" w:hAnsi="Times New Roman" w:cs="Times New Roman"/>
          <w:b/>
          <w:bCs/>
        </w:rPr>
        <w:t> </w:t>
      </w:r>
      <w:r w:rsidRPr="0043168D">
        <w:rPr>
          <w:rFonts w:ascii="Times New Roman" w:hAnsi="Times New Roman" w:cs="Times New Roman"/>
          <w:b/>
          <w:bCs/>
        </w:rPr>
        <w:t>ramy przyszłych stosunków z UE niechybnie będzie umową strategiczną, wyznaczającą na lata miejsce naszego państwa i obywateli Polski nie tylko na mapie Europy, ale</w:t>
      </w:r>
      <w:r>
        <w:rPr>
          <w:rFonts w:ascii="Times New Roman" w:hAnsi="Times New Roman" w:cs="Times New Roman"/>
          <w:b/>
          <w:bCs/>
        </w:rPr>
        <w:t> </w:t>
      </w:r>
      <w:r w:rsidRPr="0043168D">
        <w:rPr>
          <w:rFonts w:ascii="Times New Roman" w:hAnsi="Times New Roman" w:cs="Times New Roman"/>
          <w:b/>
          <w:bCs/>
        </w:rPr>
        <w:t>i</w:t>
      </w:r>
      <w:r>
        <w:rPr>
          <w:rFonts w:ascii="Times New Roman" w:hAnsi="Times New Roman" w:cs="Times New Roman"/>
          <w:b/>
          <w:bCs/>
        </w:rPr>
        <w:t> </w:t>
      </w:r>
      <w:r w:rsidRPr="0043168D">
        <w:rPr>
          <w:rFonts w:ascii="Times New Roman" w:hAnsi="Times New Roman" w:cs="Times New Roman"/>
          <w:b/>
          <w:bCs/>
        </w:rPr>
        <w:t>w</w:t>
      </w:r>
      <w:r>
        <w:rPr>
          <w:rFonts w:ascii="Times New Roman" w:hAnsi="Times New Roman" w:cs="Times New Roman"/>
          <w:b/>
          <w:bCs/>
        </w:rPr>
        <w:t> </w:t>
      </w:r>
      <w:r w:rsidRPr="0043168D">
        <w:rPr>
          <w:rFonts w:ascii="Times New Roman" w:hAnsi="Times New Roman" w:cs="Times New Roman"/>
          <w:b/>
          <w:bCs/>
        </w:rPr>
        <w:t>architekturze europejskiej.</w:t>
      </w:r>
      <w:r>
        <w:rPr>
          <w:rFonts w:ascii="Times New Roman" w:hAnsi="Times New Roman" w:cs="Times New Roman"/>
        </w:rPr>
        <w:t xml:space="preserve"> Uwzględniwszy wagę omawianych kategorii, należy podkreślić, iż tylko Naród w drodze referendum ogólnokrajowego będzie miał legitymację wystarczającą do podjęcia tak dalekosiężnych decyzji. </w:t>
      </w:r>
    </w:p>
    <w:p w14:paraId="6993A6B8"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 xml:space="preserve">Jako podstawę konstytucyjną dla zarządzenia postulowanych referendów ogólnokrajowych należy wskazać art. 90 ust. 3 Konstytucji RP. Skoro suweren wyraził zgodę w trybie referendum na zawarcie umowy międzynarodowej, to równocześnie analizowany przepis należałoby wykładać w ten sposób, że decyzja o przeciwnym skutku powinna być podjęta w trybie analogicznym. Niemniej, ponad wszelką wątpliwość, jako dodatkową i samodzielną podstawę prawną można przywołać art. 125 Konstytucji RP, w świetle którego decyzja o wystąpieniu z Unii wraz z akceptacją umowy warunkującej wyjście ze Wspólnoty </w:t>
      </w:r>
      <w:r>
        <w:rPr>
          <w:rFonts w:ascii="Times New Roman" w:hAnsi="Times New Roman" w:cs="Times New Roman"/>
        </w:rPr>
        <w:lastRenderedPageBreak/>
        <w:t xml:space="preserve">należy do </w:t>
      </w:r>
      <w:r w:rsidRPr="0043168D">
        <w:rPr>
          <w:rFonts w:ascii="Times New Roman" w:hAnsi="Times New Roman" w:cs="Times New Roman"/>
          <w:b/>
          <w:bCs/>
        </w:rPr>
        <w:t>spraw o</w:t>
      </w:r>
      <w:r>
        <w:rPr>
          <w:rFonts w:ascii="Times New Roman" w:hAnsi="Times New Roman" w:cs="Times New Roman"/>
          <w:b/>
          <w:bCs/>
        </w:rPr>
        <w:t> </w:t>
      </w:r>
      <w:r w:rsidRPr="0043168D">
        <w:rPr>
          <w:rFonts w:ascii="Times New Roman" w:hAnsi="Times New Roman" w:cs="Times New Roman"/>
          <w:b/>
          <w:bCs/>
        </w:rPr>
        <w:t>szczególnym znaczeniu dla państwa</w:t>
      </w:r>
      <w:r>
        <w:rPr>
          <w:rFonts w:ascii="Times New Roman" w:hAnsi="Times New Roman" w:cs="Times New Roman"/>
        </w:rPr>
        <w:t xml:space="preserve"> i w konsekwencji podlega pod kategorię spraw właściwych dla przeprowadzenia referendum ogólnokrajowego. </w:t>
      </w:r>
    </w:p>
    <w:p w14:paraId="606FC000" w14:textId="77777777" w:rsidR="00306451" w:rsidRDefault="00306451" w:rsidP="00306451">
      <w:pPr>
        <w:spacing w:after="0" w:line="360" w:lineRule="auto"/>
        <w:ind w:firstLine="680"/>
        <w:jc w:val="both"/>
        <w:rPr>
          <w:rFonts w:ascii="Times New Roman" w:hAnsi="Times New Roman" w:cs="Times New Roman"/>
        </w:rPr>
      </w:pPr>
    </w:p>
    <w:p w14:paraId="3A25B411" w14:textId="77777777" w:rsidR="00306451" w:rsidRDefault="00306451" w:rsidP="00306451">
      <w:pPr>
        <w:spacing w:after="0" w:line="360" w:lineRule="auto"/>
        <w:ind w:firstLine="680"/>
        <w:jc w:val="both"/>
        <w:rPr>
          <w:rFonts w:ascii="Times New Roman" w:hAnsi="Times New Roman" w:cs="Times New Roman"/>
        </w:rPr>
      </w:pPr>
      <w:r>
        <w:rPr>
          <w:rFonts w:ascii="Times New Roman" w:hAnsi="Times New Roman" w:cs="Times New Roman"/>
        </w:rPr>
        <w:t>Projekt jest zgodny z prawem Unii Europejskiej.</w:t>
      </w:r>
    </w:p>
    <w:p w14:paraId="5379B183" w14:textId="77777777" w:rsidR="00306451" w:rsidRDefault="00306451" w:rsidP="00306451">
      <w:pPr>
        <w:spacing w:after="0" w:line="360" w:lineRule="auto"/>
        <w:ind w:firstLine="680"/>
        <w:jc w:val="both"/>
        <w:rPr>
          <w:rFonts w:ascii="Times New Roman" w:hAnsi="Times New Roman" w:cs="Times New Roman"/>
        </w:rPr>
      </w:pPr>
    </w:p>
    <w:p w14:paraId="7E9BD769" w14:textId="77777777" w:rsidR="00306451" w:rsidRDefault="00306451" w:rsidP="00306451">
      <w:pPr>
        <w:spacing w:after="0" w:line="360" w:lineRule="auto"/>
        <w:ind w:firstLine="680"/>
        <w:jc w:val="both"/>
        <w:rPr>
          <w:rFonts w:ascii="Times New Roman" w:hAnsi="Times New Roman" w:cs="Times New Roman"/>
        </w:rPr>
      </w:pPr>
    </w:p>
    <w:p w14:paraId="3BA3DBC5" w14:textId="77777777" w:rsidR="00306451" w:rsidRDefault="00306451" w:rsidP="00306451">
      <w:pPr>
        <w:spacing w:after="0" w:line="360" w:lineRule="auto"/>
        <w:ind w:firstLine="680"/>
        <w:jc w:val="both"/>
        <w:rPr>
          <w:rFonts w:ascii="Times New Roman" w:hAnsi="Times New Roman" w:cs="Times New Roman"/>
        </w:rPr>
      </w:pPr>
    </w:p>
    <w:p w14:paraId="1832DB87" w14:textId="77777777" w:rsidR="00306451" w:rsidRPr="00FD5FE0" w:rsidRDefault="00306451" w:rsidP="00306451">
      <w:pPr>
        <w:spacing w:after="0" w:line="360" w:lineRule="auto"/>
        <w:ind w:firstLine="680"/>
        <w:jc w:val="both"/>
      </w:pPr>
    </w:p>
    <w:p w14:paraId="721C7E0A" w14:textId="77777777" w:rsidR="00306451" w:rsidRPr="00FD5FE0" w:rsidRDefault="00306451" w:rsidP="00306451">
      <w:pPr>
        <w:spacing w:after="0" w:line="360" w:lineRule="auto"/>
        <w:ind w:firstLine="680"/>
        <w:jc w:val="both"/>
      </w:pPr>
    </w:p>
    <w:p w14:paraId="7343D342" w14:textId="77777777" w:rsidR="00F740E1" w:rsidRDefault="00F740E1"/>
    <w:sectPr w:rsidR="00F7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77D9" w14:textId="77777777" w:rsidR="003D4ED9" w:rsidRDefault="003D4ED9" w:rsidP="00306451">
      <w:pPr>
        <w:spacing w:after="0" w:line="240" w:lineRule="auto"/>
      </w:pPr>
      <w:r>
        <w:separator/>
      </w:r>
    </w:p>
  </w:endnote>
  <w:endnote w:type="continuationSeparator" w:id="0">
    <w:p w14:paraId="62FE8D6E" w14:textId="77777777" w:rsidR="003D4ED9" w:rsidRDefault="003D4ED9" w:rsidP="0030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E0CD" w14:textId="77777777" w:rsidR="003D4ED9" w:rsidRDefault="003D4ED9" w:rsidP="00306451">
      <w:pPr>
        <w:spacing w:after="0" w:line="240" w:lineRule="auto"/>
      </w:pPr>
      <w:r>
        <w:separator/>
      </w:r>
    </w:p>
  </w:footnote>
  <w:footnote w:type="continuationSeparator" w:id="0">
    <w:p w14:paraId="4D5F9FBC" w14:textId="77777777" w:rsidR="003D4ED9" w:rsidRDefault="003D4ED9" w:rsidP="00306451">
      <w:pPr>
        <w:spacing w:after="0" w:line="240" w:lineRule="auto"/>
      </w:pPr>
      <w:r>
        <w:continuationSeparator/>
      </w:r>
    </w:p>
  </w:footnote>
  <w:footnote w:id="1">
    <w:p w14:paraId="4A1C4815" w14:textId="77777777" w:rsidR="00306451" w:rsidRPr="00B245A2" w:rsidRDefault="00306451" w:rsidP="00306451">
      <w:pPr>
        <w:pStyle w:val="Tekstprzypisudolnego"/>
        <w:jc w:val="both"/>
        <w:rPr>
          <w:rFonts w:ascii="Times New Roman" w:hAnsi="Times New Roman" w:cs="Times New Roman"/>
        </w:rPr>
      </w:pPr>
      <w:r w:rsidRPr="00B245A2">
        <w:rPr>
          <w:rStyle w:val="Odwoanieprzypisudolnego"/>
          <w:rFonts w:ascii="Times New Roman" w:hAnsi="Times New Roman" w:cs="Times New Roman"/>
        </w:rPr>
        <w:footnoteRef/>
      </w:r>
      <w:r w:rsidRPr="00B245A2">
        <w:rPr>
          <w:rFonts w:ascii="Times New Roman" w:hAnsi="Times New Roman" w:cs="Times New Roman"/>
        </w:rPr>
        <w:t xml:space="preserve"> Zob. P. Radziewicz [w:] </w:t>
      </w:r>
      <w:r w:rsidRPr="00B245A2">
        <w:rPr>
          <w:rFonts w:ascii="Times New Roman" w:hAnsi="Times New Roman" w:cs="Times New Roman"/>
          <w:i/>
          <w:iCs/>
        </w:rPr>
        <w:t>Konstytucja Rzeczypospolitej Polskiej. Komentarz, wyd. II</w:t>
      </w:r>
      <w:r w:rsidRPr="00B245A2">
        <w:rPr>
          <w:rFonts w:ascii="Times New Roman" w:hAnsi="Times New Roman" w:cs="Times New Roman"/>
        </w:rPr>
        <w:t>, red. P. Tuleja, Warszawa 2023, art. 90.</w:t>
      </w:r>
    </w:p>
  </w:footnote>
  <w:footnote w:id="2">
    <w:p w14:paraId="3A06309C" w14:textId="77777777" w:rsidR="00306451" w:rsidRPr="00B245A2" w:rsidRDefault="00306451" w:rsidP="00306451">
      <w:pPr>
        <w:pStyle w:val="Tekstprzypisudolnego"/>
        <w:jc w:val="both"/>
        <w:rPr>
          <w:rFonts w:ascii="Times New Roman" w:hAnsi="Times New Roman" w:cs="Times New Roman"/>
        </w:rPr>
      </w:pPr>
      <w:r w:rsidRPr="00B245A2">
        <w:rPr>
          <w:rStyle w:val="Odwoanieprzypisudolnego"/>
          <w:rFonts w:ascii="Times New Roman" w:hAnsi="Times New Roman" w:cs="Times New Roman"/>
        </w:rPr>
        <w:footnoteRef/>
      </w:r>
      <w:r w:rsidRPr="00B245A2">
        <w:rPr>
          <w:rFonts w:ascii="Times New Roman" w:hAnsi="Times New Roman" w:cs="Times New Roman"/>
        </w:rPr>
        <w:t xml:space="preserve"> Zob. wyrok Trybunału Konstytucyjnego z dnia 26 czerwca 2013 r. sygn. akt K 33/12, wyrok TK z 11.05.2005 r., K 18/04.</w:t>
      </w:r>
    </w:p>
  </w:footnote>
  <w:footnote w:id="3">
    <w:p w14:paraId="1A83A87E"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Wyrok TK z 26.06.2013 r., K 33/12.</w:t>
      </w:r>
    </w:p>
  </w:footnote>
  <w:footnote w:id="4">
    <w:p w14:paraId="47E398C1"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Tamże.</w:t>
      </w:r>
    </w:p>
  </w:footnote>
  <w:footnote w:id="5">
    <w:p w14:paraId="0167F9AF"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w:t>
      </w:r>
      <w:bookmarkStart w:id="1" w:name="_Hlk187146534"/>
      <w:r w:rsidRPr="004E74D4">
        <w:rPr>
          <w:rFonts w:ascii="Times New Roman" w:hAnsi="Times New Roman" w:cs="Times New Roman"/>
        </w:rPr>
        <w:t xml:space="preserve">S. Biernat, </w:t>
      </w:r>
      <w:r w:rsidRPr="004E74D4">
        <w:rPr>
          <w:rFonts w:ascii="Times New Roman" w:hAnsi="Times New Roman" w:cs="Times New Roman"/>
          <w:i/>
          <w:iCs/>
        </w:rPr>
        <w:t>Konstytucyjne uwarunkowania wystąpienia Polski z Unii Europejskiej</w:t>
      </w:r>
      <w:r w:rsidRPr="004E74D4">
        <w:rPr>
          <w:rFonts w:ascii="Times New Roman" w:hAnsi="Times New Roman" w:cs="Times New Roman"/>
        </w:rPr>
        <w:t xml:space="preserve">, w: </w:t>
      </w:r>
      <w:proofErr w:type="spellStart"/>
      <w:r w:rsidRPr="004E74D4">
        <w:rPr>
          <w:rFonts w:ascii="Times New Roman" w:hAnsi="Times New Roman" w:cs="Times New Roman"/>
          <w:i/>
          <w:iCs/>
        </w:rPr>
        <w:t>Minikomentarz</w:t>
      </w:r>
      <w:proofErr w:type="spellEnd"/>
      <w:r w:rsidRPr="004E74D4">
        <w:rPr>
          <w:rFonts w:ascii="Times New Roman" w:hAnsi="Times New Roman" w:cs="Times New Roman"/>
          <w:i/>
          <w:iCs/>
        </w:rPr>
        <w:t xml:space="preserve"> dla </w:t>
      </w:r>
      <w:proofErr w:type="spellStart"/>
      <w:r w:rsidRPr="004E74D4">
        <w:rPr>
          <w:rFonts w:ascii="Times New Roman" w:hAnsi="Times New Roman" w:cs="Times New Roman"/>
          <w:i/>
          <w:iCs/>
        </w:rPr>
        <w:t>Maksiprofesora</w:t>
      </w:r>
      <w:proofErr w:type="spellEnd"/>
      <w:r w:rsidRPr="004E74D4">
        <w:rPr>
          <w:rFonts w:ascii="Times New Roman" w:hAnsi="Times New Roman" w:cs="Times New Roman"/>
          <w:i/>
          <w:iCs/>
        </w:rPr>
        <w:t>. Księga jubileuszowa profesora Leszka Garlickiego</w:t>
      </w:r>
      <w:r w:rsidRPr="004E74D4">
        <w:rPr>
          <w:rFonts w:ascii="Times New Roman" w:hAnsi="Times New Roman" w:cs="Times New Roman"/>
        </w:rPr>
        <w:t xml:space="preserve">, red. M. </w:t>
      </w:r>
      <w:proofErr w:type="spellStart"/>
      <w:r w:rsidRPr="004E74D4">
        <w:rPr>
          <w:rFonts w:ascii="Times New Roman" w:hAnsi="Times New Roman" w:cs="Times New Roman"/>
        </w:rPr>
        <w:t>Zubik</w:t>
      </w:r>
      <w:proofErr w:type="spellEnd"/>
      <w:r w:rsidRPr="004E74D4">
        <w:rPr>
          <w:rFonts w:ascii="Times New Roman" w:hAnsi="Times New Roman" w:cs="Times New Roman"/>
        </w:rPr>
        <w:t>, Warszawa 2017, str</w:t>
      </w:r>
      <w:bookmarkEnd w:id="1"/>
      <w:r w:rsidRPr="004E74D4">
        <w:rPr>
          <w:rFonts w:ascii="Times New Roman" w:hAnsi="Times New Roman" w:cs="Times New Roman"/>
        </w:rPr>
        <w:t xml:space="preserve">. 660. </w:t>
      </w:r>
    </w:p>
  </w:footnote>
  <w:footnote w:id="6">
    <w:p w14:paraId="0CE272B0"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Projekt, przez zakończenie kadencji parlamentu, nie został uchwalony (jako czynnik polityczny wskazywano m.in. brak odpowiedniej większości parlamentarnej dla zmiany konstytucji). </w:t>
      </w:r>
    </w:p>
  </w:footnote>
  <w:footnote w:id="7">
    <w:p w14:paraId="665681AF"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w:t>
      </w:r>
      <w:bookmarkStart w:id="3" w:name="_Hlk187156117"/>
      <w:proofErr w:type="spellStart"/>
      <w:r w:rsidRPr="004E74D4">
        <w:rPr>
          <w:rFonts w:ascii="Times New Roman" w:hAnsi="Times New Roman" w:cs="Times New Roman"/>
        </w:rPr>
        <w:t>J.Barcz</w:t>
      </w:r>
      <w:proofErr w:type="spellEnd"/>
      <w:r w:rsidRPr="004E74D4">
        <w:rPr>
          <w:rFonts w:ascii="Times New Roman" w:hAnsi="Times New Roman" w:cs="Times New Roman"/>
        </w:rPr>
        <w:t xml:space="preserve"> [w:] </w:t>
      </w:r>
      <w:r w:rsidRPr="004E74D4">
        <w:rPr>
          <w:rFonts w:ascii="Times New Roman" w:hAnsi="Times New Roman" w:cs="Times New Roman"/>
          <w:i/>
          <w:iCs/>
        </w:rPr>
        <w:t>Instytucje i Prawo Unii Europejskiej</w:t>
      </w:r>
      <w:r w:rsidRPr="004E74D4">
        <w:rPr>
          <w:rFonts w:ascii="Times New Roman" w:hAnsi="Times New Roman" w:cs="Times New Roman"/>
        </w:rPr>
        <w:t>, Wolters Kluwer, wyd. 6/2020, str. 69.</w:t>
      </w:r>
      <w:bookmarkEnd w:id="3"/>
    </w:p>
  </w:footnote>
  <w:footnote w:id="8">
    <w:p w14:paraId="1FBA0150"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1 stycznia 2025 roku Polska objęła półroczne przewodnictwo w Radzie UE.</w:t>
      </w:r>
    </w:p>
  </w:footnote>
  <w:footnote w:id="9">
    <w:p w14:paraId="3DD1170E"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Wprowadzony z dniem 13 lutego 2011 r. ustawą z dnia 8 października 2010 r. o współpracy Rady Ministrów z</w:t>
      </w:r>
      <w:r>
        <w:rPr>
          <w:rFonts w:ascii="Times New Roman" w:hAnsi="Times New Roman" w:cs="Times New Roman"/>
        </w:rPr>
        <w:t> </w:t>
      </w:r>
      <w:r w:rsidRPr="004E74D4">
        <w:rPr>
          <w:rFonts w:ascii="Times New Roman" w:hAnsi="Times New Roman" w:cs="Times New Roman"/>
        </w:rPr>
        <w:t>Prezydentem Rzeczypospolitej Polskiej oraz Sejmem i Senatem w sprawach związanych z członkostwem Rzeczypospolitej Polskiej w Unii Europejskiej.</w:t>
      </w:r>
    </w:p>
  </w:footnote>
  <w:footnote w:id="10">
    <w:p w14:paraId="196E4862" w14:textId="77777777" w:rsidR="00306451" w:rsidRPr="004E74D4" w:rsidRDefault="00306451" w:rsidP="00306451">
      <w:pPr>
        <w:pStyle w:val="Tekstprzypisudolnego"/>
        <w:jc w:val="both"/>
        <w:rPr>
          <w:rFonts w:ascii="Times New Roman" w:hAnsi="Times New Roman" w:cs="Times New Roman"/>
        </w:rPr>
      </w:pPr>
      <w:r w:rsidRPr="004E74D4">
        <w:rPr>
          <w:rStyle w:val="Odwoanieprzypisudolnego"/>
          <w:rFonts w:ascii="Times New Roman" w:hAnsi="Times New Roman" w:cs="Times New Roman"/>
        </w:rPr>
        <w:footnoteRef/>
      </w:r>
      <w:r w:rsidRPr="004E74D4">
        <w:rPr>
          <w:rFonts w:ascii="Times New Roman" w:hAnsi="Times New Roman" w:cs="Times New Roman"/>
        </w:rPr>
        <w:t xml:space="preserve"> Traktat o Unii Europejskiej (Dz. U. z 2004 r. Nr 90, poz. 864/30 z </w:t>
      </w:r>
      <w:proofErr w:type="spellStart"/>
      <w:r w:rsidRPr="004E74D4">
        <w:rPr>
          <w:rFonts w:ascii="Times New Roman" w:hAnsi="Times New Roman" w:cs="Times New Roman"/>
        </w:rPr>
        <w:t>późn</w:t>
      </w:r>
      <w:proofErr w:type="spellEnd"/>
      <w:r w:rsidRPr="004E74D4">
        <w:rPr>
          <w:rFonts w:ascii="Times New Roman" w:hAnsi="Times New Roman" w:cs="Times New Roman"/>
        </w:rPr>
        <w:t xml:space="preserve">. zm.); dalej jako: TUE. </w:t>
      </w:r>
    </w:p>
    <w:p w14:paraId="36DB9857" w14:textId="77777777" w:rsidR="00306451" w:rsidRDefault="00306451" w:rsidP="00306451">
      <w:pPr>
        <w:pStyle w:val="Tekstprzypisudolnego"/>
        <w:jc w:val="both"/>
      </w:pPr>
    </w:p>
  </w:footnote>
  <w:footnote w:id="11">
    <w:p w14:paraId="2170190D" w14:textId="77777777" w:rsidR="00306451" w:rsidRPr="001B1E75" w:rsidRDefault="00306451" w:rsidP="00306451">
      <w:pPr>
        <w:pStyle w:val="Tekstprzypisudolnego"/>
        <w:jc w:val="both"/>
        <w:rPr>
          <w:rFonts w:ascii="Times New Roman" w:hAnsi="Times New Roman" w:cs="Times New Roman"/>
        </w:rPr>
      </w:pPr>
      <w:r w:rsidRPr="001B1E75">
        <w:rPr>
          <w:rStyle w:val="Odwoanieprzypisudolnego"/>
          <w:rFonts w:ascii="Times New Roman" w:hAnsi="Times New Roman" w:cs="Times New Roman"/>
        </w:rPr>
        <w:footnoteRef/>
      </w:r>
      <w:r w:rsidRPr="001B1E75">
        <w:rPr>
          <w:rFonts w:ascii="Times New Roman" w:hAnsi="Times New Roman" w:cs="Times New Roman"/>
        </w:rPr>
        <w:t xml:space="preserve"> Podobnie zob. S. Biernat, </w:t>
      </w:r>
      <w:r w:rsidRPr="001B1E75">
        <w:rPr>
          <w:rFonts w:ascii="Times New Roman" w:hAnsi="Times New Roman" w:cs="Times New Roman"/>
          <w:i/>
          <w:iCs/>
        </w:rPr>
        <w:t>Konstytucyjne uwarunkowania wystąpienia Polski z Unii Europejskiej</w:t>
      </w:r>
      <w:r w:rsidRPr="001B1E75">
        <w:rPr>
          <w:rFonts w:ascii="Times New Roman" w:hAnsi="Times New Roman" w:cs="Times New Roman"/>
        </w:rPr>
        <w:t>, w:</w:t>
      </w:r>
      <w:r>
        <w:rPr>
          <w:rFonts w:ascii="Times New Roman" w:hAnsi="Times New Roman" w:cs="Times New Roman"/>
        </w:rPr>
        <w:t> </w:t>
      </w:r>
      <w:proofErr w:type="spellStart"/>
      <w:r w:rsidRPr="001B1E75">
        <w:rPr>
          <w:rFonts w:ascii="Times New Roman" w:hAnsi="Times New Roman" w:cs="Times New Roman"/>
          <w:i/>
          <w:iCs/>
        </w:rPr>
        <w:t>Minikomentarz</w:t>
      </w:r>
      <w:proofErr w:type="spellEnd"/>
      <w:r w:rsidRPr="001B1E75">
        <w:rPr>
          <w:rFonts w:ascii="Times New Roman" w:hAnsi="Times New Roman" w:cs="Times New Roman"/>
          <w:i/>
          <w:iCs/>
        </w:rPr>
        <w:t xml:space="preserve"> dla </w:t>
      </w:r>
      <w:proofErr w:type="spellStart"/>
      <w:r w:rsidRPr="001B1E75">
        <w:rPr>
          <w:rFonts w:ascii="Times New Roman" w:hAnsi="Times New Roman" w:cs="Times New Roman"/>
          <w:i/>
          <w:iCs/>
        </w:rPr>
        <w:t>Maksiprofesora</w:t>
      </w:r>
      <w:proofErr w:type="spellEnd"/>
      <w:r w:rsidRPr="001B1E75">
        <w:rPr>
          <w:rFonts w:ascii="Times New Roman" w:hAnsi="Times New Roman" w:cs="Times New Roman"/>
          <w:i/>
          <w:iCs/>
        </w:rPr>
        <w:t>. Księga jubileuszowa profesora Leszka Garlickiego</w:t>
      </w:r>
      <w:r w:rsidRPr="001B1E75">
        <w:rPr>
          <w:rFonts w:ascii="Times New Roman" w:hAnsi="Times New Roman" w:cs="Times New Roman"/>
        </w:rPr>
        <w:t xml:space="preserve">, red. M. </w:t>
      </w:r>
      <w:proofErr w:type="spellStart"/>
      <w:r w:rsidRPr="001B1E75">
        <w:rPr>
          <w:rFonts w:ascii="Times New Roman" w:hAnsi="Times New Roman" w:cs="Times New Roman"/>
        </w:rPr>
        <w:t>Zubik</w:t>
      </w:r>
      <w:proofErr w:type="spellEnd"/>
      <w:r w:rsidRPr="001B1E75">
        <w:rPr>
          <w:rFonts w:ascii="Times New Roman" w:hAnsi="Times New Roman" w:cs="Times New Roman"/>
        </w:rPr>
        <w:t>, Warszawa 2017, str. 668-669.</w:t>
      </w:r>
    </w:p>
  </w:footnote>
  <w:footnote w:id="12">
    <w:p w14:paraId="647DBA39" w14:textId="77777777" w:rsidR="00306451" w:rsidRPr="00AE0CD2" w:rsidRDefault="00306451" w:rsidP="00306451">
      <w:pPr>
        <w:pStyle w:val="Tekstprzypisudolnego"/>
        <w:jc w:val="both"/>
        <w:rPr>
          <w:rFonts w:ascii="Times New Roman" w:hAnsi="Times New Roman" w:cs="Times New Roman"/>
          <w:lang w:val="en-US"/>
        </w:rPr>
      </w:pPr>
      <w:r w:rsidRPr="001B1E75">
        <w:rPr>
          <w:rStyle w:val="Odwoanieprzypisudolnego"/>
          <w:rFonts w:ascii="Times New Roman" w:hAnsi="Times New Roman" w:cs="Times New Roman"/>
        </w:rPr>
        <w:footnoteRef/>
      </w:r>
      <w:r w:rsidRPr="00AE0CD2">
        <w:rPr>
          <w:rFonts w:ascii="Times New Roman" w:hAnsi="Times New Roman" w:cs="Times New Roman"/>
          <w:lang w:val="en-US"/>
        </w:rPr>
        <w:t xml:space="preserve"> Zob. A. Łazowski, </w:t>
      </w:r>
      <w:r w:rsidRPr="00AE0CD2">
        <w:rPr>
          <w:rFonts w:ascii="Times New Roman" w:hAnsi="Times New Roman" w:cs="Times New Roman"/>
          <w:i/>
          <w:iCs/>
          <w:lang w:val="en-US"/>
        </w:rPr>
        <w:t>Unilateral withdrawal from the EUP realistic scenario or a folly?</w:t>
      </w:r>
      <w:r w:rsidRPr="00AE0CD2">
        <w:rPr>
          <w:rFonts w:ascii="Times New Roman" w:hAnsi="Times New Roman" w:cs="Times New Roman"/>
          <w:lang w:val="en-US"/>
        </w:rPr>
        <w:t xml:space="preserve">, Journal of European Public Policy 2016. </w:t>
      </w:r>
    </w:p>
  </w:footnote>
  <w:footnote w:id="13">
    <w:p w14:paraId="465E06E1" w14:textId="77777777" w:rsidR="00306451" w:rsidRDefault="00306451" w:rsidP="00306451">
      <w:pPr>
        <w:pStyle w:val="Tekstprzypisudolnego"/>
        <w:jc w:val="both"/>
      </w:pPr>
      <w:r w:rsidRPr="001B1E75">
        <w:rPr>
          <w:rStyle w:val="Odwoanieprzypisudolnego"/>
          <w:rFonts w:ascii="Times New Roman" w:hAnsi="Times New Roman" w:cs="Times New Roman"/>
        </w:rPr>
        <w:footnoteRef/>
      </w:r>
      <w:r w:rsidRPr="001B1E75">
        <w:rPr>
          <w:rFonts w:ascii="Times New Roman" w:hAnsi="Times New Roman" w:cs="Times New Roman"/>
        </w:rPr>
        <w:t xml:space="preserve"> </w:t>
      </w:r>
      <w:proofErr w:type="spellStart"/>
      <w:r w:rsidRPr="001B1E75">
        <w:rPr>
          <w:rFonts w:ascii="Times New Roman" w:hAnsi="Times New Roman" w:cs="Times New Roman"/>
        </w:rPr>
        <w:t>J.Barcz</w:t>
      </w:r>
      <w:proofErr w:type="spellEnd"/>
      <w:r w:rsidRPr="001B1E75">
        <w:rPr>
          <w:rFonts w:ascii="Times New Roman" w:hAnsi="Times New Roman" w:cs="Times New Roman"/>
        </w:rPr>
        <w:t xml:space="preserve"> [w:] </w:t>
      </w:r>
      <w:r w:rsidRPr="001B1E75">
        <w:rPr>
          <w:rFonts w:ascii="Times New Roman" w:hAnsi="Times New Roman" w:cs="Times New Roman"/>
          <w:i/>
          <w:iCs/>
        </w:rPr>
        <w:t>Instytucje i Prawo Unii Europejskiej</w:t>
      </w:r>
      <w:r w:rsidRPr="001B1E75">
        <w:rPr>
          <w:rFonts w:ascii="Times New Roman" w:hAnsi="Times New Roman" w:cs="Times New Roman"/>
        </w:rPr>
        <w:t>, Wolters Kluwer, wyd. 6/2020, str. 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3C2F"/>
    <w:multiLevelType w:val="hybridMultilevel"/>
    <w:tmpl w:val="A59E21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F131E7E"/>
    <w:multiLevelType w:val="hybridMultilevel"/>
    <w:tmpl w:val="B1FC8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AF018F"/>
    <w:multiLevelType w:val="hybridMultilevel"/>
    <w:tmpl w:val="D7EE618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4F024F91"/>
    <w:multiLevelType w:val="hybridMultilevel"/>
    <w:tmpl w:val="36A6CD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832CE5"/>
    <w:multiLevelType w:val="hybridMultilevel"/>
    <w:tmpl w:val="DB76C41E"/>
    <w:lvl w:ilvl="0" w:tplc="EA460FA0">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798C45A6"/>
    <w:multiLevelType w:val="hybridMultilevel"/>
    <w:tmpl w:val="A190B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1935899">
    <w:abstractNumId w:val="0"/>
  </w:num>
  <w:num w:numId="2" w16cid:durableId="541788136">
    <w:abstractNumId w:val="4"/>
  </w:num>
  <w:num w:numId="3" w16cid:durableId="657223023">
    <w:abstractNumId w:val="3"/>
  </w:num>
  <w:num w:numId="4" w16cid:durableId="208686597">
    <w:abstractNumId w:val="1"/>
  </w:num>
  <w:num w:numId="5" w16cid:durableId="610432227">
    <w:abstractNumId w:val="5"/>
  </w:num>
  <w:num w:numId="6" w16cid:durableId="385957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51"/>
    <w:rsid w:val="001B7544"/>
    <w:rsid w:val="00306451"/>
    <w:rsid w:val="003D4ED9"/>
    <w:rsid w:val="008C2A22"/>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4F23"/>
  <w15:chartTrackingRefBased/>
  <w15:docId w15:val="{40C2607B-9463-4FE6-B606-50AB83A5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6451"/>
    <w:pPr>
      <w:spacing w:line="278" w:lineRule="auto"/>
    </w:pPr>
    <w:rPr>
      <w:sz w:val="24"/>
      <w:szCs w:val="24"/>
    </w:rPr>
  </w:style>
  <w:style w:type="paragraph" w:styleId="Nagwek1">
    <w:name w:val="heading 1"/>
    <w:basedOn w:val="Normalny"/>
    <w:next w:val="Normalny"/>
    <w:link w:val="Nagwek1Znak"/>
    <w:uiPriority w:val="9"/>
    <w:qFormat/>
    <w:rsid w:val="0030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64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64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64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64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64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64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64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64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64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64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64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64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64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64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64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6451"/>
    <w:rPr>
      <w:rFonts w:eastAsiaTheme="majorEastAsia" w:cstheme="majorBidi"/>
      <w:color w:val="272727" w:themeColor="text1" w:themeTint="D8"/>
    </w:rPr>
  </w:style>
  <w:style w:type="paragraph" w:styleId="Tytu">
    <w:name w:val="Title"/>
    <w:basedOn w:val="Normalny"/>
    <w:next w:val="Normalny"/>
    <w:link w:val="TytuZnak"/>
    <w:uiPriority w:val="10"/>
    <w:qFormat/>
    <w:rsid w:val="0030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64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64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64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6451"/>
    <w:pPr>
      <w:spacing w:before="160"/>
      <w:jc w:val="center"/>
    </w:pPr>
    <w:rPr>
      <w:i/>
      <w:iCs/>
      <w:color w:val="404040" w:themeColor="text1" w:themeTint="BF"/>
    </w:rPr>
  </w:style>
  <w:style w:type="character" w:customStyle="1" w:styleId="CytatZnak">
    <w:name w:val="Cytat Znak"/>
    <w:basedOn w:val="Domylnaczcionkaakapitu"/>
    <w:link w:val="Cytat"/>
    <w:uiPriority w:val="29"/>
    <w:rsid w:val="00306451"/>
    <w:rPr>
      <w:i/>
      <w:iCs/>
      <w:color w:val="404040" w:themeColor="text1" w:themeTint="BF"/>
    </w:rPr>
  </w:style>
  <w:style w:type="paragraph" w:styleId="Akapitzlist">
    <w:name w:val="List Paragraph"/>
    <w:basedOn w:val="Normalny"/>
    <w:uiPriority w:val="34"/>
    <w:qFormat/>
    <w:rsid w:val="00306451"/>
    <w:pPr>
      <w:ind w:left="720"/>
      <w:contextualSpacing/>
    </w:pPr>
  </w:style>
  <w:style w:type="character" w:styleId="Wyrnienieintensywne">
    <w:name w:val="Intense Emphasis"/>
    <w:basedOn w:val="Domylnaczcionkaakapitu"/>
    <w:uiPriority w:val="21"/>
    <w:qFormat/>
    <w:rsid w:val="00306451"/>
    <w:rPr>
      <w:i/>
      <w:iCs/>
      <w:color w:val="0F4761" w:themeColor="accent1" w:themeShade="BF"/>
    </w:rPr>
  </w:style>
  <w:style w:type="paragraph" w:styleId="Cytatintensywny">
    <w:name w:val="Intense Quote"/>
    <w:basedOn w:val="Normalny"/>
    <w:next w:val="Normalny"/>
    <w:link w:val="CytatintensywnyZnak"/>
    <w:uiPriority w:val="30"/>
    <w:qFormat/>
    <w:rsid w:val="0030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6451"/>
    <w:rPr>
      <w:i/>
      <w:iCs/>
      <w:color w:val="0F4761" w:themeColor="accent1" w:themeShade="BF"/>
    </w:rPr>
  </w:style>
  <w:style w:type="character" w:styleId="Odwoanieintensywne">
    <w:name w:val="Intense Reference"/>
    <w:basedOn w:val="Domylnaczcionkaakapitu"/>
    <w:uiPriority w:val="32"/>
    <w:qFormat/>
    <w:rsid w:val="0030645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3064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6451"/>
    <w:rPr>
      <w:sz w:val="20"/>
      <w:szCs w:val="20"/>
    </w:rPr>
  </w:style>
  <w:style w:type="character" w:styleId="Odwoanieprzypisudolnego">
    <w:name w:val="footnote reference"/>
    <w:basedOn w:val="Domylnaczcionkaakapitu"/>
    <w:uiPriority w:val="99"/>
    <w:semiHidden/>
    <w:unhideWhenUsed/>
    <w:rsid w:val="00306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2833</Words>
  <Characters>16998</Characters>
  <Application>Microsoft Office Word</Application>
  <DocSecurity>0</DocSecurity>
  <Lines>141</Lines>
  <Paragraphs>39</Paragraphs>
  <ScaleCrop>false</ScaleCrop>
  <Company>Kancelaria Sejmu</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2025-02-04T09:04:00Z</dcterms:created>
  <dcterms:modified xsi:type="dcterms:W3CDTF">2025-02-04T09:05:00Z</dcterms:modified>
</cp:coreProperties>
</file>