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153E" w14:textId="195DC42F" w:rsidR="00025905" w:rsidRPr="00EE58B4" w:rsidRDefault="00025905" w:rsidP="00EE58B4">
      <w:pPr>
        <w:jc w:val="center"/>
        <w:rPr>
          <w:rFonts w:ascii="Times New Roman" w:hAnsi="Times New Roman" w:cs="Times New Roman"/>
          <w:b/>
          <w:bCs/>
          <w:color w:val="auto"/>
          <w:sz w:val="24"/>
        </w:rPr>
      </w:pPr>
      <w:r w:rsidRPr="00EE58B4">
        <w:rPr>
          <w:rFonts w:ascii="Times New Roman" w:hAnsi="Times New Roman" w:cs="Times New Roman"/>
          <w:b/>
          <w:bCs/>
          <w:color w:val="auto"/>
          <w:sz w:val="24"/>
        </w:rPr>
        <w:t>UZASADNIENIE</w:t>
      </w:r>
    </w:p>
    <w:p w14:paraId="6427C3B6" w14:textId="77777777" w:rsidR="00025905" w:rsidRPr="00EE58B4" w:rsidRDefault="00025905" w:rsidP="00EE58B4">
      <w:pPr>
        <w:jc w:val="center"/>
        <w:rPr>
          <w:rFonts w:ascii="Times New Roman" w:hAnsi="Times New Roman" w:cs="Times New Roman"/>
          <w:b/>
          <w:bCs/>
          <w:color w:val="auto"/>
          <w:sz w:val="24"/>
        </w:rPr>
      </w:pPr>
    </w:p>
    <w:p w14:paraId="648C154D" w14:textId="77777777" w:rsidR="00025905" w:rsidRPr="00EE58B4" w:rsidRDefault="00025905" w:rsidP="003F5FA5">
      <w:pPr>
        <w:spacing w:after="240"/>
        <w:rPr>
          <w:rFonts w:ascii="Times New Roman" w:hAnsi="Times New Roman" w:cs="Times New Roman"/>
          <w:b/>
          <w:bCs/>
          <w:color w:val="auto"/>
          <w:sz w:val="24"/>
          <w:u w:val="single"/>
        </w:rPr>
      </w:pPr>
      <w:r w:rsidRPr="00EE58B4">
        <w:rPr>
          <w:rFonts w:ascii="Times New Roman" w:hAnsi="Times New Roman" w:cs="Times New Roman"/>
          <w:b/>
          <w:bCs/>
          <w:color w:val="auto"/>
          <w:sz w:val="24"/>
          <w:u w:val="single"/>
        </w:rPr>
        <w:t>Cel i zakres projektu – uwagi wprowadzające</w:t>
      </w:r>
    </w:p>
    <w:p w14:paraId="4B418ADF" w14:textId="0F85F323" w:rsidR="00D064CA" w:rsidRDefault="00025905" w:rsidP="00D064CA">
      <w:pPr>
        <w:rPr>
          <w:rFonts w:ascii="Times New Roman" w:hAnsi="Times New Roman" w:cs="Times New Roman"/>
          <w:color w:val="auto"/>
          <w:sz w:val="24"/>
        </w:rPr>
      </w:pPr>
      <w:r w:rsidRPr="00EE58B4">
        <w:rPr>
          <w:rFonts w:ascii="Times New Roman" w:hAnsi="Times New Roman" w:cs="Times New Roman"/>
          <w:color w:val="auto"/>
          <w:sz w:val="24"/>
        </w:rPr>
        <w:t xml:space="preserve"> </w:t>
      </w:r>
      <w:r w:rsidR="008A7C0C">
        <w:rPr>
          <w:rFonts w:ascii="Times New Roman" w:hAnsi="Times New Roman" w:cs="Times New Roman"/>
          <w:color w:val="auto"/>
          <w:sz w:val="24"/>
        </w:rPr>
        <w:tab/>
      </w:r>
      <w:r w:rsidRPr="00EE58B4">
        <w:rPr>
          <w:rFonts w:ascii="Times New Roman" w:hAnsi="Times New Roman" w:cs="Times New Roman"/>
          <w:color w:val="auto"/>
          <w:sz w:val="24"/>
        </w:rPr>
        <w:t xml:space="preserve">Przedkładany projekt ma na celu wdrożenie pilnych zmian legislacyjnych </w:t>
      </w:r>
      <w:r w:rsidR="00AD2EB4">
        <w:rPr>
          <w:rFonts w:ascii="Times New Roman" w:hAnsi="Times New Roman" w:cs="Times New Roman"/>
          <w:color w:val="auto"/>
          <w:sz w:val="24"/>
        </w:rPr>
        <w:t>w obszarze stosowania środków zapobiegawczych</w:t>
      </w:r>
      <w:r w:rsidR="00AD2EB4">
        <w:rPr>
          <w:rFonts w:ascii="Times New Roman" w:hAnsi="Times New Roman" w:cs="Times New Roman"/>
          <w:sz w:val="24"/>
        </w:rPr>
        <w:t>.</w:t>
      </w:r>
      <w:r w:rsidRPr="00EE58B4">
        <w:rPr>
          <w:rFonts w:ascii="Times New Roman" w:hAnsi="Times New Roman" w:cs="Times New Roman"/>
          <w:color w:val="auto"/>
          <w:sz w:val="24"/>
        </w:rPr>
        <w:t xml:space="preserve"> </w:t>
      </w:r>
      <w:bookmarkStart w:id="0" w:name="_Hlk192009476"/>
      <w:bookmarkStart w:id="1" w:name="_Hlk192009521"/>
    </w:p>
    <w:p w14:paraId="69576F27" w14:textId="77777777" w:rsidR="00D064CA" w:rsidRDefault="00D064CA" w:rsidP="00D064CA">
      <w:pPr>
        <w:rPr>
          <w:rFonts w:ascii="Times New Roman" w:hAnsi="Times New Roman" w:cs="Times New Roman"/>
          <w:sz w:val="24"/>
        </w:rPr>
      </w:pPr>
      <w:r>
        <w:rPr>
          <w:rFonts w:ascii="Times New Roman" w:hAnsi="Times New Roman" w:cs="Times New Roman"/>
          <w:color w:val="auto"/>
          <w:sz w:val="24"/>
        </w:rPr>
        <w:t xml:space="preserve">Systemowy problem związany z </w:t>
      </w:r>
      <w:r w:rsidRPr="00EE58B4">
        <w:rPr>
          <w:rFonts w:ascii="Times New Roman" w:hAnsi="Times New Roman" w:cs="Times New Roman"/>
          <w:color w:val="auto"/>
          <w:sz w:val="24"/>
        </w:rPr>
        <w:t>nadmiern</w:t>
      </w:r>
      <w:r>
        <w:rPr>
          <w:rFonts w:ascii="Times New Roman" w:hAnsi="Times New Roman" w:cs="Times New Roman"/>
          <w:color w:val="auto"/>
          <w:sz w:val="24"/>
        </w:rPr>
        <w:t xml:space="preserve">ym </w:t>
      </w:r>
      <w:r w:rsidRPr="00EE58B4">
        <w:rPr>
          <w:rFonts w:ascii="Times New Roman" w:hAnsi="Times New Roman" w:cs="Times New Roman"/>
          <w:color w:val="auto"/>
          <w:sz w:val="24"/>
        </w:rPr>
        <w:t xml:space="preserve"> stosowani</w:t>
      </w:r>
      <w:r>
        <w:rPr>
          <w:rFonts w:ascii="Times New Roman" w:hAnsi="Times New Roman" w:cs="Times New Roman"/>
          <w:color w:val="auto"/>
          <w:sz w:val="24"/>
        </w:rPr>
        <w:t>em</w:t>
      </w:r>
      <w:r w:rsidRPr="00EE58B4">
        <w:rPr>
          <w:rFonts w:ascii="Times New Roman" w:hAnsi="Times New Roman" w:cs="Times New Roman"/>
          <w:color w:val="auto"/>
          <w:sz w:val="24"/>
        </w:rPr>
        <w:t xml:space="preserve"> instytucji tymczasowego aresztowania,  </w:t>
      </w:r>
      <w:r>
        <w:rPr>
          <w:rFonts w:ascii="Times New Roman" w:hAnsi="Times New Roman" w:cs="Times New Roman"/>
          <w:sz w:val="24"/>
        </w:rPr>
        <w:t xml:space="preserve">sprawia, że Polska narażona jest z tego tytułu na </w:t>
      </w:r>
      <w:r>
        <w:rPr>
          <w:rFonts w:ascii="Times New Roman" w:hAnsi="Times New Roman" w:cs="Times New Roman"/>
          <w:b/>
          <w:bCs/>
          <w:sz w:val="24"/>
        </w:rPr>
        <w:t xml:space="preserve"> </w:t>
      </w:r>
      <w:r w:rsidRPr="00EE58B4">
        <w:rPr>
          <w:rFonts w:ascii="Times New Roman" w:hAnsi="Times New Roman" w:cs="Times New Roman"/>
          <w:color w:val="auto"/>
          <w:sz w:val="24"/>
        </w:rPr>
        <w:t xml:space="preserve">odpowiedzialność przed Europejskim Trybunałem Praw </w:t>
      </w:r>
      <w:r>
        <w:rPr>
          <w:rFonts w:ascii="Times New Roman" w:hAnsi="Times New Roman" w:cs="Times New Roman"/>
          <w:color w:val="auto"/>
          <w:sz w:val="24"/>
        </w:rPr>
        <w:t>C</w:t>
      </w:r>
      <w:r w:rsidRPr="00EE58B4">
        <w:rPr>
          <w:rFonts w:ascii="Times New Roman" w:hAnsi="Times New Roman" w:cs="Times New Roman"/>
          <w:color w:val="auto"/>
          <w:sz w:val="24"/>
        </w:rPr>
        <w:t xml:space="preserve">złowieka. </w:t>
      </w:r>
    </w:p>
    <w:bookmarkEnd w:id="0"/>
    <w:p w14:paraId="482B0276" w14:textId="076B7588" w:rsidR="0007775F" w:rsidRPr="00EE58B4" w:rsidRDefault="006176B2" w:rsidP="003F5FA5">
      <w:pPr>
        <w:rPr>
          <w:rFonts w:ascii="Times New Roman" w:hAnsi="Times New Roman" w:cs="Times New Roman"/>
          <w:color w:val="auto"/>
          <w:sz w:val="24"/>
        </w:rPr>
      </w:pPr>
      <w:r w:rsidRPr="00EE58B4">
        <w:rPr>
          <w:rFonts w:ascii="Times New Roman" w:hAnsi="Times New Roman" w:cs="Times New Roman"/>
          <w:color w:val="auto"/>
          <w:sz w:val="24"/>
        </w:rPr>
        <w:t>Do Sejmu obecnej kadencji wpłynęły</w:t>
      </w:r>
      <w:r w:rsidR="003F5FA5">
        <w:rPr>
          <w:rFonts w:ascii="Times New Roman" w:hAnsi="Times New Roman" w:cs="Times New Roman"/>
          <w:color w:val="auto"/>
          <w:sz w:val="24"/>
        </w:rPr>
        <w:t xml:space="preserve"> co najmniej</w:t>
      </w:r>
      <w:r w:rsidRPr="00EE58B4">
        <w:rPr>
          <w:rFonts w:ascii="Times New Roman" w:hAnsi="Times New Roman" w:cs="Times New Roman"/>
          <w:color w:val="auto"/>
          <w:sz w:val="24"/>
        </w:rPr>
        <w:t xml:space="preserve"> </w:t>
      </w:r>
      <w:r w:rsidR="00D064CA">
        <w:rPr>
          <w:rFonts w:ascii="Times New Roman" w:hAnsi="Times New Roman" w:cs="Times New Roman"/>
          <w:color w:val="auto"/>
          <w:sz w:val="24"/>
        </w:rPr>
        <w:t>dwa</w:t>
      </w:r>
      <w:r w:rsidR="00D064CA" w:rsidRPr="00EE58B4">
        <w:rPr>
          <w:rFonts w:ascii="Times New Roman" w:hAnsi="Times New Roman" w:cs="Times New Roman"/>
          <w:color w:val="auto"/>
          <w:sz w:val="24"/>
        </w:rPr>
        <w:t xml:space="preserve"> </w:t>
      </w:r>
      <w:r w:rsidRPr="00EE58B4">
        <w:rPr>
          <w:rFonts w:ascii="Times New Roman" w:hAnsi="Times New Roman" w:cs="Times New Roman"/>
          <w:color w:val="auto"/>
          <w:sz w:val="24"/>
        </w:rPr>
        <w:t>projekty poselskie</w:t>
      </w:r>
      <w:r w:rsidR="00E85974">
        <w:rPr>
          <w:rFonts w:ascii="Times New Roman" w:hAnsi="Times New Roman" w:cs="Times New Roman"/>
          <w:color w:val="auto"/>
          <w:sz w:val="24"/>
        </w:rPr>
        <w:t>,</w:t>
      </w:r>
      <w:r w:rsidRPr="00EE58B4">
        <w:rPr>
          <w:rFonts w:ascii="Times New Roman" w:hAnsi="Times New Roman" w:cs="Times New Roman"/>
          <w:color w:val="auto"/>
          <w:sz w:val="24"/>
        </w:rPr>
        <w:t xml:space="preserve"> w których podjęto próbę naprawy sytuacji w </w:t>
      </w:r>
      <w:r w:rsidR="00D064CA">
        <w:rPr>
          <w:rFonts w:ascii="Times New Roman" w:hAnsi="Times New Roman" w:cs="Times New Roman"/>
          <w:sz w:val="24"/>
        </w:rPr>
        <w:t>zakresie wskazanej wyżej problematyki</w:t>
      </w:r>
      <w:r w:rsidRPr="00EE58B4">
        <w:rPr>
          <w:rFonts w:ascii="Times New Roman" w:hAnsi="Times New Roman" w:cs="Times New Roman"/>
          <w:color w:val="auto"/>
          <w:sz w:val="24"/>
        </w:rPr>
        <w:t xml:space="preserve">. </w:t>
      </w:r>
      <w:r w:rsidR="00610CFA" w:rsidRPr="00EE58B4">
        <w:rPr>
          <w:rFonts w:ascii="Times New Roman" w:hAnsi="Times New Roman" w:cs="Times New Roman"/>
          <w:color w:val="auto"/>
          <w:sz w:val="24"/>
        </w:rPr>
        <w:t xml:space="preserve">Mimo, </w:t>
      </w:r>
      <w:r w:rsidR="009307AB" w:rsidRPr="00EE58B4">
        <w:rPr>
          <w:rFonts w:ascii="Times New Roman" w:hAnsi="Times New Roman" w:cs="Times New Roman"/>
          <w:color w:val="auto"/>
          <w:sz w:val="24"/>
        </w:rPr>
        <w:t>że ich</w:t>
      </w:r>
      <w:r w:rsidR="00610CFA" w:rsidRPr="00EE58B4">
        <w:rPr>
          <w:rFonts w:ascii="Times New Roman" w:hAnsi="Times New Roman" w:cs="Times New Roman"/>
          <w:color w:val="auto"/>
          <w:sz w:val="24"/>
        </w:rPr>
        <w:t xml:space="preserve"> celem była poprawa stanu prawnego, wynikającego z obowiązujących obecnie regulacji, zawarte w </w:t>
      </w:r>
      <w:r w:rsidR="00E85974">
        <w:rPr>
          <w:rFonts w:ascii="Times New Roman" w:hAnsi="Times New Roman" w:cs="Times New Roman"/>
          <w:color w:val="auto"/>
          <w:sz w:val="24"/>
        </w:rPr>
        <w:t>n</w:t>
      </w:r>
      <w:r w:rsidR="00610CFA" w:rsidRPr="00EE58B4">
        <w:rPr>
          <w:rFonts w:ascii="Times New Roman" w:hAnsi="Times New Roman" w:cs="Times New Roman"/>
          <w:color w:val="auto"/>
          <w:sz w:val="24"/>
        </w:rPr>
        <w:t xml:space="preserve">ich rozwiązania nie zawsze prezentowały optymalne propozycje legislacyjne. Z tego względu projektodawcy zdecydowali się na przedstawienie niniejszego projektu. Rozwiązania w zakresie tymczasowego aresztowania oparte zostały na </w:t>
      </w:r>
      <w:r w:rsidR="009307AB" w:rsidRPr="00EE58B4">
        <w:rPr>
          <w:rFonts w:ascii="Times New Roman" w:hAnsi="Times New Roman" w:cs="Times New Roman"/>
          <w:color w:val="auto"/>
          <w:sz w:val="24"/>
        </w:rPr>
        <w:t>projekcie przygotowanym</w:t>
      </w:r>
      <w:r w:rsidR="00610CFA" w:rsidRPr="00EE58B4">
        <w:rPr>
          <w:rFonts w:ascii="Times New Roman" w:hAnsi="Times New Roman" w:cs="Times New Roman"/>
          <w:color w:val="auto"/>
          <w:sz w:val="24"/>
        </w:rPr>
        <w:t xml:space="preserve"> przez Komisję Kodyfikacyjną Prawa Karnego (dostępnym na stronie internetowej M</w:t>
      </w:r>
      <w:r w:rsidR="0007775F" w:rsidRPr="00EE58B4">
        <w:rPr>
          <w:rFonts w:ascii="Times New Roman" w:hAnsi="Times New Roman" w:cs="Times New Roman"/>
          <w:color w:val="auto"/>
          <w:sz w:val="24"/>
        </w:rPr>
        <w:t xml:space="preserve">inisterstwa </w:t>
      </w:r>
      <w:r w:rsidR="00610CFA" w:rsidRPr="00EE58B4">
        <w:rPr>
          <w:rFonts w:ascii="Times New Roman" w:hAnsi="Times New Roman" w:cs="Times New Roman"/>
          <w:color w:val="auto"/>
          <w:sz w:val="24"/>
        </w:rPr>
        <w:t>S</w:t>
      </w:r>
      <w:r w:rsidR="0007775F" w:rsidRPr="00EE58B4">
        <w:rPr>
          <w:rFonts w:ascii="Times New Roman" w:hAnsi="Times New Roman" w:cs="Times New Roman"/>
          <w:color w:val="auto"/>
          <w:sz w:val="24"/>
        </w:rPr>
        <w:t>prawiedliwości</w:t>
      </w:r>
      <w:r w:rsidR="00610CFA" w:rsidRPr="00EE58B4">
        <w:rPr>
          <w:rFonts w:ascii="Times New Roman" w:hAnsi="Times New Roman" w:cs="Times New Roman"/>
          <w:color w:val="auto"/>
          <w:sz w:val="24"/>
        </w:rPr>
        <w:t xml:space="preserve"> w zakładce Komisja Kodyfikacyjna Prawa Karnego) oraz na projekcie </w:t>
      </w:r>
      <w:r w:rsidR="0007775F" w:rsidRPr="00EE58B4">
        <w:rPr>
          <w:rFonts w:ascii="Times New Roman" w:hAnsi="Times New Roman" w:cs="Times New Roman"/>
          <w:color w:val="auto"/>
          <w:sz w:val="24"/>
        </w:rPr>
        <w:t xml:space="preserve">przygotowanym przez Ministerstwo Sprawiedliwości, który jest przedmiotem prac legislacyjnych (dostępnym na stronie Rządowego Centrum Legislacji pod numerem UD153). Oba projekty zawierają niemal identyczne rozwiązania. </w:t>
      </w:r>
    </w:p>
    <w:p w14:paraId="2B9BD47B" w14:textId="53BF04CF" w:rsidR="00610CFA" w:rsidRPr="00EE58B4" w:rsidRDefault="0007775F" w:rsidP="00EE58B4">
      <w:pPr>
        <w:spacing w:after="240"/>
        <w:rPr>
          <w:rFonts w:ascii="Times New Roman" w:hAnsi="Times New Roman" w:cs="Times New Roman"/>
          <w:color w:val="auto"/>
          <w:sz w:val="24"/>
        </w:rPr>
      </w:pPr>
      <w:r w:rsidRPr="00EE58B4">
        <w:rPr>
          <w:rFonts w:ascii="Times New Roman" w:hAnsi="Times New Roman" w:cs="Times New Roman"/>
          <w:color w:val="auto"/>
          <w:sz w:val="24"/>
        </w:rPr>
        <w:t xml:space="preserve">Pilna potrzeba przeciwdziałania </w:t>
      </w:r>
      <w:r w:rsidR="00A66F03" w:rsidRPr="00EE58B4">
        <w:rPr>
          <w:rFonts w:ascii="Times New Roman" w:hAnsi="Times New Roman" w:cs="Times New Roman"/>
          <w:color w:val="auto"/>
          <w:sz w:val="24"/>
        </w:rPr>
        <w:t>nadmiernemu stosowaniu tymczasowego aresztowania sprawiła, że projektodawcy zdecydowali się na przedstawienie odrębnej inicjatywy ustawodawczej, która pozwoli na wcześniejsze uchwalenie koniecznych zmian.</w:t>
      </w:r>
    </w:p>
    <w:bookmarkEnd w:id="1"/>
    <w:p w14:paraId="2B841DC7" w14:textId="77777777" w:rsidR="008B00CD" w:rsidRPr="00EE58B4" w:rsidRDefault="008B00CD" w:rsidP="00EE58B4">
      <w:pPr>
        <w:rPr>
          <w:rFonts w:ascii="Times New Roman" w:hAnsi="Times New Roman" w:cs="Times New Roman"/>
          <w:color w:val="auto"/>
          <w:sz w:val="24"/>
        </w:rPr>
      </w:pPr>
    </w:p>
    <w:p w14:paraId="511A40A5" w14:textId="239932FC" w:rsidR="00CD1528" w:rsidRPr="00EE58B4" w:rsidRDefault="004B188E" w:rsidP="008A7C0C">
      <w:pPr>
        <w:ind w:firstLine="708"/>
        <w:rPr>
          <w:rFonts w:ascii="Times New Roman" w:hAnsi="Times New Roman" w:cs="Times New Roman"/>
          <w:b/>
          <w:bCs/>
          <w:color w:val="auto"/>
          <w:sz w:val="24"/>
        </w:rPr>
      </w:pPr>
      <w:r w:rsidRPr="00EE58B4">
        <w:rPr>
          <w:rFonts w:ascii="Times New Roman" w:hAnsi="Times New Roman" w:cs="Times New Roman"/>
          <w:b/>
          <w:bCs/>
          <w:color w:val="auto"/>
          <w:sz w:val="24"/>
        </w:rPr>
        <w:t>Art. 156 § 5a k.p.k., art. 249a § 1 k.p.k. i art 250 § 2b k.p.k.</w:t>
      </w:r>
    </w:p>
    <w:p w14:paraId="4CF169D1" w14:textId="2018B85F" w:rsidR="00C34A17" w:rsidRPr="00EE58B4" w:rsidRDefault="00C34A17" w:rsidP="008A7C0C">
      <w:pPr>
        <w:ind w:firstLine="708"/>
        <w:rPr>
          <w:rFonts w:ascii="Times New Roman" w:hAnsi="Times New Roman" w:cs="Times New Roman"/>
          <w:iCs/>
          <w:color w:val="auto"/>
          <w:sz w:val="24"/>
        </w:rPr>
      </w:pPr>
      <w:r w:rsidRPr="00EE58B4">
        <w:rPr>
          <w:rFonts w:ascii="Times New Roman" w:hAnsi="Times New Roman" w:cs="Times New Roman"/>
          <w:color w:val="auto"/>
          <w:sz w:val="24"/>
        </w:rPr>
        <w:t xml:space="preserve">Zaproponowane zmiany dotyczące art. 156 § 5a k.p.k., art. 249a § 1 k.p.k. i art 250 § 2b k.p.k. mają na celu rozwinięcie standardu unijnego wynikającego z </w:t>
      </w:r>
      <w:r w:rsidR="009307AB" w:rsidRPr="00EE58B4">
        <w:rPr>
          <w:rFonts w:ascii="Times New Roman" w:hAnsi="Times New Roman" w:cs="Times New Roman"/>
          <w:color w:val="auto"/>
          <w:sz w:val="24"/>
        </w:rPr>
        <w:t>dyrektywy Parlamentu</w:t>
      </w:r>
      <w:r w:rsidR="009378E9" w:rsidRPr="00EE58B4">
        <w:rPr>
          <w:rFonts w:ascii="Times New Roman" w:hAnsi="Times New Roman" w:cs="Times New Roman"/>
          <w:color w:val="auto"/>
          <w:sz w:val="24"/>
        </w:rPr>
        <w:t xml:space="preserve"> Europejskiego i Rady 2012/13/UE z dnia 22 maja 2012 r. w sprawie prawa do informacji w postępowaniu karnym (Dz. Urz. UE L 142 z 1.06.2012, str. 1)</w:t>
      </w:r>
      <w:r w:rsidRPr="00EE58B4">
        <w:rPr>
          <w:rFonts w:ascii="Times New Roman" w:hAnsi="Times New Roman" w:cs="Times New Roman"/>
          <w:color w:val="auto"/>
          <w:sz w:val="24"/>
        </w:rPr>
        <w:t>, jak i standardu strasburskiego w zakresie dostępu obrony do materiałów postępowania w związku ze stosowaniem tymczasowego aresztowania. Dodatkowo proponuje się zmiany wzmacniające prawo podejrzanego do obrony w zakresie tego dostępu.</w:t>
      </w:r>
    </w:p>
    <w:p w14:paraId="647544D9" w14:textId="77777777" w:rsidR="00C34A17" w:rsidRPr="00EE58B4" w:rsidRDefault="00C34A17" w:rsidP="00EE58B4">
      <w:pPr>
        <w:pStyle w:val="Akapitzlist"/>
        <w:ind w:left="0" w:firstLine="720"/>
        <w:rPr>
          <w:rFonts w:ascii="Times New Roman" w:eastAsia="Cambria Math" w:hAnsi="Times New Roman" w:cs="Times New Roman"/>
          <w:color w:val="auto"/>
          <w:sz w:val="24"/>
          <w:lang w:eastAsia="pl-PL"/>
        </w:rPr>
      </w:pPr>
      <w:r w:rsidRPr="00EE58B4">
        <w:rPr>
          <w:rFonts w:ascii="Times New Roman" w:hAnsi="Times New Roman" w:cs="Times New Roman"/>
          <w:color w:val="auto"/>
          <w:sz w:val="24"/>
        </w:rPr>
        <w:t xml:space="preserve">Dostęp podejrzanego i jego obrońcy do akt postępowania przygotowawczego i do dowodów wskazujących na potrzebę stosowania tymczasowego aresztowania stanowi </w:t>
      </w:r>
      <w:r w:rsidRPr="00EE58B4">
        <w:rPr>
          <w:rFonts w:ascii="Times New Roman" w:hAnsi="Times New Roman" w:cs="Times New Roman"/>
          <w:color w:val="auto"/>
          <w:sz w:val="24"/>
        </w:rPr>
        <w:lastRenderedPageBreak/>
        <w:t xml:space="preserve">kluczowy element rzetelności procedury stosowania tymczasowego aresztowania. Wynika to z orzecznictwa Trybunału Konstytucyjnego oraz Europejskiego Trybunału Praw Człowieka (por. wyrok TK z dnia 3 czerwca 2008 r., K 42/07, OTK – A 2008, nr 5, poz. 77; w odniesieniu do orzecznictwa Europejskiego Trybunału Praw Człowieka: wyrok z dnia 15 stycznia 2008 r. w sprawie </w:t>
      </w:r>
      <w:r w:rsidRPr="00EE58B4">
        <w:rPr>
          <w:rFonts w:ascii="Times New Roman" w:hAnsi="Times New Roman" w:cs="Times New Roman"/>
          <w:i/>
          <w:iCs/>
          <w:color w:val="auto"/>
          <w:sz w:val="24"/>
        </w:rPr>
        <w:t xml:space="preserve">Łaszkiewicz przeciwko Polsce, </w:t>
      </w:r>
      <w:r w:rsidRPr="00EE58B4">
        <w:rPr>
          <w:rFonts w:ascii="Times New Roman" w:hAnsi="Times New Roman" w:cs="Times New Roman"/>
          <w:color w:val="auto"/>
          <w:sz w:val="24"/>
        </w:rPr>
        <w:t xml:space="preserve">skarga nr 28481/03; </w:t>
      </w:r>
      <w:r w:rsidRPr="00EE58B4">
        <w:rPr>
          <w:rFonts w:ascii="Times New Roman" w:eastAsia="Cambria Math" w:hAnsi="Times New Roman" w:cs="Times New Roman"/>
          <w:color w:val="auto"/>
          <w:sz w:val="24"/>
          <w:lang w:eastAsia="pl-PL"/>
        </w:rPr>
        <w:t>wyrok z dnia 25 czerwca 2002 r. w sprawie</w:t>
      </w:r>
      <w:r w:rsidRPr="00EE58B4">
        <w:rPr>
          <w:rFonts w:ascii="Times New Roman" w:hAnsi="Times New Roman" w:cs="Times New Roman"/>
          <w:color w:val="auto"/>
          <w:sz w:val="24"/>
        </w:rPr>
        <w:t xml:space="preserve"> </w:t>
      </w:r>
      <w:proofErr w:type="spellStart"/>
      <w:r w:rsidRPr="00EE58B4">
        <w:rPr>
          <w:rFonts w:ascii="Times New Roman" w:eastAsia="Cambria Math" w:hAnsi="Times New Roman" w:cs="Times New Roman"/>
          <w:i/>
          <w:iCs/>
          <w:color w:val="auto"/>
          <w:sz w:val="24"/>
          <w:lang w:eastAsia="pl-PL"/>
        </w:rPr>
        <w:t>Migoń</w:t>
      </w:r>
      <w:proofErr w:type="spellEnd"/>
      <w:r w:rsidRPr="00EE58B4">
        <w:rPr>
          <w:rFonts w:ascii="Times New Roman" w:eastAsia="Cambria Math" w:hAnsi="Times New Roman" w:cs="Times New Roman"/>
          <w:i/>
          <w:iCs/>
          <w:color w:val="auto"/>
          <w:sz w:val="24"/>
          <w:lang w:eastAsia="pl-PL"/>
        </w:rPr>
        <w:t xml:space="preserve"> przeciwko Polsce, </w:t>
      </w:r>
      <w:r w:rsidRPr="00EE58B4">
        <w:rPr>
          <w:rFonts w:ascii="Times New Roman" w:eastAsia="Cambria Math" w:hAnsi="Times New Roman" w:cs="Times New Roman"/>
          <w:color w:val="auto"/>
          <w:sz w:val="24"/>
          <w:lang w:eastAsia="pl-PL"/>
        </w:rPr>
        <w:t xml:space="preserve">skarga nr 24244/94; wyrok z dnia 6 listopada 2007 r. w sprawie </w:t>
      </w:r>
      <w:r w:rsidRPr="00EE58B4">
        <w:rPr>
          <w:rFonts w:ascii="Times New Roman" w:eastAsia="Cambria Math" w:hAnsi="Times New Roman" w:cs="Times New Roman"/>
          <w:i/>
          <w:iCs/>
          <w:color w:val="auto"/>
          <w:sz w:val="24"/>
          <w:lang w:eastAsia="pl-PL"/>
        </w:rPr>
        <w:t xml:space="preserve">Chruściński przeciwko Polsce, </w:t>
      </w:r>
      <w:r w:rsidRPr="00EE58B4">
        <w:rPr>
          <w:rFonts w:ascii="Times New Roman" w:eastAsia="Cambria Math" w:hAnsi="Times New Roman" w:cs="Times New Roman"/>
          <w:color w:val="auto"/>
          <w:sz w:val="24"/>
          <w:lang w:eastAsia="pl-PL"/>
        </w:rPr>
        <w:t xml:space="preserve">skarga nr 22755/07). Europejski Trybunał Praw Człowieka kilkakrotnie stwierdzał, uwzględniając skargi przeciwko Polsce, że uniemożliwienie oskarżonemu i jego obrońcy dostępu do akt postępowania przygotowawczego narusza zasadę równości broni, stanowiącą istotny element rzetelności procedury przewidzianej w art. 5 ust. 4 </w:t>
      </w:r>
      <w:proofErr w:type="spellStart"/>
      <w:r w:rsidRPr="00EE58B4">
        <w:rPr>
          <w:rFonts w:ascii="Times New Roman" w:eastAsia="Cambria Math" w:hAnsi="Times New Roman" w:cs="Times New Roman"/>
          <w:color w:val="auto"/>
          <w:sz w:val="24"/>
          <w:lang w:eastAsia="pl-PL"/>
        </w:rPr>
        <w:t>EKPCz</w:t>
      </w:r>
      <w:proofErr w:type="spellEnd"/>
      <w:r w:rsidRPr="00EE58B4">
        <w:rPr>
          <w:rFonts w:ascii="Times New Roman" w:eastAsia="Cambria Math" w:hAnsi="Times New Roman" w:cs="Times New Roman"/>
          <w:color w:val="auto"/>
          <w:sz w:val="24"/>
          <w:lang w:eastAsia="pl-PL"/>
        </w:rPr>
        <w:t xml:space="preserve">. W punkcie 84 wyroku w sprawie </w:t>
      </w:r>
      <w:r w:rsidRPr="00EE58B4">
        <w:rPr>
          <w:rFonts w:ascii="Times New Roman" w:eastAsia="Cambria Math" w:hAnsi="Times New Roman" w:cs="Times New Roman"/>
          <w:i/>
          <w:iCs/>
          <w:color w:val="auto"/>
          <w:sz w:val="24"/>
          <w:lang w:eastAsia="pl-PL"/>
        </w:rPr>
        <w:t>Łaszkiewicz przeciwko Polsce</w:t>
      </w:r>
      <w:r w:rsidRPr="00EE58B4">
        <w:rPr>
          <w:rFonts w:ascii="Times New Roman" w:eastAsia="Cambria Math" w:hAnsi="Times New Roman" w:cs="Times New Roman"/>
          <w:color w:val="auto"/>
          <w:sz w:val="24"/>
          <w:lang w:eastAsia="pl-PL"/>
        </w:rPr>
        <w:t xml:space="preserve"> stwierdza się „Trybunał uznaje konieczność skutecznego prowadzenia postępowań karnych, co może oznaczać, że pewna część informacji zebranych w ich trakcie powinna być utajniona w celu uniemożliwienia podejrzanym zacierania dowodów i podważania biegu wymiaru sprawiedliwości. Jednakże, ten zasadny cel nie może być realizowany kosztem znacznego ograniczenia prawa do obrony. Dlatego też informacje kluczowe dla oceny legalności tymczasowego aresztowania, takie jak powody, które zdaniem prokuratury uzasadniają przedłużenie okresu pozbawienia wolności – powinny być w odpowiednim trybie udostępnione adwokatowi podejrzanego [...]”. To właśnie uczynienie zadość standardowi konstytucyjnemu i konwencyjnemu w tym zakresie było przyczyną wprowadzenia z dniem 1 lipca 2015 r. wzmocnionych gwarancji kontradyktoryjności i równości stron w procedurze aresztowanej (por. w szczególności art. 249a k.p.k. i ówczesne brzmienie art. 250 k.p.k.). Również przepis art. 7 ust. 1 dyrektywy 2012/13/UE nie dopuszcza żadnego wyjątku od reguły, że należy zapewnić obronie dostęp do będących w posiadaniu właściwych organów dokumentów, które są związane z konkretną sprawą i mają istotne znaczenie dla skutecznego zakwestionowania, zgodnie z prawem krajowym, legalności zatrzymania lub aresztowania. Jak wynika z powyższego, podejrzany i jego obrońca powinni mieć dostęp do dowodów stanowiących p</w:t>
      </w:r>
      <w:r w:rsidRPr="00EE58B4">
        <w:rPr>
          <w:rFonts w:ascii="Times New Roman" w:hAnsi="Times New Roman" w:cs="Times New Roman"/>
          <w:color w:val="auto"/>
          <w:sz w:val="24"/>
        </w:rPr>
        <w:t>odstawę wniosku o zastosowanie (przedłużenie) tymczasowego aresztowania i postanowienia o zastosowaniu tego środka zapobiegawczego. Wyjątki w tym zakresie nie są dopuszczalne.</w:t>
      </w:r>
      <w:r w:rsidRPr="00EE58B4">
        <w:rPr>
          <w:rFonts w:ascii="Times New Roman" w:eastAsia="Cambria Math" w:hAnsi="Times New Roman" w:cs="Times New Roman"/>
          <w:color w:val="auto"/>
          <w:sz w:val="24"/>
          <w:lang w:eastAsia="pl-PL"/>
        </w:rPr>
        <w:t xml:space="preserve"> </w:t>
      </w:r>
    </w:p>
    <w:p w14:paraId="01DF3571" w14:textId="77777777" w:rsidR="00C34A17" w:rsidRPr="00EE58B4" w:rsidRDefault="00C34A17" w:rsidP="00EE58B4">
      <w:pPr>
        <w:pStyle w:val="Akapitzlist"/>
        <w:ind w:left="0" w:firstLine="720"/>
        <w:rPr>
          <w:rFonts w:ascii="Times New Roman" w:eastAsia="Cambria Math" w:hAnsi="Times New Roman" w:cs="Times New Roman"/>
          <w:color w:val="auto"/>
          <w:sz w:val="24"/>
          <w:lang w:eastAsia="pl-PL"/>
        </w:rPr>
      </w:pPr>
      <w:r w:rsidRPr="00EE58B4">
        <w:rPr>
          <w:rFonts w:ascii="Times New Roman" w:eastAsia="Cambria Math" w:hAnsi="Times New Roman" w:cs="Times New Roman"/>
          <w:color w:val="auto"/>
          <w:sz w:val="24"/>
          <w:lang w:eastAsia="pl-PL"/>
        </w:rPr>
        <w:t xml:space="preserve">Dodatkowo należy zauważyć, że wprowadzając w art. 156 § 5a k.p.k. ograniczenie w dostępie podejrzanego i jego obrońcy do dowodów wskazanych we wniosku o zastosowanie tymczasowego aresztowania ustawodawca uzasadnił je potrzebą ochrony świadków zagrożonych. Cel ten w procesie karnym może być osiągnięty za pomocą instytucji świadka incognito, której zastosowanie powoduje, że obrona wciąż ma dostęp do treści zeznań, tyle </w:t>
      </w:r>
      <w:r w:rsidRPr="00EE58B4">
        <w:rPr>
          <w:rFonts w:ascii="Times New Roman" w:eastAsia="Cambria Math" w:hAnsi="Times New Roman" w:cs="Times New Roman"/>
          <w:color w:val="auto"/>
          <w:sz w:val="24"/>
          <w:lang w:eastAsia="pl-PL"/>
        </w:rPr>
        <w:lastRenderedPageBreak/>
        <w:t xml:space="preserve">że zapewniony w sposób uniemożliwiający ujawnienie tożsamości świadka zagrożonego. Skoro zatem cel godny ochrony może być osiągnięty za pomocą istniejącego w Kodeksie postępowania karnego instrumentu, zbędne jest dalej idące ograniczanie prawa do obrony. Dlatego też uzasadnione jest uchylenie art. 250 § 2b k.p.k., skoro </w:t>
      </w:r>
      <w:r w:rsidRPr="00EE58B4">
        <w:rPr>
          <w:rFonts w:ascii="Times New Roman" w:hAnsi="Times New Roman" w:cs="Times New Roman"/>
          <w:color w:val="auto"/>
          <w:sz w:val="24"/>
        </w:rPr>
        <w:t>stanowi on nieproporcjonalne ograniczenie prawa do obrony oraz reguły równości broni.</w:t>
      </w:r>
      <w:r w:rsidRPr="00EE58B4">
        <w:rPr>
          <w:rFonts w:ascii="Times New Roman" w:eastAsia="Cambria Math" w:hAnsi="Times New Roman" w:cs="Times New Roman"/>
          <w:color w:val="auto"/>
          <w:sz w:val="24"/>
          <w:lang w:eastAsia="pl-PL"/>
        </w:rPr>
        <w:t xml:space="preserve"> Co za tym idzie, w tym zakresie proponuje się zmianę także art. 156 § 5a k.p.k.</w:t>
      </w:r>
    </w:p>
    <w:p w14:paraId="6B11E626" w14:textId="77777777" w:rsidR="00C34A17" w:rsidRPr="00EE58B4" w:rsidRDefault="00C34A17"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Konsekwencją respektowania standardu strasburskiego i unijnego jest również proponowane brzmienie art. 249a § 1 k.p.k., które oznacza powrót do jego treści obowiązującej od dnia 1 lipca 2015 r. Ustawą z dnia 11 marca 2016 r. wraz z wprowadzeniem art. 250 § 2b k.p.k. przewidziano możliwość wyodrębnienia przez prokuratora szczególnego zbioru dowodów, który pomimo, że stanowić może podstawę orzekania o zastosowaniu lub przedłużeniu stosowania tymczasowego aresztowania, nie jest udostępniany oskarżonemu oraz jego obrońcy. Powodem nieudostępniania tych dowodów w postaci zeznań świadka była uzasadniona obawa niebezpieczeństwa dla życia i zdrowia albo wolności świadka lub osoby dla niego najbliższej. Tymczasem, jak wskazywano, sąd badający podstawy stosowania lub przedłużenia stosowania tymczasowego aresztowania nie może czynić istotnych ustaleń w tym zakresie na podstawie dowodów niedostępnych dla podejrzanego i jego obrońcy.</w:t>
      </w:r>
    </w:p>
    <w:p w14:paraId="28B71F31" w14:textId="77777777" w:rsidR="00C34A17" w:rsidRPr="00EE58B4" w:rsidRDefault="00C34A17"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 xml:space="preserve">Proponowana treść art. 156 § 5a k.p.k. ma również za zadanie zniwelować dotychczasowe niedoskonałości normy w nim zawartej. Po pierwsze, przepisy regulujące zasady dostępu do akt postępowania w związku ze stosowaniem tymczasowego aresztowania nie przewidywały obowiązku zawiadomienia podejrzanego o możliwości realizacji tego uprawnienia, co wpływało negatywnie na efektywność korzystania z niego, zwłaszcza jeśli idzie o moment uzyskania tego dostępu. Za konieczne uznano uzupełnienie tego przepisu o nałożenie na prokuratora obowiązku poinformowania podejrzanego oraz jego obrońcy o kierowanym do sądu wniosku o zastosowanie tymczasowego aresztowania wraz z pouczeniem o przysługującym prawie do zapoznania się z materiałami postępowania. Po drugie, sprecyzowano, że na wniosek podejrzanego i jego obrońcy prokurator udostępnia akta postępowania w zakresie, w jakim stały się one kanwą wniosku o zastosowanie tymczasowego aresztowania, czyniąc to niezwłocznie. Po trzecie, zmieniony przepis przesądza o zakresie obowiązków prokuratora, przy czym udostępnienie akt następuje z inicjatywy podejrzanego lub jego obrońcy. W przypadku braku wniosku o zapoznanie się z aktami, nie tamuje to biegu postępowania i dalszych, dynamicznych czynności procesowych prokuratora na tym etapie. Po czwarte, w art 156 § 5a k.p.k. doprecyzowano, że przewidziane w nim prawo podejrzanego i obrońcy obejmuje również możliwości sporządzenia odpisów i </w:t>
      </w:r>
      <w:r w:rsidRPr="00EE58B4">
        <w:rPr>
          <w:rFonts w:ascii="Times New Roman" w:hAnsi="Times New Roman" w:cs="Times New Roman"/>
          <w:color w:val="auto"/>
          <w:sz w:val="24"/>
        </w:rPr>
        <w:lastRenderedPageBreak/>
        <w:t>kopii akt, analogicznie jak jest to w art. 156 § 5 k.p.k. Po piąte, w projektowanym przepisie przewidziano odesłanie do § 4, odnoszącego się do ochrony tajemnic w nim przewidzianych.</w:t>
      </w:r>
    </w:p>
    <w:p w14:paraId="2C96ECF0" w14:textId="77777777" w:rsidR="00E85974" w:rsidRDefault="00E85974" w:rsidP="00EE58B4">
      <w:pPr>
        <w:ind w:firstLine="708"/>
        <w:rPr>
          <w:rFonts w:ascii="Times New Roman" w:hAnsi="Times New Roman" w:cs="Times New Roman"/>
          <w:b/>
          <w:bCs/>
          <w:color w:val="auto"/>
          <w:sz w:val="24"/>
        </w:rPr>
      </w:pPr>
    </w:p>
    <w:p w14:paraId="7AFF6362" w14:textId="47D40A2B" w:rsidR="0087261C" w:rsidRPr="00EE58B4" w:rsidRDefault="0087261C" w:rsidP="00EE58B4">
      <w:pPr>
        <w:ind w:firstLine="708"/>
        <w:rPr>
          <w:rFonts w:ascii="Times New Roman" w:hAnsi="Times New Roman" w:cs="Times New Roman"/>
          <w:b/>
          <w:bCs/>
          <w:color w:val="auto"/>
          <w:sz w:val="24"/>
        </w:rPr>
      </w:pPr>
      <w:r w:rsidRPr="00EE58B4">
        <w:rPr>
          <w:rFonts w:ascii="Times New Roman" w:hAnsi="Times New Roman" w:cs="Times New Roman"/>
          <w:b/>
          <w:bCs/>
          <w:color w:val="auto"/>
          <w:sz w:val="24"/>
        </w:rPr>
        <w:t>Art. 250 § 3 i § 3b-3h k.p.k. oraz art. 248 § 2 k.p.k.</w:t>
      </w:r>
    </w:p>
    <w:p w14:paraId="3294AC80" w14:textId="77777777" w:rsidR="0087261C" w:rsidRPr="00EE58B4" w:rsidRDefault="0087261C" w:rsidP="00EE58B4">
      <w:pPr>
        <w:ind w:firstLine="708"/>
        <w:rPr>
          <w:rFonts w:ascii="Times New Roman" w:hAnsi="Times New Roman" w:cs="Times New Roman"/>
          <w:color w:val="auto"/>
          <w:sz w:val="24"/>
        </w:rPr>
      </w:pPr>
      <w:r w:rsidRPr="00EE58B4">
        <w:rPr>
          <w:rFonts w:ascii="Times New Roman" w:hAnsi="Times New Roman" w:cs="Times New Roman"/>
          <w:color w:val="auto"/>
          <w:sz w:val="24"/>
          <w:shd w:val="clear" w:color="auto" w:fill="FFFFFF"/>
        </w:rPr>
        <w:t xml:space="preserve">W art. 250 § 3 k.p.k. proponuje się wprowadzenie obowiązku doręczenia podejrzanemu odpisu wniosku o zastosowanie tymczasowego aresztowania. Obowiązek obciąża prokuratora kierującego wniosek, stanowiąc realizację prawa dostępu osoby objętej wnioskiem do niezwłocznej informacji o złożeniu wniosku oraz jego podstawy. Uzupełnieniem tej regulacji gwarancyjnej jest regulacja nakazująca przesłanie sądowi odpisu wniosku </w:t>
      </w:r>
      <w:proofErr w:type="spellStart"/>
      <w:r w:rsidRPr="00EE58B4">
        <w:rPr>
          <w:rFonts w:ascii="Times New Roman" w:hAnsi="Times New Roman" w:cs="Times New Roman"/>
          <w:color w:val="auto"/>
          <w:sz w:val="24"/>
          <w:shd w:val="clear" w:color="auto" w:fill="FFFFFF"/>
        </w:rPr>
        <w:t>aresztowego</w:t>
      </w:r>
      <w:proofErr w:type="spellEnd"/>
      <w:r w:rsidRPr="00EE58B4">
        <w:rPr>
          <w:rFonts w:ascii="Times New Roman" w:hAnsi="Times New Roman" w:cs="Times New Roman"/>
          <w:color w:val="auto"/>
          <w:sz w:val="24"/>
          <w:shd w:val="clear" w:color="auto" w:fill="FFFFFF"/>
        </w:rPr>
        <w:t xml:space="preserve"> w wersji elektronicznej. Niewątpliwie każdy wniosek sporządzany jest obecnie w takiej formie, a zatem nie rodzi to dodatkowych komplikacji, a jednocześnie sprzyja usprawnieniu pracy sądu. Ma jednak przede wszystkim znaczenie gwarancyjne, obrońca może bowiem wskazać adres swojej poczty elektronicznej, na którą wniosek ten zostanie również przesłany. W wielu przypadkach dokonywania czynności związanych ze stosowaniem tymczasowego aresztowania poza siedzibą i miejscowością kancelarii obrońcy oraz wynikających z dynamiki tych czynności, uzyskanie kopii elektronicznej wniosku sprzyja przygotowaniu się obrońcy do wykonywania czynności obrończych w sposób efektywny. </w:t>
      </w:r>
    </w:p>
    <w:p w14:paraId="0CAA74C2" w14:textId="77777777" w:rsidR="0087261C" w:rsidRPr="00EE58B4" w:rsidRDefault="0087261C" w:rsidP="00EE58B4">
      <w:pPr>
        <w:pStyle w:val="Akapitzlist"/>
        <w:ind w:left="0" w:firstLine="720"/>
        <w:rPr>
          <w:rFonts w:ascii="Times New Roman" w:hAnsi="Times New Roman" w:cs="Times New Roman"/>
          <w:color w:val="auto"/>
          <w:sz w:val="24"/>
        </w:rPr>
      </w:pPr>
      <w:r w:rsidRPr="00EE58B4">
        <w:rPr>
          <w:rFonts w:ascii="Times New Roman" w:eastAsia="Cambria Math" w:hAnsi="Times New Roman" w:cs="Times New Roman"/>
          <w:color w:val="auto"/>
          <w:sz w:val="24"/>
          <w:lang w:eastAsia="pl-PL"/>
        </w:rPr>
        <w:t xml:space="preserve">W projekcie proponuje się także </w:t>
      </w:r>
      <w:r w:rsidRPr="00EE58B4">
        <w:rPr>
          <w:rFonts w:ascii="Times New Roman" w:hAnsi="Times New Roman" w:cs="Times New Roman"/>
          <w:color w:val="auto"/>
          <w:sz w:val="24"/>
        </w:rPr>
        <w:t xml:space="preserve">uchylenie art. 250 § 3b-3h k.p.k. i odstąpienie w ten sposób od możliwości prowadzenia zdalnych posiedzeń </w:t>
      </w:r>
      <w:proofErr w:type="spellStart"/>
      <w:r w:rsidRPr="00EE58B4">
        <w:rPr>
          <w:rFonts w:ascii="Times New Roman" w:hAnsi="Times New Roman" w:cs="Times New Roman"/>
          <w:color w:val="auto"/>
          <w:sz w:val="24"/>
        </w:rPr>
        <w:t>aresztowych</w:t>
      </w:r>
      <w:proofErr w:type="spellEnd"/>
      <w:r w:rsidRPr="00EE58B4">
        <w:rPr>
          <w:rFonts w:ascii="Times New Roman" w:hAnsi="Times New Roman" w:cs="Times New Roman"/>
          <w:color w:val="auto"/>
          <w:sz w:val="24"/>
        </w:rPr>
        <w:t xml:space="preserve">, tj. </w:t>
      </w:r>
      <w:r w:rsidRPr="00EE58B4">
        <w:rPr>
          <w:rFonts w:ascii="Times New Roman" w:eastAsia="Cambria Math" w:hAnsi="Times New Roman" w:cs="Times New Roman"/>
          <w:color w:val="auto"/>
          <w:sz w:val="24"/>
          <w:lang w:eastAsia="pl-PL"/>
        </w:rPr>
        <w:t xml:space="preserve">przez zapewnienie podejrzanemu udziału w posiedzeniu </w:t>
      </w:r>
      <w:proofErr w:type="spellStart"/>
      <w:r w:rsidRPr="00EE58B4">
        <w:rPr>
          <w:rFonts w:ascii="Times New Roman" w:eastAsia="Cambria Math" w:hAnsi="Times New Roman" w:cs="Times New Roman"/>
          <w:color w:val="auto"/>
          <w:sz w:val="24"/>
          <w:lang w:eastAsia="pl-PL"/>
        </w:rPr>
        <w:t>aresztowym</w:t>
      </w:r>
      <w:proofErr w:type="spellEnd"/>
      <w:r w:rsidRPr="00EE58B4">
        <w:rPr>
          <w:rFonts w:ascii="Times New Roman" w:eastAsia="Cambria Math" w:hAnsi="Times New Roman" w:cs="Times New Roman"/>
          <w:color w:val="auto"/>
          <w:sz w:val="24"/>
          <w:lang w:eastAsia="pl-PL"/>
        </w:rPr>
        <w:t xml:space="preserve"> za pomocą </w:t>
      </w:r>
      <w:r w:rsidRPr="00EE58B4">
        <w:rPr>
          <w:rFonts w:ascii="Times New Roman" w:hAnsi="Times New Roman" w:cs="Times New Roman"/>
          <w:color w:val="auto"/>
          <w:sz w:val="24"/>
        </w:rPr>
        <w:t>urządzeń technicznych, umożliwiających przeprowadzenie tego posiedzenia na odległość z jednoczesnym bezpośrednim przekazem obrazu i dźwięku.</w:t>
      </w:r>
      <w:r w:rsidRPr="00EE58B4">
        <w:rPr>
          <w:rFonts w:ascii="Times New Roman" w:eastAsia="Cambria Math" w:hAnsi="Times New Roman" w:cs="Times New Roman"/>
          <w:color w:val="auto"/>
          <w:sz w:val="24"/>
          <w:lang w:eastAsia="pl-PL"/>
        </w:rPr>
        <w:t xml:space="preserve"> Możliwość takiego procedowania została wprowadzona w związku z pandemią COVID19, ale wobec formy jej wprowadzenia (do Kodeksu postępowania karnego, na stałe) ma powszechne zastosowanie. Ustawodawca założył bowiem, że „można odstąpić…” od doprowadzenia podejrzanego do sądu, nie precyzując powodów takiego odstąpienia. Procedura ta istotnie obniżyła gwarancje procesowe podejrzanego, w szczególności w zakresie możliwości kontaktowania się podejrzanego z obrońcą (art. 250 § 3e k.p.k.), dozwalając wręcz na pozbawienie podejrzanego tego kontaktu w celu ustalenia linii obrony. </w:t>
      </w:r>
      <w:r w:rsidRPr="00EE58B4">
        <w:rPr>
          <w:rFonts w:ascii="Times New Roman" w:hAnsi="Times New Roman" w:cs="Times New Roman"/>
          <w:color w:val="auto"/>
          <w:sz w:val="24"/>
        </w:rPr>
        <w:t xml:space="preserve">Nadto, prowadziła do zasadnie krytykowanego pozbawienia uprawnień wynikających wprost z Konstytucji RP, tj. do bezpośredniego kontaktu z sądem stosującym areszt oraz doręczenia mu postanowienia o tymczasowym aresztowaniu. </w:t>
      </w:r>
      <w:r w:rsidRPr="00EE58B4">
        <w:rPr>
          <w:rFonts w:ascii="Times New Roman" w:eastAsia="Cambria Math" w:hAnsi="Times New Roman" w:cs="Times New Roman"/>
          <w:color w:val="auto"/>
          <w:sz w:val="24"/>
          <w:lang w:eastAsia="pl-PL"/>
        </w:rPr>
        <w:t xml:space="preserve">Z tych powodów, jak również nie dostrzegając, iżby zapewnienie podejrzanemu bezpośredniego dostępu do sądu w związku z procedurą </w:t>
      </w:r>
      <w:proofErr w:type="spellStart"/>
      <w:r w:rsidRPr="00EE58B4">
        <w:rPr>
          <w:rFonts w:ascii="Times New Roman" w:eastAsia="Cambria Math" w:hAnsi="Times New Roman" w:cs="Times New Roman"/>
          <w:color w:val="auto"/>
          <w:sz w:val="24"/>
          <w:lang w:eastAsia="pl-PL"/>
        </w:rPr>
        <w:t>aresztową</w:t>
      </w:r>
      <w:proofErr w:type="spellEnd"/>
      <w:r w:rsidRPr="00EE58B4">
        <w:rPr>
          <w:rFonts w:ascii="Times New Roman" w:eastAsia="Cambria Math" w:hAnsi="Times New Roman" w:cs="Times New Roman"/>
          <w:color w:val="auto"/>
          <w:sz w:val="24"/>
          <w:lang w:eastAsia="pl-PL"/>
        </w:rPr>
        <w:t xml:space="preserve"> w latach poprzedzających czas pandemii COVID-19 nastręczało istotnych trudności, proponuje </w:t>
      </w:r>
      <w:r w:rsidRPr="00EE58B4">
        <w:rPr>
          <w:rFonts w:ascii="Times New Roman" w:eastAsia="Cambria Math" w:hAnsi="Times New Roman" w:cs="Times New Roman"/>
          <w:color w:val="auto"/>
          <w:sz w:val="24"/>
          <w:lang w:eastAsia="pl-PL"/>
        </w:rPr>
        <w:lastRenderedPageBreak/>
        <w:t xml:space="preserve">się uchylenie art. 250 § 3b-3h k.p.k. </w:t>
      </w:r>
      <w:r w:rsidRPr="00EE58B4">
        <w:rPr>
          <w:rFonts w:ascii="Times New Roman" w:hAnsi="Times New Roman" w:cs="Times New Roman"/>
          <w:color w:val="auto"/>
          <w:sz w:val="24"/>
        </w:rPr>
        <w:t xml:space="preserve">Utrzymywanie tego nadzwyczajnego w istocie trybu </w:t>
      </w:r>
      <w:proofErr w:type="spellStart"/>
      <w:r w:rsidRPr="00EE58B4">
        <w:rPr>
          <w:rFonts w:ascii="Times New Roman" w:hAnsi="Times New Roman" w:cs="Times New Roman"/>
          <w:color w:val="auto"/>
          <w:sz w:val="24"/>
        </w:rPr>
        <w:t>aresztowego</w:t>
      </w:r>
      <w:proofErr w:type="spellEnd"/>
      <w:r w:rsidRPr="00EE58B4">
        <w:rPr>
          <w:rFonts w:ascii="Times New Roman" w:hAnsi="Times New Roman" w:cs="Times New Roman"/>
          <w:color w:val="auto"/>
          <w:sz w:val="24"/>
        </w:rPr>
        <w:t xml:space="preserve"> i odrębnych w tym zakresie reguł prowadzenia zdalnego posiedzenia </w:t>
      </w:r>
      <w:proofErr w:type="spellStart"/>
      <w:r w:rsidRPr="00EE58B4">
        <w:rPr>
          <w:rFonts w:ascii="Times New Roman" w:hAnsi="Times New Roman" w:cs="Times New Roman"/>
          <w:color w:val="auto"/>
          <w:sz w:val="24"/>
        </w:rPr>
        <w:t>aresztowego</w:t>
      </w:r>
      <w:proofErr w:type="spellEnd"/>
      <w:r w:rsidRPr="00EE58B4">
        <w:rPr>
          <w:rFonts w:ascii="Times New Roman" w:hAnsi="Times New Roman" w:cs="Times New Roman"/>
          <w:color w:val="auto"/>
          <w:sz w:val="24"/>
        </w:rPr>
        <w:t xml:space="preserve"> nie ma swojego uzasadnienia.</w:t>
      </w:r>
    </w:p>
    <w:p w14:paraId="024DEA2E" w14:textId="77777777" w:rsidR="0087261C" w:rsidRPr="00EE58B4" w:rsidRDefault="0087261C" w:rsidP="00EE58B4">
      <w:pPr>
        <w:pStyle w:val="Akapitzlist"/>
        <w:ind w:left="0" w:firstLine="720"/>
        <w:rPr>
          <w:rFonts w:ascii="Times New Roman" w:eastAsia="Cambria Math" w:hAnsi="Times New Roman" w:cs="Times New Roman"/>
          <w:color w:val="auto"/>
          <w:sz w:val="24"/>
          <w:lang w:eastAsia="pl-PL"/>
        </w:rPr>
      </w:pPr>
      <w:r w:rsidRPr="00EE58B4">
        <w:rPr>
          <w:rFonts w:ascii="Times New Roman" w:eastAsia="Cambria Math" w:hAnsi="Times New Roman" w:cs="Times New Roman"/>
          <w:color w:val="auto"/>
          <w:sz w:val="24"/>
          <w:lang w:eastAsia="pl-PL"/>
        </w:rPr>
        <w:t xml:space="preserve">Należy podkreślić, że uchylenie tych przepisów oznacza, że „posiedzenie </w:t>
      </w:r>
      <w:proofErr w:type="spellStart"/>
      <w:r w:rsidRPr="00EE58B4">
        <w:rPr>
          <w:rFonts w:ascii="Times New Roman" w:eastAsia="Cambria Math" w:hAnsi="Times New Roman" w:cs="Times New Roman"/>
          <w:color w:val="auto"/>
          <w:sz w:val="24"/>
          <w:lang w:eastAsia="pl-PL"/>
        </w:rPr>
        <w:t>aresztowe</w:t>
      </w:r>
      <w:proofErr w:type="spellEnd"/>
      <w:r w:rsidRPr="00EE58B4">
        <w:rPr>
          <w:rFonts w:ascii="Times New Roman" w:eastAsia="Cambria Math" w:hAnsi="Times New Roman" w:cs="Times New Roman"/>
          <w:color w:val="auto"/>
          <w:sz w:val="24"/>
          <w:lang w:eastAsia="pl-PL"/>
        </w:rPr>
        <w:t>”, o którym mowa w art. 250 k.p.k., nie wchodzi w zakres posiedzeń, o których mowa w art. 96a k.p.k. Ujmując rzecz inaczej, „odpowiednie stosowanie” przepisów a</w:t>
      </w:r>
      <w:r w:rsidRPr="00EE58B4">
        <w:rPr>
          <w:rFonts w:ascii="Times New Roman" w:hAnsi="Times New Roman" w:cs="Times New Roman"/>
          <w:color w:val="auto"/>
          <w:sz w:val="24"/>
        </w:rPr>
        <w:t>rt. 374 § 3-8 k.p.k. i art. 517ea</w:t>
      </w:r>
      <w:r w:rsidRPr="00EE58B4">
        <w:rPr>
          <w:rFonts w:ascii="Times New Roman" w:eastAsia="Cambria Math" w:hAnsi="Times New Roman" w:cs="Times New Roman"/>
          <w:color w:val="auto"/>
          <w:sz w:val="24"/>
          <w:lang w:eastAsia="pl-PL"/>
        </w:rPr>
        <w:t xml:space="preserve"> k.p.k. do posiedzeń w myśl art. 96a k.p.k. w przypadku „posiedzenia w przedmiocie zastosowania tymczasowego aresztowania” oznacza ich niestosowanie.</w:t>
      </w:r>
    </w:p>
    <w:p w14:paraId="021DA6EE" w14:textId="77777777" w:rsidR="0087261C" w:rsidRPr="00EE58B4" w:rsidRDefault="0087261C"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Konsekwencją uchylenia art. 250 § 3b-3h k.p.k. jest zmiana treści art. 248 § 2 k.p.k., która sprowadza się do rezygnacji z zawartej w niej wyjątkowej możliwości poprzestania na ogłoszeniu postanowienia o tymczasowym aresztowaniu zatrzymanemu wówczas, gdy postanowienie to zapadło na posiedzeniu prowadzonym w trybie zdalnym. Samo ogłoszenie postanowienia w tej sytuacji nie realizuje standardu wynikającego z art. 41 ust. 3 Konstytucji RP. Warunek braku możliwości odbioru postanowienia przez zatrzymanego zawarty w dotychczasowym brzmieniu przepisu określony jest nadto bardzo szeroko. Na marginesie już tylko można dodać, że współczesne możliwości techniczne pozwalają na realizację wymogu konstytucyjnego z art. 41 ust. 3 w pełnym zakresie. Odwołanie w zdaniu drugim art. 248 § 2 k.p.k. do odpowiedniego stosowania art. 136 § 1 k.p.k. uznać należy po zmianie treści przepisu za zbędne. W przypadku odmowy przyjęcia postanowienia przepis art. 136 k.p.k. znajdzie zastosowanie wprost.</w:t>
      </w:r>
    </w:p>
    <w:p w14:paraId="3AC2374A" w14:textId="77777777" w:rsidR="00E85974" w:rsidRDefault="00E85974" w:rsidP="00EE58B4">
      <w:pPr>
        <w:ind w:firstLine="720"/>
        <w:rPr>
          <w:rFonts w:ascii="Times New Roman" w:hAnsi="Times New Roman" w:cs="Times New Roman"/>
          <w:b/>
          <w:bCs/>
          <w:color w:val="auto"/>
          <w:sz w:val="24"/>
        </w:rPr>
      </w:pPr>
    </w:p>
    <w:p w14:paraId="14F15A49" w14:textId="350C7A72" w:rsidR="0034692D" w:rsidRPr="00EE58B4" w:rsidRDefault="0034692D" w:rsidP="00EE58B4">
      <w:pPr>
        <w:ind w:firstLine="720"/>
        <w:rPr>
          <w:rFonts w:ascii="Times New Roman" w:hAnsi="Times New Roman" w:cs="Times New Roman"/>
          <w:b/>
          <w:bCs/>
          <w:color w:val="auto"/>
          <w:sz w:val="24"/>
        </w:rPr>
      </w:pPr>
      <w:r w:rsidRPr="00EE58B4">
        <w:rPr>
          <w:rFonts w:ascii="Times New Roman" w:hAnsi="Times New Roman" w:cs="Times New Roman"/>
          <w:b/>
          <w:bCs/>
          <w:color w:val="auto"/>
          <w:sz w:val="24"/>
        </w:rPr>
        <w:t xml:space="preserve">Art. 257 § 2 i § 3 </w:t>
      </w:r>
      <w:proofErr w:type="spellStart"/>
      <w:r w:rsidRPr="00EE58B4">
        <w:rPr>
          <w:rFonts w:ascii="Times New Roman" w:hAnsi="Times New Roman" w:cs="Times New Roman"/>
          <w:b/>
          <w:bCs/>
          <w:color w:val="auto"/>
          <w:sz w:val="24"/>
        </w:rPr>
        <w:t>k.p.k</w:t>
      </w:r>
      <w:proofErr w:type="spellEnd"/>
      <w:r w:rsidRPr="00EE58B4">
        <w:rPr>
          <w:rFonts w:ascii="Times New Roman" w:hAnsi="Times New Roman" w:cs="Times New Roman"/>
          <w:b/>
          <w:bCs/>
          <w:color w:val="auto"/>
          <w:sz w:val="24"/>
        </w:rPr>
        <w:t xml:space="preserve"> oraz art. 426 § 2 k.p.k.</w:t>
      </w:r>
    </w:p>
    <w:p w14:paraId="0A216A61" w14:textId="77777777" w:rsidR="0034692D" w:rsidRPr="00EE58B4" w:rsidRDefault="0034692D"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 xml:space="preserve">Zaproponowana treść art. 257 § 2 k.p.k. limitowana jest standardem wyznaczonym przez art. 41 Konstytucji RP oraz art. 5 ust 1 </w:t>
      </w:r>
      <w:proofErr w:type="spellStart"/>
      <w:r w:rsidRPr="00EE58B4">
        <w:rPr>
          <w:rFonts w:ascii="Times New Roman" w:hAnsi="Times New Roman" w:cs="Times New Roman"/>
          <w:color w:val="auto"/>
          <w:sz w:val="24"/>
        </w:rPr>
        <w:t>EKPCz</w:t>
      </w:r>
      <w:proofErr w:type="spellEnd"/>
      <w:r w:rsidRPr="00EE58B4">
        <w:rPr>
          <w:rFonts w:ascii="Times New Roman" w:hAnsi="Times New Roman" w:cs="Times New Roman"/>
          <w:color w:val="auto"/>
          <w:sz w:val="24"/>
        </w:rPr>
        <w:t xml:space="preserve">, zgodnie z którymi każdemu zapewnia się nietykalność osobistą i wolność, a pozbawienie lub ograniczenie wolności może nastąpić tylko na podstawie i w trybie określonym przez ustawę. Zgodnie z dyrektywą minimalizacji tymczasowego aresztowania i jego ostateczności jako środka zapobiegawczego, przepisy wymagają, aby sąd badał, czy dla zabezpieczenia prawidłowości toczącego się postępowania niezbędne jest stosowanie tymczasowego aresztowania czy wystarczający jest inny środek o charakterze </w:t>
      </w:r>
      <w:proofErr w:type="spellStart"/>
      <w:r w:rsidRPr="00EE58B4">
        <w:rPr>
          <w:rFonts w:ascii="Times New Roman" w:hAnsi="Times New Roman" w:cs="Times New Roman"/>
          <w:color w:val="auto"/>
          <w:sz w:val="24"/>
        </w:rPr>
        <w:t>nieizolacyjnym</w:t>
      </w:r>
      <w:proofErr w:type="spellEnd"/>
      <w:r w:rsidRPr="00EE58B4">
        <w:rPr>
          <w:rFonts w:ascii="Times New Roman" w:hAnsi="Times New Roman" w:cs="Times New Roman"/>
          <w:color w:val="auto"/>
          <w:sz w:val="24"/>
        </w:rPr>
        <w:t xml:space="preserve">. Omawiany przepis ma wymiar praktyczny. Przewidywał termin do przyjęcia poręczenia majątkowego i możliwość jego przedłużenia. Propozycja nowego brzmienia zakłada rezygnację z wyznaczenia terminu na złożenie poręczenia majątkowego, co w praktyce nie oznacza, że sąd orzekający nie określi takiego terminu. Aktualne pozostaje także, że samo wydanie postanowienia o zastosowaniu poręczenia majątkowego </w:t>
      </w:r>
      <w:r w:rsidRPr="00EE58B4">
        <w:rPr>
          <w:rFonts w:ascii="Times New Roman" w:hAnsi="Times New Roman" w:cs="Times New Roman"/>
          <w:color w:val="auto"/>
          <w:sz w:val="24"/>
        </w:rPr>
        <w:lastRenderedPageBreak/>
        <w:t>nie doprowadzi do uchylenia tymczasowego aresztowania, lecz wymaga złożenia jego przedmiotu. Wcześniejsze uchylenie stosowania tymczasowego aresztowania stwarzałoby ryzyko, że poręczenie nie zostanie złożone. Instytucja warunkowego tymczasowego aresztowania, nawet bez konieczności oznaczania terminu złożenia określonego poręczenia majątkowego, będzie realizowała swoją funkcję. Wydaje się, że ta postać poręczenia majątkowego nabiera w coraz większym stopniu charakteru kaucyjnego, także wobec projektowanego uchylenia art. 257 § 3 k.p.k.</w:t>
      </w:r>
    </w:p>
    <w:p w14:paraId="3EFAC622" w14:textId="77777777" w:rsidR="0034692D" w:rsidRPr="00EE58B4" w:rsidRDefault="0034692D"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 xml:space="preserve">Proponowane uchylenie art. 257 § 3 k.p.k., wprowadzonego do ustawy karnoprocesowej na mocy ustawy z dnia 19 lipca 2019 r., stanowi powrót do wyłącznie sądowej kompetencji orzekania w przedmiecie stosowania lub przedłużania stosowania tymczasowego aresztowania. Zmieniony przepis zakładał, że obecny na posiedzeniu prokurator może sprzeciwić się zmianie środka izolacyjnego na poręczenie majątkowe, co oznaczało „wstrzymanie” decyzji zarezerwowanej wyłącznie dla sądu i w opozycji do treści ustawy przewidującej z mocy prawa uchylenie stosowanego tymczasowego aresztowania z chwilą złożenia poręczenia majątkowego. Oczekiwanie na rozstrzygnięcie sądu drugiej instancji oznaczało pozbawienie wolności podejrzanego lub oskarżonego przez bliżej nieokreślony czas i wbrew woli sądu. Tymczasem kwestia oceny rzetelności postępowania w rozumieniu art. 6 </w:t>
      </w:r>
      <w:proofErr w:type="spellStart"/>
      <w:r w:rsidRPr="00EE58B4">
        <w:rPr>
          <w:rFonts w:ascii="Times New Roman" w:hAnsi="Times New Roman" w:cs="Times New Roman"/>
          <w:color w:val="auto"/>
          <w:sz w:val="24"/>
        </w:rPr>
        <w:t>EKPCz</w:t>
      </w:r>
      <w:proofErr w:type="spellEnd"/>
      <w:r w:rsidRPr="00EE58B4">
        <w:rPr>
          <w:rFonts w:ascii="Times New Roman" w:hAnsi="Times New Roman" w:cs="Times New Roman"/>
          <w:color w:val="auto"/>
          <w:sz w:val="24"/>
        </w:rPr>
        <w:t xml:space="preserve"> oraz art. 45 Konstytucji RP dotyka także postępowań incydentalnych, takich jak stosowanie lub przedłużanie tymczasowego aresztowania. Z tych powodów dalsze utrzymywanie przepisu, który uzależnienia wykonalność decyzji o zmianie stosowanego środka zapobiegawczego od braku sprzeciwu prokuratora, prowadzi do pogłębienia nierówności stron w procesie karnym i zlikwidowania gwarancyjnej roli sądu. </w:t>
      </w:r>
    </w:p>
    <w:p w14:paraId="358FD75A" w14:textId="77777777" w:rsidR="0034692D" w:rsidRPr="00EE58B4" w:rsidRDefault="0034692D" w:rsidP="00EE58B4">
      <w:pPr>
        <w:ind w:firstLine="720"/>
        <w:rPr>
          <w:rFonts w:ascii="Times New Roman" w:hAnsi="Times New Roman" w:cs="Times New Roman"/>
          <w:color w:val="auto"/>
          <w:sz w:val="24"/>
        </w:rPr>
      </w:pPr>
      <w:r w:rsidRPr="00EE58B4">
        <w:rPr>
          <w:rFonts w:ascii="Times New Roman" w:hAnsi="Times New Roman" w:cs="Times New Roman"/>
          <w:color w:val="auto"/>
          <w:sz w:val="24"/>
        </w:rPr>
        <w:t>Projektowana zmiana art. 426 § 2 k.p.k. ma charakter wynikowy wobec zmian art. 257 § 2 k.p.k. i uchylenia § 3 tego przepisu odnoszących się do zastrzeżenia przez sąd zmiany tymczasowego aresztowania na inny środek pod warunkiem złożenia poręczenia majątkowego i eliminacji sprzeciwu prokuratora zawieszającego aktualnie wykonalność postanowienia sądu do jego uprawomocnienia się. Oznacza więc w tym zakresie powrót do stanu prawnego sprzed dnia 1 października 2023 r.</w:t>
      </w:r>
    </w:p>
    <w:p w14:paraId="0C70C274" w14:textId="77777777" w:rsidR="00E85974" w:rsidRDefault="00E85974" w:rsidP="00EE58B4">
      <w:pPr>
        <w:pStyle w:val="PKTpunkt"/>
        <w:keepNext/>
        <w:ind w:firstLine="0"/>
        <w:rPr>
          <w:rFonts w:ascii="Times New Roman" w:hAnsi="Times New Roman" w:cs="Times New Roman"/>
          <w:b/>
          <w:bCs w:val="0"/>
          <w:szCs w:val="24"/>
        </w:rPr>
      </w:pPr>
    </w:p>
    <w:p w14:paraId="7CFE4C5E" w14:textId="47CFDD7C" w:rsidR="0034692D" w:rsidRPr="00EE58B4" w:rsidRDefault="0034692D" w:rsidP="00EE58B4">
      <w:pPr>
        <w:pStyle w:val="PKTpunkt"/>
        <w:keepNext/>
        <w:ind w:firstLine="0"/>
        <w:rPr>
          <w:rFonts w:ascii="Times New Roman" w:hAnsi="Times New Roman" w:cs="Times New Roman"/>
          <w:b/>
          <w:bCs w:val="0"/>
          <w:szCs w:val="24"/>
        </w:rPr>
      </w:pPr>
      <w:r w:rsidRPr="00EE58B4">
        <w:rPr>
          <w:rFonts w:ascii="Times New Roman" w:hAnsi="Times New Roman" w:cs="Times New Roman"/>
          <w:b/>
          <w:bCs w:val="0"/>
          <w:szCs w:val="24"/>
        </w:rPr>
        <w:t>Art. 258 § 1 pkt 1 k.p.k.</w:t>
      </w:r>
    </w:p>
    <w:p w14:paraId="42C4ABE8" w14:textId="77777777" w:rsidR="0034692D" w:rsidRPr="00EE58B4" w:rsidRDefault="0034692D" w:rsidP="00EE58B4">
      <w:pPr>
        <w:pStyle w:val="ZUSTzmustartykuempunktem"/>
        <w:ind w:left="0"/>
        <w:rPr>
          <w:rFonts w:ascii="Times New Roman" w:hAnsi="Times New Roman" w:cs="Times New Roman"/>
          <w:szCs w:val="24"/>
        </w:rPr>
      </w:pPr>
      <w:r w:rsidRPr="00EE58B4">
        <w:rPr>
          <w:rFonts w:ascii="Times New Roman" w:hAnsi="Times New Roman" w:cs="Times New Roman"/>
          <w:szCs w:val="24"/>
        </w:rPr>
        <w:t xml:space="preserve">Brzmienie art. 258 § 1 pkt 1 k.p.k. stoi w sprzeczności z jedną z podstawowych swobód Unii Europejskiej, mianowicie swobodą przepływu osób, bowiem posiadanie stałego miejsca pobytu w innym państwie Unii Europejskiej niż Polska mogło być automatycznie uznawane za spełnienie przesłanki „nieposiadania stałego miejsca pobytu w kraju”. Przepis ten pozwala </w:t>
      </w:r>
      <w:r w:rsidRPr="00EE58B4">
        <w:rPr>
          <w:rFonts w:ascii="Times New Roman" w:hAnsi="Times New Roman" w:cs="Times New Roman"/>
          <w:szCs w:val="24"/>
        </w:rPr>
        <w:lastRenderedPageBreak/>
        <w:t>zatem na stosowanie środków zapobiegawczych wobec osoby tylko z tego powodu, że nie ma stałego miejsca pobytu w kraju, mając je w innym państwie Unii Europejskiej, co ma efekt dyskryminujący osoby korzystające z jednej z podstawowych swobód unijnych. Z tego względu na gruncie tego przepisu zrównano posiadanie stałego miejsca pobytu w innym państwie członkowskim Unii Europejskiej z posiadaniem stałego miejsca pobytu w Polsce.</w:t>
      </w:r>
    </w:p>
    <w:p w14:paraId="0E03C391" w14:textId="77777777" w:rsidR="0034692D" w:rsidRPr="00EE58B4" w:rsidRDefault="0034692D" w:rsidP="00EE58B4">
      <w:pPr>
        <w:pStyle w:val="ZUSTzmustartykuempunktem"/>
        <w:ind w:left="0"/>
        <w:rPr>
          <w:rFonts w:ascii="Times New Roman" w:hAnsi="Times New Roman" w:cs="Times New Roman"/>
          <w:szCs w:val="24"/>
        </w:rPr>
      </w:pPr>
    </w:p>
    <w:p w14:paraId="417254D0" w14:textId="77777777" w:rsidR="0034692D" w:rsidRPr="00EE58B4" w:rsidRDefault="0034692D" w:rsidP="00EE58B4">
      <w:pPr>
        <w:pStyle w:val="PKTpunkt"/>
        <w:ind w:firstLine="0"/>
        <w:rPr>
          <w:rFonts w:ascii="Times New Roman" w:hAnsi="Times New Roman" w:cs="Times New Roman"/>
          <w:b/>
          <w:szCs w:val="24"/>
        </w:rPr>
      </w:pPr>
      <w:r w:rsidRPr="00EE58B4">
        <w:rPr>
          <w:rFonts w:ascii="Times New Roman" w:hAnsi="Times New Roman" w:cs="Times New Roman"/>
          <w:b/>
          <w:szCs w:val="24"/>
        </w:rPr>
        <w:t>Art. 258 § 2 k.p.k. oraz art. 263 § 4c k.p.k.</w:t>
      </w:r>
    </w:p>
    <w:p w14:paraId="5A2C7FCF" w14:textId="77777777" w:rsidR="0034692D" w:rsidRPr="00EE58B4" w:rsidRDefault="0034692D" w:rsidP="00EE58B4">
      <w:pPr>
        <w:pStyle w:val="ZUSTzmustartykuempunktem"/>
        <w:ind w:left="0"/>
        <w:rPr>
          <w:rFonts w:ascii="Times New Roman" w:hAnsi="Times New Roman" w:cs="Times New Roman"/>
          <w:szCs w:val="24"/>
        </w:rPr>
      </w:pPr>
      <w:r w:rsidRPr="00EE58B4">
        <w:rPr>
          <w:rFonts w:ascii="Times New Roman" w:hAnsi="Times New Roman" w:cs="Times New Roman"/>
          <w:szCs w:val="24"/>
        </w:rPr>
        <w:t>Szczególna dolegliwość tymczasowego aresztowania wynikająca z jego ingerencji w sferę wolności człowieka powinna skłaniać do jego rozważnego stosowania. Ta konkluzja jawi się jako oczywista, jeżeli zważyć to, że ustawodawca nakazuje w art. 257 § 1 k.p.k. traktować areszt tymczasowy jako ultima ratio, wprowadzając zasadę minimalizacji środka zapobiegawczego. Mimo tego rozwiązania, dane statystyczne wskazują na drastyczny wzrost stosowania izolacyjnego środka zapobiegawczego, zwłaszcza z powołaniem się na przesłankę szczególną określoną w art. 258 § 2 k.p.k. Dążąc do ograniczenia stosowania tego środka, a także mając na względzie wzrost ustawowego zagrożenia kar, który nastąpił z dniem 1 października 2023 r., koniecznym jest proponowane podniesienie, w ramach tej przesłanki szczególnej, górnej granicy kary pozbawienia wolności z 8 na 10 lat. Decyzja o tymczasowym aresztowaniu z tej przyczyny nie może być podejmowana automatycznie, ale trzeba rozważyć, czy nie zachodzą w sprawie takie okoliczności, które wskazują, że w rzeczywistości pomimo grożącej oskarżonemu surowej kary w danym wypadku nie występuje uzasadniona obawa utrudniania prawidłowego toku postępowania, o których mowa w art. 258 § 1 k.p.k. Jednocześnie, w celu ograniczenia możliwości nadużywania przesłanki szczególnej z art. 258 § 2 k.p.k., proponuje się dodanie art. 263 § 4c k.p.k. zakładającego, że stosowanie tymczasowego aresztowania na podstawie art. 258 § 2 k.p.k. do wydania wyroku przez sąd pierwszej instancji nie może przekroczyć 12 miesięcy.</w:t>
      </w:r>
    </w:p>
    <w:p w14:paraId="5397A7EE" w14:textId="77777777" w:rsidR="00074963" w:rsidRPr="00EE58B4" w:rsidRDefault="00074963" w:rsidP="00EE58B4">
      <w:pPr>
        <w:pStyle w:val="ZUSTzmustartykuempunktem"/>
        <w:ind w:left="0"/>
        <w:rPr>
          <w:rFonts w:ascii="Times New Roman" w:hAnsi="Times New Roman" w:cs="Times New Roman"/>
          <w:szCs w:val="24"/>
        </w:rPr>
      </w:pPr>
    </w:p>
    <w:p w14:paraId="7C1249E5" w14:textId="77777777" w:rsidR="00074963" w:rsidRPr="00EE58B4" w:rsidRDefault="00074963" w:rsidP="00EE58B4">
      <w:pPr>
        <w:ind w:firstLine="708"/>
        <w:rPr>
          <w:rFonts w:ascii="Times New Roman" w:hAnsi="Times New Roman" w:cs="Times New Roman"/>
          <w:b/>
          <w:bCs/>
          <w:color w:val="auto"/>
          <w:sz w:val="24"/>
        </w:rPr>
      </w:pPr>
      <w:r w:rsidRPr="00EE58B4">
        <w:rPr>
          <w:rFonts w:ascii="Times New Roman" w:hAnsi="Times New Roman" w:cs="Times New Roman"/>
          <w:b/>
          <w:bCs/>
          <w:color w:val="auto"/>
          <w:sz w:val="24"/>
        </w:rPr>
        <w:t>Art. 258a k.p.k.</w:t>
      </w:r>
    </w:p>
    <w:p w14:paraId="64A9E0BB" w14:textId="77777777" w:rsidR="00074963" w:rsidRPr="00EE58B4" w:rsidRDefault="00074963"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 xml:space="preserve">Propozycja uchylenia art. 258a k.p.k., wprowadzonego ustawą dnia 31 marca 2020 r. (Dz. U. poz. 568), podyktowana jest koniecznością wyeliminowania zbędnej regulacji, stanowiącej </w:t>
      </w:r>
      <w:proofErr w:type="spellStart"/>
      <w:r w:rsidRPr="00EE58B4">
        <w:rPr>
          <w:rFonts w:ascii="Times New Roman" w:hAnsi="Times New Roman" w:cs="Times New Roman"/>
          <w:color w:val="auto"/>
          <w:sz w:val="24"/>
        </w:rPr>
        <w:t>superfluum</w:t>
      </w:r>
      <w:proofErr w:type="spellEnd"/>
      <w:r w:rsidRPr="00EE58B4">
        <w:rPr>
          <w:rFonts w:ascii="Times New Roman" w:hAnsi="Times New Roman" w:cs="Times New Roman"/>
          <w:color w:val="auto"/>
          <w:sz w:val="24"/>
        </w:rPr>
        <w:t xml:space="preserve"> obowiązujących przepisów, które przewidują reakcję wobec niestosowania się do nakazów wynikających z istoty środków zapobiegawczych orzeczonych wobec oskarżonego.</w:t>
      </w:r>
    </w:p>
    <w:p w14:paraId="641F6097" w14:textId="77777777" w:rsidR="00074963" w:rsidRDefault="00074963" w:rsidP="00EE58B4">
      <w:pPr>
        <w:rPr>
          <w:rFonts w:ascii="Times New Roman" w:hAnsi="Times New Roman" w:cs="Times New Roman"/>
          <w:color w:val="auto"/>
          <w:sz w:val="24"/>
        </w:rPr>
      </w:pPr>
    </w:p>
    <w:p w14:paraId="65437DB3" w14:textId="77777777" w:rsidR="007E10DE" w:rsidRPr="00EE58B4" w:rsidRDefault="007E10DE" w:rsidP="00EE58B4">
      <w:pPr>
        <w:rPr>
          <w:rFonts w:ascii="Times New Roman" w:hAnsi="Times New Roman" w:cs="Times New Roman"/>
          <w:color w:val="auto"/>
          <w:sz w:val="24"/>
        </w:rPr>
      </w:pPr>
    </w:p>
    <w:p w14:paraId="22C967F5" w14:textId="77777777" w:rsidR="00074963" w:rsidRPr="00EE58B4" w:rsidRDefault="00074963" w:rsidP="00EE58B4">
      <w:pPr>
        <w:rPr>
          <w:rFonts w:ascii="Times New Roman" w:hAnsi="Times New Roman" w:cs="Times New Roman"/>
          <w:b/>
          <w:bCs/>
          <w:color w:val="auto"/>
          <w:sz w:val="24"/>
        </w:rPr>
      </w:pPr>
      <w:r w:rsidRPr="00EE58B4">
        <w:rPr>
          <w:rFonts w:ascii="Times New Roman" w:hAnsi="Times New Roman" w:cs="Times New Roman"/>
          <w:b/>
          <w:bCs/>
          <w:color w:val="auto"/>
          <w:sz w:val="24"/>
        </w:rPr>
        <w:lastRenderedPageBreak/>
        <w:tab/>
        <w:t>Art. 259 § 3 k.p.k.</w:t>
      </w:r>
    </w:p>
    <w:p w14:paraId="23A5F973" w14:textId="77777777" w:rsidR="00074963" w:rsidRPr="00EE58B4" w:rsidRDefault="00074963"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Aby wyeliminować (co do zasady) możliwość stosowania najsurowszego środka zapobiegawczego w sprawach o czyny zagrożone karą do 2 lat pozbawienia wolności proponuje się nowelizację art. 259 § 3 k.p.k. i powrót do wersji przepisu obowiązującej od dnia 1 lipca 2015 r. Jest to zgodne z zasadą ultima ratio tymczasowego aresztowania.</w:t>
      </w:r>
    </w:p>
    <w:p w14:paraId="315F6348" w14:textId="365F4F42" w:rsidR="00074963" w:rsidRPr="00EE58B4" w:rsidRDefault="00074963" w:rsidP="00EE58B4">
      <w:pPr>
        <w:pStyle w:val="Akapitzlist"/>
        <w:ind w:left="0" w:firstLine="708"/>
        <w:rPr>
          <w:rFonts w:ascii="Times New Roman" w:hAnsi="Times New Roman" w:cs="Times New Roman"/>
          <w:color w:val="auto"/>
          <w:sz w:val="24"/>
        </w:rPr>
      </w:pPr>
      <w:r w:rsidRPr="00EE58B4">
        <w:rPr>
          <w:rFonts w:ascii="Times New Roman" w:hAnsi="Times New Roman" w:cs="Times New Roman"/>
          <w:color w:val="auto"/>
          <w:sz w:val="24"/>
        </w:rPr>
        <w:t>Zmiana dotyczy co do zasady czynów o mniejszej szkodliwości społecznej (w tym szeregu typów uprzywilejowanych, obejmujących przypadki mniejszej wagi), które w zdecydowanej większości nie wymagają obecnie wymiaru bezwzględnej kary pozbawienia wolności. Chodzi też o uniknięcie zbędnej presji sytuacyjnej na wymiar bezwzględnej kary pozbawienia wolności w przypadkach, gdyby stosowano tymczasowe aresztowanie w sprawie, ale końcowo celowe jest wymierzenie kary wolnościowej. Pozwoli to również na uniknięcie zaangażowania orzeczników w sprawy o odszkodowania za niesłuszne tymczasowe aresztowanie.</w:t>
      </w:r>
    </w:p>
    <w:p w14:paraId="337084F8" w14:textId="77777777" w:rsidR="00074963" w:rsidRPr="00EE58B4" w:rsidRDefault="00074963" w:rsidP="00EE58B4">
      <w:pPr>
        <w:rPr>
          <w:rFonts w:ascii="Times New Roman" w:hAnsi="Times New Roman" w:cs="Times New Roman"/>
          <w:color w:val="auto"/>
          <w:sz w:val="24"/>
        </w:rPr>
      </w:pPr>
    </w:p>
    <w:p w14:paraId="7EA9E054" w14:textId="77777777" w:rsidR="00074963" w:rsidRPr="00EE58B4" w:rsidRDefault="00074963" w:rsidP="00EE58B4">
      <w:pPr>
        <w:pStyle w:val="Akapitzlist"/>
        <w:ind w:left="0" w:firstLine="708"/>
        <w:rPr>
          <w:rFonts w:ascii="Times New Roman" w:hAnsi="Times New Roman" w:cs="Times New Roman"/>
          <w:b/>
          <w:bCs/>
          <w:color w:val="auto"/>
          <w:sz w:val="24"/>
        </w:rPr>
      </w:pPr>
      <w:r w:rsidRPr="00EE58B4">
        <w:rPr>
          <w:rFonts w:ascii="Times New Roman" w:hAnsi="Times New Roman" w:cs="Times New Roman"/>
          <w:b/>
          <w:bCs/>
          <w:color w:val="auto"/>
          <w:sz w:val="24"/>
        </w:rPr>
        <w:t>Art. 263 § 2 i § 4 k.p.k.</w:t>
      </w:r>
    </w:p>
    <w:p w14:paraId="560FE63C" w14:textId="77777777" w:rsidR="00074963" w:rsidRPr="00EE58B4" w:rsidRDefault="00074963"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W ocenie projektodawcy zracjonalizowanie stosowania, a zwłaszcza przedłużania, tymczasowego aresztowania wymaga ingerencji w treść aktualnej regulacji ustawowej, w formie podkreślającej dotychczasowy dorobek orzecznictwa, z którego jednoznacznie wynika, że dalsze stosowanie środka izolacyjnego może nastąpić wyjątkowo i jedynie w sprawnie prowadzonym oraz prawidłowo zorganizowanym postępowaniu. Innymi słowy – chodzi o wprowadzenie zapisu ustawowego, który zabezpieczy osobę pozbawioną wolności w toku postępowania karnego przed wydłużaniem okresu izolacji z uwagi na niedostatki w sprawnym procedowaniu ze strony organów procesowych.</w:t>
      </w:r>
    </w:p>
    <w:p w14:paraId="3B005F0B" w14:textId="77777777" w:rsidR="00074963" w:rsidRPr="00EE58B4" w:rsidRDefault="00074963" w:rsidP="00EE58B4">
      <w:pPr>
        <w:ind w:firstLine="708"/>
        <w:rPr>
          <w:rFonts w:ascii="Times New Roman" w:hAnsi="Times New Roman" w:cs="Times New Roman"/>
          <w:bCs/>
          <w:color w:val="auto"/>
          <w:sz w:val="24"/>
        </w:rPr>
      </w:pPr>
      <w:r w:rsidRPr="00EE58B4">
        <w:rPr>
          <w:rFonts w:ascii="Times New Roman" w:hAnsi="Times New Roman" w:cs="Times New Roman"/>
          <w:color w:val="auto"/>
          <w:sz w:val="24"/>
        </w:rPr>
        <w:t>Proponowana zmiana wprost do treści art. 263 § 2 k.p.k. wprowadza zapis o potrzebie oceny przez sąd sprawności postępowania przygotowawczego, a także wskazuje kryteria tej oceny. Sąd będzie zobowiązany do zbadania w jakim</w:t>
      </w:r>
      <w:r w:rsidRPr="00EE58B4">
        <w:rPr>
          <w:rFonts w:ascii="Times New Roman" w:hAnsi="Times New Roman" w:cs="Times New Roman"/>
          <w:bCs/>
          <w:color w:val="auto"/>
          <w:sz w:val="24"/>
        </w:rPr>
        <w:t xml:space="preserve"> stopniu zrealizowano planowane czynności procesowe, wskazywane uprzednio we wniosku o zastosowanie i ewentualnych wcześniejszych wnioskach o przedłużenie tymczasowego aresztowania. Nadto będzie musiał zważyć okoliczności wskazane jako powody, dla których określonych czynności dotąd nie wykonano lub nie ukończono. Jeżeli uzna, że postępowanie jest źle prowadzone lub jego organizacja jest nieefektywna – będzie w pełni uprawniony do odmowy przedłużenia tymczasowego aresztowania. Zmiana regulacji winna też wpłynąć na kształt wniosków o przedłużenie izolacji. Zgodnie z zamierzeniem powinny one mieć charakter relacyjny, ale z mocnym akcentem rozliczenia dotychczasowego okresu aresztowania przez prezentację </w:t>
      </w:r>
      <w:r w:rsidRPr="00EE58B4">
        <w:rPr>
          <w:rFonts w:ascii="Times New Roman" w:hAnsi="Times New Roman" w:cs="Times New Roman"/>
          <w:bCs/>
          <w:color w:val="auto"/>
          <w:sz w:val="24"/>
        </w:rPr>
        <w:lastRenderedPageBreak/>
        <w:t xml:space="preserve">efektywności postępowania. Jeżeli jakichś czynności nie zdołano przeprowadzić lub dokończyć – niezbędne będzie wyjaśnienie przyczyn, a w dalszej kolejności – realna prognoza terminu wykonania lub dokończenia, ze świadomością, że deklaracje te zostaną zweryfikowane po upływie kolejnego okresu aresztowania, w przypadku uwzględnienia wniosku. Ma to doprowadzić w istocie do decyzji o zmianie środka zapobiegawczego na wolnościowy, gdy zawodzi organizacja postępowania i wyeliminować powtarzanie w kolejnych wnioskach tych samych czynności do wykonania, bez wyjaśnienia powodów braku ich dotychczasowej realizacji. </w:t>
      </w:r>
    </w:p>
    <w:p w14:paraId="184AFB45" w14:textId="77777777" w:rsidR="00074963" w:rsidRPr="00EE58B4" w:rsidRDefault="00074963" w:rsidP="00EE58B4">
      <w:pPr>
        <w:ind w:firstLine="708"/>
        <w:rPr>
          <w:rFonts w:ascii="Times New Roman" w:hAnsi="Times New Roman" w:cs="Times New Roman"/>
          <w:bCs/>
          <w:color w:val="auto"/>
          <w:sz w:val="24"/>
        </w:rPr>
      </w:pPr>
      <w:r w:rsidRPr="00EE58B4">
        <w:rPr>
          <w:rFonts w:ascii="Times New Roman" w:hAnsi="Times New Roman" w:cs="Times New Roman"/>
          <w:bCs/>
          <w:color w:val="auto"/>
          <w:sz w:val="24"/>
        </w:rPr>
        <w:t>Analogiczne badanie przebiegu postępowania będzie miało miejsce w przypadkach, gdy z uwagi na termin stosowania tymczasowego aresztowania właściwym do rozpoznania wniosku będzie już sąd apelacyjny.</w:t>
      </w:r>
    </w:p>
    <w:p w14:paraId="56E53827" w14:textId="143AF6B5" w:rsidR="00DC7DA1" w:rsidRPr="00EE58B4" w:rsidRDefault="00DC7DA1" w:rsidP="00EE58B4">
      <w:pPr>
        <w:rPr>
          <w:rFonts w:ascii="Times New Roman" w:hAnsi="Times New Roman" w:cs="Times New Roman"/>
          <w:color w:val="auto"/>
          <w:sz w:val="24"/>
        </w:rPr>
      </w:pPr>
    </w:p>
    <w:p w14:paraId="63E8801F" w14:textId="77777777" w:rsidR="00074963" w:rsidRPr="00EE58B4" w:rsidRDefault="00074963" w:rsidP="00EE58B4">
      <w:pPr>
        <w:ind w:firstLine="708"/>
        <w:rPr>
          <w:rFonts w:ascii="Times New Roman" w:hAnsi="Times New Roman" w:cs="Times New Roman"/>
          <w:b/>
          <w:bCs/>
          <w:color w:val="auto"/>
          <w:sz w:val="24"/>
        </w:rPr>
      </w:pPr>
      <w:r w:rsidRPr="00EE58B4">
        <w:rPr>
          <w:rFonts w:ascii="Times New Roman" w:hAnsi="Times New Roman" w:cs="Times New Roman"/>
          <w:b/>
          <w:bCs/>
          <w:color w:val="auto"/>
          <w:sz w:val="24"/>
        </w:rPr>
        <w:t>Art. 266 § 1a i § 3 k.p.k.</w:t>
      </w:r>
    </w:p>
    <w:p w14:paraId="69880192" w14:textId="77777777" w:rsidR="00074963" w:rsidRPr="00EE58B4" w:rsidRDefault="00074963" w:rsidP="00EE58B4">
      <w:pPr>
        <w:ind w:firstLine="708"/>
        <w:rPr>
          <w:rFonts w:ascii="Times New Roman" w:hAnsi="Times New Roman" w:cs="Times New Roman"/>
          <w:color w:val="auto"/>
          <w:sz w:val="24"/>
        </w:rPr>
      </w:pPr>
      <w:r w:rsidRPr="00EE58B4">
        <w:rPr>
          <w:rFonts w:ascii="Times New Roman" w:hAnsi="Times New Roman" w:cs="Times New Roman"/>
          <w:color w:val="auto"/>
          <w:sz w:val="24"/>
        </w:rPr>
        <w:t>Projektowana zmiana art. 266 k.p.k. polega na rezygnacji z regulacji uzależniającej przyjęcie poręczenia majątkowego od wykazania, że przedmiot poręczenia majątkowego nie</w:t>
      </w:r>
      <w:r w:rsidRPr="00EE58B4">
        <w:rPr>
          <w:rFonts w:ascii="Times New Roman" w:hAnsi="Times New Roman" w:cs="Times New Roman"/>
          <w:color w:val="auto"/>
          <w:sz w:val="24"/>
          <w:shd w:val="clear" w:color="auto" w:fill="FFFFFF"/>
        </w:rPr>
        <w:t xml:space="preserve"> pochodzi z przysporzenia na rzecz oskarżonego albo innej osoby składającej poręczenie dokonanego na ten cel. W ocenie projektodawcy uzasadniony jest powrót do wersji art. 266 k.p.k. obowiązującej do dnia </w:t>
      </w:r>
      <w:r w:rsidRPr="00EE58B4">
        <w:rPr>
          <w:rFonts w:ascii="Times New Roman" w:hAnsi="Times New Roman" w:cs="Times New Roman"/>
          <w:color w:val="auto"/>
          <w:sz w:val="24"/>
        </w:rPr>
        <w:t xml:space="preserve">21 czerwca 2021 r. z dodatkowym wskazaniem w </w:t>
      </w:r>
      <w:r w:rsidRPr="00EE58B4">
        <w:rPr>
          <w:rFonts w:ascii="Times New Roman" w:hAnsi="Times New Roman" w:cs="Times New Roman"/>
          <w:bCs/>
          <w:color w:val="auto"/>
          <w:sz w:val="24"/>
        </w:rPr>
        <w:t>§ 1a, że w razie zastosowania poręczenia majątkowego w postępowaniu przygotowawczym przez sąd przyjęcia przedmiotu tego poręczenia dokonuje prokurator.</w:t>
      </w:r>
      <w:r w:rsidRPr="00EE58B4">
        <w:rPr>
          <w:rFonts w:ascii="Times New Roman" w:hAnsi="Times New Roman" w:cs="Times New Roman"/>
          <w:color w:val="auto"/>
          <w:sz w:val="24"/>
        </w:rPr>
        <w:t xml:space="preserve"> Problemy dowodowe i uznaniowość, która może prowadzić do różnych ocen tych samych stanów faktycznych, prowadzi do wniosku, że wymóg wykazania źródła pochodzenia przedmiotu poręczenia może skutkować faktyczną niemożnością jego złożenia, co z kolei niekorzystnie rzutuje na sytuację procesową oskarżonego. Co więcej, obecna regulacja niesie ryzyko jej instrumentalnego stosowania przez odmowę przyjęcia przedmiotu poręczenia w celu niejako „wymuszenia” zastosowania tymczasowego aresztowania.</w:t>
      </w:r>
    </w:p>
    <w:p w14:paraId="303CD7B0" w14:textId="77777777" w:rsidR="00E85974" w:rsidRPr="00242537" w:rsidRDefault="00E85974" w:rsidP="00242537">
      <w:pPr>
        <w:rPr>
          <w:rFonts w:ascii="Times New Roman" w:hAnsi="Times New Roman" w:cs="Times New Roman"/>
          <w:b/>
          <w:bCs/>
          <w:color w:val="auto"/>
          <w:sz w:val="24"/>
        </w:rPr>
      </w:pPr>
    </w:p>
    <w:p w14:paraId="2A439033" w14:textId="5CE09EE6" w:rsidR="004B188E" w:rsidRPr="00EE58B4" w:rsidRDefault="004B188E" w:rsidP="00EE58B4">
      <w:pPr>
        <w:pStyle w:val="Akapitzlist"/>
        <w:ind w:left="0" w:firstLine="708"/>
        <w:rPr>
          <w:rFonts w:ascii="Times New Roman" w:hAnsi="Times New Roman" w:cs="Times New Roman"/>
          <w:b/>
          <w:bCs/>
          <w:color w:val="auto"/>
          <w:sz w:val="24"/>
        </w:rPr>
      </w:pPr>
      <w:r w:rsidRPr="00EE58B4">
        <w:rPr>
          <w:rFonts w:ascii="Times New Roman" w:hAnsi="Times New Roman" w:cs="Times New Roman"/>
          <w:b/>
          <w:bCs/>
          <w:color w:val="auto"/>
          <w:sz w:val="24"/>
        </w:rPr>
        <w:t>Art. 313 § 1a k.p.k. oraz art. 249 § 3a k.p.k.</w:t>
      </w:r>
    </w:p>
    <w:p w14:paraId="7CFFB197" w14:textId="34311081" w:rsidR="004B188E" w:rsidRPr="00EE58B4" w:rsidRDefault="004B188E" w:rsidP="00EE58B4">
      <w:pPr>
        <w:pStyle w:val="ZUSTzmustartykuempunktem"/>
        <w:ind w:left="0" w:firstLine="720"/>
        <w:rPr>
          <w:rFonts w:ascii="Times New Roman" w:hAnsi="Times New Roman" w:cs="Times New Roman"/>
          <w:szCs w:val="24"/>
        </w:rPr>
      </w:pPr>
      <w:r w:rsidRPr="00EE58B4">
        <w:rPr>
          <w:rFonts w:ascii="Times New Roman" w:hAnsi="Times New Roman" w:cs="Times New Roman"/>
          <w:szCs w:val="24"/>
        </w:rPr>
        <w:t xml:space="preserve">Projekt </w:t>
      </w:r>
      <w:r w:rsidR="00E85974">
        <w:rPr>
          <w:rFonts w:ascii="Times New Roman" w:hAnsi="Times New Roman" w:cs="Times New Roman"/>
          <w:szCs w:val="24"/>
        </w:rPr>
        <w:t>przewiduje</w:t>
      </w:r>
      <w:r w:rsidRPr="00EE58B4">
        <w:rPr>
          <w:rFonts w:ascii="Times New Roman" w:hAnsi="Times New Roman" w:cs="Times New Roman"/>
          <w:szCs w:val="24"/>
        </w:rPr>
        <w:t xml:space="preserve"> uchylenie art. 313 § 1a k.p.k., a także powiązanego z nim art. 249 § 3a k.p.k., który zakłada możliwość odstąpienia od wymogu przesłuchania podejrzanego przed zastosowaniem środka zapobiegawczego oraz dopuszcza zastosowanie tymczasowego aresztowania pomimo niestawiennictwa obrońcy prawidłowo powiadomionego o terminie i miejscu posiedzenia.</w:t>
      </w:r>
    </w:p>
    <w:p w14:paraId="784CEF7A" w14:textId="6F65C630" w:rsidR="004B188E" w:rsidRPr="00EE58B4" w:rsidRDefault="004B188E" w:rsidP="00EE58B4">
      <w:pPr>
        <w:pStyle w:val="ZUSTzmustartykuempunktem"/>
        <w:ind w:left="0" w:firstLine="0"/>
        <w:rPr>
          <w:rFonts w:ascii="Times New Roman" w:hAnsi="Times New Roman" w:cs="Times New Roman"/>
          <w:szCs w:val="24"/>
        </w:rPr>
      </w:pPr>
      <w:r w:rsidRPr="00EE58B4">
        <w:rPr>
          <w:rFonts w:ascii="Times New Roman" w:hAnsi="Times New Roman" w:cs="Times New Roman"/>
          <w:szCs w:val="24"/>
        </w:rPr>
        <w:lastRenderedPageBreak/>
        <w:t xml:space="preserve">Skutkiem zastosowania obowiązujących </w:t>
      </w:r>
      <w:r w:rsidR="00EB7EF3" w:rsidRPr="00EE58B4">
        <w:rPr>
          <w:rFonts w:ascii="Times New Roman" w:hAnsi="Times New Roman" w:cs="Times New Roman"/>
          <w:szCs w:val="24"/>
        </w:rPr>
        <w:t>obecnie art.</w:t>
      </w:r>
      <w:r w:rsidRPr="00EE58B4">
        <w:rPr>
          <w:rFonts w:ascii="Times New Roman" w:hAnsi="Times New Roman" w:cs="Times New Roman"/>
          <w:szCs w:val="24"/>
        </w:rPr>
        <w:t xml:space="preserve"> 249 § 3a k.p.k. oraz art. 313 § 1a k.p.k. może być orzeczenie i wykonywanie wobec osoby, której ani nie powiadomiono o treści zarzutu, ani której nie ogłoszono zarzutu, środków zapobiegawczych, w tym najsurowszego z nich w postaci tymczasowego aresztowania. Tymczasem ocena, czy są spełnione przesłanki do jego zastosowania powinna odbywać się po przesłuchaniu podejrzanego. Dodać należy, że sytuacja procesowa podejrzanego, wobec którego odstąpiono od ogłoszenia postanowienia o przedstawieniu zarzutów i jego przesłuchania jest gorsza niż podejrzanego ściganego listem gończym, bowiem w przypadku ujęcia podejrzanego ściganego listem gończym, należy niezwłocznie doprowadzić go </w:t>
      </w:r>
      <w:r w:rsidR="00E85974">
        <w:rPr>
          <w:rFonts w:ascii="Times New Roman" w:hAnsi="Times New Roman" w:cs="Times New Roman"/>
          <w:szCs w:val="24"/>
        </w:rPr>
        <w:t>d</w:t>
      </w:r>
      <w:r w:rsidRPr="00EE58B4">
        <w:rPr>
          <w:rFonts w:ascii="Times New Roman" w:hAnsi="Times New Roman" w:cs="Times New Roman"/>
          <w:szCs w:val="24"/>
        </w:rPr>
        <w:t xml:space="preserve">o sądu, który wydał postanowienie o tymczasowym aresztowaniu (art. 279 § 3 k.p.k.). Taka sytuacja nie wystąpi, np. gdy minie stan nietrzeźwości lub odurzenia. Brak obowiązku przesłuchania podejrzanego w takiej sytuacji przez sąd, tj. po ustaniu okoliczności określonych w art. 313 § 1a k.p.k., powoduje, że takie rozwiązanie należy uznane za sprzeczne z art. 5 ust. 3 </w:t>
      </w:r>
      <w:proofErr w:type="spellStart"/>
      <w:r w:rsidRPr="00EE58B4">
        <w:rPr>
          <w:rFonts w:ascii="Times New Roman" w:hAnsi="Times New Roman" w:cs="Times New Roman"/>
          <w:szCs w:val="24"/>
        </w:rPr>
        <w:t>EKPCz</w:t>
      </w:r>
      <w:proofErr w:type="spellEnd"/>
      <w:r w:rsidRPr="00EE58B4">
        <w:rPr>
          <w:rFonts w:ascii="Times New Roman" w:hAnsi="Times New Roman" w:cs="Times New Roman"/>
          <w:szCs w:val="24"/>
        </w:rPr>
        <w:t>.</w:t>
      </w:r>
    </w:p>
    <w:p w14:paraId="42AC163B" w14:textId="77777777" w:rsidR="004B188E" w:rsidRPr="00EE58B4" w:rsidRDefault="004B188E" w:rsidP="00EE58B4">
      <w:pPr>
        <w:ind w:firstLine="720"/>
        <w:rPr>
          <w:rFonts w:ascii="Times New Roman" w:hAnsi="Times New Roman" w:cs="Times New Roman"/>
          <w:color w:val="auto"/>
          <w:sz w:val="24"/>
          <w:shd w:val="clear" w:color="auto" w:fill="FFFFFF"/>
        </w:rPr>
      </w:pPr>
    </w:p>
    <w:p w14:paraId="2D59E4EC" w14:textId="77777777" w:rsidR="000E38DF" w:rsidRPr="00EE58B4" w:rsidRDefault="000E38DF" w:rsidP="00EE58B4">
      <w:pPr>
        <w:ind w:firstLine="708"/>
        <w:rPr>
          <w:rFonts w:ascii="Times New Roman" w:hAnsi="Times New Roman" w:cs="Times New Roman"/>
          <w:b/>
          <w:bCs/>
          <w:color w:val="auto"/>
          <w:sz w:val="24"/>
        </w:rPr>
      </w:pPr>
      <w:r w:rsidRPr="00EE58B4">
        <w:rPr>
          <w:rFonts w:ascii="Times New Roman" w:hAnsi="Times New Roman" w:cs="Times New Roman"/>
          <w:b/>
          <w:bCs/>
          <w:color w:val="auto"/>
          <w:sz w:val="24"/>
        </w:rPr>
        <w:t>Art. 666 § 1 k.p.k.</w:t>
      </w:r>
    </w:p>
    <w:p w14:paraId="6CAFFAF0" w14:textId="77777777" w:rsidR="000E38DF" w:rsidRPr="00EE58B4" w:rsidRDefault="000E38DF" w:rsidP="00EE58B4">
      <w:pPr>
        <w:pStyle w:val="Tekstprzypisudolnego"/>
        <w:spacing w:line="360" w:lineRule="auto"/>
        <w:ind w:firstLine="708"/>
        <w:jc w:val="both"/>
        <w:rPr>
          <w:rFonts w:ascii="Times New Roman" w:eastAsia="Calibri" w:hAnsi="Times New Roman" w:cs="Times New Roman"/>
          <w:sz w:val="24"/>
          <w:szCs w:val="24"/>
        </w:rPr>
      </w:pPr>
      <w:r w:rsidRPr="00EE58B4">
        <w:rPr>
          <w:rFonts w:ascii="Times New Roman" w:eastAsia="Calibri" w:hAnsi="Times New Roman" w:cs="Times New Roman"/>
          <w:sz w:val="24"/>
          <w:szCs w:val="24"/>
        </w:rPr>
        <w:t>Projektowana zmiana związana jest z dostosowaniem katalogu przestępstw wskazanym w tym przepisie do regulacji zawartej w projektowanym art. 259 § 3 k.p.k., zgodnie z którym tymczasowe aresztowanie nie może być stosowane, jeżeli przestępstwo zagrożone jest karą pozbawienia wolności nieprzekraczającą 2 lat.</w:t>
      </w:r>
    </w:p>
    <w:p w14:paraId="0D3E629D" w14:textId="77777777" w:rsidR="000E38DF" w:rsidRPr="00EE58B4" w:rsidRDefault="000E38DF" w:rsidP="00EE58B4">
      <w:pPr>
        <w:rPr>
          <w:rFonts w:ascii="Times New Roman" w:hAnsi="Times New Roman" w:cs="Times New Roman"/>
          <w:color w:val="auto"/>
          <w:sz w:val="24"/>
          <w:shd w:val="clear" w:color="auto" w:fill="FFFFFF"/>
        </w:rPr>
      </w:pPr>
    </w:p>
    <w:p w14:paraId="0A54E592" w14:textId="26E6735F" w:rsidR="006B4C2D" w:rsidRPr="003F5FA5" w:rsidRDefault="00E86BE1" w:rsidP="003F5FA5">
      <w:pPr>
        <w:spacing w:after="240"/>
        <w:rPr>
          <w:rFonts w:ascii="Times New Roman" w:hAnsi="Times New Roman" w:cs="Times New Roman"/>
          <w:b/>
          <w:bCs/>
          <w:color w:val="auto"/>
          <w:sz w:val="24"/>
        </w:rPr>
      </w:pPr>
      <w:r w:rsidRPr="003F5FA5">
        <w:rPr>
          <w:rFonts w:ascii="Times New Roman" w:hAnsi="Times New Roman" w:cs="Times New Roman"/>
          <w:b/>
          <w:bCs/>
          <w:color w:val="auto"/>
          <w:sz w:val="24"/>
        </w:rPr>
        <w:t>Przepisy, zawarte w projekcie ustawy nowelizującej, zawierają klasyczny zestaw zasad prawa intertemporalnego.</w:t>
      </w:r>
    </w:p>
    <w:p w14:paraId="534102D2" w14:textId="690B45B1" w:rsidR="00E86BE1" w:rsidRPr="00EE58B4" w:rsidRDefault="00E86BE1" w:rsidP="00EE58B4">
      <w:pPr>
        <w:pStyle w:val="ARTartustawynprozporzdzenia"/>
        <w:spacing w:before="0"/>
        <w:rPr>
          <w:rFonts w:ascii="Times New Roman" w:hAnsi="Times New Roman" w:cs="Times New Roman"/>
          <w:szCs w:val="24"/>
        </w:rPr>
      </w:pPr>
      <w:r w:rsidRPr="00EE58B4">
        <w:rPr>
          <w:rStyle w:val="Ppogrubienie"/>
          <w:rFonts w:ascii="Times New Roman" w:hAnsi="Times New Roman" w:cs="Times New Roman"/>
          <w:szCs w:val="24"/>
        </w:rPr>
        <w:t xml:space="preserve">Art. </w:t>
      </w:r>
      <w:r w:rsidR="009A46AA">
        <w:rPr>
          <w:rStyle w:val="Ppogrubienie"/>
          <w:rFonts w:ascii="Times New Roman" w:hAnsi="Times New Roman" w:cs="Times New Roman"/>
          <w:szCs w:val="24"/>
        </w:rPr>
        <w:t>2</w:t>
      </w:r>
      <w:r w:rsidRPr="00EE58B4">
        <w:rPr>
          <w:rStyle w:val="Ppogrubienie"/>
          <w:rFonts w:ascii="Times New Roman" w:hAnsi="Times New Roman" w:cs="Times New Roman"/>
          <w:szCs w:val="24"/>
        </w:rPr>
        <w:t xml:space="preserve"> i </w:t>
      </w:r>
      <w:r w:rsidR="009A46AA">
        <w:rPr>
          <w:rStyle w:val="Ppogrubienie"/>
          <w:rFonts w:ascii="Times New Roman" w:hAnsi="Times New Roman" w:cs="Times New Roman"/>
          <w:szCs w:val="24"/>
        </w:rPr>
        <w:t>4</w:t>
      </w:r>
    </w:p>
    <w:p w14:paraId="00161A5E" w14:textId="0DEFB734" w:rsidR="00E86BE1" w:rsidRPr="003F5FA5" w:rsidRDefault="00E86BE1" w:rsidP="00EE58B4">
      <w:pPr>
        <w:pStyle w:val="ARTartustawynprozporzdzenia"/>
        <w:spacing w:before="0"/>
        <w:rPr>
          <w:rFonts w:ascii="Times New Roman" w:hAnsi="Times New Roman" w:cs="Times New Roman"/>
          <w:szCs w:val="24"/>
        </w:rPr>
      </w:pPr>
      <w:r w:rsidRPr="003F5FA5">
        <w:rPr>
          <w:rFonts w:ascii="Times New Roman" w:hAnsi="Times New Roman" w:cs="Times New Roman"/>
          <w:szCs w:val="24"/>
        </w:rPr>
        <w:t xml:space="preserve">Zgodnie ze wskazaną regulacją wymienione w niej przepisy stosuje się do spraw wszczętych przed dniem jej wejścia w życie, jeżeli brak przepisów, które stanowią inaczej. Cechą charakterystyczną projektowanych przepisów jest ich proceduralny charakter. Dopełnieniem wskazanej wyżej </w:t>
      </w:r>
      <w:r w:rsidR="00EB7EF3" w:rsidRPr="003F5FA5">
        <w:rPr>
          <w:rFonts w:ascii="Times New Roman" w:hAnsi="Times New Roman" w:cs="Times New Roman"/>
          <w:szCs w:val="24"/>
        </w:rPr>
        <w:t>regulacji jest</w:t>
      </w:r>
      <w:r w:rsidRPr="003F5FA5">
        <w:rPr>
          <w:rFonts w:ascii="Times New Roman" w:hAnsi="Times New Roman" w:cs="Times New Roman"/>
          <w:szCs w:val="24"/>
        </w:rPr>
        <w:t xml:space="preserve"> kolejny przepis, </w:t>
      </w:r>
      <w:r w:rsidR="00EB7EF3" w:rsidRPr="003F5FA5">
        <w:rPr>
          <w:rFonts w:ascii="Times New Roman" w:hAnsi="Times New Roman" w:cs="Times New Roman"/>
          <w:szCs w:val="24"/>
        </w:rPr>
        <w:t>stanowiący,</w:t>
      </w:r>
      <w:r w:rsidRPr="003F5FA5">
        <w:rPr>
          <w:rFonts w:ascii="Times New Roman" w:hAnsi="Times New Roman" w:cs="Times New Roman"/>
          <w:szCs w:val="24"/>
        </w:rPr>
        <w:t xml:space="preserve"> że „W przypadku wątpliwości czy stosować prawo dotychczasowe, czy przepisy niniejszej ustawy, stosuje się niniejszą ustawę”.</w:t>
      </w:r>
    </w:p>
    <w:p w14:paraId="6AFE4716" w14:textId="77777777" w:rsidR="00E86BE1" w:rsidRPr="003F5FA5" w:rsidRDefault="00E86BE1" w:rsidP="00EE58B4">
      <w:pPr>
        <w:ind w:firstLine="510"/>
        <w:rPr>
          <w:rFonts w:ascii="Times New Roman" w:hAnsi="Times New Roman" w:cs="Times New Roman"/>
          <w:i/>
          <w:iCs/>
          <w:color w:val="auto"/>
          <w:sz w:val="24"/>
        </w:rPr>
      </w:pPr>
      <w:r w:rsidRPr="003F5FA5">
        <w:rPr>
          <w:rFonts w:ascii="Times New Roman" w:hAnsi="Times New Roman" w:cs="Times New Roman"/>
          <w:color w:val="auto"/>
          <w:sz w:val="24"/>
        </w:rPr>
        <w:t>Jak wskazuje SN „</w:t>
      </w:r>
      <w:r w:rsidRPr="003F5FA5">
        <w:rPr>
          <w:rFonts w:ascii="Times New Roman" w:hAnsi="Times New Roman" w:cs="Times New Roman"/>
          <w:i/>
          <w:iCs/>
          <w:color w:val="auto"/>
          <w:sz w:val="24"/>
        </w:rPr>
        <w:t xml:space="preserve">Podstawową formą rozwiązywania problemów intertemporalnych na gruncie prawa karnego procesowego jest przy tym reguła stosowania prawa nowego (lex nova), zwana regułą bezpośredniego stosowania ustawy nowej albo regułą „chwytania w locie” (zob. H. Paluszkiewicz, Studia z zakresu problematyki intertemporalnej w prawie karnym </w:t>
      </w:r>
      <w:r w:rsidRPr="003F5FA5">
        <w:rPr>
          <w:rFonts w:ascii="Times New Roman" w:hAnsi="Times New Roman" w:cs="Times New Roman"/>
          <w:i/>
          <w:iCs/>
          <w:color w:val="auto"/>
          <w:sz w:val="24"/>
        </w:rPr>
        <w:lastRenderedPageBreak/>
        <w:t xml:space="preserve">procesowym, Warszawa 2016, s. 3, 15 i 19). W uzasadnieniu postanowienia Sądu Najwyższego z dnia 24 sierpnia 2016 r., </w:t>
      </w:r>
      <w:bookmarkStart w:id="2" w:name="orz.366466616"/>
      <w:bookmarkEnd w:id="2"/>
      <w:r w:rsidRPr="003F5FA5">
        <w:rPr>
          <w:rFonts w:ascii="Times New Roman" w:hAnsi="Times New Roman" w:cs="Times New Roman"/>
          <w:color w:val="auto"/>
          <w:sz w:val="24"/>
        </w:rPr>
        <w:t>IV KZ 38/16</w:t>
      </w:r>
      <w:r w:rsidRPr="003F5FA5">
        <w:rPr>
          <w:rFonts w:ascii="Times New Roman" w:hAnsi="Times New Roman" w:cs="Times New Roman"/>
          <w:i/>
          <w:iCs/>
          <w:color w:val="auto"/>
          <w:sz w:val="24"/>
        </w:rPr>
        <w:t xml:space="preserve">, przyznano, że zasada tzw. „chwytania w locie” jest podstawową zasadą prawa intertemporalnego i wskazano, że jest ona stosowana w drodze </w:t>
      </w:r>
      <w:proofErr w:type="spellStart"/>
      <w:r w:rsidRPr="003F5FA5">
        <w:rPr>
          <w:rFonts w:ascii="Times New Roman" w:hAnsi="Times New Roman" w:cs="Times New Roman"/>
          <w:i/>
          <w:iCs/>
          <w:color w:val="auto"/>
          <w:sz w:val="24"/>
        </w:rPr>
        <w:t>analogiae</w:t>
      </w:r>
      <w:proofErr w:type="spellEnd"/>
      <w:r w:rsidRPr="003F5FA5">
        <w:rPr>
          <w:rFonts w:ascii="Times New Roman" w:hAnsi="Times New Roman" w:cs="Times New Roman"/>
          <w:i/>
          <w:iCs/>
          <w:color w:val="auto"/>
          <w:sz w:val="24"/>
        </w:rPr>
        <w:t xml:space="preserve"> legis wówczas, gdy ustawodawca wprowadzając zmiany w prawie nie zamieści przepisów przejściowych.</w:t>
      </w:r>
    </w:p>
    <w:p w14:paraId="37FA0703" w14:textId="77777777" w:rsidR="00E86BE1" w:rsidRPr="003F5FA5" w:rsidRDefault="00E86BE1" w:rsidP="00EE58B4">
      <w:pPr>
        <w:ind w:firstLine="510"/>
        <w:rPr>
          <w:rFonts w:ascii="Times New Roman" w:hAnsi="Times New Roman" w:cs="Times New Roman"/>
          <w:i/>
          <w:iCs/>
          <w:color w:val="auto"/>
          <w:sz w:val="24"/>
        </w:rPr>
      </w:pPr>
      <w:r w:rsidRPr="003F5FA5">
        <w:rPr>
          <w:rFonts w:ascii="Times New Roman" w:hAnsi="Times New Roman" w:cs="Times New Roman"/>
          <w:i/>
          <w:iCs/>
          <w:color w:val="auto"/>
          <w:sz w:val="24"/>
        </w:rPr>
        <w:t xml:space="preserve">Zasada „chwytania w locie” jest zatem w odniesieniu do przepisów procesowych swego rodzaju </w:t>
      </w:r>
      <w:proofErr w:type="spellStart"/>
      <w:r w:rsidRPr="003F5FA5">
        <w:rPr>
          <w:rFonts w:ascii="Times New Roman" w:hAnsi="Times New Roman" w:cs="Times New Roman"/>
          <w:i/>
          <w:iCs/>
          <w:color w:val="auto"/>
          <w:sz w:val="24"/>
        </w:rPr>
        <w:t>metazasadą</w:t>
      </w:r>
      <w:proofErr w:type="spellEnd"/>
      <w:r w:rsidRPr="003F5FA5">
        <w:rPr>
          <w:rFonts w:ascii="Times New Roman" w:hAnsi="Times New Roman" w:cs="Times New Roman"/>
          <w:i/>
          <w:iCs/>
          <w:color w:val="auto"/>
          <w:sz w:val="24"/>
        </w:rPr>
        <w:t xml:space="preserve"> intertemporalną i nawet wtedy, gdy nie jest wprost zapisana w ustawie należy domniemywać jej obowiązywanie. Zasada stosowania prawa nowego to jednocześnie zasada ultima ratio, znajdująca zastosowanie wówczas, gdy organ stosujący prawo ma trudności z usunięciem wątpliwości co do tego, które przepisy stosować.</w:t>
      </w:r>
    </w:p>
    <w:p w14:paraId="0DEBD47C" w14:textId="40540043" w:rsidR="00E86BE1" w:rsidRPr="003F5FA5" w:rsidRDefault="00E86BE1" w:rsidP="00EE58B4">
      <w:pPr>
        <w:ind w:firstLine="510"/>
        <w:rPr>
          <w:rFonts w:ascii="Times New Roman" w:hAnsi="Times New Roman" w:cs="Times New Roman"/>
          <w:color w:val="auto"/>
          <w:sz w:val="24"/>
        </w:rPr>
      </w:pPr>
      <w:r w:rsidRPr="003F5FA5">
        <w:rPr>
          <w:rFonts w:ascii="Times New Roman" w:hAnsi="Times New Roman" w:cs="Times New Roman"/>
          <w:i/>
          <w:iCs/>
          <w:color w:val="auto"/>
          <w:sz w:val="24"/>
        </w:rPr>
        <w:t xml:space="preserve">Z reguły ustawodawca dodatkowo wprost nakazuje stosowanie ustawy nowej w razie wątpliwości, czy stosować prawo dotychczasowe, czy prawo nowe (in dubio lex nova). Taki przepis przejściowy znalazł się zarówno w ustawie z dnia 27 września 2013 r. - art. 29, jak i w ustawie z dnia 11 marca 2016 r. - art. 21. Pamiętać przy tym należy, że w prawie karnym procesowym nie obowiązuje reguła intertemporalna podobna do zawartej w </w:t>
      </w:r>
      <w:hyperlink r:id="rId8" w:history="1">
        <w:r w:rsidRPr="003F5FA5">
          <w:rPr>
            <w:rStyle w:val="Hipercze"/>
            <w:rFonts w:ascii="Times New Roman" w:hAnsi="Times New Roman" w:cs="Times New Roman"/>
            <w:i/>
            <w:iCs/>
            <w:color w:val="auto"/>
            <w:sz w:val="24"/>
            <w:u w:val="none"/>
          </w:rPr>
          <w:t>art. 4</w:t>
        </w:r>
      </w:hyperlink>
      <w:r w:rsidRPr="003F5FA5">
        <w:rPr>
          <w:rFonts w:ascii="Times New Roman" w:hAnsi="Times New Roman" w:cs="Times New Roman"/>
          <w:i/>
          <w:iCs/>
          <w:color w:val="auto"/>
          <w:sz w:val="24"/>
        </w:rPr>
        <w:t xml:space="preserve"> KK, która w odniesieniu do przepisów prawa karnego materialnego nakazuje porównywać przepisy „prawa dawnego” i „prawa nowego” z uwagi na to, które są względniejsze (bardziej korzystne) dla sprawcy. Brak takiego rozwiązania w przepisach procesowych wynika z tego, że normują one uprawnienia nie tylko oskarżonego (podejrzanego), ale także innych stron, czy szerzej - uczestników postępowania. Zmieniający się przepis, który jest korzystny z punktu widzenia jednej ze stron, może być niekorzystny z punktu widzenia innej. Różne interesy procesowe uczestników postępowania i to, że regulacje karno-procesowe nie są zorientowane tylko na ochronę uprawnień oskarżonego (podejrzanego), ale także uprawnień innych stron i uczestników postępowania powoduje, że w Kodeksie postępowania karnego brak odpowiednika </w:t>
      </w:r>
      <w:r w:rsidRPr="003F5FA5">
        <w:rPr>
          <w:rFonts w:ascii="Times New Roman" w:hAnsi="Times New Roman" w:cs="Times New Roman"/>
          <w:color w:val="auto"/>
          <w:sz w:val="24"/>
        </w:rPr>
        <w:t>art. 4</w:t>
      </w:r>
      <w:r w:rsidRPr="003F5FA5">
        <w:rPr>
          <w:rFonts w:ascii="Times New Roman" w:hAnsi="Times New Roman" w:cs="Times New Roman"/>
          <w:i/>
          <w:iCs/>
          <w:color w:val="auto"/>
          <w:sz w:val="24"/>
        </w:rPr>
        <w:t xml:space="preserve"> KK</w:t>
      </w:r>
      <w:r w:rsidRPr="003F5FA5">
        <w:rPr>
          <w:rFonts w:ascii="Times New Roman" w:hAnsi="Times New Roman" w:cs="Times New Roman"/>
          <w:color w:val="auto"/>
          <w:sz w:val="24"/>
        </w:rPr>
        <w:t xml:space="preserve">” (uchwała siedmiu sędziów </w:t>
      </w:r>
      <w:r w:rsidR="00EB7EF3" w:rsidRPr="003F5FA5">
        <w:rPr>
          <w:rFonts w:ascii="Times New Roman" w:hAnsi="Times New Roman" w:cs="Times New Roman"/>
          <w:color w:val="auto"/>
          <w:sz w:val="24"/>
        </w:rPr>
        <w:t>SN z</w:t>
      </w:r>
      <w:r w:rsidRPr="003F5FA5">
        <w:rPr>
          <w:rFonts w:ascii="Times New Roman" w:hAnsi="Times New Roman" w:cs="Times New Roman"/>
          <w:color w:val="auto"/>
          <w:sz w:val="24"/>
        </w:rPr>
        <w:t xml:space="preserve"> dnia 29 listopada 2016 r.</w:t>
      </w:r>
      <w:r w:rsidR="00EB7EF3">
        <w:rPr>
          <w:rFonts w:ascii="Times New Roman" w:hAnsi="Times New Roman" w:cs="Times New Roman"/>
          <w:color w:val="auto"/>
          <w:sz w:val="24"/>
        </w:rPr>
        <w:t>,</w:t>
      </w:r>
      <w:r w:rsidRPr="003F5FA5">
        <w:rPr>
          <w:rFonts w:ascii="Times New Roman" w:hAnsi="Times New Roman" w:cs="Times New Roman"/>
          <w:color w:val="auto"/>
          <w:sz w:val="24"/>
        </w:rPr>
        <w:t xml:space="preserve"> I KZP 10/16).</w:t>
      </w:r>
    </w:p>
    <w:p w14:paraId="2B435D15" w14:textId="77777777" w:rsidR="00E86BE1" w:rsidRPr="003F5FA5" w:rsidRDefault="00E86BE1" w:rsidP="00EE58B4">
      <w:pPr>
        <w:pStyle w:val="ARTartustawynprozporzdzenia"/>
        <w:spacing w:before="0"/>
        <w:rPr>
          <w:rFonts w:ascii="Times New Roman" w:hAnsi="Times New Roman" w:cs="Times New Roman"/>
          <w:szCs w:val="24"/>
        </w:rPr>
      </w:pPr>
      <w:r w:rsidRPr="003F5FA5">
        <w:rPr>
          <w:rFonts w:ascii="Times New Roman" w:hAnsi="Times New Roman" w:cs="Times New Roman"/>
          <w:szCs w:val="24"/>
        </w:rPr>
        <w:t>Projekt nowelizacji, przyjmując zatem jako zasadę stosowanie nowych regulacji także do spraw wszczętych przed dniem wejścia w życie ustawy nowelizującej, powiela dotychczasowe, sprawdzone reguły intertemporalne, które nie były w orzecznictwie podważane. Prymat stosowania ustawy nowej ma obowiązywać także w przypadku wątpliwości interpretacyjnych co do ewentualnego dalszego stosowania przepisów dotychczasowych, co również jest rozwiązaniem powszechnie stosowanym i akceptowanym. Jak wyżej wskazano zasada in dubio lex nova to zasada ultima ratio, znajdująca zastosowanie wówczas, gdy organ stosujący prawo ma trudności z usunięciem wątpliwości co do tego, które przepisy stosować.</w:t>
      </w:r>
    </w:p>
    <w:p w14:paraId="5256C5C5" w14:textId="77777777" w:rsidR="00E86BE1" w:rsidRPr="003F5FA5" w:rsidRDefault="00E86BE1" w:rsidP="00EE58B4">
      <w:pPr>
        <w:pStyle w:val="ARTartustawynprozporzdzenia"/>
        <w:spacing w:before="0"/>
        <w:ind w:firstLine="0"/>
        <w:rPr>
          <w:rFonts w:ascii="Times New Roman" w:hAnsi="Times New Roman" w:cs="Times New Roman"/>
          <w:szCs w:val="24"/>
        </w:rPr>
      </w:pPr>
      <w:r w:rsidRPr="003F5FA5">
        <w:rPr>
          <w:rFonts w:ascii="Times New Roman" w:hAnsi="Times New Roman" w:cs="Times New Roman"/>
          <w:szCs w:val="24"/>
        </w:rPr>
        <w:lastRenderedPageBreak/>
        <w:t xml:space="preserve">Zarówno TK jak i </w:t>
      </w:r>
      <w:proofErr w:type="spellStart"/>
      <w:r w:rsidRPr="003F5FA5">
        <w:rPr>
          <w:rFonts w:ascii="Times New Roman" w:hAnsi="Times New Roman" w:cs="Times New Roman"/>
          <w:szCs w:val="24"/>
        </w:rPr>
        <w:t>ETPCz</w:t>
      </w:r>
      <w:proofErr w:type="spellEnd"/>
      <w:r w:rsidRPr="003F5FA5">
        <w:rPr>
          <w:rFonts w:ascii="Times New Roman" w:hAnsi="Times New Roman" w:cs="Times New Roman"/>
          <w:szCs w:val="24"/>
        </w:rPr>
        <w:t xml:space="preserve"> akceptują zasadę bezpośredniego działania nowego prawa procesowego, co potwierdza poniższe orzecznictwo.</w:t>
      </w:r>
    </w:p>
    <w:p w14:paraId="65EDF9EB" w14:textId="5B4DCB9E" w:rsidR="00E86BE1" w:rsidRPr="003F5FA5" w:rsidRDefault="00E86BE1" w:rsidP="00EE58B4">
      <w:pPr>
        <w:pStyle w:val="ARTartustawynprozporzdzenia"/>
        <w:spacing w:before="0"/>
        <w:ind w:firstLine="709"/>
        <w:rPr>
          <w:rFonts w:ascii="Times New Roman" w:hAnsi="Times New Roman" w:cs="Times New Roman"/>
          <w:szCs w:val="24"/>
        </w:rPr>
      </w:pPr>
      <w:r w:rsidRPr="003F5FA5">
        <w:rPr>
          <w:rFonts w:ascii="Times New Roman" w:hAnsi="Times New Roman" w:cs="Times New Roman"/>
          <w:szCs w:val="24"/>
        </w:rPr>
        <w:t xml:space="preserve">Jak wskazuje </w:t>
      </w:r>
      <w:r w:rsidR="00EB7EF3" w:rsidRPr="003F5FA5">
        <w:rPr>
          <w:rFonts w:ascii="Times New Roman" w:hAnsi="Times New Roman" w:cs="Times New Roman"/>
          <w:szCs w:val="24"/>
        </w:rPr>
        <w:t>TK „</w:t>
      </w:r>
      <w:r w:rsidRPr="003F5FA5">
        <w:rPr>
          <w:rFonts w:ascii="Times New Roman" w:hAnsi="Times New Roman" w:cs="Times New Roman"/>
          <w:i/>
          <w:iCs/>
          <w:szCs w:val="24"/>
        </w:rPr>
        <w:t xml:space="preserve">podziela w tym względzie argumentację (…)   uznając, że w myśl ogólnie akceptowanych zasad intertemporalnych, w tym wypadku znajdzie zastosowanie zasada bezpośredniego działania nowego prawa. Zasada ta powinna być zresztą stosowana w szczególności do przepisów proceduralnych, a zwłaszcza procedury karnej (zob. np. wyrok TK z 11 stycznia 2005 r., sygn. SK 60/03, OTK ZU nr 1/A/2005, poz. 2, cz. III, pkt 3 uzasadnienia). </w:t>
      </w:r>
      <w:r w:rsidRPr="003F5FA5">
        <w:rPr>
          <w:rFonts w:ascii="Times New Roman" w:hAnsi="Times New Roman" w:cs="Times New Roman"/>
          <w:szCs w:val="24"/>
        </w:rPr>
        <w:t>(postanowienie TK z dnia 4 kwietnia 2012 r. SK 7/10).</w:t>
      </w:r>
    </w:p>
    <w:p w14:paraId="7599A707" w14:textId="77777777" w:rsidR="00E86BE1" w:rsidRPr="003F5FA5" w:rsidRDefault="00E86BE1" w:rsidP="00EE58B4">
      <w:pPr>
        <w:pStyle w:val="ARTartustawynprozporzdzenia"/>
        <w:spacing w:before="0"/>
        <w:ind w:firstLine="0"/>
        <w:rPr>
          <w:rFonts w:ascii="Times New Roman" w:hAnsi="Times New Roman" w:cs="Times New Roman"/>
          <w:szCs w:val="24"/>
        </w:rPr>
      </w:pPr>
      <w:proofErr w:type="spellStart"/>
      <w:r w:rsidRPr="003F5FA5">
        <w:rPr>
          <w:rFonts w:ascii="Times New Roman" w:hAnsi="Times New Roman" w:cs="Times New Roman"/>
          <w:szCs w:val="24"/>
        </w:rPr>
        <w:t>ETPCz</w:t>
      </w:r>
      <w:proofErr w:type="spellEnd"/>
      <w:r w:rsidRPr="003F5FA5">
        <w:rPr>
          <w:rFonts w:ascii="Times New Roman" w:hAnsi="Times New Roman" w:cs="Times New Roman"/>
          <w:szCs w:val="24"/>
        </w:rPr>
        <w:t xml:space="preserve"> zaś wskazuje, że „​​zasady dotyczące retrospektywności określone w art. 7 Konwencji mają zastosowanie tylko do przepisów określających przestępstwa i kary za nie; z drugiej strony, w innych sprawach Trybunał uznał, że uzasadnione jest, aby sądy krajowe stosowały zasadę </w:t>
      </w:r>
      <w:proofErr w:type="spellStart"/>
      <w:r w:rsidRPr="003F5FA5">
        <w:rPr>
          <w:rFonts w:ascii="Times New Roman" w:hAnsi="Times New Roman" w:cs="Times New Roman"/>
          <w:szCs w:val="24"/>
        </w:rPr>
        <w:t>tempus</w:t>
      </w:r>
      <w:proofErr w:type="spellEnd"/>
      <w:r w:rsidRPr="003F5FA5">
        <w:rPr>
          <w:rFonts w:ascii="Times New Roman" w:hAnsi="Times New Roman" w:cs="Times New Roman"/>
          <w:szCs w:val="24"/>
        </w:rPr>
        <w:t xml:space="preserve"> </w:t>
      </w:r>
      <w:proofErr w:type="spellStart"/>
      <w:r w:rsidRPr="003F5FA5">
        <w:rPr>
          <w:rFonts w:ascii="Times New Roman" w:hAnsi="Times New Roman" w:cs="Times New Roman"/>
          <w:szCs w:val="24"/>
        </w:rPr>
        <w:t>regit</w:t>
      </w:r>
      <w:proofErr w:type="spellEnd"/>
      <w:r w:rsidRPr="003F5FA5">
        <w:rPr>
          <w:rFonts w:ascii="Times New Roman" w:hAnsi="Times New Roman" w:cs="Times New Roman"/>
          <w:szCs w:val="24"/>
        </w:rPr>
        <w:t xml:space="preserve"> </w:t>
      </w:r>
      <w:proofErr w:type="spellStart"/>
      <w:r w:rsidRPr="003F5FA5">
        <w:rPr>
          <w:rFonts w:ascii="Times New Roman" w:hAnsi="Times New Roman" w:cs="Times New Roman"/>
          <w:szCs w:val="24"/>
        </w:rPr>
        <w:t>actum</w:t>
      </w:r>
      <w:proofErr w:type="spellEnd"/>
      <w:r w:rsidRPr="003F5FA5">
        <w:rPr>
          <w:rFonts w:ascii="Times New Roman" w:hAnsi="Times New Roman" w:cs="Times New Roman"/>
          <w:szCs w:val="24"/>
        </w:rPr>
        <w:t xml:space="preserve"> w odniesieniu do przepisów proceduralnych (wyrok </w:t>
      </w:r>
      <w:bookmarkStart w:id="3" w:name="_Hlk186982056"/>
      <w:r w:rsidRPr="003F5FA5">
        <w:rPr>
          <w:rFonts w:ascii="Times New Roman" w:hAnsi="Times New Roman" w:cs="Times New Roman"/>
          <w:szCs w:val="24"/>
        </w:rPr>
        <w:t xml:space="preserve">w sprawie </w:t>
      </w:r>
      <w:proofErr w:type="spellStart"/>
      <w:r w:rsidRPr="003F5FA5">
        <w:rPr>
          <w:rFonts w:ascii="Times New Roman" w:hAnsi="Times New Roman" w:cs="Times New Roman"/>
          <w:szCs w:val="24"/>
        </w:rPr>
        <w:t>Scoppola</w:t>
      </w:r>
      <w:proofErr w:type="spellEnd"/>
      <w:r w:rsidRPr="003F5FA5">
        <w:rPr>
          <w:rFonts w:ascii="Times New Roman" w:hAnsi="Times New Roman" w:cs="Times New Roman"/>
          <w:szCs w:val="24"/>
        </w:rPr>
        <w:t xml:space="preserve"> przeciwko Włochom (nr 2) [Wielka Izba], nr 10249/03, 17 września 2009 r. pkt 110, </w:t>
      </w:r>
      <w:bookmarkEnd w:id="3"/>
      <w:r w:rsidRPr="003F5FA5">
        <w:rPr>
          <w:rFonts w:ascii="Times New Roman" w:hAnsi="Times New Roman" w:cs="Times New Roman"/>
          <w:szCs w:val="24"/>
        </w:rPr>
        <w:t xml:space="preserve">https://hudoc.echr.coe.int/fre#{%22itemid%22:[%22001-94135%22]}).  </w:t>
      </w:r>
    </w:p>
    <w:p w14:paraId="22A99EA5" w14:textId="77777777" w:rsidR="00E86BE1" w:rsidRPr="00EE58B4" w:rsidRDefault="00E86BE1" w:rsidP="00EE58B4">
      <w:pPr>
        <w:pStyle w:val="ARTartustawynprozporzdzenia"/>
        <w:spacing w:before="0"/>
        <w:ind w:firstLine="0"/>
        <w:rPr>
          <w:rFonts w:ascii="Times New Roman" w:hAnsi="Times New Roman" w:cs="Times New Roman"/>
          <w:szCs w:val="24"/>
        </w:rPr>
      </w:pPr>
    </w:p>
    <w:p w14:paraId="6037F762" w14:textId="707D9507" w:rsidR="00E86BE1" w:rsidRPr="00EE58B4" w:rsidRDefault="00E86BE1" w:rsidP="00EE58B4">
      <w:pPr>
        <w:pStyle w:val="ARTartustawynprozporzdzenia"/>
        <w:spacing w:before="0"/>
        <w:rPr>
          <w:rFonts w:ascii="Times New Roman" w:hAnsi="Times New Roman" w:cs="Times New Roman"/>
          <w:szCs w:val="24"/>
        </w:rPr>
      </w:pPr>
      <w:r w:rsidRPr="00EE58B4">
        <w:rPr>
          <w:rStyle w:val="Ppogrubienie"/>
          <w:rFonts w:ascii="Times New Roman" w:hAnsi="Times New Roman" w:cs="Times New Roman"/>
          <w:szCs w:val="24"/>
        </w:rPr>
        <w:t xml:space="preserve">Art. </w:t>
      </w:r>
      <w:r w:rsidR="009A46AA">
        <w:rPr>
          <w:rStyle w:val="Ppogrubienie"/>
          <w:rFonts w:ascii="Times New Roman" w:hAnsi="Times New Roman" w:cs="Times New Roman"/>
          <w:szCs w:val="24"/>
        </w:rPr>
        <w:t>3</w:t>
      </w:r>
    </w:p>
    <w:p w14:paraId="5E1A4377" w14:textId="77777777" w:rsidR="00E86BE1" w:rsidRPr="00EE58B4" w:rsidRDefault="00E86BE1" w:rsidP="00EE58B4">
      <w:pPr>
        <w:pStyle w:val="ARTartustawynprozporzdzenia"/>
        <w:spacing w:before="0"/>
        <w:rPr>
          <w:rFonts w:ascii="Times New Roman" w:hAnsi="Times New Roman" w:cs="Times New Roman"/>
          <w:szCs w:val="24"/>
        </w:rPr>
      </w:pPr>
      <w:r w:rsidRPr="00EE58B4">
        <w:rPr>
          <w:rFonts w:ascii="Times New Roman" w:hAnsi="Times New Roman" w:cs="Times New Roman"/>
          <w:szCs w:val="24"/>
        </w:rPr>
        <w:t>Wskazany przepis stanowi, że „Czynności procesowe dokonane przed dniem wejścia w życie niniejszej ustawy są skuteczne, jeżeli zostały dokonane z zachowaniem przepisów dotychczasowych”. Respektowanie tej zasady jest powszechnie przyjęte przy dokonywaniu zmian przepisów procesowych ustaw karnych. W ten sposób ustawa nowelizacyjna zapewnia poszanowanie praw nabytych mające zakotwiczenie konstytucyjne. Jak wskazuje TK, "</w:t>
      </w:r>
      <w:r w:rsidRPr="00EE58B4">
        <w:rPr>
          <w:rFonts w:ascii="Times New Roman" w:hAnsi="Times New Roman" w:cs="Times New Roman"/>
          <w:i/>
          <w:iCs/>
          <w:szCs w:val="24"/>
        </w:rPr>
        <w:t>Zasadę niedziałania prawa wstecz TK rozumie szerzej, nie tylko jako zakaz stanowie</w:t>
      </w:r>
      <w:r w:rsidRPr="00EE58B4">
        <w:rPr>
          <w:rFonts w:ascii="Times New Roman" w:hAnsi="Times New Roman" w:cs="Times New Roman"/>
          <w:bCs/>
          <w:i/>
          <w:iCs/>
          <w:szCs w:val="24"/>
        </w:rPr>
        <w:t xml:space="preserve">nia norm prawnych, które nakazywałyby stosować nowo ustanowione normy prawne do zdarzeń, które miały miejsce przed ich wejściem w życie i z którymi prawo nie wiązało dotąd skutków prawnych (zasada lex retro non </w:t>
      </w:r>
      <w:proofErr w:type="spellStart"/>
      <w:r w:rsidRPr="00EE58B4">
        <w:rPr>
          <w:rFonts w:ascii="Times New Roman" w:hAnsi="Times New Roman" w:cs="Times New Roman"/>
          <w:bCs/>
          <w:i/>
          <w:iCs/>
          <w:szCs w:val="24"/>
        </w:rPr>
        <w:t>agit</w:t>
      </w:r>
      <w:proofErr w:type="spellEnd"/>
      <w:r w:rsidRPr="00EE58B4">
        <w:rPr>
          <w:rFonts w:ascii="Times New Roman" w:hAnsi="Times New Roman" w:cs="Times New Roman"/>
          <w:bCs/>
          <w:i/>
          <w:iCs/>
          <w:szCs w:val="24"/>
        </w:rPr>
        <w:t xml:space="preserve"> we właściwym tego </w:t>
      </w:r>
      <w:r w:rsidRPr="008A7C0C">
        <w:rPr>
          <w:rFonts w:ascii="Times New Roman" w:hAnsi="Times New Roman" w:cs="Times New Roman"/>
          <w:bCs/>
          <w:i/>
          <w:iCs/>
          <w:szCs w:val="24"/>
        </w:rPr>
        <w:t>słowa znaczeniu), lecz także jako zakaz stanowienia intertemporalnych reguł, które mają określić treść stosunków prawnych powstałych pod rządami dawnych norm, a trwających w okresie wejścia w życie norm nowo ustanowionych, jeżeli reguły te wywołują ujemne prawne (a w konsekwencji społeczne) następstwa dla bezpieczeństwa prawnego i poszanowania praw nabytych. (…) zasada zaufania do państwa wymaga, by mocy wstecznej nie nadawać przepisom, które regulują prawa i obowiązki obywateli i pogarszają ich sytuację prawną</w:t>
      </w:r>
      <w:r w:rsidRPr="008A7C0C">
        <w:rPr>
          <w:rFonts w:ascii="Times New Roman" w:hAnsi="Times New Roman" w:cs="Times New Roman"/>
          <w:bCs/>
          <w:szCs w:val="24"/>
        </w:rPr>
        <w:t>" (wyrok TK z dnia 19 marca 20</w:t>
      </w:r>
      <w:r w:rsidRPr="00EE58B4">
        <w:rPr>
          <w:rFonts w:ascii="Times New Roman" w:hAnsi="Times New Roman" w:cs="Times New Roman"/>
          <w:szCs w:val="24"/>
        </w:rPr>
        <w:t xml:space="preserve">07 r. K 47/05).   </w:t>
      </w:r>
    </w:p>
    <w:p w14:paraId="477CF912" w14:textId="77777777" w:rsidR="00AD0708" w:rsidRDefault="00AD0708" w:rsidP="00EE58B4">
      <w:pPr>
        <w:pStyle w:val="ARTartustawynprozporzdzenia"/>
        <w:spacing w:before="0"/>
        <w:rPr>
          <w:rStyle w:val="Ppogrubienie"/>
          <w:rFonts w:ascii="Times New Roman" w:hAnsi="Times New Roman" w:cs="Times New Roman"/>
          <w:szCs w:val="24"/>
        </w:rPr>
      </w:pPr>
    </w:p>
    <w:p w14:paraId="79BB19E3" w14:textId="77777777" w:rsidR="007E10DE" w:rsidRDefault="007E10DE" w:rsidP="00EE58B4">
      <w:pPr>
        <w:pStyle w:val="ARTartustawynprozporzdzenia"/>
        <w:spacing w:before="0"/>
        <w:rPr>
          <w:rStyle w:val="Ppogrubienie"/>
          <w:rFonts w:ascii="Times New Roman" w:hAnsi="Times New Roman" w:cs="Times New Roman"/>
          <w:szCs w:val="24"/>
        </w:rPr>
      </w:pPr>
    </w:p>
    <w:p w14:paraId="5974F91A" w14:textId="1CCB25CE" w:rsidR="004E3EE2" w:rsidRPr="00EE58B4" w:rsidRDefault="004E3EE2" w:rsidP="00EE58B4">
      <w:pPr>
        <w:pStyle w:val="ARTartustawynprozporzdzenia"/>
        <w:spacing w:before="0"/>
        <w:rPr>
          <w:rFonts w:ascii="Times New Roman" w:hAnsi="Times New Roman" w:cs="Times New Roman"/>
          <w:szCs w:val="24"/>
        </w:rPr>
      </w:pPr>
      <w:r w:rsidRPr="00EE58B4">
        <w:rPr>
          <w:rStyle w:val="Ppogrubienie"/>
          <w:rFonts w:ascii="Times New Roman" w:hAnsi="Times New Roman" w:cs="Times New Roman"/>
          <w:szCs w:val="24"/>
        </w:rPr>
        <w:lastRenderedPageBreak/>
        <w:t>Art.</w:t>
      </w:r>
      <w:r w:rsidRPr="00EE58B4">
        <w:rPr>
          <w:rFonts w:ascii="Times New Roman" w:hAnsi="Times New Roman" w:cs="Times New Roman"/>
          <w:szCs w:val="24"/>
        </w:rPr>
        <w:t xml:space="preserve"> </w:t>
      </w:r>
      <w:r w:rsidR="009A46AA">
        <w:rPr>
          <w:rStyle w:val="Ppogrubienie"/>
          <w:rFonts w:ascii="Times New Roman" w:hAnsi="Times New Roman" w:cs="Times New Roman"/>
          <w:szCs w:val="24"/>
        </w:rPr>
        <w:t>5</w:t>
      </w:r>
    </w:p>
    <w:p w14:paraId="48E34E56" w14:textId="52895D2A" w:rsidR="00E86BE1" w:rsidRPr="00EE58B4" w:rsidRDefault="004E3EE2" w:rsidP="00EE58B4">
      <w:pPr>
        <w:pStyle w:val="ARTartustawynprozporzdzenia"/>
        <w:spacing w:before="0"/>
        <w:rPr>
          <w:rFonts w:ascii="Times New Roman" w:hAnsi="Times New Roman" w:cs="Times New Roman"/>
          <w:szCs w:val="24"/>
        </w:rPr>
      </w:pPr>
      <w:r w:rsidRPr="00EE58B4">
        <w:rPr>
          <w:rFonts w:ascii="Times New Roman" w:hAnsi="Times New Roman" w:cs="Times New Roman"/>
          <w:szCs w:val="24"/>
        </w:rPr>
        <w:t xml:space="preserve">Analizowany przepis stanowi, że „Jeżeli po dniu wejścia w życie niniejszej ustawy brak jest podstaw prawnych do stosowania środka zapobiegawczego, środek taki należy niezwłocznie uchylić lub zmienić”. </w:t>
      </w:r>
      <w:r w:rsidRPr="00EE58B4">
        <w:rPr>
          <w:rFonts w:ascii="Times New Roman" w:eastAsia="Times New Roman" w:hAnsi="Times New Roman" w:cs="Times New Roman"/>
          <w:szCs w:val="24"/>
        </w:rPr>
        <w:t xml:space="preserve">Regulacja ta stanowi wyjątek od zasady, w myśl której czynności procesowe dokonane przed wejściem w życie nowej ustawy zachowują swoją skuteczność także później, o ile były dokonane z zachowaniem przepisów dotychczasowych. Nie powinno bowiem budzić wątpliwości, że stosowanie środków zapobiegawczych, jako ograniczających prawa i wolności obywatelskie, musi podlegać zasadzie ultima ratio a co za tym idzie, zostać </w:t>
      </w:r>
      <w:r w:rsidR="00EB7EF3" w:rsidRPr="00EE58B4">
        <w:rPr>
          <w:rFonts w:ascii="Times New Roman" w:eastAsia="Times New Roman" w:hAnsi="Times New Roman" w:cs="Times New Roman"/>
          <w:szCs w:val="24"/>
        </w:rPr>
        <w:t>zakończone,</w:t>
      </w:r>
      <w:r w:rsidRPr="00EE58B4">
        <w:rPr>
          <w:rFonts w:ascii="Times New Roman" w:eastAsia="Times New Roman" w:hAnsi="Times New Roman" w:cs="Times New Roman"/>
          <w:szCs w:val="24"/>
        </w:rPr>
        <w:t xml:space="preserve"> jeżeli ich dalsze stosowanie nie jest bezwzględnie konieczne lub dopuszczalne. </w:t>
      </w:r>
    </w:p>
    <w:p w14:paraId="399D8506" w14:textId="77777777" w:rsidR="00AD0708" w:rsidRDefault="00AD0708" w:rsidP="00EE58B4">
      <w:pPr>
        <w:pStyle w:val="NormalnyWeb"/>
        <w:spacing w:before="0" w:beforeAutospacing="0" w:after="0" w:afterAutospacing="0" w:line="360" w:lineRule="auto"/>
        <w:ind w:firstLine="510"/>
        <w:jc w:val="both"/>
        <w:rPr>
          <w:b/>
          <w:bCs/>
        </w:rPr>
      </w:pPr>
    </w:p>
    <w:p w14:paraId="049B8DE5" w14:textId="257D824D" w:rsidR="004E3EE2" w:rsidRPr="00EE58B4" w:rsidRDefault="004E3EE2" w:rsidP="00EE58B4">
      <w:pPr>
        <w:pStyle w:val="NormalnyWeb"/>
        <w:spacing w:before="0" w:beforeAutospacing="0" w:after="0" w:afterAutospacing="0" w:line="360" w:lineRule="auto"/>
        <w:ind w:firstLine="510"/>
        <w:jc w:val="both"/>
        <w:rPr>
          <w:b/>
          <w:bCs/>
        </w:rPr>
      </w:pPr>
      <w:r w:rsidRPr="00EE58B4">
        <w:rPr>
          <w:b/>
          <w:bCs/>
        </w:rPr>
        <w:t xml:space="preserve">Art. </w:t>
      </w:r>
      <w:r w:rsidR="009A46AA">
        <w:rPr>
          <w:b/>
          <w:bCs/>
        </w:rPr>
        <w:t>6</w:t>
      </w:r>
    </w:p>
    <w:p w14:paraId="1EA8D3D0" w14:textId="6F410DE4" w:rsidR="004E3EE2" w:rsidRPr="00EE58B4" w:rsidRDefault="004E3EE2" w:rsidP="008A7C0C">
      <w:pPr>
        <w:pStyle w:val="NormalnyWeb"/>
        <w:spacing w:before="0" w:beforeAutospacing="0" w:after="240" w:afterAutospacing="0" w:line="360" w:lineRule="auto"/>
        <w:ind w:firstLine="510"/>
        <w:jc w:val="both"/>
      </w:pPr>
      <w:r w:rsidRPr="00EE58B4">
        <w:t xml:space="preserve">Przyjęte w projekcie vacatio legis uwzględnia z jednej strony pilny charakter projektowanych zmian a z drugiej strony uwzględnia konieczność zapoznania się z treścią ustawy stosunkowo szerokiego kręgu adresatów. </w:t>
      </w:r>
    </w:p>
    <w:p w14:paraId="64FDFC06" w14:textId="77777777" w:rsidR="00EE58B4" w:rsidRPr="00EE58B4" w:rsidRDefault="00EE58B4" w:rsidP="008A7C0C">
      <w:pPr>
        <w:pStyle w:val="NormalnyWeb"/>
        <w:spacing w:before="0" w:beforeAutospacing="0" w:after="0" w:afterAutospacing="0" w:line="360" w:lineRule="auto"/>
        <w:jc w:val="both"/>
      </w:pPr>
      <w:r w:rsidRPr="00EE58B4">
        <w:t>Projektowana regulacja nie jest sprzeczna z zakresem prawa Unii Europejskiej.</w:t>
      </w:r>
    </w:p>
    <w:p w14:paraId="7EBA62D5" w14:textId="77777777" w:rsidR="00EE58B4" w:rsidRPr="00EE58B4" w:rsidRDefault="00EE58B4" w:rsidP="008A7C0C">
      <w:pPr>
        <w:pBdr>
          <w:top w:val="nil"/>
          <w:left w:val="nil"/>
          <w:bottom w:val="nil"/>
          <w:right w:val="nil"/>
          <w:between w:val="nil"/>
          <w:bar w:val="nil"/>
        </w:pBdr>
        <w:suppressAutoHyphens/>
        <w:contextualSpacing/>
        <w:rPr>
          <w:rFonts w:ascii="Times New Roman" w:eastAsia="Arial Unicode MS" w:hAnsi="Times New Roman" w:cs="Times New Roman"/>
          <w:color w:val="auto"/>
          <w:sz w:val="24"/>
          <w:u w:color="000000"/>
          <w:bdr w:val="nil"/>
        </w:rPr>
      </w:pPr>
      <w:r w:rsidRPr="00EE58B4">
        <w:rPr>
          <w:rFonts w:ascii="Times New Roman" w:eastAsia="Arial Unicode MS" w:hAnsi="Times New Roman" w:cs="Times New Roman"/>
          <w:color w:val="auto"/>
          <w:sz w:val="24"/>
          <w:u w:color="000000"/>
          <w:bdr w:val="nil"/>
          <w:lang w:eastAsia="pl-PL"/>
        </w:rPr>
        <w:t xml:space="preserve">Projekt nie wymaga przedstawienia właściwym organom i instytucjom Unii Europejskiej, w tym Europejskiemu Bankowi Centralnemu, w celu uzyskania opinii, dokonania powiadomienia, konsultacji albo uzgodnienia. </w:t>
      </w:r>
    </w:p>
    <w:p w14:paraId="7AC25261" w14:textId="77777777" w:rsidR="00EE58B4" w:rsidRPr="00EE58B4" w:rsidRDefault="00EE58B4" w:rsidP="00EE58B4">
      <w:pPr>
        <w:rPr>
          <w:rFonts w:ascii="Times New Roman" w:hAnsi="Times New Roman" w:cs="Times New Roman"/>
          <w:color w:val="auto"/>
          <w:sz w:val="24"/>
        </w:rPr>
      </w:pPr>
      <w:r w:rsidRPr="00EE58B4">
        <w:rPr>
          <w:rFonts w:ascii="Times New Roman" w:hAnsi="Times New Roman" w:cs="Times New Roman"/>
          <w:color w:val="auto"/>
          <w:sz w:val="24"/>
        </w:rPr>
        <w:t xml:space="preserve">Projekt nie zawiera przepisów technicznych, zatem nie podlega procedurze notyfikacji zgodnie z trybem przewidzianym w rozporządzeniu Rady Ministrów z dnia 23 grudnia 2002 r. </w:t>
      </w:r>
      <w:r w:rsidRPr="00EE58B4">
        <w:rPr>
          <w:rFonts w:ascii="Times New Roman" w:hAnsi="Times New Roman" w:cs="Times New Roman"/>
          <w:iCs/>
          <w:color w:val="auto"/>
          <w:sz w:val="24"/>
        </w:rPr>
        <w:t>w sprawie sposobu funkcjonowania krajowego systemu notyfikacji norm i aktów prawnych</w:t>
      </w:r>
      <w:r w:rsidRPr="00EE58B4">
        <w:rPr>
          <w:rFonts w:ascii="Times New Roman" w:hAnsi="Times New Roman" w:cs="Times New Roman"/>
          <w:color w:val="auto"/>
          <w:sz w:val="24"/>
        </w:rPr>
        <w:t xml:space="preserve"> (Dz. U. poz. 2039, z </w:t>
      </w:r>
      <w:proofErr w:type="spellStart"/>
      <w:r w:rsidRPr="00EE58B4">
        <w:rPr>
          <w:rFonts w:ascii="Times New Roman" w:hAnsi="Times New Roman" w:cs="Times New Roman"/>
          <w:color w:val="auto"/>
          <w:sz w:val="24"/>
        </w:rPr>
        <w:t>późn</w:t>
      </w:r>
      <w:proofErr w:type="spellEnd"/>
      <w:r w:rsidRPr="00EE58B4">
        <w:rPr>
          <w:rFonts w:ascii="Times New Roman" w:hAnsi="Times New Roman" w:cs="Times New Roman"/>
          <w:color w:val="auto"/>
          <w:sz w:val="24"/>
        </w:rPr>
        <w:t>. zm.).</w:t>
      </w:r>
    </w:p>
    <w:p w14:paraId="76AD7CB9" w14:textId="77777777" w:rsidR="00EE58B4" w:rsidRPr="00EE58B4" w:rsidRDefault="00EE58B4" w:rsidP="008A7C0C">
      <w:pPr>
        <w:rPr>
          <w:rFonts w:ascii="Times New Roman" w:hAnsi="Times New Roman" w:cs="Times New Roman"/>
          <w:color w:val="auto"/>
          <w:sz w:val="24"/>
        </w:rPr>
      </w:pPr>
      <w:r w:rsidRPr="00EE58B4">
        <w:rPr>
          <w:rFonts w:ascii="Times New Roman" w:hAnsi="Times New Roman" w:cs="Times New Roman"/>
          <w:color w:val="auto"/>
          <w:sz w:val="24"/>
        </w:rPr>
        <w:t xml:space="preserve">Zawarte w projekcie regulacje nie będą miały wpływu na działalność </w:t>
      </w:r>
      <w:proofErr w:type="spellStart"/>
      <w:r w:rsidRPr="00EE58B4">
        <w:rPr>
          <w:rFonts w:ascii="Times New Roman" w:hAnsi="Times New Roman" w:cs="Times New Roman"/>
          <w:color w:val="auto"/>
          <w:sz w:val="24"/>
        </w:rPr>
        <w:t>mikroprzedsiębiorców</w:t>
      </w:r>
      <w:proofErr w:type="spellEnd"/>
      <w:r w:rsidRPr="00EE58B4">
        <w:rPr>
          <w:rFonts w:ascii="Times New Roman" w:hAnsi="Times New Roman" w:cs="Times New Roman"/>
          <w:color w:val="auto"/>
          <w:sz w:val="24"/>
        </w:rPr>
        <w:t xml:space="preserve">, małych i średnich przedsiębiorców, o których mowa w ustawie z dnia 6 marca 2018 r. – Prawo przedsiębiorców (Dz. U. z 2024 r. poz. 236, z </w:t>
      </w:r>
      <w:proofErr w:type="spellStart"/>
      <w:r w:rsidRPr="00EE58B4">
        <w:rPr>
          <w:rFonts w:ascii="Times New Roman" w:hAnsi="Times New Roman" w:cs="Times New Roman"/>
          <w:color w:val="auto"/>
          <w:sz w:val="24"/>
        </w:rPr>
        <w:t>późn</w:t>
      </w:r>
      <w:proofErr w:type="spellEnd"/>
      <w:r w:rsidRPr="00EE58B4">
        <w:rPr>
          <w:rFonts w:ascii="Times New Roman" w:hAnsi="Times New Roman" w:cs="Times New Roman"/>
          <w:color w:val="auto"/>
          <w:sz w:val="24"/>
        </w:rPr>
        <w:t>. zm.).</w:t>
      </w:r>
    </w:p>
    <w:p w14:paraId="6DF6EB62" w14:textId="7B57E9B3" w:rsidR="00EE58B4" w:rsidRPr="00EE58B4" w:rsidRDefault="00EE58B4" w:rsidP="008A7C0C">
      <w:pPr>
        <w:rPr>
          <w:rFonts w:ascii="Times New Roman" w:hAnsi="Times New Roman" w:cs="Times New Roman"/>
          <w:color w:val="auto"/>
          <w:sz w:val="24"/>
        </w:rPr>
      </w:pPr>
      <w:r w:rsidRPr="00EE58B4">
        <w:rPr>
          <w:rFonts w:ascii="Times New Roman" w:eastAsia="Times New Roman" w:hAnsi="Times New Roman" w:cs="Times New Roman"/>
          <w:bCs/>
          <w:color w:val="auto"/>
          <w:kern w:val="0"/>
          <w:sz w:val="24"/>
          <w:lang w:eastAsia="pl-PL"/>
          <w14:ligatures w14:val="none"/>
        </w:rPr>
        <w:t>Projekt nie zawiera przepisów regulacyjnych lub przepisów określających wymogi dotyczące świadczenia usług transgranicznych w rozumieniu ustawy z dnia 22 grudnia 2015 r. o zasadach uznawania kwalifikacji zawodowych nabytych w państwach członkowskich Unii Europejskiej (Dz. U. z 2023 r. poz. 334).</w:t>
      </w:r>
    </w:p>
    <w:p w14:paraId="2E63417E" w14:textId="77777777" w:rsidR="00EE58B4" w:rsidRPr="00EE58B4" w:rsidRDefault="00EE58B4" w:rsidP="00EE58B4">
      <w:pPr>
        <w:pStyle w:val="NormalnyWeb"/>
        <w:spacing w:before="0" w:beforeAutospacing="0" w:after="0" w:afterAutospacing="0" w:line="360" w:lineRule="auto"/>
        <w:ind w:firstLine="510"/>
        <w:jc w:val="both"/>
      </w:pPr>
    </w:p>
    <w:p w14:paraId="6DF900AB" w14:textId="59070394" w:rsidR="004E3EE2" w:rsidRPr="00EE58B4" w:rsidRDefault="004E3EE2" w:rsidP="00EE58B4">
      <w:pPr>
        <w:rPr>
          <w:rFonts w:ascii="Times New Roman" w:hAnsi="Times New Roman" w:cs="Times New Roman"/>
          <w:b/>
          <w:bCs/>
          <w:color w:val="auto"/>
          <w:sz w:val="24"/>
        </w:rPr>
      </w:pPr>
    </w:p>
    <w:sectPr w:rsidR="004E3EE2" w:rsidRPr="00EE58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B923" w14:textId="77777777" w:rsidR="00FE6F01" w:rsidRDefault="00FE6F01" w:rsidP="00B2324B">
      <w:pPr>
        <w:spacing w:line="240" w:lineRule="auto"/>
      </w:pPr>
      <w:r>
        <w:separator/>
      </w:r>
    </w:p>
  </w:endnote>
  <w:endnote w:type="continuationSeparator" w:id="0">
    <w:p w14:paraId="5FFC5496" w14:textId="77777777" w:rsidR="00FE6F01" w:rsidRDefault="00FE6F01" w:rsidP="00B23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8193"/>
      <w:docPartObj>
        <w:docPartGallery w:val="Page Numbers (Bottom of Page)"/>
        <w:docPartUnique/>
      </w:docPartObj>
    </w:sdtPr>
    <w:sdtEndPr/>
    <w:sdtContent>
      <w:p w14:paraId="6B041D1F" w14:textId="25157679" w:rsidR="00B2324B" w:rsidRDefault="00B2324B">
        <w:pPr>
          <w:pStyle w:val="Stopka"/>
          <w:jc w:val="center"/>
        </w:pPr>
        <w:r>
          <w:fldChar w:fldCharType="begin"/>
        </w:r>
        <w:r>
          <w:instrText>PAGE   \* MERGEFORMAT</w:instrText>
        </w:r>
        <w:r>
          <w:fldChar w:fldCharType="separate"/>
        </w:r>
        <w:r>
          <w:t>2</w:t>
        </w:r>
        <w:r>
          <w:fldChar w:fldCharType="end"/>
        </w:r>
      </w:p>
    </w:sdtContent>
  </w:sdt>
  <w:p w14:paraId="43F8D2AD" w14:textId="77777777" w:rsidR="00B2324B" w:rsidRDefault="00B232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646B" w14:textId="77777777" w:rsidR="00FE6F01" w:rsidRDefault="00FE6F01" w:rsidP="00B2324B">
      <w:pPr>
        <w:spacing w:line="240" w:lineRule="auto"/>
      </w:pPr>
      <w:r>
        <w:separator/>
      </w:r>
    </w:p>
  </w:footnote>
  <w:footnote w:type="continuationSeparator" w:id="0">
    <w:p w14:paraId="427863F1" w14:textId="77777777" w:rsidR="00FE6F01" w:rsidRDefault="00FE6F01" w:rsidP="00B232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13CC"/>
    <w:multiLevelType w:val="hybridMultilevel"/>
    <w:tmpl w:val="3DEE5190"/>
    <w:lvl w:ilvl="0" w:tplc="320C6308">
      <w:start w:val="1"/>
      <w:numFmt w:val="decimal"/>
      <w:lvlText w:val="%1."/>
      <w:lvlJc w:val="left"/>
      <w:pPr>
        <w:ind w:left="360" w:hanging="360"/>
      </w:pPr>
      <w:rPr>
        <w:rFonts w:cs="Times New Roman" w:hint="default"/>
        <w:color w:val="auto"/>
      </w:rPr>
    </w:lvl>
    <w:lvl w:ilvl="1" w:tplc="0415000F">
      <w:start w:val="1"/>
      <w:numFmt w:val="decimal"/>
      <w:lvlText w:val="%2."/>
      <w:lvlJc w:val="left"/>
      <w:pPr>
        <w:ind w:left="502" w:hanging="360"/>
      </w:p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36A45F42"/>
    <w:multiLevelType w:val="hybridMultilevel"/>
    <w:tmpl w:val="AB7C5126"/>
    <w:lvl w:ilvl="0" w:tplc="99562558">
      <w:start w:val="1"/>
      <w:numFmt w:val="decimal"/>
      <w:lvlText w:val="%1."/>
      <w:lvlJc w:val="left"/>
      <w:pPr>
        <w:ind w:left="720" w:hanging="360"/>
      </w:pPr>
      <w:rPr>
        <w:rFonts w:hint="default"/>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3E0B53"/>
    <w:multiLevelType w:val="hybridMultilevel"/>
    <w:tmpl w:val="4BD6CFE4"/>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num w:numId="1" w16cid:durableId="665866324">
    <w:abstractNumId w:val="0"/>
  </w:num>
  <w:num w:numId="2" w16cid:durableId="1986469727">
    <w:abstractNumId w:val="1"/>
  </w:num>
  <w:num w:numId="3" w16cid:durableId="25867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05"/>
    <w:rsid w:val="00025905"/>
    <w:rsid w:val="00070581"/>
    <w:rsid w:val="00074963"/>
    <w:rsid w:val="0007775F"/>
    <w:rsid w:val="000B19B9"/>
    <w:rsid w:val="000C2530"/>
    <w:rsid w:val="000E38DF"/>
    <w:rsid w:val="00242537"/>
    <w:rsid w:val="002B1058"/>
    <w:rsid w:val="002F78A3"/>
    <w:rsid w:val="0034692D"/>
    <w:rsid w:val="003F5FA5"/>
    <w:rsid w:val="00492856"/>
    <w:rsid w:val="004A25FD"/>
    <w:rsid w:val="004B188E"/>
    <w:rsid w:val="004E3EE2"/>
    <w:rsid w:val="00550A47"/>
    <w:rsid w:val="0057349E"/>
    <w:rsid w:val="00590594"/>
    <w:rsid w:val="006005CC"/>
    <w:rsid w:val="00610CFA"/>
    <w:rsid w:val="006176B2"/>
    <w:rsid w:val="00674BA2"/>
    <w:rsid w:val="006B4C2D"/>
    <w:rsid w:val="006F3CDA"/>
    <w:rsid w:val="007440A4"/>
    <w:rsid w:val="007516A9"/>
    <w:rsid w:val="007D4584"/>
    <w:rsid w:val="007E10DE"/>
    <w:rsid w:val="007F0F44"/>
    <w:rsid w:val="0082514E"/>
    <w:rsid w:val="0087261C"/>
    <w:rsid w:val="008732D5"/>
    <w:rsid w:val="008A7C0C"/>
    <w:rsid w:val="008B00CD"/>
    <w:rsid w:val="00900DF8"/>
    <w:rsid w:val="009307AB"/>
    <w:rsid w:val="009378E9"/>
    <w:rsid w:val="009A09E5"/>
    <w:rsid w:val="009A27D7"/>
    <w:rsid w:val="009A46AA"/>
    <w:rsid w:val="00A3549A"/>
    <w:rsid w:val="00A37BBF"/>
    <w:rsid w:val="00A40642"/>
    <w:rsid w:val="00A66F03"/>
    <w:rsid w:val="00AD0708"/>
    <w:rsid w:val="00AD2EB4"/>
    <w:rsid w:val="00AF3912"/>
    <w:rsid w:val="00B2324B"/>
    <w:rsid w:val="00C34A17"/>
    <w:rsid w:val="00CD1528"/>
    <w:rsid w:val="00D064CA"/>
    <w:rsid w:val="00D71140"/>
    <w:rsid w:val="00DC2F56"/>
    <w:rsid w:val="00DC7DA1"/>
    <w:rsid w:val="00DE4362"/>
    <w:rsid w:val="00E505A2"/>
    <w:rsid w:val="00E85974"/>
    <w:rsid w:val="00E86BE1"/>
    <w:rsid w:val="00E94EFE"/>
    <w:rsid w:val="00EB7EF3"/>
    <w:rsid w:val="00EC4999"/>
    <w:rsid w:val="00EE58B4"/>
    <w:rsid w:val="00F20278"/>
    <w:rsid w:val="00F51DF2"/>
    <w:rsid w:val="00F6224C"/>
    <w:rsid w:val="00FE6937"/>
    <w:rsid w:val="00FE6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89F4"/>
  <w15:chartTrackingRefBased/>
  <w15:docId w15:val="{E009B309-931D-452A-A633-D8F109EA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24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5905"/>
    <w:pPr>
      <w:spacing w:before="0" w:after="0"/>
    </w:pPr>
    <w:rPr>
      <w:rFonts w:ascii="Arial" w:hAnsi="Arial"/>
      <w:color w:val="000000" w:themeColor="text1"/>
      <w:szCs w:val="24"/>
    </w:rPr>
  </w:style>
  <w:style w:type="paragraph" w:styleId="Nagwek1">
    <w:name w:val="heading 1"/>
    <w:basedOn w:val="Normalny"/>
    <w:next w:val="Normalny"/>
    <w:link w:val="Nagwek1Znak"/>
    <w:uiPriority w:val="9"/>
    <w:qFormat/>
    <w:rsid w:val="00025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5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59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59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59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590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590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590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590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59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59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59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59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59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59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59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59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5905"/>
    <w:rPr>
      <w:rFonts w:eastAsiaTheme="majorEastAsia" w:cstheme="majorBidi"/>
      <w:color w:val="272727" w:themeColor="text1" w:themeTint="D8"/>
    </w:rPr>
  </w:style>
  <w:style w:type="paragraph" w:styleId="Tytu">
    <w:name w:val="Title"/>
    <w:basedOn w:val="Normalny"/>
    <w:next w:val="Normalny"/>
    <w:link w:val="TytuZnak"/>
    <w:uiPriority w:val="10"/>
    <w:qFormat/>
    <w:rsid w:val="0002590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59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590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59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590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25905"/>
    <w:rPr>
      <w:i/>
      <w:iCs/>
      <w:color w:val="404040" w:themeColor="text1" w:themeTint="BF"/>
    </w:rPr>
  </w:style>
  <w:style w:type="paragraph" w:styleId="Akapitzlist">
    <w:name w:val="List Paragraph"/>
    <w:basedOn w:val="Normalny"/>
    <w:uiPriority w:val="34"/>
    <w:qFormat/>
    <w:rsid w:val="00025905"/>
    <w:pPr>
      <w:ind w:left="720"/>
      <w:contextualSpacing/>
    </w:pPr>
  </w:style>
  <w:style w:type="character" w:styleId="Wyrnienieintensywne">
    <w:name w:val="Intense Emphasis"/>
    <w:basedOn w:val="Domylnaczcionkaakapitu"/>
    <w:uiPriority w:val="21"/>
    <w:qFormat/>
    <w:rsid w:val="00025905"/>
    <w:rPr>
      <w:i/>
      <w:iCs/>
      <w:color w:val="0F4761" w:themeColor="accent1" w:themeShade="BF"/>
    </w:rPr>
  </w:style>
  <w:style w:type="paragraph" w:styleId="Cytatintensywny">
    <w:name w:val="Intense Quote"/>
    <w:basedOn w:val="Normalny"/>
    <w:next w:val="Normalny"/>
    <w:link w:val="CytatintensywnyZnak"/>
    <w:uiPriority w:val="30"/>
    <w:qFormat/>
    <w:rsid w:val="00025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5905"/>
    <w:rPr>
      <w:i/>
      <w:iCs/>
      <w:color w:val="0F4761" w:themeColor="accent1" w:themeShade="BF"/>
    </w:rPr>
  </w:style>
  <w:style w:type="character" w:styleId="Odwoanieintensywne">
    <w:name w:val="Intense Reference"/>
    <w:basedOn w:val="Domylnaczcionkaakapitu"/>
    <w:uiPriority w:val="32"/>
    <w:qFormat/>
    <w:rsid w:val="00025905"/>
    <w:rPr>
      <w:b/>
      <w:bCs/>
      <w:smallCaps/>
      <w:color w:val="0F4761" w:themeColor="accent1" w:themeShade="BF"/>
      <w:spacing w:val="5"/>
    </w:rPr>
  </w:style>
  <w:style w:type="character" w:styleId="Hipercze">
    <w:name w:val="Hyperlink"/>
    <w:basedOn w:val="Domylnaczcionkaakapitu"/>
    <w:uiPriority w:val="99"/>
    <w:unhideWhenUsed/>
    <w:rsid w:val="008B00CD"/>
    <w:rPr>
      <w:color w:val="467886" w:themeColor="hyperlink"/>
      <w:u w:val="single"/>
    </w:rPr>
  </w:style>
  <w:style w:type="character" w:styleId="Nierozpoznanawzmianka">
    <w:name w:val="Unresolved Mention"/>
    <w:basedOn w:val="Domylnaczcionkaakapitu"/>
    <w:uiPriority w:val="99"/>
    <w:semiHidden/>
    <w:unhideWhenUsed/>
    <w:rsid w:val="008B00CD"/>
    <w:rPr>
      <w:color w:val="605E5C"/>
      <w:shd w:val="clear" w:color="auto" w:fill="E1DFDD"/>
    </w:rPr>
  </w:style>
  <w:style w:type="paragraph" w:customStyle="1" w:styleId="Akapitzlist1">
    <w:name w:val="Akapit z listą1"/>
    <w:basedOn w:val="Normalny"/>
    <w:rsid w:val="00CD1528"/>
    <w:pPr>
      <w:spacing w:after="160" w:line="259" w:lineRule="auto"/>
      <w:ind w:left="720"/>
      <w:contextualSpacing/>
      <w:jc w:val="left"/>
    </w:pPr>
    <w:rPr>
      <w:rFonts w:ascii="Calibri" w:eastAsia="Times New Roman" w:hAnsi="Calibri" w:cs="Times New Roman"/>
      <w:color w:val="auto"/>
      <w:kern w:val="0"/>
      <w:szCs w:val="22"/>
      <w14:ligatures w14:val="none"/>
    </w:rPr>
  </w:style>
  <w:style w:type="paragraph" w:customStyle="1" w:styleId="ZUSTzmustartykuempunktem">
    <w:name w:val="Z/UST(§) – zm. ust. (§) artykułem (punktem)"/>
    <w:basedOn w:val="Normalny"/>
    <w:uiPriority w:val="30"/>
    <w:qFormat/>
    <w:rsid w:val="0034692D"/>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PKTpunkt">
    <w:name w:val="PKT – punkt"/>
    <w:uiPriority w:val="13"/>
    <w:qFormat/>
    <w:rsid w:val="0034692D"/>
    <w:pPr>
      <w:spacing w:before="0" w:after="0"/>
      <w:ind w:left="510" w:hanging="510"/>
    </w:pPr>
    <w:rPr>
      <w:rFonts w:ascii="Times" w:eastAsiaTheme="minorEastAsia" w:hAnsi="Times" w:cs="Arial"/>
      <w:bCs/>
      <w:kern w:val="0"/>
      <w:sz w:val="24"/>
      <w:szCs w:val="20"/>
      <w:lang w:eastAsia="pl-PL"/>
      <w14:ligatures w14:val="none"/>
    </w:rPr>
  </w:style>
  <w:style w:type="paragraph" w:styleId="Tekstprzypisudolnego">
    <w:name w:val="footnote text"/>
    <w:aliases w:val="Tekst przypisu,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unhideWhenUsed/>
    <w:qFormat/>
    <w:rsid w:val="000E38DF"/>
    <w:pPr>
      <w:spacing w:line="240" w:lineRule="auto"/>
      <w:jc w:val="left"/>
    </w:pPr>
    <w:rPr>
      <w:rFonts w:asciiTheme="minorHAnsi" w:hAnsiTheme="minorHAnsi"/>
      <w:color w:val="auto"/>
      <w:kern w:val="0"/>
      <w:sz w:val="20"/>
      <w:szCs w:val="20"/>
      <w14:ligatures w14:val="none"/>
    </w:rPr>
  </w:style>
  <w:style w:type="character" w:customStyle="1" w:styleId="TekstprzypisudolnegoZnak">
    <w:name w:val="Tekst przypisu dolnego Znak"/>
    <w:aliases w:val="Tekst przypisu Znak,Podrozdział Znak,Footnote Znak,Podrozdzia3 Znak,Tekst przypisu Znak Znak Znak Znak Znak1,Tekst przypisu Znak Znak Znak Znak Znak Znak,Tekst przypisu Znak Znak Znak Znak Znak Znak Znak Znak"/>
    <w:basedOn w:val="Domylnaczcionkaakapitu"/>
    <w:link w:val="Tekstprzypisudolnego"/>
    <w:uiPriority w:val="99"/>
    <w:rsid w:val="000E38DF"/>
    <w:rPr>
      <w:kern w:val="0"/>
      <w:sz w:val="20"/>
      <w:szCs w:val="20"/>
      <w14:ligatures w14:val="none"/>
    </w:rPr>
  </w:style>
  <w:style w:type="character" w:styleId="Odwoanieprzypisudolnego">
    <w:name w:val="footnote reference"/>
    <w:aliases w:val="FZ,Odwołanie przypisu,(Voetnootmarkering),OZNAKA OPOMBE,przypisy dolne"/>
    <w:basedOn w:val="Domylnaczcionkaakapitu"/>
    <w:uiPriority w:val="99"/>
    <w:unhideWhenUsed/>
    <w:rsid w:val="006B4C2D"/>
    <w:rPr>
      <w:vertAlign w:val="superscript"/>
    </w:rPr>
  </w:style>
  <w:style w:type="paragraph" w:customStyle="1" w:styleId="ZARTzmartartykuempunktem">
    <w:name w:val="Z/ART(§) – zm. art. (§) artykułem (punktem)"/>
    <w:basedOn w:val="Normalny"/>
    <w:uiPriority w:val="30"/>
    <w:qFormat/>
    <w:rsid w:val="006B4C2D"/>
    <w:pPr>
      <w:suppressAutoHyphens/>
      <w:autoSpaceDE w:val="0"/>
      <w:autoSpaceDN w:val="0"/>
      <w:adjustRightInd w:val="0"/>
      <w:ind w:left="510" w:firstLine="510"/>
    </w:pPr>
    <w:rPr>
      <w:rFonts w:ascii="Times" w:eastAsiaTheme="minorEastAsia" w:hAnsi="Times" w:cs="Arial"/>
      <w:color w:val="auto"/>
      <w:kern w:val="0"/>
      <w:sz w:val="24"/>
      <w:szCs w:val="20"/>
      <w:lang w:eastAsia="pl-PL"/>
      <w14:ligatures w14:val="none"/>
    </w:rPr>
  </w:style>
  <w:style w:type="paragraph" w:customStyle="1" w:styleId="footnotedescription">
    <w:name w:val="footnote description"/>
    <w:next w:val="Normalny"/>
    <w:link w:val="footnotedescriptionChar"/>
    <w:hidden/>
    <w:rsid w:val="006B4C2D"/>
    <w:pPr>
      <w:spacing w:before="0" w:after="0" w:line="259" w:lineRule="auto"/>
      <w:jc w:val="left"/>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B4C2D"/>
    <w:rPr>
      <w:rFonts w:ascii="Calibri" w:eastAsia="Calibri" w:hAnsi="Calibri" w:cs="Calibri"/>
      <w:color w:val="000000"/>
      <w:sz w:val="20"/>
      <w:lang w:eastAsia="pl-PL"/>
    </w:rPr>
  </w:style>
  <w:style w:type="paragraph" w:styleId="NormalnyWeb">
    <w:name w:val="Normal (Web)"/>
    <w:basedOn w:val="Normalny"/>
    <w:uiPriority w:val="99"/>
    <w:unhideWhenUsed/>
    <w:rsid w:val="00E86BE1"/>
    <w:pPr>
      <w:spacing w:before="100" w:beforeAutospacing="1" w:after="100" w:afterAutospacing="1" w:line="240" w:lineRule="auto"/>
      <w:jc w:val="left"/>
    </w:pPr>
    <w:rPr>
      <w:rFonts w:ascii="Times New Roman" w:eastAsia="Times New Roman" w:hAnsi="Times New Roman" w:cs="Times New Roman"/>
      <w:color w:val="auto"/>
      <w:kern w:val="0"/>
      <w:sz w:val="24"/>
      <w:lang w:eastAsia="pl-PL"/>
      <w14:ligatures w14:val="none"/>
    </w:rPr>
  </w:style>
  <w:style w:type="paragraph" w:customStyle="1" w:styleId="ARTartustawynprozporzdzenia">
    <w:name w:val="ART(§) – art. ustawy (§ np. rozporządzenia)"/>
    <w:link w:val="ARTartustawynprozporzdzeniaZnak"/>
    <w:uiPriority w:val="11"/>
    <w:qFormat/>
    <w:rsid w:val="00E86BE1"/>
    <w:pPr>
      <w:suppressAutoHyphens/>
      <w:autoSpaceDE w:val="0"/>
      <w:autoSpaceDN w:val="0"/>
      <w:adjustRightInd w:val="0"/>
      <w:spacing w:before="120" w:after="0"/>
      <w:ind w:firstLine="510"/>
    </w:pPr>
    <w:rPr>
      <w:rFonts w:ascii="Times" w:eastAsiaTheme="minorEastAsia" w:hAnsi="Times" w:cs="Arial"/>
      <w:kern w:val="0"/>
      <w:sz w:val="24"/>
      <w:szCs w:val="20"/>
      <w:lang w:eastAsia="pl-PL"/>
      <w14:ligatures w14:val="none"/>
    </w:rPr>
  </w:style>
  <w:style w:type="character" w:customStyle="1" w:styleId="Ppogrubienie">
    <w:name w:val="_P_ – pogrubienie"/>
    <w:basedOn w:val="Domylnaczcionkaakapitu"/>
    <w:uiPriority w:val="1"/>
    <w:qFormat/>
    <w:rsid w:val="00E86BE1"/>
    <w:rPr>
      <w:b/>
    </w:rPr>
  </w:style>
  <w:style w:type="character" w:customStyle="1" w:styleId="ARTartustawynprozporzdzeniaZnak">
    <w:name w:val="ART(§) – art. ustawy (§ np. rozporządzenia) Znak"/>
    <w:link w:val="ARTartustawynprozporzdzenia"/>
    <w:uiPriority w:val="11"/>
    <w:locked/>
    <w:rsid w:val="00E86BE1"/>
    <w:rPr>
      <w:rFonts w:ascii="Times" w:eastAsiaTheme="minorEastAsia" w:hAnsi="Times" w:cs="Arial"/>
      <w:kern w:val="0"/>
      <w:sz w:val="24"/>
      <w:szCs w:val="20"/>
      <w:lang w:eastAsia="pl-PL"/>
      <w14:ligatures w14:val="none"/>
    </w:rPr>
  </w:style>
  <w:style w:type="character" w:customStyle="1" w:styleId="highlight">
    <w:name w:val="highlight"/>
    <w:basedOn w:val="Domylnaczcionkaakapitu"/>
    <w:rsid w:val="004E3EE2"/>
  </w:style>
  <w:style w:type="paragraph" w:styleId="Nagwek">
    <w:name w:val="header"/>
    <w:basedOn w:val="Normalny"/>
    <w:link w:val="NagwekZnak"/>
    <w:uiPriority w:val="99"/>
    <w:unhideWhenUsed/>
    <w:rsid w:val="00B2324B"/>
    <w:pPr>
      <w:tabs>
        <w:tab w:val="center" w:pos="4536"/>
        <w:tab w:val="right" w:pos="9072"/>
      </w:tabs>
      <w:spacing w:line="240" w:lineRule="auto"/>
    </w:pPr>
  </w:style>
  <w:style w:type="character" w:customStyle="1" w:styleId="NagwekZnak">
    <w:name w:val="Nagłówek Znak"/>
    <w:basedOn w:val="Domylnaczcionkaakapitu"/>
    <w:link w:val="Nagwek"/>
    <w:uiPriority w:val="99"/>
    <w:rsid w:val="00B2324B"/>
    <w:rPr>
      <w:rFonts w:ascii="Arial" w:hAnsi="Arial"/>
      <w:color w:val="000000" w:themeColor="text1"/>
      <w:szCs w:val="24"/>
    </w:rPr>
  </w:style>
  <w:style w:type="paragraph" w:styleId="Stopka">
    <w:name w:val="footer"/>
    <w:basedOn w:val="Normalny"/>
    <w:link w:val="StopkaZnak"/>
    <w:uiPriority w:val="99"/>
    <w:unhideWhenUsed/>
    <w:rsid w:val="00B2324B"/>
    <w:pPr>
      <w:tabs>
        <w:tab w:val="center" w:pos="4536"/>
        <w:tab w:val="right" w:pos="9072"/>
      </w:tabs>
      <w:spacing w:line="240" w:lineRule="auto"/>
    </w:pPr>
  </w:style>
  <w:style w:type="character" w:customStyle="1" w:styleId="StopkaZnak">
    <w:name w:val="Stopka Znak"/>
    <w:basedOn w:val="Domylnaczcionkaakapitu"/>
    <w:link w:val="Stopka"/>
    <w:uiPriority w:val="99"/>
    <w:rsid w:val="00B2324B"/>
    <w:rPr>
      <w:rFonts w:ascii="Arial" w:hAnsi="Arial"/>
      <w:color w:val="000000" w:themeColor="text1"/>
      <w:szCs w:val="24"/>
    </w:rPr>
  </w:style>
  <w:style w:type="paragraph" w:styleId="Poprawka">
    <w:name w:val="Revision"/>
    <w:hidden/>
    <w:uiPriority w:val="99"/>
    <w:semiHidden/>
    <w:rsid w:val="009307AB"/>
    <w:pPr>
      <w:spacing w:before="0" w:after="0" w:line="240" w:lineRule="auto"/>
      <w:jc w:val="left"/>
    </w:pPr>
    <w:rPr>
      <w:rFonts w:ascii="Arial" w:hAnsi="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6520">
      <w:bodyDiv w:val="1"/>
      <w:marLeft w:val="0"/>
      <w:marRight w:val="0"/>
      <w:marTop w:val="0"/>
      <w:marBottom w:val="0"/>
      <w:divBdr>
        <w:top w:val="none" w:sz="0" w:space="0" w:color="auto"/>
        <w:left w:val="none" w:sz="0" w:space="0" w:color="auto"/>
        <w:bottom w:val="none" w:sz="0" w:space="0" w:color="auto"/>
        <w:right w:val="none" w:sz="0" w:space="0" w:color="auto"/>
      </w:divBdr>
    </w:div>
    <w:div w:id="10377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u2tsojvge4dmltqmfyc4mzvhaytambtg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FBE5-79C1-4EAD-ADE8-CD541D5A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4734</Words>
  <Characters>28406</Characters>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2025-03-04T11:46:00Z</cp:lastPrinted>
  <dcterms:created xsi:type="dcterms:W3CDTF">2025-03-10T10:18:00Z</dcterms:created>
  <dcterms:modified xsi:type="dcterms:W3CDTF">2025-03-10T10:18:00Z</dcterms:modified>
</cp:coreProperties>
</file>