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EC5A" w14:textId="77777777" w:rsidR="00C156EE" w:rsidRDefault="00C156EE" w:rsidP="000939A8">
      <w:pPr>
        <w:pStyle w:val="OZNPROJEKTUwskazaniedatylubwersjiprojektu"/>
      </w:pPr>
      <w:r>
        <w:t>projekt</w:t>
      </w:r>
    </w:p>
    <w:p w14:paraId="7E7024AA" w14:textId="77777777" w:rsidR="00C156EE" w:rsidRDefault="00C156EE" w:rsidP="00512623">
      <w:pPr>
        <w:pStyle w:val="OZNRODZAKTUtznustawalubrozporzdzenieiorganwydajcy"/>
      </w:pPr>
      <w:r>
        <w:t>USTAWA</w:t>
      </w:r>
    </w:p>
    <w:p w14:paraId="2F3B8425" w14:textId="77777777" w:rsidR="00C156EE" w:rsidRDefault="00C156EE" w:rsidP="00512623">
      <w:pPr>
        <w:pStyle w:val="DATAAKTUdatauchwalenialubwydaniaaktu"/>
      </w:pPr>
      <w:r>
        <w:t>z dnia</w:t>
      </w:r>
    </w:p>
    <w:p w14:paraId="194958FC" w14:textId="77777777" w:rsidR="00C156EE" w:rsidRDefault="00C156EE" w:rsidP="00D47F16">
      <w:pPr>
        <w:pStyle w:val="TYTUAKTUprzedmiotregulacjiustawylubrozporzdzenia"/>
      </w:pPr>
      <w:bookmarkStart w:id="0" w:name="_Hlk181704417"/>
      <w:r>
        <w:t xml:space="preserve">o zmianie ustawy o emeryturach i rentach z Funduszu Ubezpieczeń Społecznych </w:t>
      </w:r>
      <w:r>
        <w:br/>
        <w:t>oraz ustawy o emeryturach pomostowych</w:t>
      </w:r>
    </w:p>
    <w:bookmarkEnd w:id="0"/>
    <w:p w14:paraId="2DE77159" w14:textId="77777777" w:rsidR="00C156EE" w:rsidRDefault="00C156EE" w:rsidP="00512623">
      <w:pPr>
        <w:pStyle w:val="ARTartustawynprozporzdzenia"/>
      </w:pPr>
      <w:r w:rsidRPr="000939A8">
        <w:rPr>
          <w:rStyle w:val="Ppogrubienie"/>
        </w:rPr>
        <w:t>Art. 1.</w:t>
      </w:r>
      <w:r>
        <w:t xml:space="preserve"> W ustawie</w:t>
      </w:r>
      <w:r w:rsidRPr="00512623">
        <w:t xml:space="preserve"> z dnia 17 grudnia 1998 r. o emeryturach i rentach z Funduszu Ubezpieczeń</w:t>
      </w:r>
      <w:r>
        <w:t xml:space="preserve"> </w:t>
      </w:r>
      <w:r w:rsidRPr="00512623">
        <w:t>Społecznych (Dz. U. z 202</w:t>
      </w:r>
      <w:r>
        <w:t>4</w:t>
      </w:r>
      <w:r w:rsidRPr="00512623">
        <w:t xml:space="preserve"> r. poz. 1</w:t>
      </w:r>
      <w:r>
        <w:t>631 i</w:t>
      </w:r>
      <w:r w:rsidRPr="00512623">
        <w:t xml:space="preserve"> </w:t>
      </w:r>
      <w:r>
        <w:t>1674</w:t>
      </w:r>
      <w:r w:rsidRPr="00512623">
        <w:t>)</w:t>
      </w:r>
      <w:r>
        <w:t xml:space="preserve"> </w:t>
      </w:r>
      <w:r w:rsidRPr="00512623">
        <w:t>wprowadza się następujące zmiany:</w:t>
      </w:r>
    </w:p>
    <w:p w14:paraId="22F426D8" w14:textId="77777777" w:rsidR="00C156EE" w:rsidRPr="007F2FE7" w:rsidRDefault="00C156EE" w:rsidP="00447391">
      <w:pPr>
        <w:pStyle w:val="PKTpunkt"/>
      </w:pPr>
      <w:r>
        <w:t>1)</w:t>
      </w:r>
      <w:r>
        <w:tab/>
        <w:t>w art. 24:</w:t>
      </w:r>
    </w:p>
    <w:p w14:paraId="0B82F933" w14:textId="77777777" w:rsidR="00C156EE" w:rsidRPr="00447391" w:rsidRDefault="00C156EE" w:rsidP="00447391">
      <w:pPr>
        <w:pStyle w:val="LITlitera"/>
      </w:pPr>
      <w:r w:rsidRPr="00447391">
        <w:t>a)</w:t>
      </w:r>
      <w:r w:rsidRPr="00447391">
        <w:tab/>
        <w:t>w ust. 1 wyrazy „art. 46, 47, 50, 50a, 50e i 184” zastępuje się wyrazami „art. 46, art.  47, art. 50, art. 50a, art. 50e, art. 50g i art. 184”,</w:t>
      </w:r>
    </w:p>
    <w:p w14:paraId="3A9ECD01" w14:textId="77777777" w:rsidR="00C156EE" w:rsidRPr="00447391" w:rsidRDefault="00C156EE" w:rsidP="00447391">
      <w:pPr>
        <w:pStyle w:val="LITlitera"/>
      </w:pPr>
      <w:r w:rsidRPr="00447391">
        <w:t>b)</w:t>
      </w:r>
      <w:r w:rsidRPr="00447391">
        <w:tab/>
        <w:t>w ust. 2 wyrazy „art. 32, 33, 39, 40, 46, 50, 50a i 50e, 184 oraz” zastępuje się wyrazami „art. 32, art. 33, art. 39, art. 40, art. 46, art. 50, art. 50a, art. 50e, art. 50g i  art. 184, a także”;</w:t>
      </w:r>
    </w:p>
    <w:p w14:paraId="792B7108" w14:textId="77777777" w:rsidR="00C156EE" w:rsidRDefault="00C156EE" w:rsidP="007F2FE7">
      <w:pPr>
        <w:pStyle w:val="PKTpunkt"/>
      </w:pPr>
      <w:r>
        <w:t>2)</w:t>
      </w:r>
      <w:r>
        <w:tab/>
        <w:t>w art. 25:</w:t>
      </w:r>
    </w:p>
    <w:p w14:paraId="129C3FA9" w14:textId="77777777" w:rsidR="00C156EE" w:rsidRDefault="00C156EE" w:rsidP="007F2FE7">
      <w:pPr>
        <w:pStyle w:val="LITlitera"/>
      </w:pPr>
      <w:r>
        <w:t>a)</w:t>
      </w:r>
      <w:r>
        <w:tab/>
        <w:t>w ust. 1b wyrazy „</w:t>
      </w:r>
      <w:r w:rsidRPr="000929AA">
        <w:t>art. 46, 50, 50a, 50e lub 184</w:t>
      </w:r>
      <w:r>
        <w:t>” zastępuje się wyrazami „</w:t>
      </w:r>
      <w:r w:rsidRPr="000929AA">
        <w:t>art. 46,</w:t>
      </w:r>
      <w:r>
        <w:t xml:space="preserve"> </w:t>
      </w:r>
      <w:r w:rsidRPr="000929AA">
        <w:t>art.</w:t>
      </w:r>
      <w:r>
        <w:t xml:space="preserve">  </w:t>
      </w:r>
      <w:r w:rsidRPr="000929AA">
        <w:t xml:space="preserve">50, art. 50a, art. 50e, art. </w:t>
      </w:r>
      <w:r>
        <w:t>50g</w:t>
      </w:r>
      <w:r w:rsidRPr="000929AA">
        <w:t xml:space="preserve"> lub</w:t>
      </w:r>
      <w:r>
        <w:t xml:space="preserve"> art.</w:t>
      </w:r>
      <w:r w:rsidRPr="000929AA">
        <w:t xml:space="preserve"> 184</w:t>
      </w:r>
      <w:r>
        <w:t>”,</w:t>
      </w:r>
    </w:p>
    <w:p w14:paraId="0F4304B3" w14:textId="77777777" w:rsidR="00C156EE" w:rsidRDefault="00C156EE" w:rsidP="007F2FE7">
      <w:pPr>
        <w:pStyle w:val="LITlitera"/>
      </w:pPr>
      <w:r>
        <w:t>b)</w:t>
      </w:r>
      <w:r>
        <w:tab/>
        <w:t>w ust. 1f po wyrazach „art. 50e” dodaje się wyrazy „ , art. 50g”;</w:t>
      </w:r>
    </w:p>
    <w:p w14:paraId="1917F363" w14:textId="77777777" w:rsidR="00C156EE" w:rsidRDefault="00C156EE" w:rsidP="00BC6B65">
      <w:pPr>
        <w:pStyle w:val="PKTpunkt"/>
      </w:pPr>
      <w:r>
        <w:t>3)</w:t>
      </w:r>
      <w:r>
        <w:tab/>
        <w:t>w dziale II po rozdziale 3a dodaje się rozdział 3b w brzmieniu:</w:t>
      </w:r>
    </w:p>
    <w:p w14:paraId="46E0E4D2" w14:textId="77777777" w:rsidR="00C156EE" w:rsidRDefault="00C156EE" w:rsidP="00512623">
      <w:pPr>
        <w:pStyle w:val="ZTYTDZPRZEDMzmprzedmtytuulubdziauartykuempunktem"/>
      </w:pPr>
      <w:r>
        <w:t>„Rozdział 3b</w:t>
      </w:r>
    </w:p>
    <w:p w14:paraId="3CB72D8C" w14:textId="77777777" w:rsidR="00C156EE" w:rsidRDefault="00C156EE" w:rsidP="00512623">
      <w:pPr>
        <w:pStyle w:val="ZTYTDZPRZEDMzmprzedmtytuulubdziauartykuempunktem"/>
      </w:pPr>
      <w:r>
        <w:t>Emerytura tancerza zawodowego</w:t>
      </w:r>
    </w:p>
    <w:p w14:paraId="5A5B24DB" w14:textId="77777777" w:rsidR="00C156EE" w:rsidRPr="00BC6B65" w:rsidRDefault="00C156EE" w:rsidP="007F2FE7">
      <w:pPr>
        <w:pStyle w:val="ZARTzmartartykuempunktem"/>
      </w:pPr>
      <w:r>
        <w:t>„</w:t>
      </w:r>
      <w:r w:rsidRPr="00BC6B65">
        <w:t xml:space="preserve">Art. 50g. Emerytura tancerza </w:t>
      </w:r>
      <w:r>
        <w:t>zawodowego</w:t>
      </w:r>
      <w:r w:rsidRPr="00BC6B65">
        <w:t xml:space="preserve"> przysługuje pracownikowi, który spełnia łącznie następujące warunki:</w:t>
      </w:r>
    </w:p>
    <w:p w14:paraId="75A1CCF5" w14:textId="77777777" w:rsidR="00C156EE" w:rsidRPr="00BC6B65" w:rsidRDefault="00C156EE" w:rsidP="000939A8">
      <w:pPr>
        <w:pStyle w:val="ZPKTzmpktartykuempunktem"/>
      </w:pPr>
      <w:r>
        <w:t>1</w:t>
      </w:r>
      <w:r w:rsidRPr="00BC6B65">
        <w:t>)</w:t>
      </w:r>
      <w:r>
        <w:tab/>
      </w:r>
      <w:r w:rsidRPr="00BC6B65">
        <w:t>osiągnął wiek emerytalny wynoszący 40 lat dla kobiet i 45 lat dla mężczyzn;</w:t>
      </w:r>
    </w:p>
    <w:p w14:paraId="5B40C651" w14:textId="77777777" w:rsidR="00C156EE" w:rsidRPr="00BC6B65" w:rsidRDefault="00C156EE" w:rsidP="000939A8">
      <w:pPr>
        <w:pStyle w:val="ZPKTzmpktartykuempunktem"/>
      </w:pPr>
      <w:r>
        <w:t>2</w:t>
      </w:r>
      <w:r w:rsidRPr="00BC6B65">
        <w:t>)</w:t>
      </w:r>
      <w:r>
        <w:tab/>
      </w:r>
      <w:r w:rsidRPr="00BC6B65">
        <w:t xml:space="preserve">osiągnął wiek emerytalny w czasie zatrudnienia lub w ciągu 5 lat od ustania </w:t>
      </w:r>
      <w:r w:rsidRPr="00B016FA">
        <w:t>zatrudnienia</w:t>
      </w:r>
      <w:r w:rsidRPr="00BC6B65">
        <w:t>;</w:t>
      </w:r>
    </w:p>
    <w:p w14:paraId="5F05003E" w14:textId="77777777" w:rsidR="00C156EE" w:rsidRPr="00BC6B65" w:rsidRDefault="00C156EE" w:rsidP="000939A8">
      <w:pPr>
        <w:pStyle w:val="ZPKTzmpktartykuempunktem"/>
      </w:pPr>
      <w:r>
        <w:t>3</w:t>
      </w:r>
      <w:r w:rsidRPr="00BC6B65">
        <w:t>)</w:t>
      </w:r>
      <w:r>
        <w:tab/>
      </w:r>
      <w:r w:rsidRPr="00BC6B65">
        <w:t>posiada wymagany okres zatrudnienia na zasadach określonych w art. 50h</w:t>
      </w:r>
      <w:r>
        <w:t>,</w:t>
      </w:r>
      <w:r>
        <w:br/>
      </w:r>
      <w:r w:rsidRPr="00BC6B65">
        <w:t>co najmniej 20 lat;</w:t>
      </w:r>
    </w:p>
    <w:p w14:paraId="5DE73D2A" w14:textId="77777777" w:rsidR="00C156EE" w:rsidRPr="00BC6B65" w:rsidRDefault="00C156EE" w:rsidP="000939A8">
      <w:pPr>
        <w:pStyle w:val="ZPKTzmpktartykuempunktem"/>
      </w:pPr>
      <w:r>
        <w:t>4</w:t>
      </w:r>
      <w:r w:rsidRPr="00BC6B65">
        <w:t>)</w:t>
      </w:r>
      <w:r>
        <w:tab/>
      </w:r>
      <w:r w:rsidRPr="00BC6B65">
        <w:t>nie przystąpił do otwartego funduszu emerytalnego albo złoż</w:t>
      </w:r>
      <w:r>
        <w:t>ył</w:t>
      </w:r>
      <w:r w:rsidRPr="00BC6B65">
        <w:t xml:space="preserve"> wniosek </w:t>
      </w:r>
      <w:r>
        <w:br/>
      </w:r>
      <w:r w:rsidRPr="00BC6B65">
        <w:t>o przekazanie środków zgromadzonych na rachunku w otwartym funduszu emerytalnym, za pośrednictwem Zakładu, na dochody budżetu państwa.</w:t>
      </w:r>
    </w:p>
    <w:p w14:paraId="0B224AA7" w14:textId="77777777" w:rsidR="00C156EE" w:rsidRPr="00BC6B65" w:rsidRDefault="00C156EE" w:rsidP="00BC6B65">
      <w:pPr>
        <w:pStyle w:val="ZARTzmartartykuempunktem"/>
      </w:pPr>
      <w:r w:rsidRPr="00BC6B65">
        <w:lastRenderedPageBreak/>
        <w:t xml:space="preserve">Art. 50h. 1. </w:t>
      </w:r>
      <w:r w:rsidRPr="00640078">
        <w:t>Za okresy zatrudnienia tancerza zawodowego uważa się okresy pozostawania w stosunku pracy na podstawie umowy o pracę</w:t>
      </w:r>
      <w:r>
        <w:t xml:space="preserve"> </w:t>
      </w:r>
      <w:r w:rsidRPr="00640078">
        <w:t>na stanowisku tancerza</w:t>
      </w:r>
      <w:r w:rsidRPr="002B7F2B">
        <w:t xml:space="preserve"> </w:t>
      </w:r>
      <w:r>
        <w:t>oraz</w:t>
      </w:r>
      <w:r w:rsidRPr="00640078">
        <w:t xml:space="preserve"> okresy wykonywania zawodu tancerza na podstawie umowy zlecenia w zespołach baletowych lub zespołach tanecznych w instytucjach kultury tworzonych na podstawie ustawy z dnia 25 października 1991 r. o organizowaniu i prowadzeniu działalności kulturalnej (Dz. U. z 2024 r. poz. 87), będące okresami składkowymi </w:t>
      </w:r>
      <w:r>
        <w:br/>
        <w:t>albo</w:t>
      </w:r>
      <w:r w:rsidRPr="00640078">
        <w:t xml:space="preserve"> nieskładkowymi, z tym że okresy te uwzględnia się, jeżeli praca ta była wykonywana co najmniej w połowie wymiaru czasu pracy lub</w:t>
      </w:r>
      <w:r>
        <w:t xml:space="preserve"> co najmniej w tym wymiarze wykonywano zawód tancerza na podstawie umowy zlecenia.</w:t>
      </w:r>
    </w:p>
    <w:p w14:paraId="3D96ACB4" w14:textId="77777777" w:rsidR="00C156EE" w:rsidRDefault="00C156EE" w:rsidP="004E2B1B">
      <w:pPr>
        <w:pStyle w:val="ZUSTzmustartykuempunktem"/>
      </w:pPr>
      <w:r>
        <w:t>2</w:t>
      </w:r>
      <w:r w:rsidRPr="005A770A">
        <w:t>. </w:t>
      </w:r>
      <w:r w:rsidRPr="00640078">
        <w:t xml:space="preserve">Za okresy zatrudnienia tancerza zawodowego uważa się okresy pozostawania </w:t>
      </w:r>
      <w:r>
        <w:br/>
      </w:r>
      <w:r w:rsidRPr="00640078">
        <w:t xml:space="preserve">w stosunku pracy lub okresy wykonywania zawodu tancerza na podstawie umowy zlecenia, o których mowa w ust. 1, w czasie których pracownik pobierał zasiłki </w:t>
      </w:r>
      <w:r>
        <w:br/>
      </w:r>
      <w:r w:rsidRPr="00640078">
        <w:t xml:space="preserve">z ubezpieczenia społecznego: chorobowy, macierzyński </w:t>
      </w:r>
      <w:r>
        <w:t>albo</w:t>
      </w:r>
      <w:r w:rsidRPr="00640078">
        <w:t xml:space="preserve"> opiekuńczy</w:t>
      </w:r>
      <w:r w:rsidRPr="005A770A">
        <w:t>.</w:t>
      </w:r>
    </w:p>
    <w:p w14:paraId="586C4C88" w14:textId="77777777" w:rsidR="00C156EE" w:rsidRDefault="00C156EE" w:rsidP="004E2B1B">
      <w:pPr>
        <w:pStyle w:val="ZUSTzmustartykuempunktem"/>
      </w:pPr>
      <w:r w:rsidRPr="009D6A3D">
        <w:t>3. Kwota emerytury</w:t>
      </w:r>
      <w:r>
        <w:t>,</w:t>
      </w:r>
      <w:r w:rsidRPr="009D6A3D">
        <w:t xml:space="preserve"> </w:t>
      </w:r>
      <w:r>
        <w:t xml:space="preserve">o której mowa w art. 50g, </w:t>
      </w:r>
      <w:r w:rsidRPr="00C13AB2">
        <w:t>nie może być niższa niż kwota najniższej emerytury, o której mowa w art. 85</w:t>
      </w:r>
      <w:r>
        <w:t xml:space="preserve"> ust. 2.”.</w:t>
      </w:r>
    </w:p>
    <w:p w14:paraId="4DC0E0C3" w14:textId="77777777" w:rsidR="00C156EE" w:rsidRPr="00BC6B65" w:rsidRDefault="00C156EE" w:rsidP="00BC6B65">
      <w:pPr>
        <w:pStyle w:val="ARTartustawynprozporzdzenia"/>
      </w:pPr>
      <w:r w:rsidRPr="00B64027">
        <w:rPr>
          <w:rStyle w:val="Ppogrubienie"/>
        </w:rPr>
        <w:t>Art. 2.</w:t>
      </w:r>
      <w:r w:rsidRPr="00BC6B65">
        <w:t xml:space="preserve"> W ustawie z dnia 19 grudnia 2008 r. o emeryturach pomostowych (Dz. U. z 202</w:t>
      </w:r>
      <w:r>
        <w:t>4 </w:t>
      </w:r>
      <w:r w:rsidRPr="00BC6B65">
        <w:t xml:space="preserve">r. poz. </w:t>
      </w:r>
      <w:r>
        <w:t>1696</w:t>
      </w:r>
      <w:r w:rsidRPr="00BC6B65">
        <w:t>) wprowadza się następujące zmiany:</w:t>
      </w:r>
    </w:p>
    <w:p w14:paraId="7B7B6D22" w14:textId="77777777" w:rsidR="00C156EE" w:rsidRDefault="00C156EE" w:rsidP="00BC6B65">
      <w:pPr>
        <w:pStyle w:val="PKTpunkt"/>
      </w:pPr>
      <w:r>
        <w:t>1)</w:t>
      </w:r>
      <w:r>
        <w:tab/>
        <w:t xml:space="preserve">w art. 3 w ust. 6 po wyrazie „zawodowych,” dodaje się wyrazy: „z wyjątkiem tancerzy, o których mowa w dziale II w rozdziale 3b </w:t>
      </w:r>
      <w:r w:rsidRPr="000142D8">
        <w:t>ustaw</w:t>
      </w:r>
      <w:r>
        <w:t>y</w:t>
      </w:r>
      <w:r w:rsidRPr="000142D8">
        <w:t xml:space="preserve"> o emeryturach i rentach z FUS</w:t>
      </w:r>
      <w:r>
        <w:t>,”;</w:t>
      </w:r>
    </w:p>
    <w:p w14:paraId="49169874" w14:textId="77777777" w:rsidR="00C156EE" w:rsidRDefault="00C156EE" w:rsidP="002249D4">
      <w:pPr>
        <w:pStyle w:val="PKTpunkt"/>
      </w:pPr>
      <w:r>
        <w:t>2)</w:t>
      </w:r>
      <w:r>
        <w:tab/>
        <w:t>w załączniku nr 1 pkt 37 otrzymuje brzmienie: „</w:t>
      </w:r>
      <w:r w:rsidRPr="001C1A97">
        <w:t xml:space="preserve">Prace tancerzy zawodowych związane </w:t>
      </w:r>
      <w:r>
        <w:br/>
      </w:r>
      <w:r w:rsidRPr="001C1A97">
        <w:t>z bardzo ciężkim wysiłkiem fizycznym</w:t>
      </w:r>
      <w:r>
        <w:t xml:space="preserve">, </w:t>
      </w:r>
      <w:r w:rsidRPr="001C1A97">
        <w:t>z wyjątkiem tancerzy</w:t>
      </w:r>
      <w:r>
        <w:t xml:space="preserve">, </w:t>
      </w:r>
      <w:r w:rsidRPr="000142D8">
        <w:t>o których mowa w dziale</w:t>
      </w:r>
      <w:r>
        <w:t> </w:t>
      </w:r>
      <w:r w:rsidRPr="000142D8">
        <w:t xml:space="preserve">II </w:t>
      </w:r>
      <w:r>
        <w:t xml:space="preserve">w </w:t>
      </w:r>
      <w:r w:rsidRPr="000142D8">
        <w:t>rozdziale 3b ustaw</w:t>
      </w:r>
      <w:r>
        <w:t>y</w:t>
      </w:r>
      <w:r w:rsidRPr="000142D8">
        <w:t xml:space="preserve"> </w:t>
      </w:r>
      <w:r w:rsidRPr="00FC7799">
        <w:t>z dnia 17 grudnia 1998 r. o emeryturach i rentach z Funduszu Ubezpieczeń Społecznych</w:t>
      </w:r>
      <w:r>
        <w:t>.”.</w:t>
      </w:r>
    </w:p>
    <w:p w14:paraId="02E37196" w14:textId="77777777" w:rsidR="00C156EE" w:rsidRDefault="00C156EE" w:rsidP="0081694C">
      <w:pPr>
        <w:pStyle w:val="ARTartustawynprozporzdzenia"/>
      </w:pPr>
      <w:r w:rsidRPr="00B64027">
        <w:rPr>
          <w:rStyle w:val="Ppogrubienie"/>
        </w:rPr>
        <w:t>Art. 3.</w:t>
      </w:r>
      <w:r>
        <w:t xml:space="preserve"> Przy ustalaniu okresów zatrudnienia, o których mowa w art. 50g pkt 3 ustawy zmienianej w art. 1, uwzględnia się również okresy </w:t>
      </w:r>
      <w:r w:rsidRPr="00FC7799">
        <w:t>pozostawania w stosunku pracy</w:t>
      </w:r>
      <w:r>
        <w:t xml:space="preserve"> </w:t>
      </w:r>
      <w:r w:rsidRPr="00640078">
        <w:t>lub okresy wykonywania zawodu tancerza na podstawie umowy zlecenia</w:t>
      </w:r>
      <w:r w:rsidRPr="00FC7799">
        <w:t xml:space="preserve"> </w:t>
      </w:r>
      <w:r>
        <w:t>przed dniem wejścia w życie niniejszej ustawy.</w:t>
      </w:r>
    </w:p>
    <w:p w14:paraId="6A8939FE" w14:textId="77777777" w:rsidR="00C156EE" w:rsidRDefault="00C156EE" w:rsidP="0081694C">
      <w:pPr>
        <w:pStyle w:val="ARTartustawynprozporzdzenia"/>
      </w:pPr>
      <w:r w:rsidRPr="00B64027">
        <w:rPr>
          <w:rStyle w:val="Ppogrubienie"/>
        </w:rPr>
        <w:t>Art. 4.</w:t>
      </w:r>
      <w:r>
        <w:t xml:space="preserve"> 1. </w:t>
      </w:r>
      <w:bookmarkStart w:id="1" w:name="_Hlk181878617"/>
      <w:r>
        <w:t xml:space="preserve">Postępowanie w sprawie emerytury pomostowej dla osoby, o której mowa w dziale II w rozdziale 3b ustawy zmienianej w art. 1, wszczęte i niezakończone przed dniem wejścia w życie niniejszej ustawy umarza się. </w:t>
      </w:r>
    </w:p>
    <w:p w14:paraId="2D82AF73" w14:textId="77777777" w:rsidR="00C156EE" w:rsidRDefault="00C156EE" w:rsidP="00AF7CD3">
      <w:pPr>
        <w:pStyle w:val="USTustnpkodeksu"/>
      </w:pPr>
      <w:r>
        <w:t xml:space="preserve">2. </w:t>
      </w:r>
      <w:r w:rsidRPr="00382FE6">
        <w:t xml:space="preserve">Przy ustalaniu prawa do emerytury osoby, o której mowa w dziale II </w:t>
      </w:r>
      <w:r>
        <w:t xml:space="preserve">w </w:t>
      </w:r>
      <w:r w:rsidRPr="00382FE6">
        <w:t>rozdziale 3b ustawy zmienianej w art. 1,</w:t>
      </w:r>
      <w:r>
        <w:t xml:space="preserve"> w postępowaniu wszczętym i niezakończonym przed dniem </w:t>
      </w:r>
      <w:r>
        <w:lastRenderedPageBreak/>
        <w:t>wejścia w życie niniejszej ustawy, uwzględnia się warunki nabycia prawa do emerytury określone w art. 50g ustawy zmienianej w art. 1.</w:t>
      </w:r>
    </w:p>
    <w:bookmarkEnd w:id="1"/>
    <w:p w14:paraId="08CFCEBE" w14:textId="77777777" w:rsidR="00C156EE" w:rsidRDefault="00C156EE" w:rsidP="00B64027">
      <w:pPr>
        <w:pStyle w:val="ARTartustawynprozporzdzenia"/>
        <w:sectPr w:rsidR="00C156EE" w:rsidSect="00C156EE">
          <w:headerReference w:type="default" r:id="rId7"/>
          <w:footnotePr>
            <w:numRestart w:val="eachSect"/>
          </w:footnotePr>
          <w:pgSz w:w="11906" w:h="16838"/>
          <w:pgMar w:top="1560" w:right="1434" w:bottom="1560" w:left="1418" w:header="709" w:footer="709" w:gutter="0"/>
          <w:pgNumType w:start="1"/>
          <w:cols w:space="708"/>
          <w:titlePg/>
          <w:docGrid w:linePitch="254"/>
        </w:sectPr>
      </w:pPr>
      <w:r w:rsidRPr="00B64027">
        <w:rPr>
          <w:rStyle w:val="Ppogrubienie"/>
        </w:rPr>
        <w:t>Art. 5.</w:t>
      </w:r>
      <w:r>
        <w:t xml:space="preserve"> Ustawa wchodzi w życie z dniem 1 stycznia 2026 r.</w:t>
      </w:r>
    </w:p>
    <w:p w14:paraId="34E7ED63" w14:textId="77777777" w:rsidR="00C156EE" w:rsidRDefault="00C156EE" w:rsidP="00165239"/>
    <w:p w14:paraId="408AC103" w14:textId="77777777" w:rsidR="00C156EE" w:rsidRDefault="00C156EE" w:rsidP="00165239">
      <w:pPr>
        <w:spacing w:after="234"/>
        <w:ind w:left="10" w:right="63" w:hanging="10"/>
        <w:jc w:val="center"/>
      </w:pPr>
      <w:r>
        <w:rPr>
          <w:rFonts w:eastAsia="Times New Roman" w:cs="Times New Roman"/>
          <w:b/>
        </w:rPr>
        <w:t xml:space="preserve">U Z A S A D N I E N I E </w:t>
      </w:r>
    </w:p>
    <w:p w14:paraId="261B65F6" w14:textId="77777777" w:rsidR="00C156EE" w:rsidRDefault="00C156EE" w:rsidP="00165239">
      <w:pPr>
        <w:spacing w:after="268"/>
        <w:ind w:left="56"/>
        <w:jc w:val="center"/>
      </w:pPr>
      <w:r>
        <w:rPr>
          <w:rFonts w:eastAsia="Times New Roman" w:cs="Times New Roman"/>
        </w:rPr>
        <w:t xml:space="preserve"> </w:t>
      </w:r>
    </w:p>
    <w:p w14:paraId="042347FE" w14:textId="77777777" w:rsidR="00C156EE" w:rsidRDefault="00C156EE" w:rsidP="00165239">
      <w:pPr>
        <w:tabs>
          <w:tab w:val="center" w:pos="1850"/>
        </w:tabs>
        <w:spacing w:after="239"/>
        <w:ind w:left="-15"/>
      </w:pPr>
      <w:r>
        <w:rPr>
          <w:rFonts w:eastAsia="Times New Roman" w:cs="Times New Roman"/>
          <w:b/>
        </w:rPr>
        <w:t xml:space="preserve">1. </w:t>
      </w:r>
      <w:r>
        <w:rPr>
          <w:rFonts w:eastAsia="Times New Roman" w:cs="Times New Roman"/>
          <w:b/>
        </w:rPr>
        <w:tab/>
        <w:t>Cel projektowanej ustawy</w:t>
      </w:r>
    </w:p>
    <w:p w14:paraId="588D8289" w14:textId="77777777" w:rsidR="00C156EE" w:rsidRPr="009942B5" w:rsidRDefault="00C156EE" w:rsidP="009942B5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Celem projektu ustawy o zmianie ustawy emeryturach i rentach z Funduszu Ubezpieczeń Społecznych oraz ustawy o emeryturach pomostowych jest wprowadzenie do systemu emerytalnego nowej uprzywilejowanej grupy zawodowej – tancerzy zawodowych. Projekt umożliwia przechodzenie na emeryturę przez tancerzy zawodowych w wieku 40 lat w przypadku kobiet i 45 lat w przypadku mężczyzn, po przepracowaniu co najmniej 20 lat. Obniżenie wieku emerytalnego dla tancerzy zawodowych spowoduje, że nie będą oni przechodzili na wcześniejszą emeryturę. W związku z tym proponuje się także wyłączenie zawodu tancerza z grupy zawodów, w których praca uznawana jest za pracę związaną z bardzo ciężkim wysiłkiem fizycznym. </w:t>
      </w:r>
    </w:p>
    <w:p w14:paraId="47D5A280" w14:textId="77777777" w:rsidR="00C156EE" w:rsidRPr="009942B5" w:rsidRDefault="00C156EE" w:rsidP="004942F4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Do 2009 roku na postawie ustawy z dnia 27 września 1973 r. o zaopatrzeniu emerytalnym twórców i ich rodzin, tancerze mieli prawo do przechodzenia na emeryturę w wieku: kobiety – 40 lat i mężczyźni – 45 lat. Wiek emerytalny tancerzy podniesiono ustawą z dnia 17 grudnia 1998 r. o emeryturach i rentach z Funduszu Ubezpieczeń Społecznych. W 2009 roku wprowadzono możliwość wcześniejszego przechodzenia na emeryturę tancerzy w wieku 50 lat w przypadku kobiet i 55 lat w przypadku mężczyzn. </w:t>
      </w:r>
    </w:p>
    <w:p w14:paraId="69C7F572" w14:textId="77777777" w:rsidR="00C156EE" w:rsidRPr="009942B5" w:rsidRDefault="00C156EE" w:rsidP="00352801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Zawód tancerza jest zawodem, którego wykonywanie do chwili otrzymania uprawnień emerytalnych na obecnych zasadach jest w zasadzie niemożliwe. Tancerze narażeni są na ciągłe kontuzje, a wyczerpujące treningi i częste występy wyniszczają ich organizmy. Są oni narażeni na znaczne przeciążenia układu ruchu, mięśni i stawów, a w szczególności kręgosłupa. Tancerze zawodowi już w wieku 40 lat mają kłopoty, nie tylko z uprawianiem zawodu, </w:t>
      </w:r>
      <w:r>
        <w:rPr>
          <w:rFonts w:eastAsia="Times New Roman"/>
        </w:rPr>
        <w:br/>
        <w:t xml:space="preserve">ale również z poruszaniem się w ogóle. Ponadto badania naukowe wykazują, że tancerze zawodowi są szczególnie narażeni na osteoporozę. Kilkanaście lat po likwidacji wcześniejszej emerytury dla tancerzy, zawód ten znalazł się w poważnym kryzysie, co jest widoczne zarówno w działalności zespołów profesjonalnych, jak i na etapie szkolnictwa. Obecnie zaledwie kilka zespołów baletowych w polskich instytucjach kultury to zespoły rozwijające się, posiadające stabilny skład osobowy. Niedobór tancerzy z polskich szkół baletowych jest rekompensowany angażowaniem tancerzy z zagranicy, bez których funkcjonowanie tych instytucji byłoby </w:t>
      </w:r>
      <w:r>
        <w:rPr>
          <w:rFonts w:eastAsia="Times New Roman"/>
        </w:rPr>
        <w:lastRenderedPageBreak/>
        <w:t xml:space="preserve">niemożliwe. Sceny baletowe są nieodłącznym elementem większości przedstawień muzycznych, stąd niezbędny jest udział tancerzy nie tylko w przedstawieniach tanecznych, </w:t>
      </w:r>
      <w:r>
        <w:rPr>
          <w:rFonts w:eastAsia="Times New Roman"/>
        </w:rPr>
        <w:br/>
        <w:t xml:space="preserve">ale także inscenizacjach operowych, operetkach czy musicalach. Prowadzone statystki pokazują, że przedstawienia baletowe zdobywają coraz większą publiczność, w tym dziecięcą, co jest w edukacji muzyczno-teatralnej młodych widzów nie do przecenienia. W 2015 roku Narodowy Instytut Muzyki i Tańca wprowadził program przekwalifikowania zawodowego tancerzy, którego celem jest wsparcie profesjonalnych tancerzy w procesie zdobywania innych, nowych kwalifikacji zawodowych po zakończeniu kariery scenicznej. W ramach tego programu przyznawane są stypendia na realizację indywidualnych projektów. Dodatkowo </w:t>
      </w:r>
      <w:r>
        <w:rPr>
          <w:rFonts w:eastAsia="Times New Roman"/>
        </w:rPr>
        <w:br/>
        <w:t>w 2022 roku rozpoczęto Program Rozwoju Pozatanecznych Kompetencji Zawodowych Tancerzy – program pilotażowy stanowiący dodatek do programu przekwalifikowania tancerzy. Programy te nie rozwiązują jednak problemu i nie zastępują systemowego wsparcia tancerzy z zespołów tanecznych i baletowych w postaci przyznania im szczególnych uprawnień emerytalnych. Jednorazowe stypendia oraz granty nie zapewniają stabilizacji finansowej i nie trafiają do każdego artysty. Nie rozwiązują również problemu braku zainteresowania zawodem tancerza.</w:t>
      </w:r>
    </w:p>
    <w:p w14:paraId="371FF44D" w14:textId="77777777" w:rsidR="00C156EE" w:rsidRDefault="00C156EE" w:rsidP="009942B5">
      <w:pPr>
        <w:pStyle w:val="NIEARTTEKSTtekstnieartykuowanynppodstprawnarozplubpreambua"/>
      </w:pPr>
      <w:r>
        <w:rPr>
          <w:rFonts w:eastAsia="Times New Roman"/>
        </w:rPr>
        <w:t xml:space="preserve"> Tancerze stanowią niewielką grupę zawodową. Obniżenie wieku emerytalnego dla tej grupy zawodowej nie wpłynie na znaczny wzrost wydatków budżetu państwa.</w:t>
      </w:r>
    </w:p>
    <w:p w14:paraId="5FEBF84D" w14:textId="77777777" w:rsidR="00C156EE" w:rsidRPr="004942F4" w:rsidRDefault="00C156EE" w:rsidP="004942F4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Wprowadzenie w życie proponowanych rozwiązań poprawi sytuację socjalną tancerzy zawodowych i ich rodzin, a w dłuższej perspektywie spowoduje zwiększenie zainteresowania zawodem tancerza i w efekcie wzmocnienie zespołów tanecznych i baletowych. Będzie też miało wpływ na utrzymanie miejsc pracy w instytucjach kultury. </w:t>
      </w:r>
    </w:p>
    <w:p w14:paraId="7AA18300" w14:textId="77777777" w:rsidR="00C156EE" w:rsidRDefault="00C156EE" w:rsidP="00165239">
      <w:pPr>
        <w:spacing w:after="146"/>
        <w:ind w:left="761"/>
      </w:pPr>
    </w:p>
    <w:p w14:paraId="212B9FD2" w14:textId="77777777" w:rsidR="00C156EE" w:rsidRDefault="00C156EE" w:rsidP="00C156EE">
      <w:pPr>
        <w:widowControl/>
        <w:numPr>
          <w:ilvl w:val="0"/>
          <w:numId w:val="12"/>
        </w:numPr>
        <w:autoSpaceDE/>
        <w:autoSpaceDN/>
        <w:adjustRightInd/>
        <w:spacing w:after="240" w:line="259" w:lineRule="auto"/>
        <w:ind w:hanging="511"/>
        <w:jc w:val="left"/>
      </w:pPr>
      <w:r>
        <w:rPr>
          <w:rFonts w:eastAsia="Times New Roman" w:cs="Times New Roman"/>
          <w:b/>
        </w:rPr>
        <w:t xml:space="preserve">Różnice między obowiązującym a projektowanym stanem prawnym </w:t>
      </w:r>
    </w:p>
    <w:p w14:paraId="219F08D8" w14:textId="77777777" w:rsidR="00C156EE" w:rsidRPr="004942F4" w:rsidRDefault="00C156EE" w:rsidP="004F07DC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>W obowiązującym stanie prawnym tancerze baletowi zatrudnieni w instytucjach kultury</w:t>
      </w:r>
      <w:r w:rsidRPr="005A7BE2">
        <w:rPr>
          <w:rFonts w:eastAsia="Times New Roman"/>
        </w:rPr>
        <w:t xml:space="preserve"> podlegają ogólnym zasadom nabywania uprawnień emerytalnych, na podstawie ustawy z dnia 17 grudnia 1998 r. o emeryturach</w:t>
      </w:r>
      <w:r>
        <w:rPr>
          <w:rFonts w:eastAsia="Times New Roman"/>
        </w:rPr>
        <w:t xml:space="preserve"> </w:t>
      </w:r>
      <w:r w:rsidRPr="005A7BE2">
        <w:rPr>
          <w:rFonts w:eastAsia="Times New Roman"/>
        </w:rPr>
        <w:t>i rentach z Funduszu Ubezpieczeń Społecznych. Kobiety nabywają prawo w wieku 60 lat, zaś mężczyźni w wieku 65 lat. Ponadto tancerze zawodowi, na mocy ustawy z dnia 19 grudnia 2008 r. o emeryturach pomostowych, zostali zaliczeni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 w:rsidRPr="005A7BE2">
        <w:rPr>
          <w:rFonts w:eastAsia="Times New Roman"/>
        </w:rPr>
        <w:t>do pracowników wykonujących zawód, w którym praca jest pracą</w:t>
      </w:r>
      <w:r>
        <w:rPr>
          <w:rFonts w:eastAsia="Times New Roman"/>
        </w:rPr>
        <w:t xml:space="preserve"> </w:t>
      </w:r>
      <w:r w:rsidRPr="005A7BE2">
        <w:rPr>
          <w:rFonts w:eastAsia="Times New Roman"/>
        </w:rPr>
        <w:t>w szczególnych warunkach (prac</w:t>
      </w:r>
      <w:r>
        <w:rPr>
          <w:rFonts w:eastAsia="Times New Roman"/>
        </w:rPr>
        <w:t>a</w:t>
      </w:r>
      <w:r w:rsidRPr="005A7BE2">
        <w:rPr>
          <w:rFonts w:eastAsia="Times New Roman"/>
        </w:rPr>
        <w:t xml:space="preserve"> związan</w:t>
      </w:r>
      <w:r>
        <w:rPr>
          <w:rFonts w:eastAsia="Times New Roman"/>
        </w:rPr>
        <w:t>a</w:t>
      </w:r>
      <w:r w:rsidRPr="005A7BE2">
        <w:rPr>
          <w:rFonts w:eastAsia="Times New Roman"/>
        </w:rPr>
        <w:t xml:space="preserve"> z bardzo ciężkim wysiłkiem fizycznym),</w:t>
      </w:r>
      <w:r>
        <w:rPr>
          <w:rFonts w:eastAsia="Times New Roman"/>
        </w:rPr>
        <w:t xml:space="preserve"> </w:t>
      </w:r>
      <w:r w:rsidRPr="005A7BE2">
        <w:rPr>
          <w:rFonts w:eastAsia="Times New Roman"/>
        </w:rPr>
        <w:t>w związku</w:t>
      </w:r>
      <w:r>
        <w:rPr>
          <w:rFonts w:eastAsia="Times New Roman"/>
        </w:rPr>
        <w:t xml:space="preserve"> </w:t>
      </w:r>
      <w:r w:rsidRPr="005A7BE2">
        <w:rPr>
          <w:rFonts w:eastAsia="Times New Roman"/>
        </w:rPr>
        <w:t xml:space="preserve">z czym przysługuje </w:t>
      </w:r>
      <w:r>
        <w:rPr>
          <w:rFonts w:eastAsia="Times New Roman"/>
        </w:rPr>
        <w:br/>
      </w:r>
      <w:r w:rsidRPr="005A7BE2">
        <w:rPr>
          <w:rFonts w:eastAsia="Times New Roman"/>
        </w:rPr>
        <w:t xml:space="preserve">im możliwość wcześniejszego przechodzenia na emeryturę pomostową. </w:t>
      </w:r>
    </w:p>
    <w:p w14:paraId="6D22F9DE" w14:textId="77777777" w:rsidR="00C156EE" w:rsidRPr="00352801" w:rsidRDefault="00C156EE" w:rsidP="00352801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lastRenderedPageBreak/>
        <w:t xml:space="preserve">Proponowane rozwiązania wprowadzą do sytemu emerytalnego nową grupę uprawnionych do emerytury, którzy ze względu na wykonywany zawód będą osiągali wiek emerytalny po ukończeniu, odpowiednio: 40 lat dla kobiet i 45 lat dla mężczyzn, </w:t>
      </w:r>
      <w:r>
        <w:rPr>
          <w:rFonts w:eastAsia="Times New Roman"/>
        </w:rPr>
        <w:br/>
        <w:t xml:space="preserve">po przepracowaniu co najmniej 20 lat w zawodzie. Ze względu na obniżenie wieku emerytalnego dla tancerzy zawodowych zachodzi konieczność wyłączenia tej grupy </w:t>
      </w:r>
      <w:r>
        <w:rPr>
          <w:rFonts w:eastAsia="Times New Roman"/>
        </w:rPr>
        <w:br/>
        <w:t xml:space="preserve">ze stosowania przepisów ustawy z dnia 19 grudnia 2008 r. o emeryturach pomostowych. </w:t>
      </w:r>
      <w:r>
        <w:rPr>
          <w:rFonts w:eastAsia="Times New Roman"/>
        </w:rPr>
        <w:br/>
        <w:t>W związku z tym, tancerzy zawodowych wyłącza się z grupy zawodów, w których praca jest pracą w szczególnych warunkach.</w:t>
      </w:r>
    </w:p>
    <w:p w14:paraId="71D8AAB6" w14:textId="77777777" w:rsidR="00C156EE" w:rsidRDefault="00C156EE" w:rsidP="00AB2403">
      <w:pPr>
        <w:spacing w:after="146"/>
      </w:pPr>
    </w:p>
    <w:p w14:paraId="201A0C11" w14:textId="77777777" w:rsidR="00C156EE" w:rsidRDefault="00C156EE" w:rsidP="00C156EE">
      <w:pPr>
        <w:widowControl/>
        <w:numPr>
          <w:ilvl w:val="0"/>
          <w:numId w:val="12"/>
        </w:numPr>
        <w:autoSpaceDE/>
        <w:autoSpaceDN/>
        <w:adjustRightInd/>
        <w:spacing w:after="240" w:line="259" w:lineRule="auto"/>
        <w:ind w:hanging="511"/>
        <w:jc w:val="left"/>
      </w:pPr>
      <w:r>
        <w:rPr>
          <w:rFonts w:eastAsia="Times New Roman" w:cs="Times New Roman"/>
          <w:b/>
        </w:rPr>
        <w:t xml:space="preserve">Rozwiązania szczegółowe </w:t>
      </w:r>
    </w:p>
    <w:p w14:paraId="224DBD12" w14:textId="77777777" w:rsidR="00C156EE" w:rsidRDefault="00C156EE" w:rsidP="00427F02">
      <w:pPr>
        <w:pStyle w:val="NIEARTTEKSTtekstnieartykuowanynppreambua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W art. 1 projektu ustawy:</w:t>
      </w:r>
    </w:p>
    <w:p w14:paraId="1B5B2DAA" w14:textId="77777777" w:rsidR="00C156EE" w:rsidRPr="00AA2FD5" w:rsidRDefault="00C156EE" w:rsidP="00AA2FD5">
      <w:pPr>
        <w:pStyle w:val="PKTpunkt"/>
      </w:pPr>
      <w:r>
        <w:t>1)</w:t>
      </w:r>
      <w:r>
        <w:tab/>
      </w:r>
      <w:r w:rsidRPr="00AA2FD5">
        <w:t>w art. 24 ust. 1 ustawy o emeryturach i rentach z Funduszu Ubezpieczeń Społecznych tancerze zawodowi zostali wskazani jako grupa zawodowa, do której stosuje się inne niż ogólne zasady przechodzenia na emeryturę;</w:t>
      </w:r>
    </w:p>
    <w:p w14:paraId="13F3893C" w14:textId="77777777" w:rsidR="00C156EE" w:rsidRPr="00AA2FD5" w:rsidRDefault="00C156EE" w:rsidP="00AA2FD5">
      <w:pPr>
        <w:pStyle w:val="PKTpunkt"/>
      </w:pPr>
      <w:r>
        <w:t>2)</w:t>
      </w:r>
      <w:r>
        <w:tab/>
      </w:r>
      <w:r w:rsidRPr="00AA2FD5">
        <w:t>w art. 24 ust. 2 ustawy o emeryturach i rentach z Funduszu Ubezpieczeń Społecznych tancerze zawodowi zostali wskazani jako grupa zawodowa, do której nie będą miały zastosowania przepisy o emeryturach pomostowych;</w:t>
      </w:r>
    </w:p>
    <w:p w14:paraId="00E4784D" w14:textId="77777777" w:rsidR="00C156EE" w:rsidRPr="00AA2FD5" w:rsidRDefault="00C156EE" w:rsidP="00AA2FD5">
      <w:pPr>
        <w:pStyle w:val="PKTpunkt"/>
      </w:pPr>
      <w:r>
        <w:t>3)</w:t>
      </w:r>
      <w:r>
        <w:tab/>
      </w:r>
      <w:r w:rsidRPr="00AA2FD5">
        <w:t>w art. 25 ust. 1b ustawy o emeryturach i rentach z Funduszu Ubezpieczeń Społecznych emerytury tancerzy zawodowych zostały włączone do katalogu emerytur, których podstawa obliczenia zostanie pomniejszona o kwotę stanowiącą sumę kwot pobranych emerytur w wysokości przed odliczeniem zaliczki na podatek dochodowy od osób fizycznych i składki na ubezpieczenie zdrowotne;</w:t>
      </w:r>
    </w:p>
    <w:p w14:paraId="57E7C99C" w14:textId="77777777" w:rsidR="00C156EE" w:rsidRPr="00AA2FD5" w:rsidRDefault="00C156EE" w:rsidP="00AA2FD5">
      <w:pPr>
        <w:pStyle w:val="PKTpunkt"/>
      </w:pPr>
      <w:r>
        <w:t>4)</w:t>
      </w:r>
      <w:r>
        <w:tab/>
      </w:r>
      <w:r w:rsidRPr="00AA2FD5">
        <w:t>w art. 25 ust. 1f ustawy o emeryturach i rentach z Funduszu Ubezpieczeń Społecznych emerytury tancerzy zawodowych zostały włączone do katalogu emerytur, co do których, w przypadku ich ustalenia a następnie ustalania wysokości emerytury na zasadach ogólnych, nie będą uwzględniane kwoty zewidencjonowane na subkoncie, na którym ewidencjonuje się informacje o zwaloryzowanej wysokości wpłaconych składek;</w:t>
      </w:r>
    </w:p>
    <w:p w14:paraId="722E42E2" w14:textId="77777777" w:rsidR="00C156EE" w:rsidRPr="00AA2FD5" w:rsidRDefault="00C156EE" w:rsidP="00AA2FD5">
      <w:pPr>
        <w:pStyle w:val="PKTpunkt"/>
      </w:pPr>
      <w:r>
        <w:t>5)</w:t>
      </w:r>
      <w:r>
        <w:tab/>
      </w:r>
      <w:r w:rsidRPr="00AA2FD5">
        <w:t xml:space="preserve">dodaje się art. 50g </w:t>
      </w:r>
      <w:bookmarkStart w:id="2" w:name="_Hlk181878041"/>
      <w:r w:rsidRPr="00AA2FD5">
        <w:t>do ustawy o emeryturach i rentach z Funduszu Ubezpieczeń Społecznych</w:t>
      </w:r>
      <w:bookmarkEnd w:id="2"/>
      <w:r w:rsidRPr="00AA2FD5">
        <w:t xml:space="preserve"> stanowiący, że emerytura tancerza zawodowego przysługuje osobie, która osiągnęła wiek emerytalny 40 lat dla kobiet i 45 lat dla mężczyzn, posiada co najmniej 20-letni okres zatrudnienia i nie przystąpiła do otwartego funduszu emerytalnego </w:t>
      </w:r>
      <w:r>
        <w:br/>
      </w:r>
      <w:r w:rsidRPr="00AA2FD5">
        <w:t xml:space="preserve">albo złożyła wniosek o przekazanie środków zgromadzonych na rachunku w otwartym </w:t>
      </w:r>
      <w:r w:rsidRPr="00AA2FD5">
        <w:lastRenderedPageBreak/>
        <w:t xml:space="preserve">funduszu emerytalnym, za pośrednictwem Zakładu Ubezpieczeń Społecznych, </w:t>
      </w:r>
      <w:r>
        <w:br/>
      </w:r>
      <w:r w:rsidRPr="00AA2FD5">
        <w:t>na dochody budżetu państwa;</w:t>
      </w:r>
    </w:p>
    <w:p w14:paraId="73C8BBE7" w14:textId="77777777" w:rsidR="00C156EE" w:rsidRPr="00427F02" w:rsidRDefault="00C156EE" w:rsidP="00AA2FD5">
      <w:pPr>
        <w:pStyle w:val="PKTpunkt"/>
      </w:pPr>
      <w:r>
        <w:t>6)</w:t>
      </w:r>
      <w:r>
        <w:tab/>
      </w:r>
      <w:r w:rsidRPr="00AA2FD5">
        <w:t>dodaje się art. 50h do ustawy o emeryturach i rentach z Funduszu Ubezpieczeń Społecznych, w którym unormowano problematykę okresów zatrudnienia tancerza zawodowego; w dodawanym przepisie przewidziano, że okresem zatrudnienia tancerza zawodowego będzie okres pozostawania w stosunku pracy na podstawie umowy o pracę na stanowisku tancerza oraz okres wykonywania zawodu tancerza na podstawie umowy zlecenia w zespołach baletowych lub zespołach tanecznych</w:t>
      </w:r>
      <w:r>
        <w:t xml:space="preserve"> </w:t>
      </w:r>
      <w:r w:rsidRPr="00AA2FD5">
        <w:t xml:space="preserve">w instytucjach kultury, </w:t>
      </w:r>
      <w:r>
        <w:br/>
      </w:r>
      <w:r w:rsidRPr="00AA2FD5">
        <w:t xml:space="preserve">pod warunkiem, że praca była wykonywana co najmniej w połowie wymiaru czasu pracy; do okresów zatrudnienia będą zaliczane również okresy, w czasie których pracownik pobierał zasiłki chorobowy, macierzyński </w:t>
      </w:r>
      <w:r>
        <w:t>albo</w:t>
      </w:r>
      <w:r w:rsidRPr="00AA2FD5">
        <w:t xml:space="preserve"> opiekuńczy; przewidziano również, </w:t>
      </w:r>
      <w:r>
        <w:br/>
      </w:r>
      <w:r w:rsidRPr="00AA2FD5">
        <w:t>że wysokość emerytury tancerza nie będzie</w:t>
      </w:r>
      <w:r>
        <w:t xml:space="preserve"> mogła być</w:t>
      </w:r>
      <w:r w:rsidRPr="00AA2FD5">
        <w:t xml:space="preserve"> niższa niż kwota najniższej emerytury</w:t>
      </w:r>
      <w:r>
        <w:t>.</w:t>
      </w:r>
    </w:p>
    <w:p w14:paraId="76DD8B05" w14:textId="77777777" w:rsidR="00C156EE" w:rsidRPr="004F07DC" w:rsidRDefault="00C156EE" w:rsidP="004F07DC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W art. 2 projektowanej ustawy, w związku z utworzeniem nowej grupy uprawnionej </w:t>
      </w:r>
      <w:r>
        <w:rPr>
          <w:rFonts w:eastAsia="Times New Roman"/>
        </w:rPr>
        <w:br/>
        <w:t>do emerytury na mocy ustawy o emeryturach i rentach z Funduszu Ubezpieczeń Społecznych, przewidziano usunięcie zawodu tancerza z grupy zawodów wykonujących pracę w szczególnych warunkach.</w:t>
      </w:r>
    </w:p>
    <w:p w14:paraId="2C2B33A2" w14:textId="77777777" w:rsidR="00C156EE" w:rsidRPr="00867244" w:rsidRDefault="00C156EE" w:rsidP="00867244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Projektowana ustawa zawiera przepis przejściowy (art. 3) rozstrzygający, że przy ustalaniu okresów zatrudnienia na potrzeby przyznania prawa do emerytury tancerza zawodowego, uwzględniane będą również okresy pozostawania w stosunku pracy oraz okresy wykonywania zawodu tancerza na podstawie umowy zlecenia przed dniem wejścia w życie </w:t>
      </w:r>
      <w:r>
        <w:rPr>
          <w:rFonts w:eastAsia="Times New Roman"/>
        </w:rPr>
        <w:br/>
        <w:t>tej ustawy.</w:t>
      </w:r>
    </w:p>
    <w:p w14:paraId="10688839" w14:textId="77777777" w:rsidR="00C156EE" w:rsidRPr="004F07DC" w:rsidRDefault="00C156EE" w:rsidP="004F07DC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W art. 4 projektu ustawy przyjęto, że będące w toku postępowania w sprawie emerytury pomostowej dla tancerzy zawodowych zostaną umorzone (ust. 1). Jednocześnie proponuje się, aby art. 50g, dodawany do ustawy o emeryturach i rentach z Funduszu Ubezpieczeń Społecznych, znalazł zastosowanie w toczących się w dniu wejścia w życie ustawy postępowaniach o ustalanie prawa do emerytury tancerzy zawodowych (ust. 2). </w:t>
      </w:r>
    </w:p>
    <w:p w14:paraId="153EB94B" w14:textId="77777777" w:rsidR="00C156EE" w:rsidRDefault="00C156EE" w:rsidP="00352801">
      <w:pPr>
        <w:pStyle w:val="NIEARTTEKSTtekstnieartykuowanynppodstprawnarozplubpreambua"/>
        <w:rPr>
          <w:rFonts w:eastAsia="Times New Roman"/>
        </w:rPr>
      </w:pPr>
      <w:r>
        <w:rPr>
          <w:rFonts w:eastAsia="Times New Roman"/>
        </w:rPr>
        <w:t xml:space="preserve">Zgodnie z art. 5 projektowanej ustawy wejdzie ona w życie z dniem 1 stycznia 2026 r. Okres </w:t>
      </w:r>
      <w:r>
        <w:rPr>
          <w:rFonts w:eastAsia="Times New Roman"/>
          <w:i/>
        </w:rPr>
        <w:t>vacatio legis</w:t>
      </w:r>
      <w:r>
        <w:rPr>
          <w:rFonts w:eastAsia="Times New Roman"/>
        </w:rPr>
        <w:t xml:space="preserve"> umożliwi organowi emerytalnemu dostosowanie się do nowej rzeczywistości prawnej, w szczególności pozwoli dokonać niezbędnej modyfikacji systemów teleinformatycznych wykorzystywanych przez ten organ.</w:t>
      </w:r>
    </w:p>
    <w:p w14:paraId="225729C5" w14:textId="77777777" w:rsidR="00C156EE" w:rsidRPr="00352801" w:rsidRDefault="00C156EE" w:rsidP="00A7311D">
      <w:pPr>
        <w:pStyle w:val="ARTartustawynprozporzdzenia"/>
        <w:ind w:firstLine="0"/>
      </w:pPr>
    </w:p>
    <w:p w14:paraId="04EA34E6" w14:textId="77777777" w:rsidR="00C156EE" w:rsidRDefault="00C156EE" w:rsidP="00C156EE">
      <w:pPr>
        <w:widowControl/>
        <w:numPr>
          <w:ilvl w:val="0"/>
          <w:numId w:val="13"/>
        </w:numPr>
        <w:autoSpaceDE/>
        <w:autoSpaceDN/>
        <w:adjustRightInd/>
        <w:spacing w:after="239" w:line="259" w:lineRule="auto"/>
        <w:ind w:hanging="511"/>
        <w:jc w:val="left"/>
      </w:pPr>
      <w:r>
        <w:rPr>
          <w:rFonts w:eastAsia="Times New Roman" w:cs="Times New Roman"/>
          <w:b/>
        </w:rPr>
        <w:lastRenderedPageBreak/>
        <w:t xml:space="preserve">Konsultacje </w:t>
      </w:r>
    </w:p>
    <w:p w14:paraId="27FC163A" w14:textId="77777777" w:rsidR="00C156EE" w:rsidRDefault="00C156EE" w:rsidP="004942F4">
      <w:pPr>
        <w:pStyle w:val="NIEARTTEKSTtekstnieartykuowanynppodstprawnarozplubpreambua"/>
      </w:pPr>
      <w:r>
        <w:rPr>
          <w:rFonts w:eastAsia="Times New Roman"/>
        </w:rPr>
        <w:t xml:space="preserve">Oczekiwane skutki społeczne, gospodarcze i finansowe oraz wyniki konsultacji </w:t>
      </w:r>
      <w:r>
        <w:rPr>
          <w:rFonts w:eastAsia="Times New Roman"/>
        </w:rPr>
        <w:br/>
        <w:t xml:space="preserve">są przedstawione w Ocenie Skutków Regulacji. Nadesłane w ramach konsultacji opinie i uwagi są zamieszczone na senackiej stronie internetowej. </w:t>
      </w:r>
    </w:p>
    <w:p w14:paraId="0CED6B2B" w14:textId="77777777" w:rsidR="00C156EE" w:rsidRDefault="00C156EE" w:rsidP="00165239">
      <w:pPr>
        <w:ind w:left="250"/>
      </w:pPr>
      <w:r>
        <w:rPr>
          <w:rFonts w:eastAsia="Times New Roman" w:cs="Times New Roman"/>
          <w:b/>
        </w:rPr>
        <w:t xml:space="preserve"> </w:t>
      </w:r>
    </w:p>
    <w:p w14:paraId="0B34F7AA" w14:textId="77777777" w:rsidR="00C156EE" w:rsidRDefault="00C156EE" w:rsidP="00C156EE">
      <w:pPr>
        <w:widowControl/>
        <w:numPr>
          <w:ilvl w:val="0"/>
          <w:numId w:val="13"/>
        </w:numPr>
        <w:autoSpaceDE/>
        <w:autoSpaceDN/>
        <w:adjustRightInd/>
        <w:spacing w:after="240" w:line="259" w:lineRule="auto"/>
        <w:ind w:hanging="511"/>
        <w:jc w:val="left"/>
      </w:pPr>
      <w:r>
        <w:rPr>
          <w:rFonts w:eastAsia="Times New Roman" w:cs="Times New Roman"/>
          <w:b/>
        </w:rPr>
        <w:t xml:space="preserve">Oświadczenie o zgodności z prawem Unii Europejskiej </w:t>
      </w:r>
    </w:p>
    <w:p w14:paraId="50798FA7" w14:textId="072E934E" w:rsidR="00C156EE" w:rsidRPr="00165239" w:rsidRDefault="00C156EE" w:rsidP="00C156EE">
      <w:pPr>
        <w:pStyle w:val="NIEARTTEKSTtekstnieartykuowanynppodstprawnarozplubpreambua"/>
      </w:pPr>
      <w:r>
        <w:rPr>
          <w:rFonts w:eastAsia="Times New Roman"/>
        </w:rPr>
        <w:t>Projekt ustawy nie zawiera przepisów objętych regulacją prawa Unii Europejskiej.</w:t>
      </w:r>
    </w:p>
    <w:p w14:paraId="0991A805" w14:textId="19987511" w:rsidR="00C156EE" w:rsidRDefault="00C156EE" w:rsidP="00B64027">
      <w:pPr>
        <w:pStyle w:val="ARTartustawynprozporzdzenia"/>
      </w:pPr>
    </w:p>
    <w:p w14:paraId="33E7881B" w14:textId="77777777" w:rsidR="00C156EE" w:rsidRDefault="00C156EE" w:rsidP="00DC43AF">
      <w:pPr>
        <w:pStyle w:val="PKTpunkt"/>
      </w:pPr>
    </w:p>
    <w:p w14:paraId="545D47CD" w14:textId="77777777" w:rsidR="00C156EE" w:rsidRPr="00737F6A" w:rsidRDefault="00C156EE" w:rsidP="00DC43AF">
      <w:pPr>
        <w:pStyle w:val="PKTpunkt"/>
      </w:pPr>
    </w:p>
    <w:p w14:paraId="0835F2D9" w14:textId="6465CC74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</w:p>
    <w:p w14:paraId="02EDDED9" w14:textId="04CFBECE" w:rsidR="00735880" w:rsidRDefault="00735880" w:rsidP="00E231EB">
      <w:pPr>
        <w:pStyle w:val="OZNPROJEKTUwskazaniedatylubwersjiprojektu"/>
      </w:pPr>
    </w:p>
    <w:sectPr w:rsidR="00735880" w:rsidSect="00C156EE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620A" w14:textId="77777777" w:rsidR="004D64D9" w:rsidRDefault="004D64D9" w:rsidP="00D82574">
      <w:pPr>
        <w:spacing w:line="240" w:lineRule="auto"/>
      </w:pPr>
      <w:r>
        <w:separator/>
      </w:r>
    </w:p>
  </w:endnote>
  <w:endnote w:type="continuationSeparator" w:id="0">
    <w:p w14:paraId="0D4ACECF" w14:textId="77777777" w:rsidR="004D64D9" w:rsidRDefault="004D64D9" w:rsidP="00D82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EAC1" w14:textId="77777777" w:rsidR="004D64D9" w:rsidRDefault="004D64D9" w:rsidP="00D82574">
      <w:pPr>
        <w:spacing w:line="240" w:lineRule="auto"/>
      </w:pPr>
      <w:r>
        <w:separator/>
      </w:r>
    </w:p>
  </w:footnote>
  <w:footnote w:type="continuationSeparator" w:id="0">
    <w:p w14:paraId="44A3EB64" w14:textId="77777777" w:rsidR="004D64D9" w:rsidRDefault="004D64D9" w:rsidP="00D82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362" w14:textId="77777777" w:rsidR="00000000" w:rsidRPr="00B371CC" w:rsidRDefault="0086325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D66D" w14:textId="77777777" w:rsidR="00C156EE" w:rsidRDefault="00C156EE">
    <w:pPr>
      <w:pStyle w:val="Nagwek"/>
      <w:jc w:val="center"/>
    </w:pPr>
    <w:r>
      <w:t>–</w:t>
    </w:r>
    <w:sdt>
      <w:sdtPr>
        <w:id w:val="-1792654546"/>
        <w:docPartObj>
          <w:docPartGallery w:val="Page Numbers (Top of Page)"/>
          <w:docPartUnique/>
        </w:docPartObj>
      </w:sdtPr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–</w:t>
        </w:r>
      </w:sdtContent>
    </w:sdt>
  </w:p>
  <w:p w14:paraId="36970EDB" w14:textId="77777777" w:rsidR="00C156EE" w:rsidRDefault="00C156EE" w:rsidP="00165239">
    <w:pPr>
      <w:ind w:right="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D88182D"/>
    <w:multiLevelType w:val="hybridMultilevel"/>
    <w:tmpl w:val="515CC096"/>
    <w:lvl w:ilvl="0" w:tplc="B6C2DF62">
      <w:start w:val="4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E1308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08F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8EDE8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E200A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83F22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8A9A6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A5DD8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83A78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55392CDF"/>
    <w:multiLevelType w:val="hybridMultilevel"/>
    <w:tmpl w:val="3FE00906"/>
    <w:lvl w:ilvl="0" w:tplc="70886FBE">
      <w:start w:val="2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E7CC4">
      <w:start w:val="23"/>
      <w:numFmt w:val="upperLetter"/>
      <w:lvlText w:val="%2"/>
      <w:lvlJc w:val="left"/>
      <w:pPr>
        <w:ind w:left="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689E2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CFA0A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4F366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69276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2EBBC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C7632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DAE4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2859821">
    <w:abstractNumId w:val="3"/>
  </w:num>
  <w:num w:numId="2" w16cid:durableId="2066564048">
    <w:abstractNumId w:val="3"/>
  </w:num>
  <w:num w:numId="3" w16cid:durableId="1228690355">
    <w:abstractNumId w:val="2"/>
  </w:num>
  <w:num w:numId="4" w16cid:durableId="551845119">
    <w:abstractNumId w:val="2"/>
  </w:num>
  <w:num w:numId="5" w16cid:durableId="2048484368">
    <w:abstractNumId w:val="6"/>
  </w:num>
  <w:num w:numId="6" w16cid:durableId="1249077210">
    <w:abstractNumId w:val="5"/>
  </w:num>
  <w:num w:numId="7" w16cid:durableId="606085435">
    <w:abstractNumId w:val="6"/>
  </w:num>
  <w:num w:numId="8" w16cid:durableId="681593871">
    <w:abstractNumId w:val="5"/>
  </w:num>
  <w:num w:numId="9" w16cid:durableId="1724982781">
    <w:abstractNumId w:val="6"/>
  </w:num>
  <w:num w:numId="10" w16cid:durableId="2007974328">
    <w:abstractNumId w:val="5"/>
  </w:num>
  <w:num w:numId="11" w16cid:durableId="1181703420">
    <w:abstractNumId w:val="0"/>
  </w:num>
  <w:num w:numId="12" w16cid:durableId="2093969069">
    <w:abstractNumId w:val="4"/>
  </w:num>
  <w:num w:numId="13" w16cid:durableId="1003630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4397"/>
    <w:rsid w:val="002B0A43"/>
    <w:rsid w:val="00382AAC"/>
    <w:rsid w:val="003B69FA"/>
    <w:rsid w:val="003D7342"/>
    <w:rsid w:val="004D64D9"/>
    <w:rsid w:val="004F1121"/>
    <w:rsid w:val="00524B7E"/>
    <w:rsid w:val="00527E52"/>
    <w:rsid w:val="0056045F"/>
    <w:rsid w:val="005977FC"/>
    <w:rsid w:val="006F026C"/>
    <w:rsid w:val="00735880"/>
    <w:rsid w:val="00777F90"/>
    <w:rsid w:val="007F20E7"/>
    <w:rsid w:val="00863253"/>
    <w:rsid w:val="00874611"/>
    <w:rsid w:val="008758BB"/>
    <w:rsid w:val="008C7EE7"/>
    <w:rsid w:val="009D2757"/>
    <w:rsid w:val="00A06AF3"/>
    <w:rsid w:val="00A12675"/>
    <w:rsid w:val="00A64FF7"/>
    <w:rsid w:val="00AF364E"/>
    <w:rsid w:val="00B5303C"/>
    <w:rsid w:val="00C156EE"/>
    <w:rsid w:val="00D82574"/>
    <w:rsid w:val="00D829F5"/>
    <w:rsid w:val="00E15D93"/>
    <w:rsid w:val="00E231EB"/>
    <w:rsid w:val="00E50970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rsid w:val="00D8257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82574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D8257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82574"/>
    <w:pPr>
      <w:spacing w:before="0"/>
      <w:ind w:left="51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82574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82574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2574"/>
    <w:rPr>
      <w:bCs/>
    </w:rPr>
  </w:style>
  <w:style w:type="paragraph" w:customStyle="1" w:styleId="PKTpunkt">
    <w:name w:val="PKT – punkt"/>
    <w:link w:val="PKTpunktZnak"/>
    <w:uiPriority w:val="13"/>
    <w:qFormat/>
    <w:rsid w:val="00D8257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Stopka">
    <w:name w:val="footer"/>
    <w:basedOn w:val="Normalny"/>
    <w:link w:val="StopkaZnak"/>
    <w:uiPriority w:val="99"/>
    <w:unhideWhenUsed/>
    <w:rsid w:val="00D825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574"/>
    <w:rPr>
      <w:rFonts w:eastAsiaTheme="minorEastAsia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156EE"/>
    <w:pPr>
      <w:ind w:left="1020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C156EE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7"/>
    <w:qFormat/>
    <w:rsid w:val="00C156EE"/>
    <w:pPr>
      <w:ind w:left="986" w:hanging="476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156EE"/>
    <w:pPr>
      <w:keepNext/>
      <w:suppressAutoHyphens/>
      <w:spacing w:line="360" w:lineRule="auto"/>
      <w:ind w:left="510"/>
      <w:jc w:val="center"/>
    </w:pPr>
    <w:rPr>
      <w:rFonts w:ascii="Times" w:hAnsi="Times"/>
      <w:sz w:val="24"/>
      <w:szCs w:val="26"/>
    </w:rPr>
  </w:style>
  <w:style w:type="character" w:customStyle="1" w:styleId="PKTpunktZnak">
    <w:name w:val="PKT – punkt Znak"/>
    <w:basedOn w:val="Domylnaczcionkaakapitu"/>
    <w:link w:val="PKTpunkt"/>
    <w:uiPriority w:val="13"/>
    <w:locked/>
    <w:rsid w:val="00C156EE"/>
    <w:rPr>
      <w:rFonts w:ascii="Times" w:eastAsiaTheme="minorEastAsia" w:hAnsi="Times" w:cs="Arial"/>
      <w:bCs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C156EE"/>
    <w:rPr>
      <w:rFonts w:ascii="Times" w:eastAsiaTheme="minorEastAsia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1979</Words>
  <Characters>11880</Characters>
  <Application>Microsoft Office Word</Application>
  <DocSecurity>0</DocSecurity>
  <Lines>99</Lines>
  <Paragraphs>27</Paragraphs>
  <ScaleCrop>false</ScaleCrop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2025-04-02T06:47:00Z</dcterms:created>
  <dcterms:modified xsi:type="dcterms:W3CDTF">2025-04-02T06:47:00Z</dcterms:modified>
</cp:coreProperties>
</file>