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9C4A" w14:textId="77777777" w:rsidR="00B64C31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UZASADNIENIE</w:t>
      </w:r>
    </w:p>
    <w:p w14:paraId="2EF0838D" w14:textId="1AC3798A" w:rsidR="00B64C31" w:rsidRDefault="005F6D82" w:rsidP="005F6D8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Potrzeba i cel wydania ustawy </w:t>
      </w:r>
      <w:r w:rsidRPr="005F6D82">
        <w:rPr>
          <w:rFonts w:ascii="Times New Roman" w:eastAsia="Times New Roman" w:hAnsi="Times New Roman" w:cs="Times New Roman"/>
          <w:b/>
          <w:sz w:val="24"/>
          <w:szCs w:val="24"/>
        </w:rPr>
        <w:t>oraz rzeczywisty stan w dziedzinie, która ma być unormowana</w:t>
      </w:r>
    </w:p>
    <w:p w14:paraId="2682AC2A" w14:textId="38B147EE" w:rsidR="00B64C31" w:rsidRDefault="00000000" w:rsidP="005F6D8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Projekt ustawy ma dwa cele. Pierwszym jest zmiana archaicznego brzmienia przepisu art. 829 pkt 3 k.p.c.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 wyłącza z egzekucji komorniczej pojedyncze zwierzęta hodowlane, dawniej wykorzystywane do zaspokojenia potrzeb żywieniowych rodziny. Przepis ten </w:t>
      </w:r>
      <w:r w:rsidR="005F6D8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dzisiejszych realiach nie ma racji bytu z uwagi na zmiany, jakie zaszły w społeczeństwie </w:t>
      </w:r>
      <w:r w:rsidR="005F6D82">
        <w:rPr>
          <w:rFonts w:ascii="Times New Roman" w:eastAsia="Times New Roman" w:hAnsi="Times New Roman" w:cs="Times New Roman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gospodarce, a także w modelu życia i konsumpcji. Drugim jest wyłączenie z egzekucji komorniczej zwierząt. Wyłączenie to obejmie wszystkie zwierzęta – w tym zwierzęta domowe i gospodarskie. Wyłączenie to zastąpi obecnie obowiązujące brzmienie art. 829 pkt 3 k.p.c. </w:t>
      </w:r>
    </w:p>
    <w:p w14:paraId="7E138B84" w14:textId="04214AF5" w:rsidR="00B64C31" w:rsidRDefault="00000000" w:rsidP="005F6D82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Obecnie egzekucja ze zwierząt jest możliwa, pomimo tego, że wartość rynkowa pojedynczego zwierzęcia domowego nie jest znaczna, nawet w przypadku, gdy jest to zwierzę rasowe. Na utratę wartości takiego zwierzęcia wpływa m.in. niepewność, czy zwierzę, które zostało zabrane ze swojego domu i pozbawione kontaktu ze swoim dotychczasowym opiekunem, będzie w stanie zaadaptować się bez uszczerbku na swoim dobrostanie w nowych warunkach. Jednocześnie sondaż przeprowadzony przez Biostat w 2024 r. wskazuje, że aż 52,1% ankietowanych Polaków ma w domu co najmniej jednego psa, a 39,0% - kota. Zwierząt domowych nie ma 28,0% pytanych. Ponadto ankietowani wskazywali na posiadanie takich zwierząt domowych ja</w:t>
      </w:r>
      <w:r w:rsidR="005F6D82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: ryby akwariowe (8,5% ankietowanych), papuga (3,2%), królik (2,8%), chomik (2,7%), żółw (1,9%), świnka morska (1,4%), kanarek (0,5%), szczur (0,4%), szynszyle (0,3%), jaszczurki (0,3%), węże (0,1%) oraz owady, tchórzofretki i inne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0346A" w14:textId="77777777" w:rsidR="005F6D82" w:rsidRDefault="00000000" w:rsidP="005F6D82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Również zwierzęta gospodarskie nie przedstawiają istotnej wartości w przypadku próby prowadzenia z nich egzekucji komorniczej. Egzekucja ze zwierząt gospodarskich jest dla komorników trudna, rzadko w praktyce prowadzona. Komornicy nie mają co do zasady warunków do tego, żeby przechowywać te zwierzęta, brak też zainteresowania ewentualnych nabywców kupnem zwierząt zajętych przez komornika. W efekcie zwierzęta te tracą bardzo na wartości w relatywnie krótkim czasie, a sam dłużnik, wobec którego przeprowadzona została egzekucja ze zwierząt gospodarskich, zostaje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 facto </w:t>
      </w:r>
      <w:r>
        <w:rPr>
          <w:rFonts w:ascii="Times New Roman" w:eastAsia="Times New Roman" w:hAnsi="Times New Roman" w:cs="Times New Roman"/>
          <w:sz w:val="24"/>
          <w:szCs w:val="24"/>
        </w:rPr>
        <w:t>pozbawiony narzędzi pracy, które mogłyby mu w dalszym czasie posłużyć do uzyskania dochodu umożliwiającego spłatę zadłużenia.</w:t>
      </w:r>
    </w:p>
    <w:p w14:paraId="60316E6E" w14:textId="2D7C2DA7" w:rsidR="00B64C31" w:rsidRDefault="00000000" w:rsidP="005F6D82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Podkreślenia wymaga także, że rosnąca świadomość społeczeństwa związana </w:t>
      </w:r>
      <w:r w:rsidR="005F6D8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koniecznością ochrony zwierząt i empatią wobec nich nakazuje także szczególne uwzględnienie ich dobrostanu.</w:t>
      </w:r>
    </w:p>
    <w:p w14:paraId="70AC9D59" w14:textId="77777777" w:rsidR="005F6D82" w:rsidRDefault="005F6D82" w:rsidP="005F6D8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Przewidywane skutki prawne w tym różnica pomiędzy dotychczasowym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a projektowanym stanem prawnym</w:t>
      </w:r>
    </w:p>
    <w:p w14:paraId="300C1B4F" w14:textId="612CBFD7" w:rsidR="005F6D82" w:rsidRDefault="00000000" w:rsidP="005F6D8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829 pkt 3 k.p.c. w obowiązującym brzmieniu jest </w:t>
      </w:r>
      <w:r w:rsidR="00831A24">
        <w:rPr>
          <w:rFonts w:ascii="Times New Roman" w:eastAsia="Times New Roman" w:hAnsi="Times New Roman" w:cs="Times New Roman"/>
          <w:sz w:val="24"/>
          <w:szCs w:val="24"/>
        </w:rPr>
        <w:t xml:space="preserve">archaicznym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przepisem całkowicie nieprzystającym do aktualnych realiów. Przepis wyłącza egzekucję komorniczą </w:t>
      </w:r>
      <w:r w:rsidR="00831A2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jednej krowy lub dwóch kóz albo trzech owiec potrzebnych do wyżywienia dłużnika </w:t>
      </w:r>
      <w:r w:rsidR="00831A24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 będących na jego utrzymaniu członków jego rodziny wraz z zapasem paszy i ściółki do najbliższych zbiorów”.</w:t>
      </w:r>
    </w:p>
    <w:p w14:paraId="24E42032" w14:textId="56B34446" w:rsidR="005F6D82" w:rsidRDefault="00000000" w:rsidP="005F6D8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Projektowana ustawa wprowadza, w miejsce dotychczasowej regulacji art. 829 pkt 3 k.p.c., wyłączenie z egzekucji komorniczej wszystkich zwierząt. Wyłączenie to w oczywisty sposób obejmie wszystkim zwierzęta domowe (głównie psy i koty), a także gospodarskie. </w:t>
      </w:r>
    </w:p>
    <w:p w14:paraId="7385B7E5" w14:textId="6B75E521" w:rsidR="00B64C31" w:rsidRDefault="00000000" w:rsidP="005F6D8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Przewidywane skutki projektowanej zmiany to przede wszystkim dostosowanie obowiązujących przepisów do dzisiejszych realiów. W aktualnym brzmieniu art. 829 pkt 3 k.p.c. jest co do zasady bezprzedmiotowy, z kolei przepis ten w projektowanym brzmieniu zapewni poczucie bezpieczeństwa właścicielom zwierząt domowych oraz samym zwierzętom. Jednocześnie projektowana zmiana wyłączy prowadzenie egzekucji komorniczej ze zwierząt gospodarskich, co już dziś stanowi margines zajęć komorniczych, a w praktyce oznacza znaczną utratę wartości zajętych zwierząt przy jednoczesnym znacznym ograniczeniu możliwości zarobkowania dłużnika poprzez pozbawienie go zwierząt z których czerpał dochód.</w:t>
      </w:r>
    </w:p>
    <w:p w14:paraId="6155BED2" w14:textId="77777777" w:rsidR="00165454" w:rsidRDefault="00165454" w:rsidP="00165454">
      <w:pPr>
        <w:spacing w:before="24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Projektowana ustawa nie jest sprzeczna z prawem Unii Europejskiej.</w:t>
      </w:r>
    </w:p>
    <w:p w14:paraId="5433336B" w14:textId="0F70C373" w:rsidR="00165454" w:rsidRDefault="00165454" w:rsidP="00165454">
      <w:pPr>
        <w:spacing w:before="240" w:after="2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Projektowane rozwiązania są spójne z dotychczasowymi regulacjami pod kątem systemowym i terminologicznym. Projektowane rozwiązania są zgodne z Konstytucją RP, </w:t>
      </w:r>
      <w:r w:rsidR="0058554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tym z konstytucyjnym standardem ochrony wolności i praw.</w:t>
      </w:r>
    </w:p>
    <w:p w14:paraId="4BB7B2DE" w14:textId="63ADE3FF" w:rsidR="00165454" w:rsidRPr="00165454" w:rsidRDefault="00165454" w:rsidP="00165454">
      <w:pPr>
        <w:spacing w:before="240" w:after="20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ma możliwości osiągnięcia celu projektu za pomocą innych środków niż zmiana przepisów.</w:t>
      </w:r>
    </w:p>
    <w:p w14:paraId="3927DD44" w14:textId="28D7DB03" w:rsidR="00B64C31" w:rsidRDefault="00831A24" w:rsidP="00831A24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Przewidywane skutki społeczne, gospodarcze, finansowe</w:t>
      </w:r>
    </w:p>
    <w:p w14:paraId="49604FCC" w14:textId="37180D55" w:rsidR="00B64C31" w:rsidRDefault="00831A24" w:rsidP="00831A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 Skutki społeczne</w:t>
      </w:r>
    </w:p>
    <w:p w14:paraId="0EE213A3" w14:textId="30C443BB" w:rsidR="00B64C31" w:rsidRDefault="00000000" w:rsidP="005F6D82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Projektowana zmiana będzie miała pozytywne skutki społeczne. Obecnie powszechna jest wiedza o tym, że także zwierzęta odczuwają przywiązanie do swoich właścicieli, są </w:t>
      </w:r>
      <w:r w:rsidR="00831A2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stanie odczuwać strach i cierpienie. Prowadzenie egzekucji komorniczej ze zwierząt domowych – nie przedstawiających przecież wartości materialnej pozwalającej zaspokoić znaczne roszczenie pieniężne – utraciło akceptację społeczną. Wprowadzenie projektowanej zmiany będzie miało pozytywny wydźwięk społeczny. </w:t>
      </w:r>
    </w:p>
    <w:p w14:paraId="10B088B5" w14:textId="77777777" w:rsidR="00831A24" w:rsidRDefault="00000000" w:rsidP="00831A24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Również w przypadku zwierząt gospodarskich, szczególnie w środowisku rolniczym, zmiana zostanie odebrana nader pozytywnie. Rolnicy najlepiej zdają sobie sprawę z wartości zwierząt gospodarskich, które pielęgnują i użytkują, a stanowią ich źródło dochodu, przy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jednoczesnej świadomości skali utraty wartości takiego zwierzęcia w momencie przeprowadzenia z niego egzekucji komorniczej.</w:t>
      </w:r>
    </w:p>
    <w:p w14:paraId="40FCCB2D" w14:textId="4DEB759C" w:rsidR="00B64C31" w:rsidRPr="00831A24" w:rsidRDefault="00831A24" w:rsidP="00831A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A24">
        <w:rPr>
          <w:rFonts w:ascii="Times New Roman" w:eastAsia="Times New Roman" w:hAnsi="Times New Roman" w:cs="Times New Roman"/>
          <w:b/>
          <w:bCs/>
          <w:sz w:val="24"/>
          <w:szCs w:val="24"/>
        </w:rPr>
        <w:t>2) Skutki gospodarcze</w:t>
      </w:r>
    </w:p>
    <w:p w14:paraId="71BE3E5E" w14:textId="25A6E279" w:rsidR="00831A24" w:rsidRDefault="00831A24" w:rsidP="005F6D82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Projektowane regulacje będą miały pozytywne skutki gospodarcze. D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>łużni</w:t>
      </w:r>
      <w:r>
        <w:rPr>
          <w:rFonts w:ascii="Times New Roman" w:eastAsia="Times New Roman" w:hAnsi="Times New Roman" w:cs="Times New Roman"/>
          <w:sz w:val="24"/>
          <w:szCs w:val="24"/>
        </w:rPr>
        <w:t>cy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>, wobec któr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ych jest obecnie 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>przeprowadzona egzekucja ze zwierząt gospodarskich, zostaj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 xml:space="preserve"> de facto pozbawi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>eni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 xml:space="preserve"> narzędzi pracy, które mogłyby 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 xml:space="preserve"> w dalszym czasie posłużyć do uzyskania dochodu umożliwiającego spłatę zadłużenia.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 zmianie przepisów będą mieli większe szanse na wyjście z zadłużenia, a ich zwierzęta nie stracą na wartości podczas egzekucji komorniczej.</w:t>
      </w:r>
    </w:p>
    <w:p w14:paraId="78644F5D" w14:textId="7406BC6F" w:rsidR="00B64C31" w:rsidRPr="00831A24" w:rsidRDefault="00831A24" w:rsidP="00831A24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Zwierzęta gospodarcze znacznie tracą bowiem na wartości z chwilą egzekucji komorniczej. Warto także podkreślić, że zajęcia takie stanowią nieistotny z punktu widzenia wierzycieli margines egzekucji komorniczych, dlatego wprowadzenie proponowanego wyłączenia nie będzie miało negatywnego wpływu na skuteczność egzekucji komorniczych, </w:t>
      </w:r>
      <w:r w:rsidR="0058554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a tym samym na interesy gospodarcze wierzycieli.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Ustawa nie wpłynie także ani na sektor dużych, ani mikro, małych i średnich przedsiębiorstw.</w:t>
      </w:r>
    </w:p>
    <w:p w14:paraId="3B459919" w14:textId="62E4C227" w:rsidR="00B64C31" w:rsidRDefault="00831A24" w:rsidP="00831A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 Skutki finansowe</w:t>
      </w:r>
    </w:p>
    <w:p w14:paraId="37452D90" w14:textId="46BE0C73" w:rsidR="00B64C31" w:rsidRDefault="00000000" w:rsidP="00831A2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 ustawy nie pociąga za sobą obciążenia sektora finansów publicznych, budżetu państwa ani budżetów jednostek samorządu terytorialnego.</w:t>
      </w:r>
      <w:r w:rsidR="00831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Proponowane regulacje nie wymagają nakładów finansowych.</w:t>
      </w:r>
    </w:p>
    <w:p w14:paraId="34C6BF0B" w14:textId="39A45675" w:rsidR="00831A24" w:rsidRPr="00831A24" w:rsidRDefault="00165454" w:rsidP="00831A24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31A24" w:rsidRPr="00831A24">
        <w:rPr>
          <w:rFonts w:ascii="Times New Roman" w:eastAsia="Times New Roman" w:hAnsi="Times New Roman" w:cs="Times New Roman"/>
          <w:b/>
          <w:bCs/>
          <w:sz w:val="24"/>
          <w:szCs w:val="24"/>
        </w:rPr>
        <w:t>. Informacje dodatkowe</w:t>
      </w:r>
    </w:p>
    <w:p w14:paraId="479BD6EC" w14:textId="77777777" w:rsidR="00831A24" w:rsidRPr="00831A24" w:rsidRDefault="00831A24" w:rsidP="0016545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A24">
        <w:rPr>
          <w:rFonts w:ascii="Times New Roman" w:eastAsia="Times New Roman" w:hAnsi="Times New Roman" w:cs="Times New Roman"/>
          <w:sz w:val="24"/>
          <w:szCs w:val="24"/>
        </w:rPr>
        <w:t>Projekt nie był poddawany formalnym konsultacjom społecznym.</w:t>
      </w:r>
    </w:p>
    <w:p w14:paraId="776C0989" w14:textId="717D2C58" w:rsidR="00831A24" w:rsidRPr="00831A24" w:rsidRDefault="00831A24" w:rsidP="0016545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A24">
        <w:rPr>
          <w:rFonts w:ascii="Times New Roman" w:eastAsia="Times New Roman" w:hAnsi="Times New Roman" w:cs="Times New Roman"/>
          <w:sz w:val="24"/>
          <w:szCs w:val="24"/>
        </w:rPr>
        <w:t>Projekt nie zawiera przepisów określających zasady podejmowania, wykonywania lub zakończenia działalności gospodarczej.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>Wdrożenie projektowanych przepisów nie spowoduje wzrostu obciążeń administracyjnych mikroprzedsiębiorców, małych i średnich przedsiębiorców.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>Projekt ustawy jest zgodny z przepisami ustawy z dnia 6 marca 2018 r. – Prawo przedsiębiorców (Dz. U. z 2024 r. poz. 236, 1222).</w:t>
      </w:r>
    </w:p>
    <w:p w14:paraId="2F328F00" w14:textId="2BA911B4" w:rsidR="00831A24" w:rsidRPr="00831A24" w:rsidRDefault="00831A24" w:rsidP="0016545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A24">
        <w:rPr>
          <w:rFonts w:ascii="Times New Roman" w:eastAsia="Times New Roman" w:hAnsi="Times New Roman" w:cs="Times New Roman"/>
          <w:sz w:val="24"/>
          <w:szCs w:val="24"/>
        </w:rPr>
        <w:t>Projekt nie zawiera przepisów regulacyjnych i nie określa wymogów dotyczących świadczenia usług transgranicznych w rozumieniu ustawy z dnia 22 grudnia 2015 r. o zasadach uznawania kwalifikacji zawodowych nabytych w państwach członkowskich Unii Europejskiej (t.j. Dz.U. z 2023 r. poz. 334).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A24">
        <w:rPr>
          <w:rFonts w:ascii="Times New Roman" w:eastAsia="Times New Roman" w:hAnsi="Times New Roman" w:cs="Times New Roman"/>
          <w:sz w:val="24"/>
          <w:szCs w:val="24"/>
        </w:rPr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39BF6320" w14:textId="77777777" w:rsidR="00165454" w:rsidRDefault="00831A24" w:rsidP="0016545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A24">
        <w:rPr>
          <w:rFonts w:ascii="Times New Roman" w:eastAsia="Times New Roman" w:hAnsi="Times New Roman" w:cs="Times New Roman"/>
          <w:sz w:val="24"/>
          <w:szCs w:val="24"/>
        </w:rPr>
        <w:t>Projektowana ustawa nie zawiera przepisów technicznych i nie podlega notyfikacji zgodnie z przepisami rozporządzenia Rady Ministrów z dnia 23 grudnia 2002 r. w sprawie sposobu funkcjonowania krajowego systemu notyfikacji norm i aktów prawnych (Dz. U. poz. 2039 oraz z 2004 r. poz. 597).</w:t>
      </w:r>
      <w:r w:rsidR="001654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5454" w:rsidRPr="00165454">
        <w:rPr>
          <w:rFonts w:ascii="Times New Roman" w:eastAsia="Times New Roman" w:hAnsi="Times New Roman" w:cs="Times New Roman"/>
          <w:sz w:val="24"/>
          <w:szCs w:val="24"/>
        </w:rPr>
        <w:t>Projektowana ustawa nie wymaga wydawania aktów wykonawczych.</w:t>
      </w:r>
    </w:p>
    <w:p w14:paraId="52B27DA8" w14:textId="5CC62D29" w:rsidR="00B64C31" w:rsidRDefault="00000000" w:rsidP="0016545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DEKLAROWANE SKUTKI REGULACJI (DSR)</w:t>
      </w:r>
    </w:p>
    <w:p w14:paraId="248B7AF6" w14:textId="77777777" w:rsidR="00B64C31" w:rsidRDefault="00000000" w:rsidP="00165454">
      <w:pPr>
        <w:spacing w:before="2" w:after="0" w:line="240" w:lineRule="auto"/>
        <w:ind w:right="4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projektu ustawy</w:t>
      </w:r>
    </w:p>
    <w:p w14:paraId="4577A9BB" w14:textId="77777777" w:rsidR="005F6D82" w:rsidRDefault="005F6D82">
      <w:pPr>
        <w:spacing w:after="0" w:line="240" w:lineRule="auto"/>
        <w:ind w:left="142" w:right="41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8FC8C" w14:textId="643E4F5E" w:rsidR="00B64C31" w:rsidRDefault="00000000">
      <w:pPr>
        <w:spacing w:after="0" w:line="240" w:lineRule="auto"/>
        <w:ind w:left="142" w:right="4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projekcie</w:t>
      </w:r>
    </w:p>
    <w:p w14:paraId="0BFD3DC9" w14:textId="4208B8A7" w:rsidR="00B64C31" w:rsidRDefault="005F6D82" w:rsidP="00165454">
      <w:pPr>
        <w:tabs>
          <w:tab w:val="left" w:pos="1542"/>
        </w:tabs>
        <w:spacing w:before="180" w:line="240" w:lineRule="auto"/>
        <w:ind w:left="142"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Tytuł projektu:</w:t>
      </w:r>
    </w:p>
    <w:tbl>
      <w:tblPr>
        <w:tblStyle w:val="afff4"/>
        <w:tblW w:w="9246" w:type="dxa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6"/>
      </w:tblGrid>
      <w:tr w:rsidR="00B64C31" w14:paraId="3889DF5E" w14:textId="77777777" w:rsidTr="00165454">
        <w:trPr>
          <w:trHeight w:val="300"/>
        </w:trPr>
        <w:tc>
          <w:tcPr>
            <w:tcW w:w="9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00F8" w14:textId="4350029F" w:rsidR="00B64C31" w:rsidRDefault="00000000">
            <w:pPr>
              <w:spacing w:before="12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ustawy o zmianie ustawy – Kodeks postępowania cywilneg</w:t>
            </w:r>
            <w:r w:rsidR="005F6D8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14:paraId="1C4AF89C" w14:textId="77777777" w:rsidR="00B64C31" w:rsidRDefault="00B64C31">
      <w:pPr>
        <w:tabs>
          <w:tab w:val="left" w:pos="1552"/>
        </w:tabs>
        <w:spacing w:after="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</w:p>
    <w:p w14:paraId="03303BE3" w14:textId="250C4EF8" w:rsidR="00B64C31" w:rsidRDefault="005F6D82" w:rsidP="00165454">
      <w:pPr>
        <w:tabs>
          <w:tab w:val="left" w:pos="1552"/>
        </w:tabs>
        <w:spacing w:line="240" w:lineRule="auto"/>
        <w:ind w:left="142"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Przedstawiciel wnioskodawcy:</w:t>
      </w:r>
    </w:p>
    <w:tbl>
      <w:tblPr>
        <w:tblStyle w:val="afff5"/>
        <w:tblW w:w="92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08"/>
      </w:tblGrid>
      <w:tr w:rsidR="00B64C31" w14:paraId="0B5C21C1" w14:textId="77777777" w:rsidTr="00165454">
        <w:trPr>
          <w:trHeight w:val="436"/>
        </w:trPr>
        <w:tc>
          <w:tcPr>
            <w:tcW w:w="9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62451" w14:textId="17460EC5" w:rsidR="00B64C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Przemysław Wiple</w:t>
            </w:r>
            <w:r w:rsidR="0016545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14:paraId="6887A9ED" w14:textId="77777777" w:rsidR="00B64C31" w:rsidRDefault="00B64C31">
      <w:pPr>
        <w:spacing w:after="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</w:p>
    <w:p w14:paraId="378EC782" w14:textId="77777777" w:rsidR="00B64C31" w:rsidRDefault="00000000">
      <w:pPr>
        <w:numPr>
          <w:ilvl w:val="0"/>
          <w:numId w:val="3"/>
        </w:numPr>
        <w:tabs>
          <w:tab w:val="left" w:pos="672"/>
        </w:tabs>
        <w:spacing w:after="200" w:line="240" w:lineRule="auto"/>
        <w:ind w:left="142" w:right="419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Część wstępna</w:t>
      </w:r>
    </w:p>
    <w:p w14:paraId="7B889AF8" w14:textId="77777777" w:rsidR="00B64C3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"/>
        </w:tabs>
        <w:spacing w:after="200" w:line="240" w:lineRule="auto"/>
        <w:ind w:left="142" w:right="4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Zwięzły opis zidentyfikowanego problemu i proponowanych rozwiązań</w:t>
      </w:r>
    </w:p>
    <w:tbl>
      <w:tblPr>
        <w:tblStyle w:val="afff6"/>
        <w:tblW w:w="92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08"/>
      </w:tblGrid>
      <w:tr w:rsidR="00B64C31" w14:paraId="2FB97245" w14:textId="77777777" w:rsidTr="00165454">
        <w:trPr>
          <w:trHeight w:val="1973"/>
        </w:trPr>
        <w:tc>
          <w:tcPr>
            <w:tcW w:w="9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E06A4" w14:textId="77777777" w:rsidR="00B64C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0"/>
              </w:tabs>
              <w:spacing w:before="120"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ustawy ma na celu:</w:t>
            </w:r>
          </w:p>
          <w:p w14:paraId="2941A6CF" w14:textId="77777777" w:rsidR="00B64C3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zmianę archaicznego brzmienia przepisu art. 829 pkt 3 k.p.c., który wyłącza z egzekucji komorniczej pojedyncze zwierzęta hodowlane, dawniej wykorzystywane do zaspokojenia potrzeb żywieniowych;</w:t>
            </w:r>
          </w:p>
          <w:p w14:paraId="56A915E2" w14:textId="77777777" w:rsidR="00B64C3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wyłączenie z egzekucji komorniczej wszystkich zwierząt poprzez ustanowienie takiego wyłączenia w art. 829 pkt 3 k.p.c.</w:t>
            </w:r>
          </w:p>
        </w:tc>
      </w:tr>
    </w:tbl>
    <w:p w14:paraId="13FC58C0" w14:textId="142E4AC1" w:rsidR="00165454" w:rsidRPr="00165454" w:rsidRDefault="00000000" w:rsidP="00165454">
      <w:pPr>
        <w:numPr>
          <w:ilvl w:val="0"/>
          <w:numId w:val="5"/>
        </w:numPr>
        <w:tabs>
          <w:tab w:val="left" w:pos="936"/>
        </w:tabs>
        <w:spacing w:before="240" w:line="240" w:lineRule="auto"/>
        <w:ind w:left="142" w:right="4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były rozważane rozwiązania alternatywne?</w:t>
      </w:r>
    </w:p>
    <w:p w14:paraId="4ECC1E24" w14:textId="52E57B44" w:rsidR="00B64C31" w:rsidRPr="00165454" w:rsidRDefault="00165454" w:rsidP="00165454">
      <w:pPr>
        <w:pStyle w:val="Akapitzlist"/>
        <w:numPr>
          <w:ilvl w:val="0"/>
          <w:numId w:val="8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54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Nie</w:t>
      </w:r>
    </w:p>
    <w:tbl>
      <w:tblPr>
        <w:tblStyle w:val="afff7"/>
        <w:tblW w:w="92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08"/>
      </w:tblGrid>
      <w:tr w:rsidR="00B64C31" w14:paraId="186E1D0C" w14:textId="77777777" w:rsidTr="00165454">
        <w:trPr>
          <w:trHeight w:val="832"/>
        </w:trPr>
        <w:tc>
          <w:tcPr>
            <w:tcW w:w="9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24EC" w14:textId="77777777" w:rsidR="00B64C31" w:rsidRDefault="00000000">
            <w:pPr>
              <w:tabs>
                <w:tab w:val="left" w:pos="1710"/>
              </w:tabs>
              <w:spacing w:before="120"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 ma możliwości podjęcia alternatywnych, w stosunku do projektowanych rozwiązań, działań umożliwiających osiągnięcie zamierzonego celu.</w:t>
            </w:r>
          </w:p>
        </w:tc>
      </w:tr>
    </w:tbl>
    <w:p w14:paraId="535D0862" w14:textId="77777777" w:rsidR="00B64C31" w:rsidRDefault="00000000">
      <w:pPr>
        <w:numPr>
          <w:ilvl w:val="0"/>
          <w:numId w:val="3"/>
        </w:numPr>
        <w:tabs>
          <w:tab w:val="left" w:pos="804"/>
        </w:tabs>
        <w:spacing w:before="252" w:after="0" w:line="240" w:lineRule="auto"/>
        <w:ind w:left="142" w:right="419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Wymogi określone w art. 34 ust. 2 pkt 3–5 regulaminu Sejmu</w:t>
      </w:r>
    </w:p>
    <w:p w14:paraId="542A1ACC" w14:textId="07DA2E81" w:rsidR="00165454" w:rsidRDefault="00000000" w:rsidP="00165454">
      <w:pPr>
        <w:numPr>
          <w:ilvl w:val="0"/>
          <w:numId w:val="5"/>
        </w:numPr>
        <w:tabs>
          <w:tab w:val="left" w:pos="936"/>
        </w:tabs>
        <w:spacing w:before="185" w:line="240" w:lineRule="auto"/>
        <w:ind w:left="142" w:right="4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Jakie są przewidywane skutki prawne projektowanych rozwiązań?</w:t>
      </w:r>
    </w:p>
    <w:tbl>
      <w:tblPr>
        <w:tblStyle w:val="Tabela-Siatka"/>
        <w:tblW w:w="9067" w:type="dxa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165454" w14:paraId="2B101485" w14:textId="77777777" w:rsidTr="00165454">
        <w:tc>
          <w:tcPr>
            <w:tcW w:w="9067" w:type="dxa"/>
          </w:tcPr>
          <w:p w14:paraId="538C9266" w14:textId="77777777" w:rsidR="00165454" w:rsidRDefault="00165454" w:rsidP="00165454">
            <w:pPr>
              <w:tabs>
                <w:tab w:val="left" w:pos="1710"/>
              </w:tabs>
              <w:spacing w:before="12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Wśród głównych przewidywanych skutków prawnych wskazać należy przede wszystkim:</w:t>
            </w:r>
          </w:p>
          <w:p w14:paraId="52D9398E" w14:textId="06816E14" w:rsidR="00165454" w:rsidRDefault="00165454" w:rsidP="00165454">
            <w:pPr>
              <w:numPr>
                <w:ilvl w:val="0"/>
                <w:numId w:val="2"/>
              </w:numPr>
              <w:tabs>
                <w:tab w:val="left" w:pos="1710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dostosowanie obowiązujących przepisów do dzisiejszych realiów społecznych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gospodarczych, bowiem w aktualnym brzmieniu art. 829 pkt 3 k.p.c. jest co do zasady bezprzedmiotowy;</w:t>
            </w:r>
          </w:p>
          <w:p w14:paraId="7281E901" w14:textId="61F048E6" w:rsidR="00165454" w:rsidRDefault="00165454" w:rsidP="00165454">
            <w:pPr>
              <w:numPr>
                <w:ilvl w:val="0"/>
                <w:numId w:val="2"/>
              </w:numPr>
              <w:tabs>
                <w:tab w:val="left" w:pos="1710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zapewnienie poczucia bezpieczeństwa właścicielom zwierząt domowych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gospodarskich oraz samym zwierzętom.</w:t>
            </w:r>
          </w:p>
          <w:p w14:paraId="7CD4C531" w14:textId="5A298934" w:rsidR="00165454" w:rsidRDefault="00165454" w:rsidP="00165454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 zakłada, że ustawa wejdzie w życie 1 miesiąc po jej ogłoszeniu, co jest zgodne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z zasadą odpowiedniego vacatio legis.</w:t>
            </w:r>
          </w:p>
          <w:p w14:paraId="099DF67E" w14:textId="77777777" w:rsidR="00165454" w:rsidRDefault="00165454" w:rsidP="00165454">
            <w:pPr>
              <w:spacing w:after="20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Projektowane rozwiązania są spójne z dotychczasowymi regulacjami pod kątem systemowym i terminologicznym.</w:t>
            </w:r>
          </w:p>
          <w:p w14:paraId="0C0605D6" w14:textId="77777777" w:rsidR="00165454" w:rsidRDefault="00165454" w:rsidP="00165454">
            <w:pPr>
              <w:tabs>
                <w:tab w:val="left" w:pos="1710"/>
              </w:tabs>
              <w:spacing w:before="12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Proponowane rozwiązania są zgodne z Konstytucją RP.</w:t>
            </w:r>
          </w:p>
          <w:p w14:paraId="225B7E7C" w14:textId="5E1A8FD9" w:rsidR="00165454" w:rsidRDefault="00165454" w:rsidP="00165454">
            <w:pPr>
              <w:tabs>
                <w:tab w:val="left" w:pos="936"/>
              </w:tabs>
              <w:ind w:righ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Projektowana ustawa nie jest sprzeczna z prawem Unii Europejskiej.</w:t>
            </w:r>
          </w:p>
        </w:tc>
      </w:tr>
    </w:tbl>
    <w:p w14:paraId="453A973A" w14:textId="77777777" w:rsidR="00B64C31" w:rsidRDefault="00B64C31" w:rsidP="00165454">
      <w:pPr>
        <w:tabs>
          <w:tab w:val="left" w:pos="936"/>
        </w:tabs>
        <w:spacing w:after="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</w:p>
    <w:p w14:paraId="73C8629C" w14:textId="77777777" w:rsidR="00B64C31" w:rsidRDefault="00000000">
      <w:pPr>
        <w:numPr>
          <w:ilvl w:val="0"/>
          <w:numId w:val="5"/>
        </w:numPr>
        <w:tabs>
          <w:tab w:val="left" w:pos="936"/>
        </w:tabs>
        <w:spacing w:after="200" w:line="240" w:lineRule="auto"/>
        <w:ind w:left="142" w:right="4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Jakie są przewidywane skutki społeczne projektowanych rozwiązań?</w:t>
      </w:r>
    </w:p>
    <w:tbl>
      <w:tblPr>
        <w:tblStyle w:val="afff9"/>
        <w:tblW w:w="91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B64C31" w14:paraId="0A781078" w14:textId="77777777">
        <w:trPr>
          <w:trHeight w:val="615"/>
        </w:trPr>
        <w:tc>
          <w:tcPr>
            <w:tcW w:w="9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BF301" w14:textId="0FE122CF" w:rsidR="00B64C31" w:rsidRDefault="0000000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Projektowana zmiana będzie miała pozytywne skutki społeczne. Obecnie powszechna jest wiedza o tym, że także zwierzęta odczuwają przywiązanie do swoich właścicieli, są w stanie odczuwać strach i cierpienie. Prowadzenie egzekucji komorniczej ze zwierząt domowych – nie przedstawiających przecież wartości materialnej pozwalającej zaspokoić znaczne roszczenie pieniężne – utraciło akceptację społeczną. Wprowadzenie projektowanej zmiany będzie miało pozytywny wydźwięk społeczny. </w:t>
            </w:r>
          </w:p>
          <w:p w14:paraId="02A837FA" w14:textId="66177C20" w:rsidR="00B64C31" w:rsidRDefault="00000000" w:rsidP="0016545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Również w przypadku zwierząt gospodarskich, szczególnie w środowisku rolniczym, zmiana zostanie odebrana nader pozytywnie. Rolnicy najlepiej zdają sobie sprawę z wartości zwierząt gospodarskich, które pielęgnują i użytkują, a stanowią ich źródło dochodu, przy jednoczesnej świadomości skali utraty wartości takiego zwierzęcia w momencie przeprowadzenia z niego egzekucji komorniczej.</w:t>
            </w:r>
            <w:r w:rsidR="00165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Wśród skutków społecznych wskazać należy wskazać także zwiększenie zaufania obywateli od Państwa.</w:t>
            </w:r>
          </w:p>
        </w:tc>
      </w:tr>
    </w:tbl>
    <w:p w14:paraId="3B1C8A3D" w14:textId="77777777" w:rsidR="00B64C31" w:rsidRDefault="00B64C31">
      <w:pPr>
        <w:tabs>
          <w:tab w:val="left" w:pos="1105"/>
        </w:tabs>
        <w:spacing w:after="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</w:p>
    <w:p w14:paraId="50F00AEF" w14:textId="77777777" w:rsidR="00B64C31" w:rsidRDefault="00000000">
      <w:pPr>
        <w:numPr>
          <w:ilvl w:val="0"/>
          <w:numId w:val="5"/>
        </w:numPr>
        <w:tabs>
          <w:tab w:val="left" w:pos="936"/>
        </w:tabs>
        <w:spacing w:after="200" w:line="240" w:lineRule="auto"/>
        <w:ind w:left="142" w:right="4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Jakie są przewidywane skutki gospodarcze projektowanych rozwiązań?</w:t>
      </w:r>
    </w:p>
    <w:tbl>
      <w:tblPr>
        <w:tblStyle w:val="afffa"/>
        <w:tblW w:w="91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B64C31" w14:paraId="70E99068" w14:textId="77777777" w:rsidTr="00165454">
        <w:trPr>
          <w:trHeight w:val="328"/>
        </w:trPr>
        <w:tc>
          <w:tcPr>
            <w:tcW w:w="9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A68FA" w14:textId="77777777" w:rsidR="00165454" w:rsidRPr="00165454" w:rsidRDefault="00165454" w:rsidP="00165454">
            <w:pPr>
              <w:tabs>
                <w:tab w:val="left" w:pos="17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454">
              <w:rPr>
                <w:rFonts w:ascii="Times New Roman" w:eastAsia="Times New Roman" w:hAnsi="Times New Roman" w:cs="Times New Roman"/>
                <w:sz w:val="24"/>
                <w:szCs w:val="24"/>
              </w:rPr>
              <w:t>Projektowane regulacje będą miały pozytywne skutki gospodarcze. Dłużnicy, wobec których jest obecnie przeprowadzona egzekucja ze zwierząt gospodarskich, zostają de facto pozbawieni narzędzi pracy, które mogłyby im w dalszym czasie posłużyć do uzyskania dochodu umożliwiającego spłatę zadłużenia. Po zmianie przepisów będą mieli większe szanse na wyjście z zadłużenia, a ich zwierzęta nie stracą na wartości podczas egzekucji komorniczej.</w:t>
            </w:r>
          </w:p>
          <w:p w14:paraId="23E05A01" w14:textId="0BFCB608" w:rsidR="00B64C31" w:rsidRPr="00165454" w:rsidRDefault="00165454" w:rsidP="00165454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454">
              <w:rPr>
                <w:rFonts w:ascii="Times New Roman" w:eastAsia="Times New Roman" w:hAnsi="Times New Roman" w:cs="Times New Roman"/>
                <w:sz w:val="24"/>
                <w:szCs w:val="24"/>
              </w:rPr>
              <w:t>Zwierzęta gospodarcze znacznie tracą bowiem na wartości z chwilą egzekucji komorniczej. Warto także podkreślić, że zajęcia takie stanowią nieistotny z punktu widzenia wierzycieli margines egzekucji komorniczych, dlatego wprowadzenie proponowanego wyłączenia nie będzie miało negatywnego wpływu na skuteczność egzekucji komorniczych, a tym samym na interesy gospodarcze wierzycieli.</w:t>
            </w:r>
            <w:r w:rsidRPr="001654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5454">
              <w:rPr>
                <w:rFonts w:ascii="Times New Roman" w:eastAsia="Times New Roman" w:hAnsi="Times New Roman" w:cs="Times New Roman"/>
                <w:sz w:val="24"/>
                <w:szCs w:val="24"/>
              </w:rPr>
              <w:t>Ustawa nie wpłynie także ani na sektor dużych, ani mikro, małych i średnich przedsiębiorstw.</w:t>
            </w:r>
          </w:p>
        </w:tc>
      </w:tr>
    </w:tbl>
    <w:p w14:paraId="4B55E0E3" w14:textId="23B65CB2" w:rsidR="00B64C31" w:rsidRDefault="00000000">
      <w:pPr>
        <w:numPr>
          <w:ilvl w:val="0"/>
          <w:numId w:val="5"/>
        </w:numPr>
        <w:tabs>
          <w:tab w:val="left" w:pos="818"/>
        </w:tabs>
        <w:spacing w:before="252" w:after="200" w:line="240" w:lineRule="auto"/>
        <w:ind w:left="142" w:right="4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Jakie są przewidywane skutki finansowe projektowanych rozwiązań, w szczególności wpływ na sektor finansów publicznych, w tym na budżet państwa 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budżety jednostek samorządu terytorialnego? </w:t>
      </w:r>
    </w:p>
    <w:tbl>
      <w:tblPr>
        <w:tblStyle w:val="afffb"/>
        <w:tblW w:w="91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B64C31" w14:paraId="1F63EB0B" w14:textId="77777777">
        <w:trPr>
          <w:trHeight w:val="615"/>
        </w:trPr>
        <w:tc>
          <w:tcPr>
            <w:tcW w:w="9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14F17" w14:textId="468AA476" w:rsidR="00B64C31" w:rsidRDefault="00000000">
            <w:pPr>
              <w:tabs>
                <w:tab w:val="left" w:pos="1710"/>
              </w:tabs>
              <w:spacing w:before="120"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ustawy nie pociąga za sobą obciążenia sektora finansów publicznych, budżetu państwa ani budżetów jednostek samorządu terytorialnego.</w:t>
            </w:r>
          </w:p>
        </w:tc>
      </w:tr>
    </w:tbl>
    <w:p w14:paraId="573CB5A0" w14:textId="77777777" w:rsidR="00B64C31" w:rsidRDefault="00B64C31">
      <w:pPr>
        <w:tabs>
          <w:tab w:val="left" w:pos="804"/>
        </w:tabs>
        <w:spacing w:after="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</w:p>
    <w:p w14:paraId="4F10908B" w14:textId="77777777" w:rsidR="00B64C31" w:rsidRDefault="00000000">
      <w:pPr>
        <w:numPr>
          <w:ilvl w:val="0"/>
          <w:numId w:val="5"/>
        </w:numPr>
        <w:tabs>
          <w:tab w:val="left" w:pos="670"/>
        </w:tabs>
        <w:spacing w:after="200" w:line="240" w:lineRule="auto"/>
        <w:ind w:left="142" w:right="4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Wykaz źródeł finansowania, jeśli projekt ustawy pociąga za sobą obciążenie budżetu państwa lub budżetów jednostek samorządu terytorialnego.</w:t>
      </w:r>
    </w:p>
    <w:tbl>
      <w:tblPr>
        <w:tblStyle w:val="afffc"/>
        <w:tblW w:w="91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B64C31" w14:paraId="34E27642" w14:textId="77777777">
        <w:trPr>
          <w:trHeight w:val="630"/>
        </w:trPr>
        <w:tc>
          <w:tcPr>
            <w:tcW w:w="9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4"/>
              <w:id w:val="-173345475"/>
              <w:lock w:val="contentLocked"/>
            </w:sdtPr>
            <w:sdtContent>
              <w:p w14:paraId="49860108" w14:textId="77777777" w:rsidR="00B64C31" w:rsidRDefault="00000000">
                <w:pPr>
                  <w:tabs>
                    <w:tab w:val="left" w:pos="1710"/>
                  </w:tabs>
                  <w:spacing w:before="120" w:after="20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Nie dotyczy.</w:t>
                </w:r>
              </w:p>
            </w:sdtContent>
          </w:sdt>
        </w:tc>
      </w:tr>
    </w:tbl>
    <w:p w14:paraId="6EDFA075" w14:textId="77777777" w:rsidR="00B64C31" w:rsidRDefault="00000000">
      <w:pPr>
        <w:numPr>
          <w:ilvl w:val="0"/>
          <w:numId w:val="5"/>
        </w:numPr>
        <w:tabs>
          <w:tab w:val="left" w:pos="936"/>
        </w:tabs>
        <w:spacing w:before="200" w:after="0" w:line="240" w:lineRule="auto"/>
        <w:ind w:left="142" w:right="4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projekt ustawy podlega procedurze notyfikacyjnej?</w:t>
      </w:r>
    </w:p>
    <w:p w14:paraId="141BAA95" w14:textId="77777777" w:rsidR="00B64C31" w:rsidRPr="00165454" w:rsidRDefault="00000000" w:rsidP="00165454">
      <w:pPr>
        <w:pStyle w:val="Akapitzlist"/>
        <w:numPr>
          <w:ilvl w:val="0"/>
          <w:numId w:val="8"/>
        </w:numPr>
        <w:tabs>
          <w:tab w:val="left" w:pos="1710"/>
        </w:tabs>
        <w:spacing w:before="185" w:after="20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  <w:r w:rsidRPr="00165454">
        <w:rPr>
          <w:rFonts w:ascii="Times New Roman" w:eastAsia="Times New Roman" w:hAnsi="Times New Roman" w:cs="Times New Roman"/>
          <w:sz w:val="24"/>
          <w:szCs w:val="24"/>
        </w:rPr>
        <w:t>Nie</w:t>
      </w:r>
    </w:p>
    <w:tbl>
      <w:tblPr>
        <w:tblStyle w:val="afffd"/>
        <w:tblW w:w="91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B64C31" w14:paraId="3804FB41" w14:textId="77777777">
        <w:trPr>
          <w:trHeight w:val="615"/>
        </w:trPr>
        <w:tc>
          <w:tcPr>
            <w:tcW w:w="9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tag w:val="goog_rdk_5"/>
              <w:id w:val="-1805377298"/>
              <w:lock w:val="contentLocked"/>
            </w:sdtPr>
            <w:sdtContent>
              <w:p w14:paraId="046BD632" w14:textId="77777777" w:rsidR="00B64C31" w:rsidRDefault="00000000">
                <w:pPr>
                  <w:tabs>
                    <w:tab w:val="left" w:pos="1710"/>
                  </w:tabs>
                  <w:spacing w:before="120" w:after="200"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 nie zawiera przepisów technicznych, zatem nie podlega procedurze notyfikacji zgodnie z trybem przewidzianym w rozporządzeniu Rady Ministrów z dnia 23 grudnia 2002 r. w sprawie sposobu funkcjonowania krajowego systemu notyfikacji norm i aktów prawnych (Dz. U. poz. 2039 oraz z 2004 r. poz. 597).</w:t>
                </w:r>
              </w:p>
            </w:sdtContent>
          </w:sdt>
        </w:tc>
      </w:tr>
    </w:tbl>
    <w:p w14:paraId="3227C435" w14:textId="14A8AF12" w:rsidR="00B64C31" w:rsidRDefault="00000000" w:rsidP="00A665C8">
      <w:pPr>
        <w:numPr>
          <w:ilvl w:val="0"/>
          <w:numId w:val="3"/>
        </w:numPr>
        <w:tabs>
          <w:tab w:val="left" w:pos="938"/>
        </w:tabs>
        <w:spacing w:before="252" w:after="0" w:line="240" w:lineRule="auto"/>
        <w:ind w:left="142" w:right="419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Wymogi określone w </w:t>
      </w:r>
      <w:r w:rsidR="00165454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34 ust. 2a i 2b regulaminu Sejmu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3A9EE5B1" w14:textId="6166978E" w:rsidR="00B64C31" w:rsidRDefault="00000000">
      <w:pPr>
        <w:numPr>
          <w:ilvl w:val="0"/>
          <w:numId w:val="5"/>
        </w:numPr>
        <w:tabs>
          <w:tab w:val="left" w:pos="739"/>
        </w:tabs>
        <w:spacing w:before="1" w:after="0" w:line="240" w:lineRule="auto"/>
        <w:ind w:left="142" w:right="4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projekt ustawy zawiera przepisy określające zasady podejmowania, wykonywania lub zakończenia działalności gospodarczej (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z w:val="24"/>
          <w:szCs w:val="24"/>
        </w:rPr>
        <w:t>. 34 ust. 2a regulaminu Sejmu)?</w:t>
      </w:r>
    </w:p>
    <w:p w14:paraId="7CDE993B" w14:textId="77777777" w:rsidR="00B64C31" w:rsidRPr="00165454" w:rsidRDefault="00000000" w:rsidP="00165454">
      <w:pPr>
        <w:pStyle w:val="Akapitzlist"/>
        <w:numPr>
          <w:ilvl w:val="0"/>
          <w:numId w:val="8"/>
        </w:numPr>
        <w:tabs>
          <w:tab w:val="left" w:pos="1710"/>
        </w:tabs>
        <w:spacing w:before="161" w:after="0" w:line="240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454"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02A955C9" w14:textId="77777777" w:rsidR="00B64C31" w:rsidRDefault="00B64C31">
      <w:pPr>
        <w:tabs>
          <w:tab w:val="left" w:pos="2566"/>
        </w:tabs>
        <w:spacing w:after="0" w:line="240" w:lineRule="auto"/>
        <w:ind w:left="142" w:right="419"/>
        <w:rPr>
          <w:rFonts w:ascii="Times New Roman" w:eastAsia="Times New Roman" w:hAnsi="Times New Roman" w:cs="Times New Roman"/>
          <w:sz w:val="24"/>
          <w:szCs w:val="24"/>
        </w:rPr>
      </w:pPr>
    </w:p>
    <w:p w14:paraId="354CC27B" w14:textId="1C256715" w:rsidR="00B64C31" w:rsidRDefault="00000000">
      <w:pPr>
        <w:numPr>
          <w:ilvl w:val="0"/>
          <w:numId w:val="5"/>
        </w:numPr>
        <w:tabs>
          <w:tab w:val="left" w:pos="735"/>
        </w:tabs>
        <w:spacing w:after="0" w:line="240" w:lineRule="auto"/>
        <w:ind w:left="142" w:right="4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wdrożenie projektowanych przepisów spowoduje obciążenia administracyjne mikroprzedsiębiorców, małych i średnich przedsiębiorców (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z w:val="24"/>
          <w:szCs w:val="24"/>
        </w:rPr>
        <w:t>. 34 ust. 2a regulaminu Sejmu)?</w:t>
      </w:r>
    </w:p>
    <w:p w14:paraId="5CCDC6F2" w14:textId="77777777" w:rsidR="00B64C31" w:rsidRPr="00165454" w:rsidRDefault="00000000" w:rsidP="00165454">
      <w:pPr>
        <w:pStyle w:val="Akapitzlist"/>
        <w:numPr>
          <w:ilvl w:val="0"/>
          <w:numId w:val="8"/>
        </w:numPr>
        <w:tabs>
          <w:tab w:val="left" w:pos="1710"/>
        </w:tabs>
        <w:spacing w:before="162" w:after="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  <w:r w:rsidRPr="00165454"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5D560FB9" w14:textId="77777777" w:rsidR="00B64C31" w:rsidRDefault="00B64C31">
      <w:pPr>
        <w:tabs>
          <w:tab w:val="left" w:pos="1710"/>
        </w:tabs>
        <w:spacing w:after="0" w:line="240" w:lineRule="auto"/>
        <w:ind w:left="142" w:right="419"/>
        <w:rPr>
          <w:rFonts w:ascii="Times New Roman" w:eastAsia="Times New Roman" w:hAnsi="Times New Roman" w:cs="Times New Roman"/>
          <w:sz w:val="24"/>
          <w:szCs w:val="24"/>
        </w:rPr>
      </w:pPr>
    </w:p>
    <w:p w14:paraId="49A615EE" w14:textId="260EE64B" w:rsidR="00B64C31" w:rsidRDefault="00000000">
      <w:pPr>
        <w:numPr>
          <w:ilvl w:val="0"/>
          <w:numId w:val="5"/>
        </w:numPr>
        <w:tabs>
          <w:tab w:val="left" w:pos="740"/>
        </w:tabs>
        <w:spacing w:after="0" w:line="240" w:lineRule="auto"/>
        <w:ind w:left="142" w:right="4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Czy projekt ustawy zawiera przepisy regulacyjne lub określa wymogi dotyczące świadczenia usług transgranicznych w rozumieniu ustawy z dnia 22 grudnia 2015 r. </w:t>
      </w:r>
      <w:r w:rsidR="0016545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zasadach uznawania kwalifikacji zawodowych nabytych w państwach członkowskich Unii Europejskiej (art. 34 ust. 2b regulaminu Sejmu)?</w:t>
      </w:r>
    </w:p>
    <w:p w14:paraId="03A4309E" w14:textId="77777777" w:rsidR="00B64C31" w:rsidRPr="00165454" w:rsidRDefault="00000000" w:rsidP="00165454">
      <w:pPr>
        <w:pStyle w:val="Akapitzlist"/>
        <w:numPr>
          <w:ilvl w:val="0"/>
          <w:numId w:val="8"/>
        </w:numPr>
        <w:tabs>
          <w:tab w:val="left" w:pos="1696"/>
        </w:tabs>
        <w:spacing w:before="161" w:after="0" w:line="240" w:lineRule="auto"/>
        <w:ind w:right="419"/>
        <w:rPr>
          <w:rFonts w:ascii="Times New Roman" w:eastAsia="Times New Roman" w:hAnsi="Times New Roman" w:cs="Times New Roman"/>
          <w:sz w:val="24"/>
          <w:szCs w:val="24"/>
        </w:rPr>
      </w:pPr>
      <w:r w:rsidRPr="00165454"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4CE9D91E" w14:textId="77777777" w:rsidR="00B64C31" w:rsidRDefault="00B64C31">
      <w:pPr>
        <w:pBdr>
          <w:top w:val="nil"/>
          <w:left w:val="nil"/>
          <w:bottom w:val="nil"/>
          <w:right w:val="nil"/>
          <w:between w:val="nil"/>
        </w:pBdr>
        <w:tabs>
          <w:tab w:val="left" w:pos="-848"/>
          <w:tab w:val="left" w:pos="848"/>
        </w:tabs>
        <w:spacing w:before="161" w:after="200" w:line="240" w:lineRule="auto"/>
        <w:ind w:left="856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64C31" w:rsidSect="005F6D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37" w:footer="73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FBC4" w14:textId="77777777" w:rsidR="004B77DB" w:rsidRDefault="004B77DB">
      <w:pPr>
        <w:spacing w:after="0" w:line="240" w:lineRule="auto"/>
      </w:pPr>
      <w:r>
        <w:separator/>
      </w:r>
    </w:p>
  </w:endnote>
  <w:endnote w:type="continuationSeparator" w:id="0">
    <w:p w14:paraId="38786F60" w14:textId="77777777" w:rsidR="004B77DB" w:rsidRDefault="004B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91F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34EB6EB5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4702E46E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55021F29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4D724182" w14:textId="77777777" w:rsidR="00B64C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b/>
        <w:color w:val="132D4D"/>
      </w:rPr>
      <w:t>Konfederacja Wolność i Niepodległość</w:t>
    </w:r>
    <w:r>
      <w:rPr>
        <w:color w:val="132D4D"/>
      </w:rPr>
      <w:t xml:space="preserve">  </w:t>
    </w:r>
    <w:r>
      <w:rPr>
        <w:color w:val="BFBFBF"/>
      </w:rPr>
      <w:t>|</w:t>
    </w:r>
    <w:r>
      <w:rPr>
        <w:color w:val="132D4D"/>
      </w:rPr>
      <w:t xml:space="preserve">  konfederacja.pl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B7CF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10D273AB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74AC1726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0900F735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05185D09" w14:textId="77777777" w:rsidR="00B64C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132D4D"/>
      </w:rPr>
    </w:pPr>
    <w:r>
      <w:rPr>
        <w:b/>
        <w:color w:val="132D4D"/>
      </w:rPr>
      <w:t>Konfederacja Wolność i Niepodległość</w:t>
    </w:r>
    <w:r>
      <w:rPr>
        <w:color w:val="132D4D"/>
      </w:rPr>
      <w:t xml:space="preserve">  </w:t>
    </w:r>
    <w:r>
      <w:rPr>
        <w:color w:val="BFBFBF"/>
      </w:rPr>
      <w:t>|</w:t>
    </w:r>
    <w:r>
      <w:rPr>
        <w:color w:val="132D4D"/>
      </w:rPr>
      <w:t xml:space="preserve">  konfederacja.pl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6B84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3317704F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253C59DF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17508B51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132D4D"/>
      </w:rPr>
    </w:pPr>
  </w:p>
  <w:p w14:paraId="07FD6AF6" w14:textId="77777777" w:rsidR="00B64C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132D4D"/>
      </w:rPr>
    </w:pPr>
    <w:r>
      <w:rPr>
        <w:b/>
        <w:color w:val="132D4D"/>
      </w:rPr>
      <w:t>Konfederacja Wolność i Niepodległość</w:t>
    </w:r>
    <w:r>
      <w:rPr>
        <w:color w:val="132D4D"/>
      </w:rPr>
      <w:t xml:space="preserve">  </w:t>
    </w:r>
    <w:r>
      <w:rPr>
        <w:color w:val="BFBFBF"/>
      </w:rPr>
      <w:t>|</w:t>
    </w:r>
    <w:r>
      <w:rPr>
        <w:color w:val="132D4D"/>
      </w:rPr>
      <w:t xml:space="preserve">  konfederacja.pl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0512" w14:textId="77777777" w:rsidR="004B77DB" w:rsidRDefault="004B77DB">
      <w:pPr>
        <w:spacing w:after="0" w:line="240" w:lineRule="auto"/>
      </w:pPr>
      <w:r>
        <w:separator/>
      </w:r>
    </w:p>
  </w:footnote>
  <w:footnote w:type="continuationSeparator" w:id="0">
    <w:p w14:paraId="5897E08C" w14:textId="77777777" w:rsidR="004B77DB" w:rsidRDefault="004B77DB">
      <w:pPr>
        <w:spacing w:after="0" w:line="240" w:lineRule="auto"/>
      </w:pPr>
      <w:r>
        <w:continuationSeparator/>
      </w:r>
    </w:p>
  </w:footnote>
  <w:footnote w:id="1">
    <w:p w14:paraId="6942E00F" w14:textId="77777777" w:rsidR="00B64C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Ustawa z dnia 17 listopada 1964 r. – Kodeks postępowania cywilnego (Dz. U. z 2024 r., poz. 1564 t.j.), dalej jako: „k.p.c.”.</w:t>
      </w:r>
    </w:p>
  </w:footnote>
  <w:footnote w:id="2">
    <w:p w14:paraId="459A7E4F" w14:textId="77777777" w:rsidR="00B64C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Centrum Badawczo-Rozwojowe Biostat, sondaż „Zwierzęta domowe Polaków” zrealizowany od 5 do 9 listopada 2024 r. na próbie 1000 dorosłych mieszkańców Polski, reprezentatywnej ze względu na płeć, wiek i województwo, w którym zamieszkują, </w:t>
      </w:r>
      <w:hyperlink r:id="rId1">
        <w:r w:rsidR="00B64C31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https://www.biostat.com.pl/sondaz-zwierzeta-domowe-polakow.php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(dostęp: 20.12.2024).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55B2" w14:textId="77777777" w:rsidR="00B64C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9656A17" wp14:editId="32A3C7FA">
          <wp:extent cx="2736215" cy="494030"/>
          <wp:effectExtent l="0" t="0" r="0" b="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621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CC6E78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4B6E582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78F85FD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F354" w14:textId="77777777" w:rsidR="00B64C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03B9092" wp14:editId="18260736">
          <wp:extent cx="2736215" cy="494030"/>
          <wp:effectExtent l="0" t="0" r="0" b="0"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621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6ED1BA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770C249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BDA2BC7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E1A2" w14:textId="77777777" w:rsidR="00B64C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5EF51C0" wp14:editId="491FEFE4">
          <wp:extent cx="2736215" cy="494030"/>
          <wp:effectExtent l="0" t="0" r="0" b="0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6215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D6EAF4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006A16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8F2807E" w14:textId="77777777" w:rsidR="00B64C31" w:rsidRDefault="00B64C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E9D"/>
    <w:multiLevelType w:val="multilevel"/>
    <w:tmpl w:val="860E67E0"/>
    <w:lvl w:ilvl="0">
      <w:start w:val="1"/>
      <w:numFmt w:val="lowerLetter"/>
      <w:lvlText w:val="%1)"/>
      <w:lvlJc w:val="left"/>
      <w:pPr>
        <w:ind w:left="771" w:hanging="276"/>
      </w:pPr>
      <w:rPr>
        <w:u w:val="none"/>
      </w:rPr>
    </w:lvl>
    <w:lvl w:ilvl="1">
      <w:numFmt w:val="bullet"/>
      <w:lvlText w:val="●"/>
      <w:lvlJc w:val="left"/>
      <w:pPr>
        <w:ind w:left="1648" w:hanging="275"/>
      </w:pPr>
      <w:rPr>
        <w:u w:val="none"/>
      </w:rPr>
    </w:lvl>
    <w:lvl w:ilvl="2">
      <w:numFmt w:val="bullet"/>
      <w:lvlText w:val="●"/>
      <w:lvlJc w:val="left"/>
      <w:pPr>
        <w:ind w:left="2516" w:hanging="276"/>
      </w:pPr>
      <w:rPr>
        <w:u w:val="none"/>
      </w:rPr>
    </w:lvl>
    <w:lvl w:ilvl="3">
      <w:numFmt w:val="bullet"/>
      <w:lvlText w:val="●"/>
      <w:lvlJc w:val="left"/>
      <w:pPr>
        <w:ind w:left="3384" w:hanging="276"/>
      </w:pPr>
      <w:rPr>
        <w:u w:val="none"/>
      </w:rPr>
    </w:lvl>
    <w:lvl w:ilvl="4">
      <w:numFmt w:val="bullet"/>
      <w:lvlText w:val="●"/>
      <w:lvlJc w:val="left"/>
      <w:pPr>
        <w:ind w:left="4252" w:hanging="276"/>
      </w:pPr>
      <w:rPr>
        <w:u w:val="none"/>
      </w:rPr>
    </w:lvl>
    <w:lvl w:ilvl="5">
      <w:numFmt w:val="bullet"/>
      <w:lvlText w:val="●"/>
      <w:lvlJc w:val="left"/>
      <w:pPr>
        <w:ind w:left="5120" w:hanging="276"/>
      </w:pPr>
      <w:rPr>
        <w:u w:val="none"/>
      </w:rPr>
    </w:lvl>
    <w:lvl w:ilvl="6">
      <w:numFmt w:val="bullet"/>
      <w:lvlText w:val="●"/>
      <w:lvlJc w:val="left"/>
      <w:pPr>
        <w:ind w:left="5988" w:hanging="276"/>
      </w:pPr>
      <w:rPr>
        <w:u w:val="none"/>
      </w:rPr>
    </w:lvl>
    <w:lvl w:ilvl="7">
      <w:numFmt w:val="bullet"/>
      <w:lvlText w:val="●"/>
      <w:lvlJc w:val="left"/>
      <w:pPr>
        <w:ind w:left="6856" w:hanging="276"/>
      </w:pPr>
      <w:rPr>
        <w:u w:val="none"/>
      </w:rPr>
    </w:lvl>
    <w:lvl w:ilvl="8">
      <w:numFmt w:val="bullet"/>
      <w:lvlText w:val="●"/>
      <w:lvlJc w:val="left"/>
      <w:pPr>
        <w:ind w:left="7724" w:hanging="276"/>
      </w:pPr>
      <w:rPr>
        <w:u w:val="none"/>
      </w:rPr>
    </w:lvl>
  </w:abstractNum>
  <w:abstractNum w:abstractNumId="1" w15:restartNumberingAfterBreak="0">
    <w:nsid w:val="237A3E97"/>
    <w:multiLevelType w:val="multilevel"/>
    <w:tmpl w:val="EF10D0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7B7023"/>
    <w:multiLevelType w:val="multilevel"/>
    <w:tmpl w:val="5D5040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u w:val="none"/>
      </w:rPr>
    </w:lvl>
  </w:abstractNum>
  <w:abstractNum w:abstractNumId="3" w15:restartNumberingAfterBreak="0">
    <w:nsid w:val="3B1C4E24"/>
    <w:multiLevelType w:val="multilevel"/>
    <w:tmpl w:val="255CA9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5A5716"/>
    <w:multiLevelType w:val="multilevel"/>
    <w:tmpl w:val="5F8274B0"/>
    <w:lvl w:ilvl="0">
      <w:start w:val="1"/>
      <w:numFmt w:val="upperRoman"/>
      <w:lvlText w:val="%1."/>
      <w:lvlJc w:val="left"/>
      <w:pPr>
        <w:ind w:left="336" w:hanging="201"/>
      </w:pPr>
      <w:rPr>
        <w:u w:val="none"/>
      </w:rPr>
    </w:lvl>
    <w:lvl w:ilvl="1">
      <w:numFmt w:val="bullet"/>
      <w:lvlText w:val="●"/>
      <w:lvlJc w:val="left"/>
      <w:pPr>
        <w:ind w:left="1252" w:hanging="201"/>
      </w:pPr>
      <w:rPr>
        <w:u w:val="none"/>
      </w:rPr>
    </w:lvl>
    <w:lvl w:ilvl="2">
      <w:numFmt w:val="bullet"/>
      <w:lvlText w:val="●"/>
      <w:lvlJc w:val="left"/>
      <w:pPr>
        <w:ind w:left="2164" w:hanging="201"/>
      </w:pPr>
      <w:rPr>
        <w:u w:val="none"/>
      </w:rPr>
    </w:lvl>
    <w:lvl w:ilvl="3">
      <w:numFmt w:val="bullet"/>
      <w:lvlText w:val="●"/>
      <w:lvlJc w:val="left"/>
      <w:pPr>
        <w:ind w:left="3076" w:hanging="201"/>
      </w:pPr>
      <w:rPr>
        <w:u w:val="none"/>
      </w:rPr>
    </w:lvl>
    <w:lvl w:ilvl="4">
      <w:numFmt w:val="bullet"/>
      <w:lvlText w:val="●"/>
      <w:lvlJc w:val="left"/>
      <w:pPr>
        <w:ind w:left="3988" w:hanging="201"/>
      </w:pPr>
      <w:rPr>
        <w:u w:val="none"/>
      </w:rPr>
    </w:lvl>
    <w:lvl w:ilvl="5">
      <w:numFmt w:val="bullet"/>
      <w:lvlText w:val="●"/>
      <w:lvlJc w:val="left"/>
      <w:pPr>
        <w:ind w:left="4900" w:hanging="201"/>
      </w:pPr>
      <w:rPr>
        <w:u w:val="none"/>
      </w:rPr>
    </w:lvl>
    <w:lvl w:ilvl="6">
      <w:numFmt w:val="bullet"/>
      <w:lvlText w:val="●"/>
      <w:lvlJc w:val="left"/>
      <w:pPr>
        <w:ind w:left="5812" w:hanging="201"/>
      </w:pPr>
      <w:rPr>
        <w:u w:val="none"/>
      </w:rPr>
    </w:lvl>
    <w:lvl w:ilvl="7">
      <w:numFmt w:val="bullet"/>
      <w:lvlText w:val="●"/>
      <w:lvlJc w:val="left"/>
      <w:pPr>
        <w:ind w:left="6724" w:hanging="201"/>
      </w:pPr>
      <w:rPr>
        <w:u w:val="none"/>
      </w:rPr>
    </w:lvl>
    <w:lvl w:ilvl="8">
      <w:numFmt w:val="bullet"/>
      <w:lvlText w:val="●"/>
      <w:lvlJc w:val="left"/>
      <w:pPr>
        <w:ind w:left="7636" w:hanging="201"/>
      </w:pPr>
      <w:rPr>
        <w:u w:val="none"/>
      </w:rPr>
    </w:lvl>
  </w:abstractNum>
  <w:abstractNum w:abstractNumId="5" w15:restartNumberingAfterBreak="0">
    <w:nsid w:val="5CC42233"/>
    <w:multiLevelType w:val="hybridMultilevel"/>
    <w:tmpl w:val="DC52F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33CB"/>
    <w:multiLevelType w:val="multilevel"/>
    <w:tmpl w:val="09CE6C82"/>
    <w:lvl w:ilvl="0">
      <w:start w:val="1"/>
      <w:numFmt w:val="decimal"/>
      <w:lvlText w:val="[%1]"/>
      <w:lvlJc w:val="left"/>
      <w:pPr>
        <w:ind w:left="469" w:hanging="334"/>
      </w:pPr>
      <w:rPr>
        <w:u w:val="none"/>
      </w:rPr>
    </w:lvl>
    <w:lvl w:ilvl="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2">
      <w:numFmt w:val="bullet"/>
      <w:lvlText w:val="●"/>
      <w:lvlJc w:val="left"/>
      <w:pPr>
        <w:ind w:left="1815" w:hanging="360"/>
      </w:pPr>
      <w:rPr>
        <w:u w:val="none"/>
      </w:rPr>
    </w:lvl>
    <w:lvl w:ilvl="3">
      <w:numFmt w:val="bullet"/>
      <w:lvlText w:val="●"/>
      <w:lvlJc w:val="left"/>
      <w:pPr>
        <w:ind w:left="2771" w:hanging="360"/>
      </w:pPr>
      <w:rPr>
        <w:u w:val="none"/>
      </w:rPr>
    </w:lvl>
    <w:lvl w:ilvl="4">
      <w:numFmt w:val="bullet"/>
      <w:lvlText w:val="●"/>
      <w:lvlJc w:val="left"/>
      <w:pPr>
        <w:ind w:left="3726" w:hanging="360"/>
      </w:pPr>
      <w:rPr>
        <w:u w:val="none"/>
      </w:rPr>
    </w:lvl>
    <w:lvl w:ilvl="5">
      <w:numFmt w:val="bullet"/>
      <w:lvlText w:val="●"/>
      <w:lvlJc w:val="left"/>
      <w:pPr>
        <w:ind w:left="4682" w:hanging="360"/>
      </w:pPr>
      <w:rPr>
        <w:u w:val="none"/>
      </w:rPr>
    </w:lvl>
    <w:lvl w:ilvl="6">
      <w:numFmt w:val="bullet"/>
      <w:lvlText w:val="●"/>
      <w:lvlJc w:val="left"/>
      <w:pPr>
        <w:ind w:left="5637" w:hanging="360"/>
      </w:pPr>
      <w:rPr>
        <w:u w:val="none"/>
      </w:rPr>
    </w:lvl>
    <w:lvl w:ilvl="7">
      <w:numFmt w:val="bullet"/>
      <w:lvlText w:val="●"/>
      <w:lvlJc w:val="left"/>
      <w:pPr>
        <w:ind w:left="6593" w:hanging="360"/>
      </w:pPr>
      <w:rPr>
        <w:u w:val="none"/>
      </w:rPr>
    </w:lvl>
    <w:lvl w:ilvl="8">
      <w:numFmt w:val="bullet"/>
      <w:lvlText w:val="●"/>
      <w:lvlJc w:val="left"/>
      <w:pPr>
        <w:ind w:left="7548" w:hanging="360"/>
      </w:pPr>
      <w:rPr>
        <w:u w:val="none"/>
      </w:rPr>
    </w:lvl>
  </w:abstractNum>
  <w:abstractNum w:abstractNumId="7" w15:restartNumberingAfterBreak="0">
    <w:nsid w:val="74163DEC"/>
    <w:multiLevelType w:val="multilevel"/>
    <w:tmpl w:val="AD342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35127631">
    <w:abstractNumId w:val="2"/>
  </w:num>
  <w:num w:numId="2" w16cid:durableId="1024943483">
    <w:abstractNumId w:val="3"/>
  </w:num>
  <w:num w:numId="3" w16cid:durableId="178542049">
    <w:abstractNumId w:val="4"/>
  </w:num>
  <w:num w:numId="4" w16cid:durableId="82724207">
    <w:abstractNumId w:val="1"/>
  </w:num>
  <w:num w:numId="5" w16cid:durableId="346371041">
    <w:abstractNumId w:val="6"/>
  </w:num>
  <w:num w:numId="6" w16cid:durableId="277219474">
    <w:abstractNumId w:val="0"/>
  </w:num>
  <w:num w:numId="7" w16cid:durableId="1045790561">
    <w:abstractNumId w:val="7"/>
  </w:num>
  <w:num w:numId="8" w16cid:durableId="1760590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31"/>
    <w:rsid w:val="00165454"/>
    <w:rsid w:val="001D6337"/>
    <w:rsid w:val="00311E71"/>
    <w:rsid w:val="0036510E"/>
    <w:rsid w:val="00413887"/>
    <w:rsid w:val="004B77DB"/>
    <w:rsid w:val="00562E81"/>
    <w:rsid w:val="00585544"/>
    <w:rsid w:val="005F6D82"/>
    <w:rsid w:val="007D74C0"/>
    <w:rsid w:val="007E6F8D"/>
    <w:rsid w:val="00831A24"/>
    <w:rsid w:val="00875FEB"/>
    <w:rsid w:val="00A665C8"/>
    <w:rsid w:val="00B26959"/>
    <w:rsid w:val="00B64C31"/>
    <w:rsid w:val="00BE68DB"/>
    <w:rsid w:val="00CD0981"/>
    <w:rsid w:val="00D422CF"/>
    <w:rsid w:val="00F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A6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54"/>
    <w:pPr>
      <w:suppressAutoHyphens/>
    </w:pPr>
    <w:rPr>
      <w:lang w:eastAsia="zh-CN" w:bidi="hi-IN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8E0389"/>
  </w:style>
  <w:style w:type="character" w:customStyle="1" w:styleId="StopkaZnak">
    <w:name w:val="Stopka Znak"/>
    <w:basedOn w:val="Domylnaczcionkaakapitu"/>
    <w:link w:val="Stopka"/>
    <w:uiPriority w:val="99"/>
    <w:qFormat/>
    <w:rsid w:val="008E0389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E038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E0389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b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c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0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1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2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3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4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5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9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a">
    <w:basedOn w:val="TableNormal4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0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1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2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3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4">
    <w:basedOn w:val="TableNormal1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165454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39"/>
    <w:rsid w:val="0016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stat.com.pl/sondaz-zwierzeta-domowe-polakow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+BqQIvTj4sJ0XPR5MaIyJg+Owg==">CgMxLjAaHwoBMBIaChgICVIUChJ0YWJsZS41a3c1MWJscTY0a2MaHwoBMRIaChgICVIUChJ0YWJsZS41cXJ2b2F2cGxlOWQaHwoBMhIaChgICVIUChJ0YWJsZS5kMGNkcDRsNGpldTIaHwoBMxIaChgICVIUChJ0YWJsZS40cmVzeTA2anFhdmIaHwoBNBIaChgICVIUChJ0YWJsZS5iM2p1MTc0M2FsNDEaHwoBNRIaChgICVIUChJ0YWJsZS5yOTBuMWEzZ3NzaGw4AHIhMWpjVGNaVkhyQ3I0cy1mNm5vdFVwRjJuVjA0Q0l4WVY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67DAB3-26D4-498C-84F7-FC204C35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1850</Words>
  <Characters>11106</Characters>
  <Application>Microsoft Office Word</Application>
  <DocSecurity>0</DocSecurity>
  <Lines>92</Lines>
  <Paragraphs>25</Paragraphs>
  <ScaleCrop>false</ScaleCrop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2025-04-02T06:39:00Z</dcterms:created>
  <dcterms:modified xsi:type="dcterms:W3CDTF">2025-04-02T06:39:00Z</dcterms:modified>
</cp:coreProperties>
</file>