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75" w14:textId="6D913F89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17BC306E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045D89">
        <w:t>9 kwietnia 2025 r.</w:t>
      </w:r>
    </w:p>
    <w:p w14:paraId="328CE928" w14:textId="13BA2F7A" w:rsidR="005B7070" w:rsidRPr="00902764" w:rsidRDefault="008F40C5" w:rsidP="005B7070">
      <w:pPr>
        <w:pStyle w:val="TYTUAKTUprzedmiotregulacjiustawylubrozporzdzenia"/>
      </w:pPr>
      <w:r w:rsidRPr="00902764">
        <w:t xml:space="preserve">w sprawie ustawy </w:t>
      </w:r>
      <w:r w:rsidR="00A34966" w:rsidRPr="00902764">
        <w:t xml:space="preserve">o </w:t>
      </w:r>
      <w:r w:rsidR="00F3282A" w:rsidRPr="00902764">
        <w:t xml:space="preserve">zmianie </w:t>
      </w:r>
      <w:r w:rsidR="00702953" w:rsidRPr="00902764">
        <w:t xml:space="preserve">ustawy </w:t>
      </w:r>
      <w:r w:rsidR="00FD3453">
        <w:t>o Państwowym Ratownictwie Medycznym</w:t>
      </w:r>
      <w:r w:rsidR="00702953" w:rsidRPr="00902764">
        <w:br/>
        <w:t>oraz niektórych innych ustaw</w:t>
      </w:r>
    </w:p>
    <w:p w14:paraId="62D96A43" w14:textId="2A2D2B53" w:rsidR="00912118" w:rsidRPr="00902764" w:rsidRDefault="00912118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4F6B88" w:rsidRPr="00902764">
        <w:t xml:space="preserve">20 </w:t>
      </w:r>
      <w:r w:rsidR="00FD3453">
        <w:t xml:space="preserve">marca </w:t>
      </w:r>
      <w:r w:rsidR="00693B52" w:rsidRPr="00902764">
        <w:t>202</w:t>
      </w:r>
      <w:r w:rsidR="004F6B88" w:rsidRPr="00902764">
        <w:t>5</w:t>
      </w:r>
      <w:r w:rsidR="00676A3C" w:rsidRPr="00902764">
        <w:t xml:space="preserve"> </w:t>
      </w:r>
      <w:r w:rsidR="00743882" w:rsidRPr="00902764">
        <w:t xml:space="preserve">r. ustawy o </w:t>
      </w:r>
      <w:r w:rsidR="00F3282A" w:rsidRPr="00902764">
        <w:t xml:space="preserve">zmianie </w:t>
      </w:r>
      <w:r w:rsidR="00702953" w:rsidRPr="00902764">
        <w:t xml:space="preserve">ustawy </w:t>
      </w:r>
      <w:r w:rsidR="00FD3453">
        <w:t xml:space="preserve">o Państwowym Ratownictwie Medycznym </w:t>
      </w:r>
      <w:r w:rsidR="00702953" w:rsidRPr="00902764">
        <w:t>oraz niektórych innych ustaw</w:t>
      </w:r>
      <w:r w:rsidR="00173DB6" w:rsidRPr="00902764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C638F" w:rsidRPr="00902764" w14:paraId="2307E1E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1719708" w14:textId="77777777" w:rsidR="00BC638F" w:rsidRPr="00902764" w:rsidRDefault="00BC638F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B1C9834" w14:textId="30DB97BA" w:rsidR="00EF7EEE" w:rsidRPr="00E54139" w:rsidRDefault="00EF7EEE" w:rsidP="00C27451">
            <w:pPr>
              <w:pStyle w:val="TREPUNKTUWUCHWALESENACKIEJ"/>
            </w:pPr>
            <w:r w:rsidRPr="00E54139">
              <w:rPr>
                <w:rFonts w:cs="Times New Roman"/>
                <w:szCs w:val="24"/>
              </w:rPr>
              <w:t>w art. 1 w pkt 6, w art. 16a w ust. 12 w pkt 3 wyraz „wykorzystania” zastępuje się wyrazami „optymalnego wykorzystania”</w:t>
            </w:r>
            <w:r w:rsidR="001B6A0F" w:rsidRPr="00E54139">
              <w:rPr>
                <w:rFonts w:cs="Times New Roman"/>
                <w:szCs w:val="24"/>
              </w:rPr>
              <w:t>;</w:t>
            </w:r>
          </w:p>
        </w:tc>
      </w:tr>
      <w:tr w:rsidR="00B43C40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902764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69E5C53" w14:textId="19521AE2" w:rsidR="001B6A0F" w:rsidRPr="00E54139" w:rsidRDefault="00FD3453" w:rsidP="00594A11">
            <w:pPr>
              <w:pStyle w:val="TREPUNKTUWUCHWALESENACKIEJ"/>
            </w:pPr>
            <w:r w:rsidRPr="00E54139">
              <w:t xml:space="preserve">w </w:t>
            </w:r>
            <w:r w:rsidR="00594A11" w:rsidRPr="00E54139">
              <w:t>art.</w:t>
            </w:r>
            <w:r w:rsidRPr="00E54139">
              <w:t xml:space="preserve"> </w:t>
            </w:r>
            <w:r w:rsidR="001B6A0F" w:rsidRPr="00E54139">
              <w:rPr>
                <w:rFonts w:cs="Times New Roman"/>
                <w:szCs w:val="24"/>
              </w:rPr>
              <w:t>1 w pkt 6, w art. 16f w ust. 7 w pkt 5 wyrazy „systemowych regulacji” zastępuje się wyrazem „dokumentów”;</w:t>
            </w:r>
          </w:p>
        </w:tc>
      </w:tr>
      <w:tr w:rsidR="00DE5DCC" w:rsidRPr="00902764" w14:paraId="7695CE3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C881AE" w14:textId="77777777" w:rsidR="00DE5DCC" w:rsidRPr="00902764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2CB964B" w14:textId="43C5ADB3" w:rsidR="005552C5" w:rsidRPr="00E54139" w:rsidRDefault="00765DF5" w:rsidP="005552C5">
            <w:pPr>
              <w:pStyle w:val="TREPUNKTUWUCHWALESENACKIEJ"/>
              <w:rPr>
                <w:rFonts w:cs="Times New Roman"/>
                <w:szCs w:val="24"/>
              </w:rPr>
            </w:pPr>
            <w:r w:rsidRPr="00E54139">
              <w:t xml:space="preserve">w </w:t>
            </w:r>
            <w:r w:rsidR="009C7490" w:rsidRPr="00E54139">
              <w:t xml:space="preserve">art. </w:t>
            </w:r>
            <w:r w:rsidR="005552C5" w:rsidRPr="00E54139">
              <w:rPr>
                <w:rFonts w:cs="Times New Roman"/>
                <w:szCs w:val="24"/>
              </w:rPr>
              <w:t>1 w pkt 7:</w:t>
            </w:r>
          </w:p>
          <w:p w14:paraId="6751A558" w14:textId="15E14C52" w:rsidR="005552C5" w:rsidRPr="00E54139" w:rsidRDefault="005552C5" w:rsidP="005552C5">
            <w:pPr>
              <w:pStyle w:val="LITERAWUCHWALESENACKIEJ"/>
              <w:rPr>
                <w:rFonts w:cs="Times New Roman"/>
                <w:szCs w:val="24"/>
              </w:rPr>
            </w:pPr>
            <w:r w:rsidRPr="00E54139">
              <w:t>a)</w:t>
            </w:r>
            <w:r w:rsidRPr="00E54139">
              <w:tab/>
            </w:r>
            <w:r w:rsidRPr="00E54139">
              <w:rPr>
                <w:rFonts w:cs="Times New Roman"/>
                <w:szCs w:val="24"/>
              </w:rPr>
              <w:t>w lit. g w poleceniu nowelizacyjnym wyraz „otrzymuje” zastępuje się wyrazami „i 7 otrzymują”,</w:t>
            </w:r>
          </w:p>
          <w:p w14:paraId="6A23B2F8" w14:textId="2480A716" w:rsidR="005552C5" w:rsidRPr="00E54139" w:rsidRDefault="005552C5" w:rsidP="005552C5">
            <w:pPr>
              <w:pStyle w:val="LITERAWUCHWALESENACKIEJ"/>
              <w:rPr>
                <w:rFonts w:cs="Times New Roman"/>
                <w:szCs w:val="24"/>
              </w:rPr>
            </w:pPr>
            <w:r w:rsidRPr="00E54139">
              <w:rPr>
                <w:rFonts w:cs="Times New Roman"/>
                <w:szCs w:val="24"/>
              </w:rPr>
              <w:t>b)</w:t>
            </w:r>
            <w:r w:rsidRPr="00E54139">
              <w:rPr>
                <w:rFonts w:cs="Times New Roman"/>
                <w:szCs w:val="24"/>
              </w:rPr>
              <w:tab/>
              <w:t>skreśla się oznaczenie lit. h oraz polecenie nowelizacyjne;</w:t>
            </w:r>
          </w:p>
        </w:tc>
      </w:tr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8A81EFB" w14:textId="6F3421FB" w:rsidR="00A501E5" w:rsidRPr="00A501E5" w:rsidRDefault="00DE303C" w:rsidP="00A501E5">
            <w:pPr>
              <w:pStyle w:val="TREPUNKTUWUCHWALESENACKIEJ"/>
            </w:pPr>
            <w:r w:rsidRPr="00902764">
              <w:t xml:space="preserve">w art. </w:t>
            </w:r>
            <w:r w:rsidR="00A501E5" w:rsidRPr="00AF5528">
              <w:rPr>
                <w:rFonts w:cs="Times New Roman"/>
                <w:szCs w:val="24"/>
              </w:rPr>
              <w:t>1 w pkt 37, art. 45a otrzymuje brzmienie:</w:t>
            </w:r>
          </w:p>
          <w:p w14:paraId="69A60A8B" w14:textId="2C33C538" w:rsidR="00A501E5" w:rsidRPr="00902764" w:rsidRDefault="00A501E5" w:rsidP="00A501E5">
            <w:pPr>
              <w:pStyle w:val="ZARTzmartartykuempunktem"/>
            </w:pPr>
            <w:r w:rsidRPr="00AF5528">
              <w:t>„Art. 45a. Maksymalny czas na przyjęcie pacjenta od zespołu ratownictwa medycznego w szpitalach, o których mowa w art. 44 ust. 1 i art. 45, wynosi nie</w:t>
            </w:r>
            <w:r>
              <w:t> </w:t>
            </w:r>
            <w:r w:rsidRPr="00AF5528">
              <w:t xml:space="preserve">więcej niż </w:t>
            </w:r>
            <w:r w:rsidR="001B065D">
              <w:t>15</w:t>
            </w:r>
            <w:r w:rsidRPr="00AF5528">
              <w:t xml:space="preserve"> minut, licząc od czasu przybycia zespołu ratownictwa medycznego do szpitala, zarejestrowanego w SWD PRM.”</w:t>
            </w:r>
            <w:r>
              <w:t>;</w:t>
            </w:r>
          </w:p>
        </w:tc>
      </w:tr>
      <w:tr w:rsidR="00E007A6" w:rsidRPr="00902764" w14:paraId="06F1F7CA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3CA7A7D" w14:textId="77777777" w:rsidR="00E007A6" w:rsidRPr="00902764" w:rsidRDefault="00E007A6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9CA0A17" w14:textId="61ADFE17" w:rsidR="00E007A6" w:rsidRPr="00EB7C58" w:rsidRDefault="00E007A6" w:rsidP="001F256F">
            <w:pPr>
              <w:pStyle w:val="TREPUNKTUWUCHWALESENACKIEJ"/>
            </w:pPr>
            <w:r w:rsidRPr="00EB7C58">
              <w:t xml:space="preserve">w art. </w:t>
            </w:r>
            <w:r w:rsidR="000F4B02" w:rsidRPr="00EB7C58">
              <w:t xml:space="preserve">4, w ust. 2 </w:t>
            </w:r>
            <w:r w:rsidR="0022439A" w:rsidRPr="00EB7C58">
              <w:t xml:space="preserve">oraz w art. 24 w ust. 2 </w:t>
            </w:r>
            <w:r w:rsidR="000F4B02" w:rsidRPr="00EB7C58">
              <w:t>skreśla się wyrazy „wykonującym zawód medyczny,”;</w:t>
            </w:r>
          </w:p>
        </w:tc>
      </w:tr>
      <w:tr w:rsidR="00C27451" w:rsidRPr="00902764" w14:paraId="42D5B9CD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2A62683" w14:textId="7684AED3" w:rsidR="00C27451" w:rsidRPr="00902764" w:rsidRDefault="00C2745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06E25C9" w14:textId="77777777" w:rsidR="001F256F" w:rsidRPr="00AF5528" w:rsidRDefault="001F256F" w:rsidP="001F256F">
            <w:pPr>
              <w:pStyle w:val="TREPUNKTUWUCHWALESENACKIEJ"/>
            </w:pPr>
            <w:r w:rsidRPr="00AF5528">
              <w:t>dodaje się art. 4a w brzmieniu:</w:t>
            </w:r>
          </w:p>
          <w:p w14:paraId="1B2057D1" w14:textId="345810E6" w:rsidR="001F256F" w:rsidRPr="00902764" w:rsidRDefault="001F256F" w:rsidP="001F256F">
            <w:pPr>
              <w:pStyle w:val="ZARTzmartartykuempunktem"/>
            </w:pPr>
            <w:r w:rsidRPr="00AF5528">
              <w:lastRenderedPageBreak/>
              <w:t>„Art. 4a. W ustawie z dnia 15 lipca 2011 r. o zawodach pielęgniarki i położnej (Dz. U. z 2024 r. poz. 814, 854 i 1897 oraz z 2025 r. poz. 129) w art. 4 w ust. 1 w</w:t>
            </w:r>
            <w:r>
              <w:t> </w:t>
            </w:r>
            <w:r w:rsidRPr="00AF5528">
              <w:t>pkt</w:t>
            </w:r>
            <w:r w:rsidR="00312E6B">
              <w:t> </w:t>
            </w:r>
            <w:r w:rsidRPr="00AF5528">
              <w:t>8 wyrazy „w art. 41” zastępuje się wyrazami „w art. 40 ust. 1”.”</w:t>
            </w:r>
            <w:r>
              <w:t>;</w:t>
            </w:r>
          </w:p>
        </w:tc>
      </w:tr>
      <w:tr w:rsidR="00A501E5" w:rsidRPr="00902764" w14:paraId="5AB069A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420395F" w14:textId="77777777" w:rsidR="00A501E5" w:rsidRPr="00902764" w:rsidRDefault="00A501E5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345E007" w14:textId="73B744BF" w:rsidR="00A501E5" w:rsidRPr="00902764" w:rsidRDefault="00EF0273" w:rsidP="00DE303C">
            <w:pPr>
              <w:pStyle w:val="TREPUNKTUWUCHWALESENACKIEJ"/>
            </w:pPr>
            <w:r w:rsidRPr="00AF5528">
              <w:rPr>
                <w:rFonts w:cs="Times New Roman"/>
                <w:szCs w:val="24"/>
              </w:rPr>
              <w:t xml:space="preserve">w art. 24 w ust. 2 użyte dwukrotnie wyrazy „do dnia wejścia w życie niniejszej ustawy” zastępuje się wyrazami „do dnia poprzedzającego </w:t>
            </w:r>
            <w:r>
              <w:rPr>
                <w:rFonts w:cs="Times New Roman"/>
                <w:szCs w:val="24"/>
              </w:rPr>
              <w:t xml:space="preserve">dzień </w:t>
            </w:r>
            <w:r w:rsidRPr="00AF5528">
              <w:rPr>
                <w:rFonts w:cs="Times New Roman"/>
                <w:szCs w:val="24"/>
              </w:rPr>
              <w:t>wejści</w:t>
            </w:r>
            <w:r>
              <w:rPr>
                <w:rFonts w:cs="Times New Roman"/>
                <w:szCs w:val="24"/>
              </w:rPr>
              <w:t>a</w:t>
            </w:r>
            <w:r w:rsidRPr="00AF5528">
              <w:rPr>
                <w:rFonts w:cs="Times New Roman"/>
                <w:szCs w:val="24"/>
              </w:rPr>
              <w:t xml:space="preserve"> w życie niniejszej ustawy”</w:t>
            </w:r>
            <w:r w:rsidR="003C4307">
              <w:rPr>
                <w:rFonts w:cs="Times New Roman"/>
                <w:szCs w:val="24"/>
              </w:rPr>
              <w:t>.</w:t>
            </w:r>
          </w:p>
        </w:tc>
      </w:tr>
    </w:tbl>
    <w:p w14:paraId="7D20BD97" w14:textId="237E4F4C" w:rsidR="00912118" w:rsidRDefault="00912118" w:rsidP="00A054FD">
      <w:pPr>
        <w:pStyle w:val="POPIERAJCYPOPRAWKZAMIESZCZONWZESTAWIENIUWNIOSKW"/>
      </w:pPr>
    </w:p>
    <w:p w14:paraId="3FB4C91D" w14:textId="15942159" w:rsidR="00582EB9" w:rsidRDefault="00582EB9" w:rsidP="00A054FD">
      <w:pPr>
        <w:pStyle w:val="POPIERAJCYPOPRAWKZAMIESZCZONWZESTAWIENIUWNIOSKW"/>
      </w:pPr>
    </w:p>
    <w:p w14:paraId="6ED01591" w14:textId="3FD84B65" w:rsidR="00582EB9" w:rsidRDefault="00582EB9" w:rsidP="00A054FD">
      <w:pPr>
        <w:pStyle w:val="POPIERAJCYPOPRAWKZAMIESZCZONWZESTAWIENIUWNIOSKW"/>
      </w:pPr>
    </w:p>
    <w:p w14:paraId="67D134EF" w14:textId="5FE8AD75" w:rsidR="00582EB9" w:rsidRDefault="00582EB9" w:rsidP="00A054FD">
      <w:pPr>
        <w:pStyle w:val="POPIERAJCYPOPRAWKZAMIESZCZONWZESTAWIENIUWNIOSKW"/>
      </w:pPr>
    </w:p>
    <w:p w14:paraId="48C7854D" w14:textId="77777777" w:rsidR="00582EB9" w:rsidRDefault="00582EB9" w:rsidP="00582EB9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2951B304" w14:textId="77777777" w:rsidR="00582EB9" w:rsidRDefault="00582EB9" w:rsidP="00582EB9">
      <w:pPr>
        <w:ind w:left="5103" w:firstLine="4"/>
        <w:rPr>
          <w:rStyle w:val="Ppogrubienie"/>
          <w:color w:val="000000" w:themeColor="text1"/>
        </w:rPr>
      </w:pPr>
    </w:p>
    <w:p w14:paraId="3E4D6457" w14:textId="77777777" w:rsidR="00582EB9" w:rsidRDefault="00582EB9" w:rsidP="00582EB9">
      <w:pPr>
        <w:ind w:left="5103" w:firstLine="4"/>
        <w:rPr>
          <w:rStyle w:val="Ppogrubienie"/>
          <w:color w:val="000000" w:themeColor="text1"/>
        </w:rPr>
      </w:pPr>
    </w:p>
    <w:p w14:paraId="3A0F26D0" w14:textId="77777777" w:rsidR="00582EB9" w:rsidRDefault="00582EB9" w:rsidP="00582EB9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07591413" w14:textId="77777777" w:rsidR="00582EB9" w:rsidRDefault="00582EB9" w:rsidP="00A054FD">
      <w:pPr>
        <w:pStyle w:val="POPIERAJCYPOPRAWKZAMIESZCZONWZESTAWIENIUWNIOSKW"/>
        <w:sectPr w:rsidR="00582EB9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7FA5892D" w14:textId="77777777" w:rsidR="00582EB9" w:rsidRPr="00E636CD" w:rsidRDefault="00582EB9" w:rsidP="004E469D">
      <w:pPr>
        <w:pStyle w:val="OZNRODZAKTUtznustawalubrozporzdzenieiorganwydajcy"/>
        <w:rPr>
          <w:rFonts w:ascii="Times New Roman" w:hAnsi="Times New Roman"/>
        </w:rPr>
      </w:pPr>
      <w:r w:rsidRPr="00E636CD">
        <w:rPr>
          <w:rFonts w:ascii="Times New Roman" w:hAnsi="Times New Roman"/>
        </w:rPr>
        <w:lastRenderedPageBreak/>
        <w:t>uzasadnienie</w:t>
      </w:r>
    </w:p>
    <w:p w14:paraId="0C8C789D" w14:textId="77777777" w:rsidR="00582EB9" w:rsidRPr="00E636CD" w:rsidRDefault="00582EB9" w:rsidP="008B3D91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03FBDCDB" w14:textId="77777777" w:rsidR="00582EB9" w:rsidRPr="00E636CD" w:rsidRDefault="00582EB9" w:rsidP="008B3D91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Senat – po rozpatrzeniu uchwalonej przez Sejm w dniu 20 marca 2025 r. ustawy o zmianie ustawy o Państwowym Ratownictwie Medycznym oraz niektórych innych ustaw, określanej dalej jako „ustawa” – wprowadził do jej tekstu </w:t>
      </w:r>
      <w:r>
        <w:rPr>
          <w:rFonts w:ascii="Times New Roman" w:hAnsi="Times New Roman" w:cs="Times New Roman"/>
          <w:szCs w:val="24"/>
        </w:rPr>
        <w:t>7</w:t>
      </w:r>
      <w:r w:rsidRPr="00E636CD">
        <w:rPr>
          <w:rFonts w:ascii="Times New Roman" w:hAnsi="Times New Roman" w:cs="Times New Roman"/>
          <w:szCs w:val="24"/>
        </w:rPr>
        <w:t xml:space="preserve"> poprawek.</w:t>
      </w:r>
    </w:p>
    <w:p w14:paraId="70546B69" w14:textId="77777777" w:rsidR="00582EB9" w:rsidRPr="00E636CD" w:rsidRDefault="00582EB9" w:rsidP="008B3D91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71A9A1A3" w14:textId="77777777" w:rsidR="00582EB9" w:rsidRPr="00E636CD" w:rsidRDefault="00582EB9" w:rsidP="00792705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Style w:val="Ppogrubienie"/>
          <w:rFonts w:ascii="Times New Roman" w:hAnsi="Times New Roman" w:cs="Times New Roman"/>
          <w:szCs w:val="24"/>
        </w:rPr>
        <w:t>1. </w:t>
      </w:r>
      <w:r w:rsidRPr="00E636CD">
        <w:rPr>
          <w:rFonts w:ascii="Times New Roman" w:hAnsi="Times New Roman" w:cs="Times New Roman"/>
          <w:szCs w:val="24"/>
        </w:rPr>
        <w:t>Artykuł 1 pkt 6 ustawy dodaje w ustawie o Państwowym Ratownictwie Medycznym:</w:t>
      </w:r>
    </w:p>
    <w:p w14:paraId="13AAEC38" w14:textId="77777777" w:rsidR="00582EB9" w:rsidRPr="00E636CD" w:rsidRDefault="00582EB9" w:rsidP="00582EB9">
      <w:pPr>
        <w:pStyle w:val="ARTartustawynprozporzdzenia"/>
        <w:numPr>
          <w:ilvl w:val="0"/>
          <w:numId w:val="3"/>
        </w:numPr>
        <w:spacing w:before="0" w:after="12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>przepisy art. 16a–16e, które odnoszą się do problematyki szkolenia w zakresie kwalifikowanej pierwszej pomocy na potrzeby szkolenia policjantów, funkcjonariuszy, strażaków i pracowników służb podległych ministrowi właściwemu do spraw wewnętrznych lub przez niego nadzorowanych (określanego dalej jako „szkolenie KPP MSWiA”) oraz egzaminu z zakresu wiedzy i umiejętności objętych programem szkolenia KPP MSWiA;</w:t>
      </w:r>
    </w:p>
    <w:p w14:paraId="1F34D984" w14:textId="77777777" w:rsidR="00582EB9" w:rsidRPr="00E636CD" w:rsidRDefault="00582EB9" w:rsidP="00582EB9">
      <w:pPr>
        <w:pStyle w:val="ARTartustawynprozporzdzenia"/>
        <w:numPr>
          <w:ilvl w:val="0"/>
          <w:numId w:val="3"/>
        </w:numPr>
        <w:spacing w:before="0" w:after="12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>przepisy art. 16f–16j, które odnoszą się do problematyki szkolenia żołnierzy i pracowników resortu obrony narodowej w zakresie kwalifikowanej pierwszej pomocy (określanego dalej jako „szkolenie KPP MON”) oraz egzaminu z zakresu wiedzy i umiejętności objętych programem szkolenia KPP MON.</w:t>
      </w:r>
    </w:p>
    <w:p w14:paraId="49896722" w14:textId="77777777" w:rsidR="00582EB9" w:rsidRPr="00E636CD" w:rsidRDefault="00582EB9" w:rsidP="00792705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>Unormowania dotyczące szkolenia KPP MSWiA oraz unormowania dotyczące szkolenia KPP MON mają – co do zasady – charakter zbieżny pod względem systematyki, zakresu i treści. Tymczasem stosownie do dodawanego art. 16a ust. 12 pkt 3 ustawy o Państwowym Ratownictwie Medycznym szkolenia KPP MSWiA podlegają ocenie jakości na podstawie kryterium „</w:t>
      </w:r>
      <w:r w:rsidRPr="00E636CD">
        <w:rPr>
          <w:rStyle w:val="Ppogrubienie"/>
          <w:rFonts w:ascii="Times New Roman" w:hAnsi="Times New Roman" w:cs="Times New Roman"/>
          <w:szCs w:val="24"/>
        </w:rPr>
        <w:t>wykorzystania</w:t>
      </w:r>
      <w:r w:rsidRPr="00E636CD">
        <w:rPr>
          <w:rFonts w:ascii="Times New Roman" w:hAnsi="Times New Roman" w:cs="Times New Roman"/>
          <w:szCs w:val="24"/>
        </w:rPr>
        <w:t xml:space="preserve"> przez podmiot szkolący </w:t>
      </w:r>
      <w:r w:rsidRPr="00E636CD">
        <w:rPr>
          <w:rStyle w:val="Ppogrubienie"/>
          <w:rFonts w:ascii="Times New Roman" w:hAnsi="Times New Roman" w:cs="Times New Roman"/>
          <w:szCs w:val="24"/>
        </w:rPr>
        <w:t>kadry i bazy dydaktycznej</w:t>
      </w:r>
      <w:r w:rsidRPr="00E636CD">
        <w:rPr>
          <w:rFonts w:ascii="Times New Roman" w:hAnsi="Times New Roman" w:cs="Times New Roman"/>
          <w:szCs w:val="24"/>
        </w:rPr>
        <w:t>”, podczas gdy w świetle dodawanego art. 16f ust. 9 pkt 3 tej ustawy ocena jakości szkoleń KPP MON jest dokonywana w oparciu o kryterium „</w:t>
      </w:r>
      <w:r w:rsidRPr="00E636CD">
        <w:rPr>
          <w:rStyle w:val="Ppogrubienie"/>
          <w:rFonts w:ascii="Times New Roman" w:hAnsi="Times New Roman" w:cs="Times New Roman"/>
          <w:szCs w:val="24"/>
        </w:rPr>
        <w:t>optymalnego wykorzystania</w:t>
      </w:r>
      <w:r w:rsidRPr="00E636CD">
        <w:rPr>
          <w:rFonts w:ascii="Times New Roman" w:hAnsi="Times New Roman" w:cs="Times New Roman"/>
          <w:szCs w:val="24"/>
        </w:rPr>
        <w:t xml:space="preserve"> przez jednostki organizacyjne, o których mowa w ust. 1, </w:t>
      </w:r>
      <w:r w:rsidRPr="00E636CD">
        <w:rPr>
          <w:rStyle w:val="Ppogrubienie"/>
          <w:rFonts w:ascii="Times New Roman" w:hAnsi="Times New Roman" w:cs="Times New Roman"/>
          <w:szCs w:val="24"/>
        </w:rPr>
        <w:t>kadry i bazy dydaktycznej</w:t>
      </w:r>
      <w:r w:rsidRPr="00E636CD">
        <w:rPr>
          <w:rFonts w:ascii="Times New Roman" w:hAnsi="Times New Roman" w:cs="Times New Roman"/>
          <w:szCs w:val="24"/>
        </w:rPr>
        <w:t>”.</w:t>
      </w:r>
    </w:p>
    <w:p w14:paraId="37465673" w14:textId="77777777" w:rsidR="00582EB9" w:rsidRPr="00E636CD" w:rsidRDefault="00582EB9" w:rsidP="00792705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Mając na uwadze potrzebę zapewnienia spójności dodawanych regulacji, Senat uchwalił poprawkę </w:t>
      </w:r>
      <w:r w:rsidRPr="00E636CD">
        <w:rPr>
          <w:rStyle w:val="Ppogrubienie"/>
          <w:rFonts w:ascii="Times New Roman" w:hAnsi="Times New Roman" w:cs="Times New Roman"/>
          <w:szCs w:val="24"/>
        </w:rPr>
        <w:t>nr 1</w:t>
      </w:r>
      <w:r w:rsidRPr="00E636CD">
        <w:rPr>
          <w:rFonts w:ascii="Times New Roman" w:hAnsi="Times New Roman" w:cs="Times New Roman"/>
          <w:szCs w:val="24"/>
        </w:rPr>
        <w:t>.</w:t>
      </w:r>
    </w:p>
    <w:p w14:paraId="206F3E1D" w14:textId="77777777" w:rsidR="00582EB9" w:rsidRPr="00E636CD" w:rsidRDefault="00582EB9" w:rsidP="00792705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66AEAB2F" w14:textId="77777777" w:rsidR="00582EB9" w:rsidRPr="00E636CD" w:rsidRDefault="00582EB9" w:rsidP="00A0078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Style w:val="Ppogrubienie"/>
          <w:rFonts w:ascii="Times New Roman" w:hAnsi="Times New Roman" w:cs="Times New Roman"/>
          <w:szCs w:val="24"/>
        </w:rPr>
        <w:t>2. </w:t>
      </w:r>
      <w:r w:rsidRPr="00E636CD">
        <w:rPr>
          <w:rFonts w:ascii="Times New Roman" w:hAnsi="Times New Roman" w:cs="Times New Roman"/>
          <w:szCs w:val="24"/>
        </w:rPr>
        <w:t xml:space="preserve">Przepis art. 16f ust. 7 pkt 5 ustawy o Państwowym Ratownictwie Medycznym (w brzmieniu określonym przez art. 1 pkt 6 ustawy) stanowi, że koordynator szkolenia KPP </w:t>
      </w:r>
      <w:r w:rsidRPr="00E636CD">
        <w:rPr>
          <w:rFonts w:ascii="Times New Roman" w:hAnsi="Times New Roman" w:cs="Times New Roman"/>
          <w:szCs w:val="24"/>
        </w:rPr>
        <w:lastRenderedPageBreak/>
        <w:t xml:space="preserve">MON „współpracuje z kierownikiem komórki organizacyjnej Ministerstwa Obrony Narodowej właściwej do spraw zdrowia w zakresie opracowywania i opiniowania </w:t>
      </w:r>
      <w:r w:rsidRPr="00E636CD">
        <w:rPr>
          <w:rStyle w:val="Ppogrubienie"/>
          <w:rFonts w:ascii="Times New Roman" w:hAnsi="Times New Roman" w:cs="Times New Roman"/>
          <w:szCs w:val="24"/>
        </w:rPr>
        <w:t>projektów aktów prawnych</w:t>
      </w:r>
      <w:r w:rsidRPr="00E636CD">
        <w:rPr>
          <w:rFonts w:ascii="Times New Roman" w:hAnsi="Times New Roman" w:cs="Times New Roman"/>
          <w:szCs w:val="24"/>
        </w:rPr>
        <w:t xml:space="preserve">, instrukcji, wytycznych </w:t>
      </w:r>
      <w:r w:rsidRPr="00E636CD">
        <w:rPr>
          <w:rStyle w:val="Ppogrubienie"/>
          <w:rFonts w:ascii="Times New Roman" w:hAnsi="Times New Roman" w:cs="Times New Roman"/>
          <w:szCs w:val="24"/>
        </w:rPr>
        <w:t>i innych systemowych regulacji</w:t>
      </w:r>
      <w:r w:rsidRPr="00E636CD">
        <w:rPr>
          <w:rFonts w:ascii="Times New Roman" w:hAnsi="Times New Roman" w:cs="Times New Roman"/>
          <w:szCs w:val="24"/>
        </w:rPr>
        <w:t xml:space="preserve"> związanych z organizacją i prowadzeniem szkoleń KPP MON oraz przeprowadzaniem egzaminów z zakresu wiedzy i umiejętności objętych programem tych szkoleń w jednostkach organizacyjnych, o których mowa w ust. 1”.</w:t>
      </w:r>
    </w:p>
    <w:p w14:paraId="55EA234F" w14:textId="77777777" w:rsidR="00582EB9" w:rsidRPr="00E636CD" w:rsidRDefault="00582EB9" w:rsidP="00A0078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Mając na względzie, że pojęcie „systemowych regulacji” nie może być odnoszone do postanowień zawartych w dokumentach niebędących aktami prawnymi, Senat uchwalił poprawkę </w:t>
      </w:r>
      <w:r w:rsidRPr="00E636CD">
        <w:rPr>
          <w:rStyle w:val="Ppogrubienie"/>
          <w:rFonts w:ascii="Times New Roman" w:hAnsi="Times New Roman" w:cs="Times New Roman"/>
          <w:szCs w:val="24"/>
        </w:rPr>
        <w:t>nr 2</w:t>
      </w:r>
      <w:r w:rsidRPr="00E636CD">
        <w:rPr>
          <w:rFonts w:ascii="Times New Roman" w:hAnsi="Times New Roman" w:cs="Times New Roman"/>
          <w:szCs w:val="24"/>
        </w:rPr>
        <w:t>.</w:t>
      </w:r>
    </w:p>
    <w:p w14:paraId="1259637F" w14:textId="77777777" w:rsidR="00582EB9" w:rsidRPr="00E636CD" w:rsidRDefault="00582EB9" w:rsidP="00A0078D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0A4AB1CB" w14:textId="77777777" w:rsidR="00582EB9" w:rsidRPr="00E636CD" w:rsidRDefault="00582EB9" w:rsidP="000A34F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Style w:val="Ppogrubienie"/>
          <w:rFonts w:ascii="Times New Roman" w:hAnsi="Times New Roman" w:cs="Times New Roman"/>
          <w:szCs w:val="24"/>
        </w:rPr>
        <w:t>3. </w:t>
      </w:r>
      <w:r w:rsidRPr="00E636CD">
        <w:rPr>
          <w:rFonts w:ascii="Times New Roman" w:hAnsi="Times New Roman" w:cs="Times New Roman"/>
          <w:szCs w:val="24"/>
        </w:rPr>
        <w:t xml:space="preserve">Stosownie do § 94 ust. 3 „Zasad techniki prawodawczej” jeżeli zmiana ustawy polega na nadaniu nowego brzmienia kolejno po sobie następującym artykułom albo jednostkom redakcyjnym niższego stopnia, zmiany tych artykułów albo jednostek ujmuje się odpowiednio w jeden punkt, literę, tiret albo podwójne tiret. Nowelizacja kolejno po sobie następujących przepisów art. 17 ust. 6a i 7 ustawy o Państwowym Ratownictwie Medycznym powinna zostać zatem dokonana w art. 1 pkt 7 </w:t>
      </w:r>
      <w:r w:rsidRPr="00E636CD">
        <w:rPr>
          <w:rStyle w:val="Ppogrubienie"/>
          <w:rFonts w:ascii="Times New Roman" w:hAnsi="Times New Roman" w:cs="Times New Roman"/>
          <w:szCs w:val="24"/>
        </w:rPr>
        <w:t>lit. g</w:t>
      </w:r>
      <w:r w:rsidRPr="00E636CD">
        <w:rPr>
          <w:rFonts w:ascii="Times New Roman" w:hAnsi="Times New Roman" w:cs="Times New Roman"/>
          <w:szCs w:val="24"/>
        </w:rPr>
        <w:t xml:space="preserve"> (</w:t>
      </w:r>
      <w:r w:rsidRPr="00E636CD">
        <w:rPr>
          <w:rStyle w:val="Ppogrubienie"/>
          <w:rFonts w:ascii="Times New Roman" w:hAnsi="Times New Roman" w:cs="Times New Roman"/>
          <w:szCs w:val="24"/>
        </w:rPr>
        <w:t>nie zaś w lit. g i h</w:t>
      </w:r>
      <w:r w:rsidRPr="00E636CD">
        <w:rPr>
          <w:rFonts w:ascii="Times New Roman" w:hAnsi="Times New Roman" w:cs="Times New Roman"/>
          <w:szCs w:val="24"/>
        </w:rPr>
        <w:t>) ustawy.</w:t>
      </w:r>
    </w:p>
    <w:p w14:paraId="6E936421" w14:textId="77777777" w:rsidR="00582EB9" w:rsidRPr="00E636CD" w:rsidRDefault="00582EB9" w:rsidP="000A34F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Uwzględniając powołaną dyrektywę techniki prawodawczej, Senat uchwalił poprawkę </w:t>
      </w:r>
      <w:r w:rsidRPr="00E636CD">
        <w:rPr>
          <w:rStyle w:val="Ppogrubienie"/>
          <w:rFonts w:ascii="Times New Roman" w:hAnsi="Times New Roman" w:cs="Times New Roman"/>
          <w:szCs w:val="24"/>
        </w:rPr>
        <w:t>nr 3</w:t>
      </w:r>
      <w:r w:rsidRPr="00E636CD">
        <w:rPr>
          <w:rFonts w:ascii="Times New Roman" w:hAnsi="Times New Roman" w:cs="Times New Roman"/>
          <w:szCs w:val="24"/>
        </w:rPr>
        <w:t>.</w:t>
      </w:r>
    </w:p>
    <w:p w14:paraId="27752659" w14:textId="77777777" w:rsidR="00582EB9" w:rsidRPr="00E636CD" w:rsidRDefault="00582EB9" w:rsidP="000A34F4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544CEE96" w14:textId="77777777" w:rsidR="00582EB9" w:rsidRPr="00E636CD" w:rsidRDefault="00582EB9" w:rsidP="000A34F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Style w:val="Ppogrubienie"/>
          <w:rFonts w:ascii="Times New Roman" w:hAnsi="Times New Roman" w:cs="Times New Roman"/>
          <w:szCs w:val="24"/>
        </w:rPr>
        <w:t>4. </w:t>
      </w:r>
      <w:r w:rsidRPr="00E636CD">
        <w:rPr>
          <w:rFonts w:ascii="Times New Roman" w:hAnsi="Times New Roman" w:cs="Times New Roman"/>
          <w:szCs w:val="24"/>
        </w:rPr>
        <w:t xml:space="preserve">W ocenie Senatu </w:t>
      </w:r>
      <w:r w:rsidRPr="00E636CD">
        <w:rPr>
          <w:rStyle w:val="Ppogrubienie"/>
          <w:rFonts w:ascii="Times New Roman" w:hAnsi="Times New Roman" w:cs="Times New Roman"/>
          <w:szCs w:val="24"/>
        </w:rPr>
        <w:t>art. 45a ustawy o Państwowym Ratownictwie Medycznym</w:t>
      </w:r>
      <w:r w:rsidRPr="00E636CD">
        <w:rPr>
          <w:rFonts w:ascii="Times New Roman" w:hAnsi="Times New Roman" w:cs="Times New Roman"/>
          <w:szCs w:val="24"/>
        </w:rPr>
        <w:t xml:space="preserve"> (w brzmieniu nadanym przez art. 1 pkt 37 ustawy) jest </w:t>
      </w:r>
      <w:r w:rsidRPr="00E636CD">
        <w:rPr>
          <w:rStyle w:val="Ppogrubienie"/>
          <w:rFonts w:ascii="Times New Roman" w:hAnsi="Times New Roman" w:cs="Times New Roman"/>
          <w:szCs w:val="24"/>
        </w:rPr>
        <w:t>niezgodny z art. 92 ust. 1 Konstytucji Rzeczypospolitej Polskiej</w:t>
      </w:r>
      <w:r w:rsidRPr="00E636CD">
        <w:rPr>
          <w:rFonts w:ascii="Times New Roman" w:hAnsi="Times New Roman" w:cs="Times New Roman"/>
          <w:szCs w:val="24"/>
        </w:rPr>
        <w:t xml:space="preserve"> (określanej dalej jako „Konstytucja”) przez to, że:</w:t>
      </w:r>
    </w:p>
    <w:p w14:paraId="2669CA8F" w14:textId="77777777" w:rsidR="00582EB9" w:rsidRPr="00E636CD" w:rsidRDefault="00582EB9" w:rsidP="00582EB9">
      <w:pPr>
        <w:pStyle w:val="ARTartustawynprozporzdzenia"/>
        <w:numPr>
          <w:ilvl w:val="0"/>
          <w:numId w:val="4"/>
        </w:numPr>
        <w:spacing w:before="0" w:after="120"/>
        <w:rPr>
          <w:rFonts w:ascii="Times New Roman" w:hAnsi="Times New Roman" w:cs="Times New Roman"/>
          <w:szCs w:val="24"/>
        </w:rPr>
      </w:pPr>
      <w:r w:rsidRPr="00E636CD">
        <w:rPr>
          <w:rStyle w:val="Ppogrubienie"/>
          <w:rFonts w:ascii="Times New Roman" w:hAnsi="Times New Roman" w:cs="Times New Roman"/>
          <w:szCs w:val="24"/>
        </w:rPr>
        <w:t>zawarte w nim upoważnienie ministra właściwego do spraw zdrowia do wydania rozporządzenia nie zawiera wytycznych dotyczących treści aktu</w:t>
      </w:r>
      <w:r w:rsidRPr="00E636CD">
        <w:rPr>
          <w:rFonts w:ascii="Times New Roman" w:hAnsi="Times New Roman" w:cs="Times New Roman"/>
          <w:szCs w:val="24"/>
        </w:rPr>
        <w:t>;</w:t>
      </w:r>
    </w:p>
    <w:p w14:paraId="438C902A" w14:textId="77777777" w:rsidR="00582EB9" w:rsidRPr="00E636CD" w:rsidRDefault="00582EB9" w:rsidP="00582EB9">
      <w:pPr>
        <w:pStyle w:val="ARTartustawynprozporzdzenia"/>
        <w:numPr>
          <w:ilvl w:val="0"/>
          <w:numId w:val="4"/>
        </w:numPr>
        <w:spacing w:before="0" w:after="120"/>
        <w:rPr>
          <w:rFonts w:ascii="Times New Roman" w:hAnsi="Times New Roman" w:cs="Times New Roman"/>
          <w:szCs w:val="24"/>
        </w:rPr>
      </w:pPr>
      <w:r w:rsidRPr="00E636CD">
        <w:rPr>
          <w:rStyle w:val="Ppogrubienie"/>
          <w:rFonts w:ascii="Times New Roman" w:hAnsi="Times New Roman" w:cs="Times New Roman"/>
          <w:szCs w:val="24"/>
        </w:rPr>
        <w:t>upoważnia ministra właściwego do spraw zdrowia do uregulowania w akcie wykonawczym materii, co do której w tekście ustawy o Państwowym Ratownictwie Medycznym (w brzmieniu nadanym przez ustawę) nie ma żadnych bezpośrednich uregulowań ani wskazówek</w:t>
      </w:r>
      <w:r w:rsidRPr="00E636CD">
        <w:rPr>
          <w:rFonts w:ascii="Times New Roman" w:hAnsi="Times New Roman" w:cs="Times New Roman"/>
          <w:szCs w:val="24"/>
        </w:rPr>
        <w:t>.</w:t>
      </w:r>
    </w:p>
    <w:p w14:paraId="0283684A" w14:textId="77777777" w:rsidR="00582EB9" w:rsidRPr="00E636CD" w:rsidRDefault="00582EB9" w:rsidP="000A34F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Artykuł 92 ust. 1 Konstytucji stanowi, co następuje: „Rozporządzenia są wydawane przez organy wskazane w Konstytucji, na podstawie szczegółowego upoważnienia zawartego </w:t>
      </w:r>
      <w:r w:rsidRPr="00E636CD">
        <w:rPr>
          <w:rFonts w:ascii="Times New Roman" w:hAnsi="Times New Roman" w:cs="Times New Roman"/>
          <w:szCs w:val="24"/>
        </w:rPr>
        <w:lastRenderedPageBreak/>
        <w:t>w ustawie i w celu jej wykonania. Upoważnienie powinno określać organ właściwy do wydania rozporządzenia i zakres spraw przekazanych do uregulowania oraz wytyczne dotyczące treści aktu.”. Tak więc „wobec kategoryczności obecnego sformułowania konstytucyjnego za niewątpliwe należy uznać, że wszelkie upoważnienie ustawy, w odniesieniu do którego nie da się wskazać żadnych treści ustawowych, które pełniłyby rolę „wytycznych dotyczących treści aktu”, jest sprzeczne z konstytucją. Brak owych wytycznych stanowi warunek wystarczający dla uznania niekonstytucyjności upoważnienia, nawet jeżeli pozostałe wymagania, o których mówi art. 92 konstytucji zostaną spełnione.”</w:t>
      </w:r>
      <w:r w:rsidRPr="00E636CD">
        <w:rPr>
          <w:rStyle w:val="Odwoanieprzypisudolnego"/>
          <w:rFonts w:ascii="Times New Roman" w:hAnsi="Times New Roman"/>
          <w:szCs w:val="24"/>
        </w:rPr>
        <w:footnoteReference w:id="1"/>
      </w:r>
      <w:r w:rsidRPr="00E636CD">
        <w:rPr>
          <w:rFonts w:ascii="Times New Roman" w:hAnsi="Times New Roman" w:cs="Times New Roman"/>
          <w:szCs w:val="24"/>
        </w:rPr>
        <w:t>. Tymczasem nie podlega wątpliwości, że przepis w brzmieniu: „Minister właściwy do spraw zdrowia określi, w drodze rozporządzenia, maksymalny czas na przyjęcie pacjenta od zespołu ratownictwa medycznego w szpitalach, o których mowa w art. 44 ust. 1 i art. 45.” wskazuje jedynie organ właściwy do wydania rozporządzenia oraz zakres spraw przekazanych do uregulowania, pomijając wytyczne dotyczące treści aktu, a inne przepisy ustawy o Państwowym Ratownictwie Medycznym (w brzmieniu nadanym przez ustawę) nie zawierają unormowań, które mogłyby pełnić rolę takich wytycznych.</w:t>
      </w:r>
    </w:p>
    <w:p w14:paraId="064487DF" w14:textId="77777777" w:rsidR="00582EB9" w:rsidRPr="00E636CD" w:rsidRDefault="00582EB9" w:rsidP="000A34F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>Niezależnie od powyższego zarzutu, należy zauważyć, że c</w:t>
      </w:r>
      <w:r w:rsidRPr="00E636CD">
        <w:rPr>
          <w:rFonts w:ascii="Times New Roman" w:hAnsi="Times New Roman" w:cs="Times New Roman"/>
          <w:color w:val="000000"/>
          <w:szCs w:val="24"/>
        </w:rPr>
        <w:t>elem rozporządzenia jest wykonanie ustawy, a nie samodzielne regulowanie kwestii pominiętych przez ustawodawcę</w:t>
      </w:r>
      <w:r w:rsidRPr="00E636CD">
        <w:rPr>
          <w:rStyle w:val="Odwoanieprzypisudolnego"/>
          <w:rFonts w:ascii="Times New Roman" w:hAnsi="Times New Roman"/>
          <w:color w:val="000000"/>
          <w:szCs w:val="24"/>
        </w:rPr>
        <w:footnoteReference w:id="2"/>
      </w:r>
      <w:r w:rsidRPr="00E636CD">
        <w:rPr>
          <w:rFonts w:ascii="Times New Roman" w:hAnsi="Times New Roman" w:cs="Times New Roman"/>
          <w:color w:val="000000"/>
          <w:szCs w:val="24"/>
        </w:rPr>
        <w:t>, a zatem upoważnienie do wydania aktu wykonawczego nie może „</w:t>
      </w:r>
      <w:r w:rsidRPr="00E636CD">
        <w:rPr>
          <w:rFonts w:ascii="Times New Roman" w:hAnsi="Times New Roman" w:cs="Times New Roman"/>
          <w:szCs w:val="24"/>
        </w:rPr>
        <w:t>prowadzić do nadania regulacji ustawowej charakteru blankietowego, tzn. do pozostawienia organowi upoważnionemu możliwości samodzielnego uregulowania całego kompleksu zagadnień, co do których w tekście ustawy nie ma żadnych bezpośrednich uregulowań ani wskazówek”</w:t>
      </w:r>
      <w:r w:rsidRPr="00E636CD">
        <w:rPr>
          <w:rStyle w:val="Odwoanieprzypisudolnego"/>
          <w:rFonts w:ascii="Times New Roman" w:hAnsi="Times New Roman"/>
          <w:szCs w:val="24"/>
        </w:rPr>
        <w:footnoteReference w:id="3"/>
      </w:r>
      <w:r w:rsidRPr="00E636CD">
        <w:rPr>
          <w:rFonts w:ascii="Times New Roman" w:hAnsi="Times New Roman" w:cs="Times New Roman"/>
          <w:szCs w:val="24"/>
        </w:rPr>
        <w:t>. Tymczasem upoważnienie zawarte w art. 45a ustawy o Państwowym Ratownictwie Medycznym (w brzmieniu nadanym przez art. 1 pkt 37 ustawy) ma charakter blankietowy, gdyż przepisy ustawy o Państwowym Ratownictwie Medycznym (w brzmieniu nadanym przez ustawę) nie zawierają żadnych przepisów merytorycznych dotyczących czasu na przyjęcie pacjenta od zespołu ratownictwa medycznego w szpitalu.</w:t>
      </w:r>
    </w:p>
    <w:p w14:paraId="0E1D3734" w14:textId="77777777" w:rsidR="00582EB9" w:rsidRPr="00E636CD" w:rsidRDefault="00582EB9" w:rsidP="001A460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Mając na uwadze powyższą argumentację, Senat – w drodze poprawki </w:t>
      </w:r>
      <w:r w:rsidRPr="00E636CD">
        <w:rPr>
          <w:rStyle w:val="Ppogrubienie"/>
          <w:rFonts w:ascii="Times New Roman" w:hAnsi="Times New Roman" w:cs="Times New Roman"/>
          <w:szCs w:val="24"/>
        </w:rPr>
        <w:t>nr 4</w:t>
      </w:r>
      <w:r w:rsidRPr="00E636CD">
        <w:rPr>
          <w:rFonts w:ascii="Times New Roman" w:hAnsi="Times New Roman" w:cs="Times New Roman"/>
          <w:szCs w:val="24"/>
        </w:rPr>
        <w:t xml:space="preserve"> – opowiedział się za ustanowieniem w ustawie o Państwowym Ratownictwie Medycznym regulacji, zgodnie z którą maksymalny czas na przyjęcie pacjenta od zespołu ratownictwa medycznego w szpitalu </w:t>
      </w:r>
      <w:r w:rsidRPr="00E636CD">
        <w:rPr>
          <w:rFonts w:ascii="Times New Roman" w:hAnsi="Times New Roman" w:cs="Times New Roman"/>
          <w:szCs w:val="24"/>
        </w:rPr>
        <w:lastRenderedPageBreak/>
        <w:t xml:space="preserve">wynosi </w:t>
      </w:r>
      <w:r w:rsidRPr="00E7626E">
        <w:rPr>
          <w:rFonts w:ascii="Times New Roman" w:hAnsi="Times New Roman" w:cs="Times New Roman"/>
          <w:szCs w:val="24"/>
        </w:rPr>
        <w:t>nie więcej niż 15 minut</w:t>
      </w:r>
      <w:r w:rsidRPr="00E636CD">
        <w:rPr>
          <w:rFonts w:ascii="Times New Roman" w:hAnsi="Times New Roman" w:cs="Times New Roman"/>
          <w:szCs w:val="24"/>
        </w:rPr>
        <w:t>, licząc od czasu przybycia zespołu ratownictwa medycznego do szpitala, zarejestrowanego w Systemie Wspomagania Dowodzenia Państwowego Ratownictwa Medycznego.</w:t>
      </w:r>
    </w:p>
    <w:p w14:paraId="11DB916A" w14:textId="77777777" w:rsidR="00582EB9" w:rsidRDefault="00582EB9" w:rsidP="002B4860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2F663755" w14:textId="77777777" w:rsidR="00582EB9" w:rsidRPr="00202669" w:rsidRDefault="00582EB9" w:rsidP="00AF4A9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02669">
        <w:rPr>
          <w:rStyle w:val="Ppogrubienie"/>
          <w:rFonts w:ascii="Times New Roman" w:hAnsi="Times New Roman" w:cs="Times New Roman"/>
          <w:szCs w:val="24"/>
        </w:rPr>
        <w:t>5. </w:t>
      </w:r>
      <w:r w:rsidRPr="00202669">
        <w:rPr>
          <w:rFonts w:ascii="Times New Roman" w:hAnsi="Times New Roman" w:cs="Times New Roman"/>
          <w:szCs w:val="24"/>
        </w:rPr>
        <w:t>Podczas senackiego postępowania legislacyjnego przedmiot szczególnego zainteresowania strony społecznej stanowił art. 4 ustawy. Przepis ten dodaje ust. 2 w art. 99 ustawy o działalności leczniczej w celu ustanowienia regulacji, w myśl której pracownikom wykonującym zawód medyczny, zatrudnionym w systemie pracy zmianowej w zespołach ratownictwa medycznego, przysługuje:</w:t>
      </w:r>
    </w:p>
    <w:p w14:paraId="7F659353" w14:textId="77777777" w:rsidR="00582EB9" w:rsidRPr="00202669" w:rsidRDefault="00582EB9" w:rsidP="00582EB9">
      <w:pPr>
        <w:pStyle w:val="ARTartustawynprozporzdzenia"/>
        <w:numPr>
          <w:ilvl w:val="0"/>
          <w:numId w:val="6"/>
        </w:numPr>
        <w:spacing w:before="0" w:after="120"/>
        <w:rPr>
          <w:rFonts w:ascii="Times New Roman" w:hAnsi="Times New Roman" w:cs="Times New Roman"/>
          <w:szCs w:val="24"/>
        </w:rPr>
      </w:pPr>
      <w:r w:rsidRPr="00202669">
        <w:rPr>
          <w:rFonts w:ascii="Times New Roman" w:eastAsia="Times New Roman" w:hAnsi="Times New Roman" w:cs="Times New Roman"/>
          <w:szCs w:val="24"/>
        </w:rPr>
        <w:t>dodatek w wysokości co najmniej 65% stawki godzinowej wynagrodzenia zasadniczego za każdą godzinę pracy wykonywanej w porze nocnej;</w:t>
      </w:r>
    </w:p>
    <w:p w14:paraId="76D1DEBB" w14:textId="77777777" w:rsidR="00582EB9" w:rsidRPr="00202669" w:rsidRDefault="00582EB9" w:rsidP="00582EB9">
      <w:pPr>
        <w:pStyle w:val="ARTartustawynprozporzdzenia"/>
        <w:numPr>
          <w:ilvl w:val="0"/>
          <w:numId w:val="6"/>
        </w:numPr>
        <w:spacing w:before="0" w:after="120"/>
        <w:rPr>
          <w:rFonts w:ascii="Times New Roman" w:hAnsi="Times New Roman" w:cs="Times New Roman"/>
          <w:szCs w:val="24"/>
        </w:rPr>
      </w:pPr>
      <w:r w:rsidRPr="00202669">
        <w:rPr>
          <w:rFonts w:ascii="Times New Roman" w:eastAsia="Times New Roman" w:hAnsi="Times New Roman" w:cs="Times New Roman"/>
          <w:szCs w:val="24"/>
        </w:rPr>
        <w:t>dodatek w wysokości co najmniej 45% stawki godzinowej wynagrodzenia zasadniczego za każdą godzinę pracy wykonywanej w porze dziennej w niedziele i święta oraz dni wolne od pracy wynikające z przeciętnie pięciodniowego tygodnia pracy.</w:t>
      </w:r>
    </w:p>
    <w:p w14:paraId="6C5AB307" w14:textId="77777777" w:rsidR="00582EB9" w:rsidRPr="00202669" w:rsidRDefault="00582EB9" w:rsidP="00AF4A9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02669">
        <w:rPr>
          <w:rFonts w:ascii="Times New Roman" w:hAnsi="Times New Roman" w:cs="Times New Roman"/>
          <w:szCs w:val="24"/>
        </w:rPr>
        <w:t>W toku senackich prac nad ustawą strona społeczna podnosiła, że ustawa nie powinna być postrzegana jedynie przez pryzmat korzyści, jakie przyniesie osobom wykonującym zawód medyczny, zatrudnionych w systemie Państwowe Ratownictwo Medyczne, gdyż sprawne i bezpieczne działanie (a nawet działanie w ogóle) tego systemu wymaga także pracy pilotów HEMS oraz innych osób niewykonujących zawodu medycznego.</w:t>
      </w:r>
    </w:p>
    <w:p w14:paraId="6E930090" w14:textId="77777777" w:rsidR="00582EB9" w:rsidRPr="00202669" w:rsidRDefault="00582EB9" w:rsidP="00AF4A94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02669">
        <w:rPr>
          <w:rFonts w:ascii="Times New Roman" w:hAnsi="Times New Roman" w:cs="Times New Roman"/>
          <w:szCs w:val="24"/>
        </w:rPr>
        <w:t xml:space="preserve">Podzielając argumentację zaprezentowaną przez stronę społeczną, Senat uchwalił poprawkę </w:t>
      </w:r>
      <w:r w:rsidRPr="00202669">
        <w:rPr>
          <w:rStyle w:val="Ppogrubienie"/>
          <w:rFonts w:ascii="Times New Roman" w:hAnsi="Times New Roman" w:cs="Times New Roman"/>
          <w:szCs w:val="24"/>
        </w:rPr>
        <w:t>nr 5</w:t>
      </w:r>
      <w:r w:rsidRPr="00202669">
        <w:rPr>
          <w:rFonts w:ascii="Times New Roman" w:hAnsi="Times New Roman" w:cs="Times New Roman"/>
          <w:szCs w:val="24"/>
        </w:rPr>
        <w:t>.</w:t>
      </w:r>
    </w:p>
    <w:p w14:paraId="1889793E" w14:textId="77777777" w:rsidR="00582EB9" w:rsidRPr="00E636CD" w:rsidRDefault="00582EB9" w:rsidP="002B4860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6CFD0CC6" w14:textId="77777777" w:rsidR="00582EB9" w:rsidRPr="00E636CD" w:rsidRDefault="00582EB9" w:rsidP="00B269CC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6</w:t>
      </w:r>
      <w:r w:rsidRPr="00E636CD">
        <w:rPr>
          <w:rStyle w:val="Ppogrubienie"/>
          <w:rFonts w:ascii="Times New Roman" w:hAnsi="Times New Roman" w:cs="Times New Roman"/>
          <w:szCs w:val="24"/>
        </w:rPr>
        <w:t>. </w:t>
      </w:r>
      <w:r w:rsidRPr="00E636CD">
        <w:rPr>
          <w:rFonts w:ascii="Times New Roman" w:hAnsi="Times New Roman" w:cs="Times New Roman"/>
          <w:szCs w:val="24"/>
        </w:rPr>
        <w:t xml:space="preserve">Przepisy art. 2 pkt 1 oraz art. 7 pkt 2 ustawy zmierzają do zapewnienia odpowiednio w art. 11 ust. 1 pkt 2 ustawy o cmentarzach i chowaniu zmarłych oraz w art. 33 ust. 1 pkt 5 ustawy o zawodzie ratownika medycznego oraz samorządzie ratowników medycznych prawidłowego odesłania do </w:t>
      </w:r>
      <w:r w:rsidRPr="00E636CD">
        <w:rPr>
          <w:rStyle w:val="Ppogrubienie"/>
          <w:rFonts w:ascii="Times New Roman" w:hAnsi="Times New Roman" w:cs="Times New Roman"/>
          <w:szCs w:val="24"/>
        </w:rPr>
        <w:t>art. 40 ust. 1</w:t>
      </w:r>
      <w:r w:rsidRPr="00E636CD">
        <w:rPr>
          <w:rFonts w:ascii="Times New Roman" w:hAnsi="Times New Roman" w:cs="Times New Roman"/>
          <w:szCs w:val="24"/>
        </w:rPr>
        <w:t xml:space="preserve"> ustawy o Państwowym Ratownictwie Medycznym </w:t>
      </w:r>
      <w:r w:rsidRPr="00E636CD">
        <w:rPr>
          <w:rFonts w:ascii="Times New Roman" w:hAnsi="Times New Roman" w:cs="Times New Roman"/>
          <w:szCs w:val="24"/>
        </w:rPr>
        <w:br/>
        <w:t xml:space="preserve">– w obowiązującym stanie prawnym nowelizowane przepisy nieprecyzyjnie stanowią o „akcji medycznej, o której mowa w </w:t>
      </w:r>
      <w:r w:rsidRPr="00E636CD">
        <w:rPr>
          <w:rStyle w:val="Ppogrubienie"/>
          <w:rFonts w:ascii="Times New Roman" w:hAnsi="Times New Roman" w:cs="Times New Roman"/>
          <w:szCs w:val="24"/>
        </w:rPr>
        <w:t>art. 41</w:t>
      </w:r>
      <w:r w:rsidRPr="00E636CD">
        <w:rPr>
          <w:rFonts w:ascii="Times New Roman" w:hAnsi="Times New Roman" w:cs="Times New Roman"/>
          <w:szCs w:val="24"/>
        </w:rPr>
        <w:t xml:space="preserve">” tej ustawy. Zakresem powołanego doprecyzowania należy jednak objąć również art. 4 ust. 1 pkt 8 ustawy o zawodach pielęgniarki i położnej, zgodnie z którym wykonywanie zawodu pielęgniarki polega na udzielaniu świadczeń zdrowotnych, w szczególności na „stwierdzaniu zgonu, do którego doszło podczas akcji </w:t>
      </w:r>
      <w:r w:rsidRPr="00E636CD">
        <w:rPr>
          <w:rFonts w:ascii="Times New Roman" w:hAnsi="Times New Roman" w:cs="Times New Roman"/>
          <w:szCs w:val="24"/>
        </w:rPr>
        <w:lastRenderedPageBreak/>
        <w:t xml:space="preserve">medycznej, o której mowa w </w:t>
      </w:r>
      <w:r w:rsidRPr="00E636CD">
        <w:rPr>
          <w:rStyle w:val="Ppogrubienie"/>
          <w:rFonts w:ascii="Times New Roman" w:hAnsi="Times New Roman" w:cs="Times New Roman"/>
          <w:szCs w:val="24"/>
        </w:rPr>
        <w:t>art. 41</w:t>
      </w:r>
      <w:r w:rsidRPr="00E636CD">
        <w:rPr>
          <w:rFonts w:ascii="Times New Roman" w:hAnsi="Times New Roman" w:cs="Times New Roman"/>
          <w:szCs w:val="24"/>
        </w:rPr>
        <w:t xml:space="preserve"> ustawy z dnia 8 września 2006 r. o Państwowym Ratownictwie Medycznym”.</w:t>
      </w:r>
    </w:p>
    <w:p w14:paraId="42DFEC2F" w14:textId="77777777" w:rsidR="00582EB9" w:rsidRPr="00E636CD" w:rsidRDefault="00582EB9" w:rsidP="00B269CC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Mając na uwadze potrzebę zachowania spójności obowiązującego ustawodawstwa, Senat uchwalił poprawkę </w:t>
      </w:r>
      <w:r w:rsidRPr="00E636CD">
        <w:rPr>
          <w:rStyle w:val="Ppogrubienie"/>
          <w:rFonts w:ascii="Times New Roman" w:hAnsi="Times New Roman" w:cs="Times New Roman"/>
          <w:szCs w:val="24"/>
        </w:rPr>
        <w:t xml:space="preserve">nr </w:t>
      </w:r>
      <w:r>
        <w:rPr>
          <w:rStyle w:val="Ppogrubienie"/>
          <w:rFonts w:ascii="Times New Roman" w:hAnsi="Times New Roman" w:cs="Times New Roman"/>
          <w:szCs w:val="24"/>
        </w:rPr>
        <w:t>6</w:t>
      </w:r>
      <w:r w:rsidRPr="00E636CD">
        <w:rPr>
          <w:rFonts w:ascii="Times New Roman" w:hAnsi="Times New Roman" w:cs="Times New Roman"/>
          <w:szCs w:val="24"/>
        </w:rPr>
        <w:t>.</w:t>
      </w:r>
    </w:p>
    <w:p w14:paraId="2374A26A" w14:textId="77777777" w:rsidR="00582EB9" w:rsidRPr="00E636CD" w:rsidRDefault="00582EB9" w:rsidP="00822E68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4C878018" w14:textId="77777777" w:rsidR="00582EB9" w:rsidRPr="00E636CD" w:rsidRDefault="00582EB9" w:rsidP="00F62ECF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szCs w:val="24"/>
        </w:rPr>
        <w:t>7</w:t>
      </w:r>
      <w:r w:rsidRPr="00E636CD">
        <w:rPr>
          <w:rStyle w:val="Ppogrubienie"/>
          <w:rFonts w:ascii="Times New Roman" w:hAnsi="Times New Roman" w:cs="Times New Roman"/>
          <w:szCs w:val="24"/>
        </w:rPr>
        <w:t>. </w:t>
      </w:r>
      <w:r w:rsidRPr="00E636CD">
        <w:rPr>
          <w:rFonts w:ascii="Times New Roman" w:hAnsi="Times New Roman" w:cs="Times New Roman"/>
          <w:szCs w:val="24"/>
        </w:rPr>
        <w:t>Artykuł 4 ustawy dodaje ust. 2 w art. 99 ustawy o działalności leczniczej w celu ustanowienia regulacji, w myśl której pracownikom wykonującym zawód medyczny, zatrudnionym w systemie pracy zmianowej w zespołach ratownictwa medycznego, przysługuje:</w:t>
      </w:r>
    </w:p>
    <w:p w14:paraId="0549EC6B" w14:textId="77777777" w:rsidR="00582EB9" w:rsidRPr="00E636CD" w:rsidRDefault="00582EB9" w:rsidP="00582EB9">
      <w:pPr>
        <w:pStyle w:val="ARTartustawynprozporzdzenia"/>
        <w:numPr>
          <w:ilvl w:val="0"/>
          <w:numId w:val="5"/>
        </w:numPr>
        <w:spacing w:before="0" w:after="120"/>
        <w:rPr>
          <w:rFonts w:ascii="Times New Roman" w:hAnsi="Times New Roman" w:cs="Times New Roman"/>
          <w:szCs w:val="24"/>
        </w:rPr>
      </w:pPr>
      <w:r w:rsidRPr="00E636CD">
        <w:rPr>
          <w:rFonts w:ascii="Times New Roman" w:eastAsia="Times New Roman" w:hAnsi="Times New Roman" w:cs="Times New Roman"/>
          <w:szCs w:val="24"/>
        </w:rPr>
        <w:t>dodatek w wysokości co najmniej 65% stawki godzinowej wynagrodzenia zasadniczego za każdą godzinę pracy wykonywanej w porze nocnej,</w:t>
      </w:r>
    </w:p>
    <w:p w14:paraId="7FFF7439" w14:textId="77777777" w:rsidR="00582EB9" w:rsidRPr="00E636CD" w:rsidRDefault="00582EB9" w:rsidP="00582EB9">
      <w:pPr>
        <w:pStyle w:val="ARTartustawynprozporzdzenia"/>
        <w:numPr>
          <w:ilvl w:val="0"/>
          <w:numId w:val="5"/>
        </w:numPr>
        <w:spacing w:before="0" w:after="120"/>
        <w:rPr>
          <w:rFonts w:ascii="Times New Roman" w:hAnsi="Times New Roman" w:cs="Times New Roman"/>
          <w:szCs w:val="24"/>
        </w:rPr>
      </w:pPr>
      <w:r w:rsidRPr="00E636CD">
        <w:rPr>
          <w:rFonts w:ascii="Times New Roman" w:eastAsia="Times New Roman" w:hAnsi="Times New Roman" w:cs="Times New Roman"/>
          <w:szCs w:val="24"/>
        </w:rPr>
        <w:t>dodatek w wysokości co najmniej 45% stawki godzinowej wynagrodzenia zasadniczego za każdą godzinę pracy wykonywanej w porze dziennej w niedziele i święta oraz dni wolne od pracy wynikające z przeciętnie pięciodniowego tygodnia pracy</w:t>
      </w:r>
    </w:p>
    <w:p w14:paraId="061AA71F" w14:textId="77777777" w:rsidR="00582EB9" w:rsidRPr="00E636CD" w:rsidRDefault="00582EB9" w:rsidP="00F62ECF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E636CD">
        <w:rPr>
          <w:rFonts w:ascii="Times New Roman" w:eastAsia="Times New Roman" w:hAnsi="Times New Roman" w:cs="Times New Roman"/>
          <w:szCs w:val="24"/>
        </w:rPr>
        <w:t xml:space="preserve">– przy czym stosownie do art. 24 ustawy dodawany przepis </w:t>
      </w:r>
      <w:r w:rsidRPr="00E636CD">
        <w:rPr>
          <w:rFonts w:ascii="Times New Roman" w:hAnsi="Times New Roman" w:cs="Times New Roman"/>
          <w:szCs w:val="24"/>
        </w:rPr>
        <w:t xml:space="preserve">stosuje się do wynagrodzeń należnych od dnia 1 lipca 2023 r. (ust. 1), a „podmioty lecznicze, które za okres od dnia 1 lipca 2023 r. </w:t>
      </w:r>
      <w:r w:rsidRPr="00E636CD">
        <w:rPr>
          <w:rStyle w:val="Ppogrubienie"/>
          <w:rFonts w:ascii="Times New Roman" w:hAnsi="Times New Roman" w:cs="Times New Roman"/>
          <w:szCs w:val="24"/>
        </w:rPr>
        <w:t>do dnia wejścia w życie niniejszej ustawy</w:t>
      </w:r>
      <w:r w:rsidRPr="00E636CD">
        <w:rPr>
          <w:rFonts w:ascii="Times New Roman" w:hAnsi="Times New Roman" w:cs="Times New Roman"/>
          <w:szCs w:val="24"/>
        </w:rPr>
        <w:t xml:space="preserve"> wypłacały pracownikom wykonującym zawód medyczny, zatrudnionym w systemie pracy zmianowej w jednostkach systemu, o których mowa w art. 32 ust. 1 pkt 2 ustawy zmienianej w art. 1, dodatki do wynagrodzenia odpowiadające dodatkom do wynagrodzenia, o których mowa w art. 99 ust. 2 ustawy zmienianej w art. 4, zaliczają kwotę dodatków do wynagrodzenia wypłaconych za okres od dnia 1 lipca 2023 r. </w:t>
      </w:r>
      <w:r w:rsidRPr="00E636CD">
        <w:rPr>
          <w:rStyle w:val="Ppogrubienie"/>
          <w:rFonts w:ascii="Times New Roman" w:hAnsi="Times New Roman" w:cs="Times New Roman"/>
          <w:szCs w:val="24"/>
        </w:rPr>
        <w:t>do dnia wejścia w życie niniejszej ustawy</w:t>
      </w:r>
      <w:r w:rsidRPr="00E636CD">
        <w:rPr>
          <w:rFonts w:ascii="Times New Roman" w:hAnsi="Times New Roman" w:cs="Times New Roman"/>
          <w:szCs w:val="24"/>
        </w:rPr>
        <w:t xml:space="preserve"> na poczet dodatków, które będą wypłacone za ten okres zgodnie z art. 99 ust. 2 ustawy zmienianej w art. 4” (ust. 2).</w:t>
      </w:r>
    </w:p>
    <w:p w14:paraId="4789FFD7" w14:textId="77777777" w:rsidR="00582EB9" w:rsidRPr="00E636CD" w:rsidRDefault="00582EB9" w:rsidP="00F62ECF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Należy zwrócić uwagę, że </w:t>
      </w:r>
      <w:r w:rsidRPr="00E636CD">
        <w:rPr>
          <w:rStyle w:val="Ppogrubienie"/>
          <w:rFonts w:ascii="Times New Roman" w:hAnsi="Times New Roman" w:cs="Times New Roman"/>
          <w:szCs w:val="24"/>
        </w:rPr>
        <w:t>od dnia wejścia w życie ustawy</w:t>
      </w:r>
      <w:r w:rsidRPr="00E636CD">
        <w:rPr>
          <w:rFonts w:ascii="Times New Roman" w:hAnsi="Times New Roman" w:cs="Times New Roman"/>
          <w:szCs w:val="24"/>
        </w:rPr>
        <w:t xml:space="preserve"> podmioty lecznicze będą obowiązane do wypłaty dodatków </w:t>
      </w:r>
      <w:r w:rsidRPr="00E636CD">
        <w:rPr>
          <w:rFonts w:ascii="Times New Roman" w:eastAsia="Times New Roman" w:hAnsi="Times New Roman" w:cs="Times New Roman"/>
          <w:szCs w:val="24"/>
        </w:rPr>
        <w:t>za każdą godzinę pracy wykonywanej w porze nocnej,</w:t>
      </w:r>
      <w:r w:rsidRPr="00E636CD">
        <w:rPr>
          <w:rFonts w:ascii="Times New Roman" w:hAnsi="Times New Roman" w:cs="Times New Roman"/>
          <w:szCs w:val="24"/>
        </w:rPr>
        <w:t xml:space="preserve"> a także </w:t>
      </w:r>
      <w:r w:rsidRPr="00E636CD">
        <w:rPr>
          <w:rFonts w:ascii="Times New Roman" w:eastAsia="Times New Roman" w:hAnsi="Times New Roman" w:cs="Times New Roman"/>
          <w:szCs w:val="24"/>
        </w:rPr>
        <w:t>za każdą godzinę pracy wykonywanej w porze dziennej w niedziele i święta oraz dni wolne od pracy wynikające z przeciętnie pięciodniowego tygodnia pracy – w wysokościach nie niższych niż określone w dodawanym art. 99 ust. 2 ustawy o działalności leczniczej,</w:t>
      </w:r>
      <w:r w:rsidRPr="00E636CD">
        <w:rPr>
          <w:rFonts w:ascii="Times New Roman" w:hAnsi="Times New Roman" w:cs="Times New Roman"/>
          <w:szCs w:val="24"/>
        </w:rPr>
        <w:t xml:space="preserve"> a wypłata „tożsamych” dodatków przez niektóre podmioty lecznicze na podstawie wewnątrzzakładowych przepisów prawa pracy obowiązujących w tych podmiotach będzie miała miejsce </w:t>
      </w:r>
      <w:r w:rsidRPr="00E636CD">
        <w:rPr>
          <w:rStyle w:val="Ppogrubienie"/>
          <w:rFonts w:ascii="Times New Roman" w:hAnsi="Times New Roman" w:cs="Times New Roman"/>
          <w:szCs w:val="24"/>
        </w:rPr>
        <w:t>do dnia poprzedzającego dzień wejścia w życie ustawy</w:t>
      </w:r>
      <w:r w:rsidRPr="00E636CD">
        <w:rPr>
          <w:rFonts w:ascii="Times New Roman" w:hAnsi="Times New Roman" w:cs="Times New Roman"/>
          <w:szCs w:val="24"/>
        </w:rPr>
        <w:t xml:space="preserve">. Artykuł 24 ust. 2 </w:t>
      </w:r>
      <w:r w:rsidRPr="00E636CD">
        <w:rPr>
          <w:rFonts w:ascii="Times New Roman" w:hAnsi="Times New Roman" w:cs="Times New Roman"/>
          <w:szCs w:val="24"/>
        </w:rPr>
        <w:lastRenderedPageBreak/>
        <w:t>ustawy powinien zatem stanowić, że „podmioty lecznicze, które za okres od dnia 1</w:t>
      </w:r>
      <w:r>
        <w:rPr>
          <w:rFonts w:ascii="Times New Roman" w:hAnsi="Times New Roman" w:cs="Times New Roman"/>
          <w:szCs w:val="24"/>
        </w:rPr>
        <w:t xml:space="preserve"> </w:t>
      </w:r>
      <w:r w:rsidRPr="00E636CD">
        <w:rPr>
          <w:rFonts w:ascii="Times New Roman" w:hAnsi="Times New Roman" w:cs="Times New Roman"/>
          <w:szCs w:val="24"/>
        </w:rPr>
        <w:t>lipca 2023</w:t>
      </w:r>
      <w:r>
        <w:rPr>
          <w:rFonts w:ascii="Times New Roman" w:hAnsi="Times New Roman" w:cs="Times New Roman"/>
          <w:szCs w:val="24"/>
        </w:rPr>
        <w:t> </w:t>
      </w:r>
      <w:r w:rsidRPr="00E636CD">
        <w:rPr>
          <w:rFonts w:ascii="Times New Roman" w:hAnsi="Times New Roman" w:cs="Times New Roman"/>
          <w:szCs w:val="24"/>
        </w:rPr>
        <w:t xml:space="preserve">r. </w:t>
      </w:r>
      <w:r w:rsidRPr="00E636CD">
        <w:rPr>
          <w:rStyle w:val="Ppogrubienie"/>
          <w:rFonts w:ascii="Times New Roman" w:hAnsi="Times New Roman" w:cs="Times New Roman"/>
          <w:szCs w:val="24"/>
        </w:rPr>
        <w:t>do dnia poprzedzającego dzień wejścia w życie niniejszej ustawy</w:t>
      </w:r>
      <w:r w:rsidRPr="00E636CD">
        <w:rPr>
          <w:rFonts w:ascii="Times New Roman" w:hAnsi="Times New Roman" w:cs="Times New Roman"/>
          <w:szCs w:val="24"/>
        </w:rPr>
        <w:t xml:space="preserve"> wypłacały pracownikom wykonującym zawód medyczny, zatrudnionym w systemie pracy zmianowej w</w:t>
      </w:r>
      <w:r>
        <w:rPr>
          <w:rFonts w:ascii="Times New Roman" w:hAnsi="Times New Roman" w:cs="Times New Roman"/>
          <w:szCs w:val="24"/>
        </w:rPr>
        <w:t xml:space="preserve"> </w:t>
      </w:r>
      <w:r w:rsidRPr="00E636CD">
        <w:rPr>
          <w:rFonts w:ascii="Times New Roman" w:hAnsi="Times New Roman" w:cs="Times New Roman"/>
          <w:szCs w:val="24"/>
        </w:rPr>
        <w:t>jednostkach systemu, o których mowa w art. 32 ust. 1 pkt 2 ustawy zmienianej w art. 1, dodatki do</w:t>
      </w:r>
      <w:r>
        <w:rPr>
          <w:rFonts w:ascii="Times New Roman" w:hAnsi="Times New Roman" w:cs="Times New Roman"/>
          <w:szCs w:val="24"/>
        </w:rPr>
        <w:t> </w:t>
      </w:r>
      <w:r w:rsidRPr="00E636CD">
        <w:rPr>
          <w:rFonts w:ascii="Times New Roman" w:hAnsi="Times New Roman" w:cs="Times New Roman"/>
          <w:szCs w:val="24"/>
        </w:rPr>
        <w:t>wynagrodzenia odpowiadające dodatkom do wynagrodzenia, o których mowa w art. 99 ust.</w:t>
      </w:r>
      <w:r>
        <w:rPr>
          <w:rFonts w:ascii="Times New Roman" w:hAnsi="Times New Roman" w:cs="Times New Roman"/>
          <w:szCs w:val="24"/>
        </w:rPr>
        <w:t> </w:t>
      </w:r>
      <w:r w:rsidRPr="00E636CD">
        <w:rPr>
          <w:rFonts w:ascii="Times New Roman" w:hAnsi="Times New Roman" w:cs="Times New Roman"/>
          <w:szCs w:val="24"/>
        </w:rPr>
        <w:t xml:space="preserve">2 ustawy zmienianej w art. 4, zaliczają kwotę dodatków do wynagrodzenia wypłaconych za okres od dnia 1 lipca 2023 r. </w:t>
      </w:r>
      <w:r w:rsidRPr="00E636CD">
        <w:rPr>
          <w:rStyle w:val="Ppogrubienie"/>
          <w:rFonts w:ascii="Times New Roman" w:hAnsi="Times New Roman" w:cs="Times New Roman"/>
          <w:szCs w:val="24"/>
        </w:rPr>
        <w:t>do dnia poprzedzającego dzień wejścia w życie niniejszej ustawy</w:t>
      </w:r>
      <w:r w:rsidRPr="00E636CD">
        <w:rPr>
          <w:rFonts w:ascii="Times New Roman" w:hAnsi="Times New Roman" w:cs="Times New Roman"/>
          <w:szCs w:val="24"/>
        </w:rPr>
        <w:t xml:space="preserve"> na poczet dodatków, które będą wypłacone za ten okres zgodnie z art. 99 ust. 2 ustawy zmienianej w art. 4”.</w:t>
      </w:r>
    </w:p>
    <w:p w14:paraId="1428C20F" w14:textId="77777777" w:rsidR="00582EB9" w:rsidRPr="00E636CD" w:rsidRDefault="00582EB9" w:rsidP="00F62ECF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E636CD">
        <w:rPr>
          <w:rFonts w:ascii="Times New Roman" w:hAnsi="Times New Roman" w:cs="Times New Roman"/>
          <w:szCs w:val="24"/>
        </w:rPr>
        <w:t xml:space="preserve">Uwzględniając powołaną argumentację, Senat uchwalił poprawkę </w:t>
      </w:r>
      <w:r w:rsidRPr="00E636CD">
        <w:rPr>
          <w:rStyle w:val="Ppogrubienie"/>
          <w:rFonts w:ascii="Times New Roman" w:hAnsi="Times New Roman" w:cs="Times New Roman"/>
          <w:szCs w:val="24"/>
        </w:rPr>
        <w:t xml:space="preserve">nr </w:t>
      </w:r>
      <w:r>
        <w:rPr>
          <w:rStyle w:val="Ppogrubienie"/>
          <w:rFonts w:ascii="Times New Roman" w:hAnsi="Times New Roman" w:cs="Times New Roman"/>
          <w:szCs w:val="24"/>
        </w:rPr>
        <w:t>7</w:t>
      </w:r>
      <w:r w:rsidRPr="00E636CD">
        <w:rPr>
          <w:rFonts w:ascii="Times New Roman" w:hAnsi="Times New Roman" w:cs="Times New Roman"/>
          <w:szCs w:val="24"/>
        </w:rPr>
        <w:t>.</w:t>
      </w:r>
    </w:p>
    <w:p w14:paraId="7C534C46" w14:textId="194F03FF" w:rsidR="00582EB9" w:rsidRPr="00902764" w:rsidRDefault="00582EB9" w:rsidP="00A054FD">
      <w:pPr>
        <w:pStyle w:val="POPIERAJCYPOPRAWKZAMIESZCZONWZESTAWIENIUWNIOSKW"/>
      </w:pPr>
    </w:p>
    <w:sectPr w:rsidR="00582EB9" w:rsidRPr="00902764" w:rsidSect="00582EB9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BE47" w14:textId="77777777" w:rsidR="00CE062C" w:rsidRDefault="00CE062C">
      <w:r>
        <w:separator/>
      </w:r>
    </w:p>
  </w:endnote>
  <w:endnote w:type="continuationSeparator" w:id="0">
    <w:p w14:paraId="5FDDD5F9" w14:textId="77777777" w:rsidR="00CE062C" w:rsidRDefault="00CE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9F72" w14:textId="77777777" w:rsidR="00CE062C" w:rsidRDefault="00CE062C">
      <w:r>
        <w:separator/>
      </w:r>
    </w:p>
  </w:footnote>
  <w:footnote w:type="continuationSeparator" w:id="0">
    <w:p w14:paraId="357FDACD" w14:textId="77777777" w:rsidR="00CE062C" w:rsidRDefault="00CE062C">
      <w:r>
        <w:continuationSeparator/>
      </w:r>
    </w:p>
  </w:footnote>
  <w:footnote w:id="1">
    <w:p w14:paraId="7AA982F3" w14:textId="77777777" w:rsidR="00582EB9" w:rsidRPr="00325AF1" w:rsidRDefault="00582EB9" w:rsidP="000A34F4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325AF1">
        <w:rPr>
          <w:rStyle w:val="Odwoanieprzypisudolnego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> Wyrok Trybunału Konstytucyjnego z dnia 26 października 1999 r. (K 12/99).</w:t>
      </w:r>
    </w:p>
  </w:footnote>
  <w:footnote w:id="2">
    <w:p w14:paraId="5411ABBF" w14:textId="77777777" w:rsidR="00582EB9" w:rsidRPr="00436685" w:rsidRDefault="00582EB9" w:rsidP="000A34F4">
      <w:pPr>
        <w:pStyle w:val="Tekstprzypisudolnego"/>
        <w:spacing w:line="240" w:lineRule="auto"/>
        <w:rPr>
          <w:rFonts w:cs="Times"/>
          <w:sz w:val="20"/>
          <w:szCs w:val="20"/>
        </w:rPr>
      </w:pPr>
      <w:r w:rsidRPr="00436685">
        <w:rPr>
          <w:rStyle w:val="Odwoanieprzypisudolnego"/>
          <w:rFonts w:cs="Times"/>
          <w:sz w:val="20"/>
          <w:szCs w:val="20"/>
        </w:rPr>
        <w:footnoteRef/>
      </w:r>
      <w:r w:rsidRPr="00436685">
        <w:rPr>
          <w:rFonts w:cs="Times"/>
          <w:sz w:val="20"/>
          <w:szCs w:val="20"/>
        </w:rPr>
        <w:t> Zob. np. wyrok Trybunału Konstytucyjnego z dnia 9 listopada 1999 r. (K 28/98).</w:t>
      </w:r>
    </w:p>
  </w:footnote>
  <w:footnote w:id="3">
    <w:p w14:paraId="44F6A7D0" w14:textId="77777777" w:rsidR="00582EB9" w:rsidRPr="00436685" w:rsidRDefault="00582EB9" w:rsidP="000A34F4">
      <w:pPr>
        <w:pStyle w:val="Tekstprzypisudolnego"/>
        <w:spacing w:line="240" w:lineRule="auto"/>
        <w:rPr>
          <w:rFonts w:cs="Times"/>
          <w:sz w:val="20"/>
          <w:szCs w:val="20"/>
        </w:rPr>
      </w:pPr>
      <w:r w:rsidRPr="00436685">
        <w:rPr>
          <w:rStyle w:val="Odwoanieprzypisudolnego"/>
          <w:rFonts w:cs="Times"/>
          <w:sz w:val="20"/>
          <w:szCs w:val="20"/>
        </w:rPr>
        <w:footnoteRef/>
      </w:r>
      <w:r w:rsidRPr="00436685">
        <w:rPr>
          <w:rFonts w:cs="Times"/>
          <w:sz w:val="20"/>
          <w:szCs w:val="20"/>
        </w:rPr>
        <w:t> Wyrok Trybunału Konstytucyjnego z dnia 16 stycznia 2007 r. (U 5/06).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9FD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82EB9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EA5"/>
    <w:multiLevelType w:val="hybridMultilevel"/>
    <w:tmpl w:val="CA28EF74"/>
    <w:lvl w:ilvl="0" w:tplc="AA0E4E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20B"/>
    <w:multiLevelType w:val="hybridMultilevel"/>
    <w:tmpl w:val="F6F6F9FC"/>
    <w:lvl w:ilvl="0" w:tplc="017401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1B2D16"/>
    <w:multiLevelType w:val="hybridMultilevel"/>
    <w:tmpl w:val="F724A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F6D25"/>
    <w:multiLevelType w:val="hybridMultilevel"/>
    <w:tmpl w:val="E8EEA7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354883">
    <w:abstractNumId w:val="2"/>
  </w:num>
  <w:num w:numId="2" w16cid:durableId="1911882774">
    <w:abstractNumId w:val="3"/>
  </w:num>
  <w:num w:numId="3" w16cid:durableId="723262172">
    <w:abstractNumId w:val="1"/>
  </w:num>
  <w:num w:numId="4" w16cid:durableId="1791707549">
    <w:abstractNumId w:val="5"/>
  </w:num>
  <w:num w:numId="5" w16cid:durableId="398944152">
    <w:abstractNumId w:val="0"/>
  </w:num>
  <w:num w:numId="6" w16cid:durableId="1976064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5D89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24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68E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2EB9"/>
    <w:rsid w:val="005835E7"/>
    <w:rsid w:val="0058397F"/>
    <w:rsid w:val="00583AFD"/>
    <w:rsid w:val="00583BF8"/>
    <w:rsid w:val="00585F33"/>
    <w:rsid w:val="0058703D"/>
    <w:rsid w:val="0058770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6C0E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366A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447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062C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2F85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B7C58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4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582EB9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1902</Words>
  <Characters>11417</Characters>
  <Application>Microsoft Office Word</Application>
  <DocSecurity>0</DocSecurity>
  <Lines>95</Lines>
  <Paragraphs>26</Paragraphs>
  <ScaleCrop>false</ScaleCrop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2025-04-10T08:49:00Z</dcterms:created>
  <dcterms:modified xsi:type="dcterms:W3CDTF">2025-04-10T08:49:00Z</dcterms:modified>
  <cp:category/>
</cp:coreProperties>
</file>