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A9EF" w14:textId="160C6272" w:rsidR="00D42A0D" w:rsidRDefault="00D42A0D" w:rsidP="00D42A0D">
      <w:pPr>
        <w:pStyle w:val="OZNPROJEKTUwskazaniedatylubwersjiprojektu"/>
      </w:pPr>
    </w:p>
    <w:p w14:paraId="5C7DE1E1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44F6D72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626A027" w14:textId="477C4194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402C5">
        <w:t>9 kwietnia 2025 r.</w:t>
      </w:r>
    </w:p>
    <w:p w14:paraId="22DAEE08" w14:textId="241F78B2" w:rsidR="00912118" w:rsidRPr="00E000DC" w:rsidRDefault="008F40C5" w:rsidP="00912118">
      <w:pPr>
        <w:pStyle w:val="TYTUAKTUprzedmiotregulacjiustawylubrozporzdzenia"/>
      </w:pPr>
      <w:r>
        <w:t>w sprawie ustawy o</w:t>
      </w:r>
      <w:r w:rsidR="000B6BD7" w:rsidRPr="008D53CE">
        <w:t xml:space="preserve"> zmianie ustawy o cudzoziemcach</w:t>
      </w:r>
      <w:r w:rsidR="000B6BD7">
        <w:t xml:space="preserve"> oraz niektórych innych ustaw</w:t>
      </w:r>
    </w:p>
    <w:p w14:paraId="43EA7808" w14:textId="320CB654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0B6BD7">
        <w:t>4 kwietnia 2025</w:t>
      </w:r>
      <w:r w:rsidR="008F40C5">
        <w:t xml:space="preserve"> </w:t>
      </w:r>
      <w:r w:rsidRPr="00E000DC">
        <w:t>r. ustawy o</w:t>
      </w:r>
      <w:r w:rsidR="000B6BD7">
        <w:t xml:space="preserve"> </w:t>
      </w:r>
      <w:r w:rsidR="000B6BD7" w:rsidRPr="000B6BD7">
        <w:t>zmianie ustawy o cudzoziemcach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A156A" w:rsidRPr="00B528A4" w14:paraId="26DF10B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EB97F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2F39404" w14:textId="77777777" w:rsidR="0007455A" w:rsidRPr="0007455A" w:rsidRDefault="0007455A" w:rsidP="0007455A">
            <w:pPr>
              <w:pStyle w:val="TREPUNKTUWUCHWALESENACKIEJ"/>
            </w:pPr>
            <w:r>
              <w:t>w art. 1:</w:t>
            </w:r>
          </w:p>
          <w:p w14:paraId="558215A6" w14:textId="77777777" w:rsidR="0007455A" w:rsidRDefault="0007455A" w:rsidP="0007455A">
            <w:pPr>
              <w:pStyle w:val="LITERAWUCHWALESENACKIEJ"/>
            </w:pPr>
            <w:r>
              <w:t>a)</w:t>
            </w:r>
            <w:r>
              <w:tab/>
              <w:t>w pkt 2 w lit. b, w pkt 6a:</w:t>
            </w:r>
          </w:p>
          <w:p w14:paraId="7A8563FC" w14:textId="3AAF5DF4" w:rsidR="0007455A" w:rsidRDefault="0007455A" w:rsidP="0007455A">
            <w:pPr>
              <w:pStyle w:val="TIRETWUCHWALESENACKIEJ"/>
            </w:pPr>
            <w:r>
              <w:t>–</w:t>
            </w:r>
            <w:r>
              <w:tab/>
              <w:t>w lit. a wyrazy „określony w przepisach wydanych na podstawie art. 138a” zastępuje się wyrazami „wymieniony w obwieszczeniu, o którym mowa w</w:t>
            </w:r>
            <w:r w:rsidR="00422EFA">
              <w:t> </w:t>
            </w:r>
            <w:r>
              <w:t>art. 138a”,</w:t>
            </w:r>
          </w:p>
          <w:p w14:paraId="6A59B3DB" w14:textId="3D19EA88" w:rsidR="0007455A" w:rsidRDefault="0007455A" w:rsidP="0007455A">
            <w:pPr>
              <w:pStyle w:val="TIRETWUCHWALESENACKIEJ"/>
            </w:pPr>
            <w:r>
              <w:t>–</w:t>
            </w:r>
            <w:r>
              <w:tab/>
              <w:t>w lit. b wyrazy „określonego w przepisach wydanych na podstawie art. 138a” zastępuje się wyrazami „wymienionego w obwieszczeniu, o którym mowa w</w:t>
            </w:r>
            <w:r w:rsidR="00422EFA">
              <w:t> </w:t>
            </w:r>
            <w:r>
              <w:t>art. 138a”,</w:t>
            </w:r>
          </w:p>
          <w:p w14:paraId="0E55B566" w14:textId="77777777" w:rsidR="0007455A" w:rsidRDefault="0007455A" w:rsidP="0007455A">
            <w:pPr>
              <w:pStyle w:val="LITERAWUCHWALESENACKIEJ"/>
            </w:pPr>
            <w:r>
              <w:t>b)</w:t>
            </w:r>
            <w:r>
              <w:tab/>
              <w:t>w pkt 22, art. 138a otrzymuje brzmienie:</w:t>
            </w:r>
          </w:p>
          <w:p w14:paraId="091CBF8F" w14:textId="44F5849B" w:rsidR="0007455A" w:rsidRDefault="0007455A" w:rsidP="0007455A">
            <w:pPr>
              <w:pStyle w:val="ZARTzmartartykuempunktem"/>
            </w:pPr>
            <w:r>
              <w:t xml:space="preserve">„Art. 138a. </w:t>
            </w:r>
            <w:r w:rsidRPr="005527C6">
              <w:t>Minister właściwy do spraw wewnętrznych</w:t>
            </w:r>
            <w:r>
              <w:t>,</w:t>
            </w:r>
            <w:r w:rsidRPr="005527C6">
              <w:t xml:space="preserve"> </w:t>
            </w:r>
            <w:r w:rsidRPr="009467FF">
              <w:t>uwzględni</w:t>
            </w:r>
            <w:r>
              <w:t>ając</w:t>
            </w:r>
            <w:r w:rsidRPr="009467FF">
              <w:t xml:space="preserve"> klasyfikację zawodów i specjalności na potrzeby rynku pracy określoną w przepisach wydanych na podstawie art. 29 ust. 3 pkt 1 ustawy z dnia 20</w:t>
            </w:r>
            <w:r w:rsidR="00AB518E">
              <w:t> </w:t>
            </w:r>
            <w:r w:rsidRPr="009467FF">
              <w:t>marca 2025 r. o rynku pracy i służbach zatrudnienia (Dz. U. …)</w:t>
            </w:r>
            <w:r>
              <w:t>, ogłosi</w:t>
            </w:r>
            <w:r w:rsidRPr="005527C6">
              <w:t xml:space="preserve">, w drodze </w:t>
            </w:r>
            <w:r>
              <w:t>obwieszczenia</w:t>
            </w:r>
            <w:r w:rsidRPr="005527C6">
              <w:t xml:space="preserve">, w Dzienniku Urzędowym Rzeczypospolitej Polskiej </w:t>
            </w:r>
            <w:r>
              <w:t>„</w:t>
            </w:r>
            <w:r w:rsidRPr="005527C6">
              <w:t>Monitor Polski</w:t>
            </w:r>
            <w:r>
              <w:t>”</w:t>
            </w:r>
            <w:r w:rsidRPr="005527C6">
              <w:t>, wykaz zawodów, których wykonywanie skutkuje uznaniem posiadania przez cudzoziemca kwalifikacji zawodowych uzyskanych w wyniku trzyletniego doświadczenia zawodowego</w:t>
            </w:r>
            <w:r>
              <w:t xml:space="preserve">, odpowiadający treści załącznika I do dyrektywy </w:t>
            </w:r>
            <w:r w:rsidRPr="005527C6">
              <w:t>Parlamentu Europejskiego i Rady (UE) 2021/1883 z dnia 20 października 2021 r. w sprawie warunków wjazdu i pobytu obywateli państw trzecich w celu zatrudnienia w zawodzie wymagającym wysokich kwalifikacji oraz uchylenia dyrektywy Rady 2009/50/WE.</w:t>
            </w:r>
            <w:r>
              <w:t>”,</w:t>
            </w:r>
          </w:p>
          <w:p w14:paraId="6130C414" w14:textId="11767203" w:rsidR="000A156A" w:rsidRDefault="0007455A" w:rsidP="009967FE">
            <w:pPr>
              <w:pStyle w:val="LITERAWUCHWALESENACKIEJ"/>
            </w:pPr>
            <w:r>
              <w:t>c)</w:t>
            </w:r>
            <w:r>
              <w:tab/>
              <w:t xml:space="preserve">w pkt 30 w lit. a, w pkt 10 w lit. b wyrazy </w:t>
            </w:r>
            <w:r w:rsidRPr="00912E67">
              <w:t xml:space="preserve">„określonego w przepisach wydanych </w:t>
            </w:r>
            <w:r w:rsidRPr="00912E67">
              <w:lastRenderedPageBreak/>
              <w:t>na podstawie art. 138a” zastępuje się wyrazami „wymienionego w obwieszczeniu, o którym mowa w art. 138a”</w:t>
            </w:r>
            <w:r w:rsidR="00AB518E">
              <w:t>;</w:t>
            </w:r>
          </w:p>
        </w:tc>
      </w:tr>
      <w:tr w:rsidR="00AB518E" w:rsidRPr="00B528A4" w14:paraId="1C980A1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AB889D" w14:textId="77777777" w:rsidR="00AB518E" w:rsidRPr="00B528A4" w:rsidRDefault="00AB518E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A4DBFB" w14:textId="189CFD84" w:rsidR="00AB518E" w:rsidRDefault="00AB518E" w:rsidP="0007455A">
            <w:pPr>
              <w:pStyle w:val="TREPUNKTUWUCHWALESENACKIEJ"/>
            </w:pPr>
            <w:r w:rsidRPr="00AB518E">
              <w:t>w art. 1 w pkt 4, w pkt 8 w lit. c wyrazy „Polskiej lub o podstawie” zastępuje się wyrazami „Polskiej lub o udzieleniu lub o podstawie”</w:t>
            </w:r>
            <w:r>
              <w:t>.</w:t>
            </w:r>
          </w:p>
        </w:tc>
      </w:tr>
    </w:tbl>
    <w:p w14:paraId="717DFDF9" w14:textId="46A1D64B" w:rsidR="00912118" w:rsidRDefault="00912118" w:rsidP="00A054FD">
      <w:pPr>
        <w:pStyle w:val="POPIERAJCYPOPRAWKZAMIESZCZONWZESTAWIENIUWNIOSKW"/>
      </w:pPr>
    </w:p>
    <w:p w14:paraId="49A6C713" w14:textId="0C141381" w:rsidR="008434AE" w:rsidRDefault="008434AE" w:rsidP="00A054FD">
      <w:pPr>
        <w:pStyle w:val="POPIERAJCYPOPRAWKZAMIESZCZONWZESTAWIENIUWNIOSKW"/>
      </w:pPr>
    </w:p>
    <w:p w14:paraId="793D02D1" w14:textId="34A20CA7" w:rsidR="002E2C88" w:rsidRDefault="002E2C88" w:rsidP="00A054FD">
      <w:pPr>
        <w:pStyle w:val="POPIERAJCYPOPRAWKZAMIESZCZONWZESTAWIENIUWNIOSKW"/>
      </w:pPr>
    </w:p>
    <w:p w14:paraId="47CC3EE8" w14:textId="019614C4" w:rsidR="002E2C88" w:rsidRDefault="002E2C88" w:rsidP="00A054FD">
      <w:pPr>
        <w:pStyle w:val="POPIERAJCYPOPRAWKZAMIESZCZONWZESTAWIENIUWNIOSKW"/>
      </w:pPr>
    </w:p>
    <w:p w14:paraId="75A74571" w14:textId="77777777" w:rsidR="002E2C88" w:rsidRDefault="002E2C88" w:rsidP="00A054FD">
      <w:pPr>
        <w:pStyle w:val="POPIERAJCYPOPRAWKZAMIESZCZONWZESTAWIENIUWNIOSKW"/>
      </w:pPr>
    </w:p>
    <w:p w14:paraId="6E75486A" w14:textId="77777777" w:rsidR="002E2C88" w:rsidRDefault="002E2C88" w:rsidP="002E2C88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24680013" w14:textId="77777777" w:rsidR="002E2C88" w:rsidRDefault="002E2C88" w:rsidP="002E2C88">
      <w:pPr>
        <w:ind w:left="5103" w:firstLine="4"/>
        <w:rPr>
          <w:rStyle w:val="Ppogrubienie"/>
          <w:color w:val="000000" w:themeColor="text1"/>
        </w:rPr>
      </w:pPr>
    </w:p>
    <w:p w14:paraId="44D78C3A" w14:textId="77777777" w:rsidR="002E2C88" w:rsidRDefault="002E2C88" w:rsidP="002E2C88">
      <w:pPr>
        <w:ind w:left="5103" w:firstLine="4"/>
        <w:rPr>
          <w:rStyle w:val="Ppogrubienie"/>
          <w:color w:val="000000" w:themeColor="text1"/>
        </w:rPr>
      </w:pPr>
    </w:p>
    <w:p w14:paraId="1C2B772C" w14:textId="77777777" w:rsidR="002E2C88" w:rsidRDefault="002E2C88" w:rsidP="002E2C88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311DBF98" w14:textId="5D4BFF1C" w:rsidR="008434AE" w:rsidRDefault="008434AE" w:rsidP="00A054FD">
      <w:pPr>
        <w:pStyle w:val="POPIERAJCYPOPRAWKZAMIESZCZONWZESTAWIENIUWNIOSKW"/>
      </w:pPr>
    </w:p>
    <w:p w14:paraId="40623333" w14:textId="77777777" w:rsidR="002E2C88" w:rsidRDefault="002E2C88" w:rsidP="00A054FD">
      <w:pPr>
        <w:pStyle w:val="POPIERAJCYPOPRAWKZAMIESZCZONWZESTAWIENIUWNIOSKW"/>
        <w:sectPr w:rsidR="002E2C88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0DBC5EE" w14:textId="77777777" w:rsidR="002E2C88" w:rsidRDefault="002E2C88" w:rsidP="002D0967">
      <w:pPr>
        <w:pStyle w:val="OZNRODZAKTUtznustawalubrozporzdzenieiorganwydajcy"/>
      </w:pPr>
      <w:r>
        <w:lastRenderedPageBreak/>
        <w:t>uzasadnienie</w:t>
      </w:r>
    </w:p>
    <w:p w14:paraId="3A451F1E" w14:textId="77777777" w:rsidR="002E2C88" w:rsidRDefault="002E2C88" w:rsidP="00E929E8">
      <w:pPr>
        <w:pStyle w:val="NIEARTTEKSTtekstnieartykuowanynppodstprawnarozplubpreambua"/>
      </w:pPr>
    </w:p>
    <w:p w14:paraId="08C78BDB" w14:textId="77777777" w:rsidR="002E2C88" w:rsidRPr="00E6394A" w:rsidRDefault="002E2C88" w:rsidP="00E929E8">
      <w:pPr>
        <w:pStyle w:val="NIEARTTEKSTtekstnieartykuowanynppodstprawnarozplubpreambua"/>
      </w:pPr>
      <w:r w:rsidRPr="00D76C8E">
        <w:t>Senat, po rozpatrzeniu uchwalonej przez Sejm na posiedzen</w:t>
      </w:r>
      <w:r>
        <w:t>iu w dniu 4 kwietnia 2025 r.</w:t>
      </w:r>
      <w:r w:rsidRPr="00D76C8E">
        <w:t xml:space="preserve"> ustawy </w:t>
      </w:r>
      <w:bookmarkStart w:id="0" w:name="_Hlk192766970"/>
      <w:r w:rsidRPr="00D76C8E">
        <w:t>o</w:t>
      </w:r>
      <w:r w:rsidRPr="00E6394A">
        <w:t xml:space="preserve"> </w:t>
      </w:r>
      <w:bookmarkEnd w:id="0"/>
      <w:r>
        <w:t>zmianie ustawy o cudzoziemcach oraz niektórych innych ustaw</w:t>
      </w:r>
      <w:r w:rsidRPr="00D76C8E">
        <w:t xml:space="preserve">, </w:t>
      </w:r>
      <w:r>
        <w:t xml:space="preserve">proponuje wprowadzenie do </w:t>
      </w:r>
      <w:r w:rsidRPr="00E6394A">
        <w:t xml:space="preserve">jej tekstu </w:t>
      </w:r>
      <w:r>
        <w:t>2</w:t>
      </w:r>
      <w:r w:rsidRPr="00E6394A">
        <w:t> poprawek.</w:t>
      </w:r>
    </w:p>
    <w:p w14:paraId="6A4D0EBF" w14:textId="77777777" w:rsidR="002E2C88" w:rsidRDefault="002E2C88" w:rsidP="007B66CC">
      <w:pPr>
        <w:pStyle w:val="ARTartustawynprozporzdzenia"/>
      </w:pPr>
      <w:r w:rsidRPr="007B66CC">
        <w:t xml:space="preserve">W toku analizy przepisów ustawy </w:t>
      </w:r>
      <w:r>
        <w:t>zwrócono uwagę na art. 138a</w:t>
      </w:r>
      <w:r w:rsidRPr="00D4604F">
        <w:t xml:space="preserve"> </w:t>
      </w:r>
      <w:r>
        <w:t>(</w:t>
      </w:r>
      <w:r w:rsidRPr="0065009B">
        <w:t>art. 1 w pkt 22</w:t>
      </w:r>
      <w:r>
        <w:t xml:space="preserve"> ustawy nowelizującej), na podstawie którego minister właściwy do spraw wewnętrznych określi w rozporządzeniu</w:t>
      </w:r>
      <w:r w:rsidRPr="0065009B">
        <w:t xml:space="preserve"> wykaz zawodów, których wykonywanie skutkuje uznaniem posiadania przez cudzoziemca kwalifikacji zawodowych uzyskanych w wyniku trzyletniego doświadczenia zawodowego.</w:t>
      </w:r>
      <w:r>
        <w:t xml:space="preserve"> Zgodnie z wytyczną zawartą w</w:t>
      </w:r>
      <w:r w:rsidRPr="0065009B">
        <w:t xml:space="preserve"> ust. 2 tego artykułu w rozporządzeniu, należy uwzględnić klasyfikację zawodów i specjalności na potrzeby rynku pracy określoną w przepisach wydanych na podstawie art. </w:t>
      </w:r>
      <w:bookmarkStart w:id="1" w:name="_Hlk183599027"/>
      <w:r w:rsidRPr="0065009B">
        <w:t>29 ust. 3 pkt 1 ustawy z dnia 20 marca 2025 r. o rynku pracy i służbach zatrudnienia</w:t>
      </w:r>
      <w:bookmarkEnd w:id="1"/>
      <w:r w:rsidRPr="0065009B">
        <w:t xml:space="preserve">. </w:t>
      </w:r>
    </w:p>
    <w:p w14:paraId="293BAC73" w14:textId="77777777" w:rsidR="002E2C88" w:rsidRPr="007B66CC" w:rsidRDefault="002E2C88" w:rsidP="007B66CC">
      <w:pPr>
        <w:pStyle w:val="ARTartustawynprozporzdzenia"/>
        <w:rPr>
          <w:bCs/>
        </w:rPr>
      </w:pPr>
      <w:r>
        <w:t>Zdaniem Izby, po pierwsze: zakres spraw przekazany do uregulowania w rozporządzeniu jest bardzo szeroki, zaś wytyczna nie wskazuje precyzyjnie kierunku oczekiwanych rozstrzygnięć, po drugie: treść</w:t>
      </w:r>
      <w:r w:rsidRPr="000B440E">
        <w:t xml:space="preserve"> delegacji nie uwzględnia prawidłowo </w:t>
      </w:r>
      <w:r>
        <w:t>celu, jakiemu ma służyć wydanie tego aktu prawnego, tj. wdrożenie treści załącznika I dyrektywy</w:t>
      </w:r>
      <w:r w:rsidRPr="005500D3">
        <w:t xml:space="preserve"> Parlamentu Europejskiego i Rady (UE) 2021/1883 z dnia 20 października 2021 r. w sprawie warunków wjazdu i pobytu obywateli państw trzecich w celu zatrudnienia w zawodzie wymagającym wysokich kwalifikacji oraz uchylenia dyrektywy Rady 2009/50/WE</w:t>
      </w:r>
      <w:r>
        <w:t xml:space="preserve">, po trzecie: mając na względzie, że akt prawny wydany na podstawie art. 138a ust. 1 ma stanowić </w:t>
      </w:r>
      <w:r w:rsidRPr="005500D3">
        <w:rPr>
          <w:rStyle w:val="Kkursywa"/>
        </w:rPr>
        <w:t>de facto</w:t>
      </w:r>
      <w:r>
        <w:t xml:space="preserve"> powtórzenie treści wskazanego załącznika (brak miejsca na aktywność normotwórczą organu wydającego akt) wątpliwym jest, czy wykaz zawodów powinien zostać zamieszczony w rozporządzeniu. Uwzględniając powyższe wątpliwości Senat przyjął </w:t>
      </w:r>
      <w:r w:rsidRPr="004052D0">
        <w:rPr>
          <w:rStyle w:val="Ppogrubienie"/>
        </w:rPr>
        <w:t>p</w:t>
      </w:r>
      <w:r w:rsidRPr="007B66CC">
        <w:rPr>
          <w:b/>
        </w:rPr>
        <w:t>oprawk</w:t>
      </w:r>
      <w:r>
        <w:rPr>
          <w:b/>
        </w:rPr>
        <w:t>ę</w:t>
      </w:r>
      <w:r w:rsidRPr="007B66CC">
        <w:rPr>
          <w:b/>
        </w:rPr>
        <w:t xml:space="preserve"> nr 1</w:t>
      </w:r>
      <w:r>
        <w:rPr>
          <w:b/>
        </w:rPr>
        <w:t xml:space="preserve">, </w:t>
      </w:r>
      <w:r w:rsidRPr="004052D0">
        <w:t>na podstawie której</w:t>
      </w:r>
      <w:r w:rsidRPr="007B66CC">
        <w:t xml:space="preserve"> wykaz zawodów, których wykonywanie skutkuje uznaniem posiadania przez cudzoziemca kwalifikacji zawodowych uzyskanych w wyniku trzyletniego doświadczenia zawodowego, odpowiadający treści załącznika I do dyrektywy wdrażanej tą nowelizacją, </w:t>
      </w:r>
      <w:r>
        <w:t xml:space="preserve">będzie </w:t>
      </w:r>
      <w:r w:rsidRPr="007B66CC">
        <w:t xml:space="preserve">podawany był do publicznej wiadomości w drodze obwieszczenia ministra właściwego spraw wewnętrznych, zamieszczonego w </w:t>
      </w:r>
      <w:r w:rsidRPr="007B66CC">
        <w:rPr>
          <w:bCs/>
        </w:rPr>
        <w:t>Dzienniku Urzędowym Rzeczypospolitej Polskiej „Monitor Polski”.</w:t>
      </w:r>
    </w:p>
    <w:p w14:paraId="7153834D" w14:textId="77777777" w:rsidR="002E2C88" w:rsidRPr="0065009B" w:rsidRDefault="002E2C88" w:rsidP="0065009B">
      <w:pPr>
        <w:pStyle w:val="ARTartustawynprozporzdzenia"/>
      </w:pPr>
      <w:r w:rsidRPr="0065009B">
        <w:rPr>
          <w:b/>
        </w:rPr>
        <w:t>Poprawka nr 2</w:t>
      </w:r>
      <w:r w:rsidRPr="0065009B">
        <w:rPr>
          <w:bCs/>
        </w:rPr>
        <w:t xml:space="preserve"> zmierza do uzupełnienia katalog obowiązków informacyjnych Szefa Urzędu do Spraw Cudzoziemców </w:t>
      </w:r>
      <w:r w:rsidRPr="0065009B">
        <w:t xml:space="preserve">w zakresie zezwoleń na pobyt czasowy w celu mobilności </w:t>
      </w:r>
      <w:r w:rsidRPr="0065009B">
        <w:lastRenderedPageBreak/>
        <w:t>długoterminowej posiadacza Niebieskiej Karty UE o obowiązek informowania innych państw członkowskich UE o udzieleniu takiego zezwolenia</w:t>
      </w:r>
      <w:r>
        <w:t xml:space="preserve"> (analogicznie do zakresu obowiązków informacyjnych dotyczących </w:t>
      </w:r>
      <w:r w:rsidRPr="009F3D6E">
        <w:t>zezwoleń na pobyt czasowy w celu wykonywania pracy w zawodzie wymagającym wysokich kwalifikacji</w:t>
      </w:r>
      <w:r>
        <w:t>).</w:t>
      </w:r>
    </w:p>
    <w:p w14:paraId="2BE124C6" w14:textId="77777777" w:rsidR="002E2C88" w:rsidRPr="0076312D" w:rsidRDefault="002E2C88" w:rsidP="0076312D">
      <w:pPr>
        <w:pStyle w:val="ARTartustawynprozporzdzenia"/>
      </w:pPr>
    </w:p>
    <w:p w14:paraId="4786CDA8" w14:textId="65C7E327" w:rsidR="008434AE" w:rsidRPr="00737F6A" w:rsidRDefault="008434AE" w:rsidP="00A054FD">
      <w:pPr>
        <w:pStyle w:val="POPIERAJCYPOPRAWKZAMIESZCZONWZESTAWIENIUWNIOSKW"/>
      </w:pPr>
    </w:p>
    <w:sectPr w:rsidR="008434AE" w:rsidRPr="00737F6A" w:rsidSect="002E2C88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261E" w14:textId="77777777" w:rsidR="00E9524D" w:rsidRDefault="00E9524D">
      <w:r>
        <w:separator/>
      </w:r>
    </w:p>
  </w:endnote>
  <w:endnote w:type="continuationSeparator" w:id="0">
    <w:p w14:paraId="31B902D5" w14:textId="77777777" w:rsidR="00E9524D" w:rsidRDefault="00E9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4AF7" w14:textId="77777777" w:rsidR="00E9524D" w:rsidRDefault="00E9524D">
      <w:r>
        <w:separator/>
      </w:r>
    </w:p>
  </w:footnote>
  <w:footnote w:type="continuationSeparator" w:id="0">
    <w:p w14:paraId="72D6252C" w14:textId="77777777" w:rsidR="00E9524D" w:rsidRDefault="00E9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453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86E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E2C8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370655">
    <w:abstractNumId w:val="23"/>
  </w:num>
  <w:num w:numId="2" w16cid:durableId="1321689482">
    <w:abstractNumId w:val="23"/>
  </w:num>
  <w:num w:numId="3" w16cid:durableId="1822230199">
    <w:abstractNumId w:val="18"/>
  </w:num>
  <w:num w:numId="4" w16cid:durableId="745423580">
    <w:abstractNumId w:val="18"/>
  </w:num>
  <w:num w:numId="5" w16cid:durableId="1846437214">
    <w:abstractNumId w:val="36"/>
  </w:num>
  <w:num w:numId="6" w16cid:durableId="29960515">
    <w:abstractNumId w:val="32"/>
  </w:num>
  <w:num w:numId="7" w16cid:durableId="1546913743">
    <w:abstractNumId w:val="36"/>
  </w:num>
  <w:num w:numId="8" w16cid:durableId="1092773656">
    <w:abstractNumId w:val="32"/>
  </w:num>
  <w:num w:numId="9" w16cid:durableId="1937053919">
    <w:abstractNumId w:val="36"/>
  </w:num>
  <w:num w:numId="10" w16cid:durableId="1251042779">
    <w:abstractNumId w:val="32"/>
  </w:num>
  <w:num w:numId="11" w16cid:durableId="97331706">
    <w:abstractNumId w:val="14"/>
  </w:num>
  <w:num w:numId="12" w16cid:durableId="2115317684">
    <w:abstractNumId w:val="10"/>
  </w:num>
  <w:num w:numId="13" w16cid:durableId="655840603">
    <w:abstractNumId w:val="15"/>
  </w:num>
  <w:num w:numId="14" w16cid:durableId="1490444362">
    <w:abstractNumId w:val="27"/>
  </w:num>
  <w:num w:numId="15" w16cid:durableId="2135785211">
    <w:abstractNumId w:val="14"/>
  </w:num>
  <w:num w:numId="16" w16cid:durableId="989135172">
    <w:abstractNumId w:val="16"/>
  </w:num>
  <w:num w:numId="17" w16cid:durableId="1091856690">
    <w:abstractNumId w:val="8"/>
  </w:num>
  <w:num w:numId="18" w16cid:durableId="348801620">
    <w:abstractNumId w:val="3"/>
  </w:num>
  <w:num w:numId="19" w16cid:durableId="1891844208">
    <w:abstractNumId w:val="2"/>
  </w:num>
  <w:num w:numId="20" w16cid:durableId="1194687887">
    <w:abstractNumId w:val="1"/>
  </w:num>
  <w:num w:numId="21" w16cid:durableId="675768450">
    <w:abstractNumId w:val="0"/>
  </w:num>
  <w:num w:numId="22" w16cid:durableId="32581234">
    <w:abstractNumId w:val="9"/>
  </w:num>
  <w:num w:numId="23" w16cid:durableId="1911036140">
    <w:abstractNumId w:val="7"/>
  </w:num>
  <w:num w:numId="24" w16cid:durableId="1233811484">
    <w:abstractNumId w:val="6"/>
  </w:num>
  <w:num w:numId="25" w16cid:durableId="607126155">
    <w:abstractNumId w:val="5"/>
  </w:num>
  <w:num w:numId="26" w16cid:durableId="144664361">
    <w:abstractNumId w:val="4"/>
  </w:num>
  <w:num w:numId="27" w16cid:durableId="489836879">
    <w:abstractNumId w:val="34"/>
  </w:num>
  <w:num w:numId="28" w16cid:durableId="548614695">
    <w:abstractNumId w:val="26"/>
  </w:num>
  <w:num w:numId="29" w16cid:durableId="1589844404">
    <w:abstractNumId w:val="37"/>
  </w:num>
  <w:num w:numId="30" w16cid:durableId="93674867">
    <w:abstractNumId w:val="33"/>
  </w:num>
  <w:num w:numId="31" w16cid:durableId="1629968430">
    <w:abstractNumId w:val="19"/>
  </w:num>
  <w:num w:numId="32" w16cid:durableId="1049110178">
    <w:abstractNumId w:val="11"/>
  </w:num>
  <w:num w:numId="33" w16cid:durableId="1658143804">
    <w:abstractNumId w:val="31"/>
  </w:num>
  <w:num w:numId="34" w16cid:durableId="206450616">
    <w:abstractNumId w:val="20"/>
  </w:num>
  <w:num w:numId="35" w16cid:durableId="1685593632">
    <w:abstractNumId w:val="17"/>
  </w:num>
  <w:num w:numId="36" w16cid:durableId="137889048">
    <w:abstractNumId w:val="22"/>
  </w:num>
  <w:num w:numId="37" w16cid:durableId="932854990">
    <w:abstractNumId w:val="28"/>
  </w:num>
  <w:num w:numId="38" w16cid:durableId="1030641686">
    <w:abstractNumId w:val="25"/>
  </w:num>
  <w:num w:numId="39" w16cid:durableId="1139960225">
    <w:abstractNumId w:val="13"/>
  </w:num>
  <w:num w:numId="40" w16cid:durableId="800344652">
    <w:abstractNumId w:val="30"/>
  </w:num>
  <w:num w:numId="41" w16cid:durableId="1867526868">
    <w:abstractNumId w:val="29"/>
  </w:num>
  <w:num w:numId="42" w16cid:durableId="957032569">
    <w:abstractNumId w:val="21"/>
  </w:num>
  <w:num w:numId="43" w16cid:durableId="1964068371">
    <w:abstractNumId w:val="35"/>
  </w:num>
  <w:num w:numId="44" w16cid:durableId="597758136">
    <w:abstractNumId w:val="12"/>
  </w:num>
  <w:num w:numId="45" w16cid:durableId="1555313896">
    <w:abstractNumId w:val="24"/>
  </w:num>
  <w:num w:numId="46" w16cid:durableId="1016880960">
    <w:abstractNumId w:val="24"/>
  </w:num>
  <w:num w:numId="47" w16cid:durableId="767963700">
    <w:abstractNumId w:val="24"/>
  </w:num>
  <w:num w:numId="48" w16cid:durableId="1780878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299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55A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B6BD7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2C88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786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47D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EFA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93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02C5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4AE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67F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18E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682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E1D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24D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87F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93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C8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2025-04-10T08:50:00Z</dcterms:created>
  <dcterms:modified xsi:type="dcterms:W3CDTF">2025-04-10T08:50:00Z</dcterms:modified>
  <cp:category/>
</cp:coreProperties>
</file>