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1888" w14:textId="4EAC61F8" w:rsidR="00495D73" w:rsidRDefault="00495D73" w:rsidP="00495D73">
      <w:pPr>
        <w:pStyle w:val="OZNPROJEKTUwskazaniedatylubwersjiprojektu"/>
      </w:pPr>
      <w:r>
        <w:t>Projekt</w:t>
      </w:r>
    </w:p>
    <w:p w14:paraId="2B55B935" w14:textId="77777777" w:rsidR="00495D73" w:rsidRDefault="00495D73" w:rsidP="00495D73">
      <w:pPr>
        <w:pStyle w:val="OZNRODZAKTUtznustawalubrozporzdzenieiorganwydajcy"/>
      </w:pPr>
      <w:r>
        <w:t>Ustawa</w:t>
      </w:r>
    </w:p>
    <w:p w14:paraId="12AEFF92" w14:textId="463735FE" w:rsidR="00495D73" w:rsidRDefault="00495D73" w:rsidP="00495D73">
      <w:pPr>
        <w:pStyle w:val="DATAAKTUdatauchwalenialubwydaniaaktu"/>
      </w:pPr>
      <w:r>
        <w:t>z dnia</w:t>
      </w:r>
    </w:p>
    <w:p w14:paraId="5E8F4B4B" w14:textId="77777777" w:rsidR="00495D73" w:rsidRDefault="00495D73" w:rsidP="00495D73">
      <w:pPr>
        <w:pStyle w:val="TYTUAKTUprzedmiotregulacjiustawylubrozporzdzenia"/>
      </w:pPr>
      <w:r>
        <w:t xml:space="preserve">o zmianie ustawy </w:t>
      </w:r>
      <w:r w:rsidRPr="005424FC">
        <w:t>o szczególnych rozwiązaniach służących ochronie odbiorców energii elektrycznej w 2023 roku oraz w 2024 roku w związku z sytuacją na rynku energii elektrycznej</w:t>
      </w:r>
    </w:p>
    <w:p w14:paraId="3A48727C" w14:textId="7B4F977C" w:rsidR="00495D73" w:rsidRPr="005424FC" w:rsidRDefault="00495D73" w:rsidP="00495D73">
      <w:pPr>
        <w:pStyle w:val="ARTartustawynprozporzdzenia"/>
      </w:pPr>
      <w:r w:rsidRPr="00B15CD8">
        <w:rPr>
          <w:rStyle w:val="Ppogrubienie"/>
        </w:rPr>
        <w:t>Art.</w:t>
      </w:r>
      <w:r>
        <w:rPr>
          <w:rStyle w:val="Ppogrubienie"/>
        </w:rPr>
        <w:t> </w:t>
      </w:r>
      <w:r w:rsidRPr="00B15CD8">
        <w:rPr>
          <w:rStyle w:val="Ppogrubienie"/>
        </w:rPr>
        <w:t>1.</w:t>
      </w:r>
      <w:r>
        <w:t> </w:t>
      </w:r>
      <w:r w:rsidRPr="005424FC">
        <w:t xml:space="preserve">W ustawie z dnia </w:t>
      </w:r>
      <w:r>
        <w:t>7</w:t>
      </w:r>
      <w:r w:rsidRPr="005424FC">
        <w:t xml:space="preserve"> października 2022 r. o szczególnych rozwiązaniach służących ochronie odbiorców energii elektrycznej w 2023 roku oraz w 2024 roku w związku z sytuacją na rynku energii elektrycznej (Dz. U. z 2024 r. poz. 1288 i 1831) wprowadza się następujące zmiany:</w:t>
      </w:r>
    </w:p>
    <w:p w14:paraId="085CCAA7" w14:textId="77777777" w:rsidR="00495D73" w:rsidRPr="005424FC" w:rsidRDefault="00495D73" w:rsidP="00495D73">
      <w:pPr>
        <w:pStyle w:val="PKTpunkt"/>
      </w:pPr>
      <w:r>
        <w:t>1)</w:t>
      </w:r>
      <w:r>
        <w:tab/>
      </w:r>
      <w:r w:rsidRPr="005424FC">
        <w:t>w art. 10 w ust. 1 pkt 6 otrzymuje brzmienie:</w:t>
      </w:r>
    </w:p>
    <w:p w14:paraId="6AD726B5" w14:textId="37737AAA" w:rsidR="00495D73" w:rsidRPr="005424FC" w:rsidRDefault="00495D73" w:rsidP="00495D73">
      <w:pPr>
        <w:pStyle w:val="ZPKTzmpktartykuempunktem"/>
      </w:pPr>
      <w:r w:rsidRPr="005424FC">
        <w:t>„6)</w:t>
      </w:r>
      <w:r>
        <w:tab/>
      </w:r>
      <w:r w:rsidRPr="005424FC">
        <w:t>na okres od dnia 1 października 2025 r. do dnia 31 grudnia 2025 r., w przypadku zatwierdzenia taryfy lub jej zmiany na podstawie art. 51b, w terminie do dnia 1</w:t>
      </w:r>
      <w:r w:rsidR="001420A4">
        <w:t> </w:t>
      </w:r>
      <w:r w:rsidRPr="005424FC">
        <w:t>października 2025 r.”;</w:t>
      </w:r>
    </w:p>
    <w:p w14:paraId="5AF4D6E1" w14:textId="77777777" w:rsidR="00495D73" w:rsidRPr="005424FC" w:rsidRDefault="00495D73" w:rsidP="00495D73">
      <w:pPr>
        <w:pStyle w:val="PKTpunkt"/>
      </w:pPr>
      <w:r>
        <w:t>2)</w:t>
      </w:r>
      <w:r>
        <w:tab/>
        <w:t>w</w:t>
      </w:r>
      <w:r w:rsidRPr="005424FC">
        <w:t xml:space="preserve"> art. 51b:</w:t>
      </w:r>
    </w:p>
    <w:p w14:paraId="7DE44994" w14:textId="77777777" w:rsidR="00495D73" w:rsidRPr="005424FC" w:rsidRDefault="00495D73" w:rsidP="00495D73">
      <w:pPr>
        <w:pStyle w:val="LITlitera"/>
      </w:pPr>
      <w:r>
        <w:t>a)</w:t>
      </w:r>
      <w:r>
        <w:tab/>
        <w:t xml:space="preserve">w ust. 1 w pkt 1 i w pkt 2 w części wspólnej wyrazy </w:t>
      </w:r>
      <w:r w:rsidRPr="008415A3">
        <w:t>„w terminie do dnia 30 kwietnia 2025 r.</w:t>
      </w:r>
      <w:r w:rsidRPr="003F1BAA">
        <w:t>”</w:t>
      </w:r>
      <w:r>
        <w:t xml:space="preserve"> zastępuje się wyrazami </w:t>
      </w:r>
      <w:r w:rsidRPr="008415A3">
        <w:t>„w terminie do dnia 3</w:t>
      </w:r>
      <w:r>
        <w:t>1</w:t>
      </w:r>
      <w:r w:rsidRPr="008415A3">
        <w:t xml:space="preserve"> </w:t>
      </w:r>
      <w:r>
        <w:t>lipca</w:t>
      </w:r>
      <w:r w:rsidRPr="008415A3">
        <w:t xml:space="preserve"> 2025 r.”</w:t>
      </w:r>
      <w:r>
        <w:t>,</w:t>
      </w:r>
    </w:p>
    <w:p w14:paraId="39E7BCC9" w14:textId="77777777" w:rsidR="00495D73" w:rsidRPr="005424FC" w:rsidRDefault="00495D73" w:rsidP="00495D73">
      <w:pPr>
        <w:pStyle w:val="LITlitera"/>
      </w:pPr>
      <w:r>
        <w:t>b)</w:t>
      </w:r>
      <w:r>
        <w:tab/>
      </w:r>
      <w:r w:rsidRPr="005424FC">
        <w:t>w ust. 4 wyrazy „od dnia 1 lipca 2025 r., a w przypadku nieopublikowania decyzji zatwierdzającej taryfę do dnia 30 czerwca 2025 r.” zastępuje się wyrazami „od dnia 1 października 2025 r., a w przypadku nieopublikowania decyzji zatwierdzającej taryfę do dnia 30 września 2025 r.”.</w:t>
      </w:r>
    </w:p>
    <w:p w14:paraId="0A4234FA" w14:textId="46DCCCD1" w:rsidR="00495D73" w:rsidRDefault="00495D73" w:rsidP="00495D73">
      <w:pPr>
        <w:pStyle w:val="ARTartustawynprozporzdzenia"/>
      </w:pPr>
      <w:r w:rsidRPr="00B15CD8">
        <w:rPr>
          <w:rStyle w:val="Ppogrubienie"/>
        </w:rPr>
        <w:t>Art.</w:t>
      </w:r>
      <w:r>
        <w:rPr>
          <w:rStyle w:val="Ppogrubienie"/>
        </w:rPr>
        <w:t> </w:t>
      </w:r>
      <w:r w:rsidRPr="00B15CD8">
        <w:rPr>
          <w:rStyle w:val="Ppogrubienie"/>
        </w:rPr>
        <w:t>2.</w:t>
      </w:r>
      <w:r>
        <w:t> 1. W przypadku gdy przedsiębiorstwo</w:t>
      </w:r>
      <w:r w:rsidRPr="009D54B2">
        <w:t xml:space="preserve"> energetyczn</w:t>
      </w:r>
      <w:r>
        <w:t>e</w:t>
      </w:r>
      <w:r w:rsidRPr="009D54B2">
        <w:t>, o który</w:t>
      </w:r>
      <w:r>
        <w:t>m</w:t>
      </w:r>
      <w:r w:rsidRPr="009D54B2">
        <w:t xml:space="preserve"> mowa w art. 51b ust. 1 ustawy zmienianej w art. 1</w:t>
      </w:r>
      <w:r>
        <w:t xml:space="preserve"> w brzmieniu dotychczasowym, złoży wniosek, o którym mowa w tym przepisie po dniu 30 kwietnia 2025 r., ale przed dniem 31 lipca 2025 r., p</w:t>
      </w:r>
      <w:r w:rsidRPr="00A34385">
        <w:t>rzepisu art. 38 ust. 1 pkt 1 ustawy zmienianej w art. 1 nie stosuje się</w:t>
      </w:r>
      <w:r>
        <w:t>.</w:t>
      </w:r>
    </w:p>
    <w:p w14:paraId="28F71903" w14:textId="05E443AC" w:rsidR="00495D73" w:rsidRDefault="00495D73" w:rsidP="00495D73">
      <w:pPr>
        <w:pStyle w:val="USTustnpkodeksu"/>
      </w:pPr>
      <w:r>
        <w:t xml:space="preserve">2. W przypadku gdy w okresie od dnia 1 maja 2025 r. do dnia wejścia w życie niniejszej ustawy Prezes Urzędu Regulacji Energetyki poinformował </w:t>
      </w:r>
      <w:r w:rsidRPr="00A34385">
        <w:t>Zarządc</w:t>
      </w:r>
      <w:r>
        <w:t>ę</w:t>
      </w:r>
      <w:r w:rsidRPr="00A34385">
        <w:t xml:space="preserve"> Rozliczeń S.A., o którym mowa w rozdziale 7 ustawy z dnia 29 czerwca 2007 r. o zasadach pokrywania kosztów powstałych u wytwórców w związku z przedterminowym rozwiązaniem umów długoterminowych sprzedaży mocy i energii elektrycznej (Dz.</w:t>
      </w:r>
      <w:r>
        <w:t xml:space="preserve"> </w:t>
      </w:r>
      <w:r w:rsidRPr="00A34385">
        <w:t>U. z 2022 r. poz. 311)</w:t>
      </w:r>
      <w:r>
        <w:t>, o</w:t>
      </w:r>
      <w:r w:rsidR="001420A4">
        <w:t> </w:t>
      </w:r>
      <w:r>
        <w:t xml:space="preserve">wystąpieniu przesłanek, o których mowa w art. 51b ust. 3 ustawy zmienianej w art. 1, </w:t>
      </w:r>
      <w:r>
        <w:lastRenderedPageBreak/>
        <w:t>i</w:t>
      </w:r>
      <w:r w:rsidR="001420A4">
        <w:t> </w:t>
      </w:r>
      <w:r>
        <w:t>zgodnie z tym przepisem została wstrzymana wypłata rekompensat, wznawia się wstrzymaną wypłatę tych rekompensat.</w:t>
      </w:r>
    </w:p>
    <w:p w14:paraId="562B4592" w14:textId="15BA6DB4" w:rsidR="00261A16" w:rsidRPr="00737F6A" w:rsidRDefault="00495D73" w:rsidP="00A970E2">
      <w:pPr>
        <w:pStyle w:val="ARTartustawynprozporzdzenia"/>
      </w:pPr>
      <w:r w:rsidRPr="00B15CD8">
        <w:rPr>
          <w:rStyle w:val="Ppogrubienie"/>
        </w:rPr>
        <w:t>Art.</w:t>
      </w:r>
      <w:r>
        <w:rPr>
          <w:rStyle w:val="Ppogrubienie"/>
        </w:rPr>
        <w:t> </w:t>
      </w:r>
      <w:r w:rsidRPr="00B15CD8">
        <w:rPr>
          <w:rStyle w:val="Ppogrubienie"/>
        </w:rPr>
        <w:t>3.</w:t>
      </w:r>
      <w:r>
        <w:t> Ustawa</w:t>
      </w:r>
      <w:r w:rsidRPr="005424FC">
        <w:t xml:space="preserve"> wchodzi w życie z dniem następującym po dniu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32D5" w14:textId="77777777" w:rsidR="001D4E56" w:rsidRDefault="001D4E56">
      <w:r>
        <w:separator/>
      </w:r>
    </w:p>
  </w:endnote>
  <w:endnote w:type="continuationSeparator" w:id="0">
    <w:p w14:paraId="231E6027" w14:textId="77777777" w:rsidR="001D4E56" w:rsidRDefault="001D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6806" w14:textId="77777777" w:rsidR="001D4E56" w:rsidRDefault="001D4E56">
      <w:r>
        <w:separator/>
      </w:r>
    </w:p>
  </w:footnote>
  <w:footnote w:type="continuationSeparator" w:id="0">
    <w:p w14:paraId="7CBD2201" w14:textId="77777777" w:rsidR="001D4E56" w:rsidRDefault="001D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9CD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6560429">
    <w:abstractNumId w:val="23"/>
  </w:num>
  <w:num w:numId="2" w16cid:durableId="420948606">
    <w:abstractNumId w:val="23"/>
  </w:num>
  <w:num w:numId="3" w16cid:durableId="1087967793">
    <w:abstractNumId w:val="18"/>
  </w:num>
  <w:num w:numId="4" w16cid:durableId="857233285">
    <w:abstractNumId w:val="18"/>
  </w:num>
  <w:num w:numId="5" w16cid:durableId="2030913488">
    <w:abstractNumId w:val="35"/>
  </w:num>
  <w:num w:numId="6" w16cid:durableId="1858229388">
    <w:abstractNumId w:val="31"/>
  </w:num>
  <w:num w:numId="7" w16cid:durableId="1086921222">
    <w:abstractNumId w:val="35"/>
  </w:num>
  <w:num w:numId="8" w16cid:durableId="1448426349">
    <w:abstractNumId w:val="31"/>
  </w:num>
  <w:num w:numId="9" w16cid:durableId="338238687">
    <w:abstractNumId w:val="35"/>
  </w:num>
  <w:num w:numId="10" w16cid:durableId="1303585732">
    <w:abstractNumId w:val="31"/>
  </w:num>
  <w:num w:numId="11" w16cid:durableId="673191435">
    <w:abstractNumId w:val="14"/>
  </w:num>
  <w:num w:numId="12" w16cid:durableId="823931282">
    <w:abstractNumId w:val="10"/>
  </w:num>
  <w:num w:numId="13" w16cid:durableId="220487194">
    <w:abstractNumId w:val="15"/>
  </w:num>
  <w:num w:numId="14" w16cid:durableId="90469699">
    <w:abstractNumId w:val="26"/>
  </w:num>
  <w:num w:numId="15" w16cid:durableId="1522742062">
    <w:abstractNumId w:val="14"/>
  </w:num>
  <w:num w:numId="16" w16cid:durableId="2022781095">
    <w:abstractNumId w:val="16"/>
  </w:num>
  <w:num w:numId="17" w16cid:durableId="1367871188">
    <w:abstractNumId w:val="8"/>
  </w:num>
  <w:num w:numId="18" w16cid:durableId="981542739">
    <w:abstractNumId w:val="3"/>
  </w:num>
  <w:num w:numId="19" w16cid:durableId="2075808115">
    <w:abstractNumId w:val="2"/>
  </w:num>
  <w:num w:numId="20" w16cid:durableId="1580023414">
    <w:abstractNumId w:val="1"/>
  </w:num>
  <w:num w:numId="21" w16cid:durableId="2007050073">
    <w:abstractNumId w:val="0"/>
  </w:num>
  <w:num w:numId="22" w16cid:durableId="1960184201">
    <w:abstractNumId w:val="9"/>
  </w:num>
  <w:num w:numId="23" w16cid:durableId="116485567">
    <w:abstractNumId w:val="7"/>
  </w:num>
  <w:num w:numId="24" w16cid:durableId="265966707">
    <w:abstractNumId w:val="6"/>
  </w:num>
  <w:num w:numId="25" w16cid:durableId="1509370613">
    <w:abstractNumId w:val="5"/>
  </w:num>
  <w:num w:numId="26" w16cid:durableId="1820686563">
    <w:abstractNumId w:val="4"/>
  </w:num>
  <w:num w:numId="27" w16cid:durableId="49381090">
    <w:abstractNumId w:val="33"/>
  </w:num>
  <w:num w:numId="28" w16cid:durableId="617488954">
    <w:abstractNumId w:val="25"/>
  </w:num>
  <w:num w:numId="29" w16cid:durableId="1861820802">
    <w:abstractNumId w:val="36"/>
  </w:num>
  <w:num w:numId="30" w16cid:durableId="1697586031">
    <w:abstractNumId w:val="32"/>
  </w:num>
  <w:num w:numId="31" w16cid:durableId="527642228">
    <w:abstractNumId w:val="19"/>
  </w:num>
  <w:num w:numId="32" w16cid:durableId="780220373">
    <w:abstractNumId w:val="11"/>
  </w:num>
  <w:num w:numId="33" w16cid:durableId="311299141">
    <w:abstractNumId w:val="30"/>
  </w:num>
  <w:num w:numId="34" w16cid:durableId="1050885676">
    <w:abstractNumId w:val="20"/>
  </w:num>
  <w:num w:numId="35" w16cid:durableId="1130168804">
    <w:abstractNumId w:val="17"/>
  </w:num>
  <w:num w:numId="36" w16cid:durableId="1528713981">
    <w:abstractNumId w:val="22"/>
  </w:num>
  <w:num w:numId="37" w16cid:durableId="932586937">
    <w:abstractNumId w:val="27"/>
  </w:num>
  <w:num w:numId="38" w16cid:durableId="1023826228">
    <w:abstractNumId w:val="24"/>
  </w:num>
  <w:num w:numId="39" w16cid:durableId="2028098122">
    <w:abstractNumId w:val="13"/>
  </w:num>
  <w:num w:numId="40" w16cid:durableId="1791511030">
    <w:abstractNumId w:val="29"/>
  </w:num>
  <w:num w:numId="41" w16cid:durableId="535240094">
    <w:abstractNumId w:val="28"/>
  </w:num>
  <w:num w:numId="42" w16cid:durableId="38669344">
    <w:abstractNumId w:val="21"/>
  </w:num>
  <w:num w:numId="43" w16cid:durableId="1127162919">
    <w:abstractNumId w:val="34"/>
  </w:num>
  <w:num w:numId="44" w16cid:durableId="1550726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7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E3E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E35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0A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4E56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D7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CB4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CB4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08C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DE0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0E2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009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79D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CDB15"/>
  <w15:docId w15:val="{A722026F-B42C-4C46-8F39-33FF0218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95D7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odgor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311</Words>
  <Characters>1868</Characters>
  <Application>Microsoft Office Word</Application>
  <DocSecurity>4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Wójcik Aleksandra</cp:lastModifiedBy>
  <cp:revision>2</cp:revision>
  <cp:lastPrinted>2012-04-23T06:39:00Z</cp:lastPrinted>
  <dcterms:created xsi:type="dcterms:W3CDTF">2025-04-15T13:54:00Z</dcterms:created>
  <dcterms:modified xsi:type="dcterms:W3CDTF">2025-04-15T13:54:00Z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