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CD35" w14:textId="77777777" w:rsidR="00706FDB" w:rsidRPr="00706FDB" w:rsidRDefault="00706FDB" w:rsidP="00706FDB">
      <w:pPr>
        <w:pStyle w:val="OZNPROJEKTUwskazaniedatylubwersjiprojektu"/>
        <w:keepNext/>
      </w:pPr>
      <w:r w:rsidRPr="00706FDB">
        <w:t>Projekt</w:t>
      </w:r>
    </w:p>
    <w:p w14:paraId="752533FB" w14:textId="77777777" w:rsidR="00706FDB" w:rsidRPr="00706FDB" w:rsidRDefault="00706FDB" w:rsidP="00706FDB">
      <w:pPr>
        <w:pStyle w:val="OZNRODZAKTUtznustawalubrozporzdzenieiorganwydajcy"/>
      </w:pPr>
      <w:r w:rsidRPr="00706FDB">
        <w:t>USTAWA</w:t>
      </w:r>
    </w:p>
    <w:p w14:paraId="2F481A32" w14:textId="77777777" w:rsidR="00706FDB" w:rsidRPr="00706FDB" w:rsidRDefault="00706FDB" w:rsidP="00706FDB">
      <w:pPr>
        <w:pStyle w:val="DATAAKTUdatauchwalenialubwydaniaaktu"/>
      </w:pPr>
      <w:r w:rsidRPr="00706FDB">
        <w:t>z dnia … r.</w:t>
      </w:r>
    </w:p>
    <w:p w14:paraId="7C21CD4C" w14:textId="733400DA" w:rsidR="00706FDB" w:rsidRPr="00706FDB" w:rsidRDefault="00706FDB" w:rsidP="00706FDB">
      <w:pPr>
        <w:pStyle w:val="TYTUAKTUprzedmiotregulacjiustawylubrozporzdzenia"/>
      </w:pPr>
      <w:r w:rsidRPr="00706FDB">
        <w:t xml:space="preserve">o zmianie ustawy o ochronie praw nabywcy lokalu mieszkalnego lub domu jednorodzinnego oraz Deweloperskim Funduszu Gwarancyjnym </w:t>
      </w:r>
    </w:p>
    <w:p w14:paraId="37CDD458" w14:textId="04B9E534" w:rsidR="00706FDB" w:rsidRPr="00706FDB" w:rsidRDefault="00706FDB" w:rsidP="00706FDB">
      <w:pPr>
        <w:pStyle w:val="ARTartustawynprozporzdzenia"/>
        <w:keepNext/>
      </w:pPr>
      <w:r w:rsidRPr="00706FDB">
        <w:rPr>
          <w:rStyle w:val="Ppogrubienie"/>
        </w:rPr>
        <w:t>Art. 1.</w:t>
      </w:r>
      <w:r w:rsidRPr="00706FDB">
        <w:t xml:space="preserve"> W </w:t>
      </w:r>
      <w:bookmarkStart w:id="0" w:name="_Hlk189164562"/>
      <w:r w:rsidRPr="00706FDB">
        <w:t xml:space="preserve">ustawie z dnia 20 maja 2021 r. o ochronie praw nabywcy lokalu mieszkalnego lub domu jednorodzinnego oraz Deweloperskim Funduszu Gwarancyjnym (Dz. U. z 2024 r. poz. 695) </w:t>
      </w:r>
      <w:bookmarkEnd w:id="0"/>
      <w:r w:rsidRPr="00706FDB">
        <w:t>w rozdziale 4 dodaje się art. 19a</w:t>
      </w:r>
      <w:r w:rsidR="004C0FA7">
        <w:t xml:space="preserve"> </w:t>
      </w:r>
      <w:r w:rsidR="004C0FA7" w:rsidRPr="00C129F5">
        <w:t>i art. 19b</w:t>
      </w:r>
      <w:r w:rsidRPr="00C129F5">
        <w:t xml:space="preserve"> </w:t>
      </w:r>
      <w:r w:rsidRPr="00706FDB">
        <w:t>w brzmieniu:</w:t>
      </w:r>
    </w:p>
    <w:p w14:paraId="6E5817FF" w14:textId="10A499E2" w:rsidR="00706FDB" w:rsidRPr="00706FDB" w:rsidRDefault="00706FDB" w:rsidP="00706FDB">
      <w:pPr>
        <w:pStyle w:val="ZARTzmartartykuempunktem"/>
        <w:keepNext/>
      </w:pPr>
      <w:r w:rsidRPr="00706FDB">
        <w:t xml:space="preserve">„Art. 19a. 1. Deweloper ma obowiązek prowadzenia własnej strony internetowej, na której, od dnia rozpoczęcia sprzedaży, </w:t>
      </w:r>
      <w:r w:rsidR="009952BB" w:rsidRPr="00C129F5">
        <w:t xml:space="preserve">do dnia przeniesienia własności </w:t>
      </w:r>
      <w:r w:rsidRPr="00706FDB">
        <w:t xml:space="preserve">ostatniej nieruchomości lub jej części objętej przedsięwzięciem deweloperskim lub zadaniem inwestycyjnym, </w:t>
      </w:r>
      <w:r w:rsidR="009952BB" w:rsidRPr="00C129F5">
        <w:t xml:space="preserve">udostępnia część ogólną prospektu informacyjnego, dotyczącego tego przedsięwzięcia deweloperskiego lub zadania inwestycyjnego i </w:t>
      </w:r>
      <w:r w:rsidRPr="00706FDB">
        <w:t>podaje informacje o adresie jego siedziby</w:t>
      </w:r>
      <w:r w:rsidR="009952BB">
        <w:t xml:space="preserve">, </w:t>
      </w:r>
      <w:r w:rsidR="009952BB" w:rsidRPr="00C129F5">
        <w:t>a w przypadku, gdy deweloper jest osobą fizyczną – adresie głównego miejsca wykonywania działalności gospodarczej, adresie lokalu, w którym prowadzona jest sprzedaż</w:t>
      </w:r>
      <w:r w:rsidRPr="00C129F5">
        <w:t xml:space="preserve">, </w:t>
      </w:r>
      <w:r w:rsidRPr="00706FDB">
        <w:t>sposobie kontaktu nabywcy z deweloperem, lokalizacji przedsięwzięcia deweloperskiego lub zadania inwestycyjnego oraz:</w:t>
      </w:r>
    </w:p>
    <w:p w14:paraId="449D7E48" w14:textId="677E4B5A" w:rsidR="00706FDB" w:rsidRPr="00706FDB" w:rsidRDefault="00706FDB" w:rsidP="00706FDB">
      <w:pPr>
        <w:pStyle w:val="ZPKTzmpktartykuempunktem"/>
      </w:pPr>
      <w:r w:rsidRPr="00706FDB">
        <w:t>1)</w:t>
      </w:r>
      <w:r w:rsidRPr="00706FDB">
        <w:tab/>
        <w:t>cenie m</w:t>
      </w:r>
      <w:r w:rsidRPr="00706FDB">
        <w:rPr>
          <w:rStyle w:val="IGindeksgrny"/>
        </w:rPr>
        <w:t>2</w:t>
      </w:r>
      <w:r w:rsidRPr="00706FDB">
        <w:t xml:space="preserve"> </w:t>
      </w:r>
      <w:r w:rsidR="009952BB" w:rsidRPr="00C129F5">
        <w:t xml:space="preserve">powierzchni użytkowej każdego z </w:t>
      </w:r>
      <w:r w:rsidRPr="00706FDB">
        <w:t>oferowanych lokali mieszkalnych lub domów jednorodzinnych oraz całej nieruchomości lub jej części, będących przedmiotem sprzedaży,</w:t>
      </w:r>
    </w:p>
    <w:p w14:paraId="690278AE" w14:textId="77777777" w:rsidR="00706FDB" w:rsidRPr="00706FDB" w:rsidRDefault="00706FDB" w:rsidP="00706FDB">
      <w:pPr>
        <w:pStyle w:val="ZPKTzmpktartykuempunktem"/>
      </w:pPr>
      <w:r w:rsidRPr="00706FDB">
        <w:t>2)</w:t>
      </w:r>
      <w:r w:rsidRPr="00706FDB">
        <w:tab/>
        <w:t>cenie pomieszczeń przynależnych, o których mowa w art. 2 ust. 4 ustawy z dnia 24 czerwca 1994 r. o własności lokali, lub praw niezbędnych do korzystania z lokalu mieszkalnego lub domu jednorodzinnego, jeżeli cena tych pomieszczeń lub praw nie jest uwzględniona w cenie, o której mowa w pkt 1,</w:t>
      </w:r>
    </w:p>
    <w:p w14:paraId="1EDC93F7" w14:textId="6EED56C6" w:rsidR="00706FDB" w:rsidRPr="00706FDB" w:rsidRDefault="00706FDB" w:rsidP="00706FDB">
      <w:pPr>
        <w:pStyle w:val="ZPKTzmpktartykuempunktem"/>
        <w:keepNext/>
      </w:pPr>
      <w:r w:rsidRPr="00706FDB">
        <w:t>3)</w:t>
      </w:r>
      <w:r w:rsidRPr="00706FDB">
        <w:tab/>
        <w:t xml:space="preserve">innych niż określone w pkt 1 i 2 świadczeniach pieniężnych, które nabywca zobowiązany jest spełnić </w:t>
      </w:r>
      <w:r w:rsidR="004352D7" w:rsidRPr="00C129F5">
        <w:t xml:space="preserve">na rzecz dewelopera </w:t>
      </w:r>
      <w:r w:rsidRPr="00706FDB">
        <w:t xml:space="preserve">w wykonaniu umowy </w:t>
      </w:r>
      <w:r w:rsidR="009952BB" w:rsidRPr="00C129F5">
        <w:t>przenoszącej własność</w:t>
      </w:r>
    </w:p>
    <w:p w14:paraId="0F251BA9" w14:textId="77777777" w:rsidR="00706FDB" w:rsidRPr="00706FDB" w:rsidRDefault="00706FDB" w:rsidP="00706FDB">
      <w:pPr>
        <w:pStyle w:val="ZCZWSPPKTzmczciwsppktartykuempunktem"/>
      </w:pPr>
      <w:r w:rsidRPr="00706FDB">
        <w:t>– z uwzględnieniem podatku od towarów i usług.</w:t>
      </w:r>
    </w:p>
    <w:p w14:paraId="1DA2ED53" w14:textId="3323DCDD" w:rsidR="00706FDB" w:rsidRPr="00C129F5" w:rsidRDefault="00706FDB" w:rsidP="00706FDB">
      <w:pPr>
        <w:pStyle w:val="ZUSTzmustartykuempunktem"/>
      </w:pPr>
      <w:r w:rsidRPr="00C129F5">
        <w:lastRenderedPageBreak/>
        <w:t xml:space="preserve">2. </w:t>
      </w:r>
      <w:r w:rsidR="004352D7" w:rsidRPr="00C129F5">
        <w:t>W przypadku zmiany cen lub świadczeń pieniężnych, o których mowa w ust. 1, deweloper, z dniem tej zmiany, uaktualnia informacje na stronie internetowej z podaniem daty tej zmiany, z zachowaniem dotychczas podanych informacji, począwszy od dnia rozpoczęcia sprzedaży.</w:t>
      </w:r>
    </w:p>
    <w:p w14:paraId="0E775535" w14:textId="68D9AE63" w:rsidR="00706FDB" w:rsidRPr="00706FDB" w:rsidRDefault="00706FDB" w:rsidP="00706FDB">
      <w:pPr>
        <w:pStyle w:val="ZUSTzmustartykuempunktem"/>
      </w:pPr>
      <w:r w:rsidRPr="00706FDB">
        <w:t xml:space="preserve">3. W reklamach, ogłoszeniach </w:t>
      </w:r>
      <w:r w:rsidRPr="00C129F5">
        <w:t xml:space="preserve">i </w:t>
      </w:r>
      <w:r w:rsidR="00BC1F6D" w:rsidRPr="00C129F5">
        <w:t xml:space="preserve">ofertach sprzedaży </w:t>
      </w:r>
      <w:r w:rsidRPr="00706FDB">
        <w:t>kierowanych do nabywców deweloper jest obowiązany podawać adres strony internetowej, na której znajdują się informacje, o których mowa w ust. 1 i 2.</w:t>
      </w:r>
    </w:p>
    <w:p w14:paraId="130C93BF" w14:textId="2D1199F1" w:rsidR="00706FDB" w:rsidRPr="00C129F5" w:rsidRDefault="00706FDB" w:rsidP="00706FDB">
      <w:pPr>
        <w:pStyle w:val="ZUSTzmustartykuempunktem"/>
      </w:pPr>
      <w:r w:rsidRPr="00C129F5">
        <w:t xml:space="preserve">4. </w:t>
      </w:r>
      <w:r w:rsidR="00007F8E" w:rsidRPr="00C129F5">
        <w:t>Przepisy ust. 1–3 stosuje się do deweloperów, o których mowa w art. 3 pkt 1, i przedsiębiorców, o których mowa w art. 4 pkt 1, od dnia podania do publicznej wiadomości informacji o sprzedaży przedmiotów umów, o których mowa w art. 3 pkt 1 lub art. 4 pkt 1.</w:t>
      </w:r>
    </w:p>
    <w:p w14:paraId="5826D063" w14:textId="4547CD2D" w:rsidR="00007F8E" w:rsidRDefault="00706FDB" w:rsidP="00706FDB">
      <w:pPr>
        <w:pStyle w:val="ZUSTzmustartykuempunktem"/>
      </w:pPr>
      <w:r w:rsidRPr="00706FDB">
        <w:t>5. Naruszenie obowiązków określonych w ust. 1–4 stanowi praktykę naruszającą zbiorowe interesy konsumentów w rozumieniu art. 24</w:t>
      </w:r>
      <w:r w:rsidR="00007F8E">
        <w:t xml:space="preserve"> </w:t>
      </w:r>
      <w:r w:rsidR="00007F8E" w:rsidRPr="00C129F5">
        <w:t>ust. 2</w:t>
      </w:r>
      <w:r w:rsidRPr="00C129F5">
        <w:t xml:space="preserve"> </w:t>
      </w:r>
      <w:r w:rsidRPr="00706FDB">
        <w:t xml:space="preserve">ustawy z dnia 16 lutego 2007 r. o ochronie konkurencji i konsumentów (Dz. U. </w:t>
      </w:r>
      <w:r w:rsidR="00A11B1D">
        <w:t xml:space="preserve">z </w:t>
      </w:r>
      <w:r w:rsidRPr="00706FDB">
        <w:t>2024 r. poz. 1616).</w:t>
      </w:r>
    </w:p>
    <w:p w14:paraId="36275D2B" w14:textId="77777777" w:rsidR="00007F8E" w:rsidRPr="00C129F5" w:rsidRDefault="00007F8E" w:rsidP="00706FDB">
      <w:pPr>
        <w:pStyle w:val="ZUSTzmustartykuempunktem"/>
      </w:pPr>
      <w:r w:rsidRPr="00C129F5">
        <w:t>6. W przypadku rozbieżności pomiędzy ceną podaną w sposób określony w ust. 1, a ceną oferowaną przy zawarciu umowy, nabywca ma prawo do żądania sprzedaży po cenie dla niego najkorzystniejszej.</w:t>
      </w:r>
    </w:p>
    <w:p w14:paraId="7B594E5B" w14:textId="6E971920" w:rsidR="00007F8E" w:rsidRPr="00C129F5" w:rsidRDefault="00007F8E" w:rsidP="004C0FA7">
      <w:pPr>
        <w:pStyle w:val="ZARTzmartartykuempunktem"/>
      </w:pPr>
      <w:r w:rsidRPr="00C129F5">
        <w:t>Art. 19b. 1. Podmiot zobowiązany do przekazywania informacji, o których mowa w art. 19a ust. 1 i 2</w:t>
      </w:r>
      <w:r w:rsidR="00A11B1D" w:rsidRPr="00C129F5">
        <w:t>,</w:t>
      </w:r>
      <w:r w:rsidRPr="00C129F5">
        <w:t xml:space="preserve"> przekazuje dane zawarte w tych informacjach raz na dobę ministrowi właściwemu do spraw informatyzacji. </w:t>
      </w:r>
    </w:p>
    <w:p w14:paraId="2C1FE94D" w14:textId="77777777" w:rsidR="00007F8E" w:rsidRPr="00C129F5" w:rsidRDefault="00007F8E" w:rsidP="004C0FA7">
      <w:pPr>
        <w:pStyle w:val="ZUSTzmustartykuempunktem"/>
      </w:pPr>
      <w:r w:rsidRPr="00C129F5">
        <w:t>2. Do przekazywania danych na podstawie ust. 1 stosuje się przepisy ustawy z dnia 11 sierpnia 2021 r. o otwartych danych i ponownym wykorzystywaniu informacji sektora publicznego (Dz. U. z 2023 r. poz. 1524).</w:t>
      </w:r>
    </w:p>
    <w:p w14:paraId="5F460CB5" w14:textId="1EC3FF4F" w:rsidR="00007F8E" w:rsidRPr="00C129F5" w:rsidRDefault="00007F8E" w:rsidP="004C0FA7">
      <w:pPr>
        <w:pStyle w:val="ZUSTzmustartykuempunktem"/>
      </w:pPr>
      <w:r w:rsidRPr="00C129F5">
        <w:t>3. Minister właściwy do spraw informatyzacji publikuje dane, o których mowa w ust. 1 i 2, na portalu danych w rozumien</w:t>
      </w:r>
      <w:r w:rsidR="004C0FA7" w:rsidRPr="00C129F5">
        <w:t>i</w:t>
      </w:r>
      <w:r w:rsidRPr="00C129F5">
        <w:t>u art. 2 pkt 13 ustawy z dnia 11 sierpnia 2021 r. o otwartych danych i ponownym wykorzystywaniu informacji sektora publicznego. Dane te są danymi o wysokiej wartości w rozumieniu art. 2 pkt 4 tej ustawy.</w:t>
      </w:r>
    </w:p>
    <w:p w14:paraId="648CB06B" w14:textId="1D625E83" w:rsidR="00706FDB" w:rsidRPr="00C129F5" w:rsidRDefault="00007F8E" w:rsidP="004C0FA7">
      <w:pPr>
        <w:pStyle w:val="ZUSTzmustartykuempunktem"/>
      </w:pPr>
      <w:r w:rsidRPr="00C129F5">
        <w:t>4. Naruszenie obowiązku określonego w ust. 1 i 2 stanowi praktykę naruszającą zbiorowe interesy konsumentów w rozumieniu art. 24 ust. 2 ustawy z dnia 16 lutego 2007 r. o ochronie konkurencji i konsumentów.</w:t>
      </w:r>
      <w:r w:rsidR="00706FDB" w:rsidRPr="00C129F5">
        <w:t>”.</w:t>
      </w:r>
    </w:p>
    <w:p w14:paraId="2BB90B5F" w14:textId="0052ADEC" w:rsidR="00706FDB" w:rsidRPr="00706FDB" w:rsidRDefault="00706FDB" w:rsidP="00706FDB">
      <w:pPr>
        <w:pStyle w:val="ARTartustawynprozporzdzenia"/>
      </w:pPr>
      <w:r w:rsidRPr="00706FDB">
        <w:rPr>
          <w:rStyle w:val="Ppogrubienie"/>
        </w:rPr>
        <w:lastRenderedPageBreak/>
        <w:t>Art. </w:t>
      </w:r>
      <w:r w:rsidR="00AE7EDB">
        <w:rPr>
          <w:rStyle w:val="Ppogrubienie"/>
        </w:rPr>
        <w:t>2</w:t>
      </w:r>
      <w:r w:rsidRPr="00706FDB">
        <w:rPr>
          <w:rStyle w:val="Ppogrubienie"/>
        </w:rPr>
        <w:t>.</w:t>
      </w:r>
      <w:r w:rsidRPr="00706FDB">
        <w:t xml:space="preserve"> Podmiot, który rozpoczął sprzedaż lokali mieszkalnych lub domów jednorodzinnych w ramach przedsięwzięcia deweloperskiego lub zadania inwestycyjnego albo rozpoczął sprzedaż, o której mowa w art. 19a ust. 4 ustawy zmienianej w art. 1, przed dniem wejścia w życie niniejszej ustawy, dostosuje się do wymogów wprowadzanych w art. 19a ustawy zmienianej w art. 1, w terminie</w:t>
      </w:r>
      <w:r w:rsidRPr="00C129F5">
        <w:t xml:space="preserve"> </w:t>
      </w:r>
      <w:r w:rsidR="004C0FA7" w:rsidRPr="00C129F5">
        <w:t>2</w:t>
      </w:r>
      <w:r w:rsidRPr="00C129F5">
        <w:t xml:space="preserve"> miesięcy</w:t>
      </w:r>
      <w:r w:rsidRPr="00706FDB">
        <w:t xml:space="preserve"> od dnia wejścia w życie niniejszej ustawy.</w:t>
      </w:r>
      <w:r w:rsidR="004C0FA7" w:rsidRPr="004C0FA7">
        <w:t xml:space="preserve"> </w:t>
      </w:r>
      <w:r w:rsidR="004C0FA7" w:rsidRPr="00C129F5">
        <w:t>W tym przypadku wymagane informacje podaje się w odniesieniu do lokali mieszkalnych i domów jednorodzinnych, których własność nie została przeniesiona na rzecz nabywców przed dniem wejścia w życie niniejszej ustawy, według stanu od dnia ich udostępnienia na stronie internetowej.</w:t>
      </w:r>
    </w:p>
    <w:p w14:paraId="74F5F6A1" w14:textId="791BE929" w:rsidR="00706FDB" w:rsidRPr="00706FDB" w:rsidRDefault="00706FDB" w:rsidP="00706FDB">
      <w:pPr>
        <w:pStyle w:val="ARTartustawynprozporzdzenia"/>
      </w:pPr>
      <w:r w:rsidRPr="00706FDB">
        <w:rPr>
          <w:rStyle w:val="Ppogrubienie"/>
        </w:rPr>
        <w:t>Art. </w:t>
      </w:r>
      <w:r w:rsidR="00AE7EDB">
        <w:rPr>
          <w:rStyle w:val="Ppogrubienie"/>
        </w:rPr>
        <w:t>3</w:t>
      </w:r>
      <w:r w:rsidRPr="00706FDB">
        <w:rPr>
          <w:rStyle w:val="Ppogrubienie"/>
        </w:rPr>
        <w:t>.</w:t>
      </w:r>
      <w:r w:rsidRPr="00706FDB">
        <w:t xml:space="preserve"> Ustawa wchodzi w życie po upływie miesiąca od dnia ogłoszenia.</w:t>
      </w:r>
    </w:p>
    <w:p w14:paraId="1B036465" w14:textId="77777777" w:rsidR="005E31CC" w:rsidRPr="00706FDB" w:rsidRDefault="005E31CC" w:rsidP="005315BE">
      <w:pPr>
        <w:rPr>
          <w:rStyle w:val="Ppogrubienie"/>
          <w:b w:val="0"/>
        </w:rPr>
      </w:pPr>
    </w:p>
    <w:sectPr w:rsidR="005E31CC" w:rsidRPr="00706FD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D5A3" w14:textId="77777777" w:rsidR="001063D7" w:rsidRDefault="001063D7">
      <w:r>
        <w:separator/>
      </w:r>
    </w:p>
  </w:endnote>
  <w:endnote w:type="continuationSeparator" w:id="0">
    <w:p w14:paraId="017E5326" w14:textId="77777777" w:rsidR="001063D7" w:rsidRDefault="0010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00DC" w14:textId="77777777" w:rsidR="001063D7" w:rsidRDefault="001063D7">
      <w:r>
        <w:separator/>
      </w:r>
    </w:p>
  </w:footnote>
  <w:footnote w:type="continuationSeparator" w:id="0">
    <w:p w14:paraId="3077265F" w14:textId="77777777" w:rsidR="001063D7" w:rsidRDefault="0010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4E16" w14:textId="041A6E7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06FDB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5194">
      <w:rPr>
        <w:rStyle w:val="Ppogrubienie"/>
        <w:noProof/>
      </w:rPr>
      <w:t>2025-04-22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29F5">
          <w:rPr>
            <w:rStyle w:val="Ppogrubienie"/>
            <w:noProof/>
          </w:rPr>
          <w:t>V5_2293-1.NK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06FDB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6E7E6DE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6A65C1" wp14:editId="6BCE9B3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06FDB">
      <w:rPr>
        <w:rStyle w:val="Ppogrubienie"/>
      </w:rPr>
      <w:t xml:space="preserve"> 1112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C1" w14:textId="34809F1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5194">
      <w:rPr>
        <w:rStyle w:val="Ppogrubienie"/>
        <w:noProof/>
      </w:rPr>
      <w:t>2025-04-22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29F5">
          <w:rPr>
            <w:rStyle w:val="Ppogrubienie"/>
            <w:noProof/>
          </w:rPr>
          <w:t>V5_2293-1.NK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279B6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2581CB" wp14:editId="69F1297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168209">
    <w:abstractNumId w:val="24"/>
  </w:num>
  <w:num w:numId="2" w16cid:durableId="466361123">
    <w:abstractNumId w:val="24"/>
  </w:num>
  <w:num w:numId="3" w16cid:durableId="1629630633">
    <w:abstractNumId w:val="19"/>
  </w:num>
  <w:num w:numId="4" w16cid:durableId="1447311615">
    <w:abstractNumId w:val="19"/>
  </w:num>
  <w:num w:numId="5" w16cid:durableId="996879275">
    <w:abstractNumId w:val="38"/>
  </w:num>
  <w:num w:numId="6" w16cid:durableId="899023230">
    <w:abstractNumId w:val="34"/>
  </w:num>
  <w:num w:numId="7" w16cid:durableId="1355113017">
    <w:abstractNumId w:val="38"/>
  </w:num>
  <w:num w:numId="8" w16cid:durableId="1199971629">
    <w:abstractNumId w:val="34"/>
  </w:num>
  <w:num w:numId="9" w16cid:durableId="1019234076">
    <w:abstractNumId w:val="38"/>
  </w:num>
  <w:num w:numId="10" w16cid:durableId="498741034">
    <w:abstractNumId w:val="34"/>
  </w:num>
  <w:num w:numId="11" w16cid:durableId="1448156278">
    <w:abstractNumId w:val="15"/>
  </w:num>
  <w:num w:numId="12" w16cid:durableId="1419446179">
    <w:abstractNumId w:val="10"/>
  </w:num>
  <w:num w:numId="13" w16cid:durableId="1085347256">
    <w:abstractNumId w:val="16"/>
  </w:num>
  <w:num w:numId="14" w16cid:durableId="2014868857">
    <w:abstractNumId w:val="28"/>
  </w:num>
  <w:num w:numId="15" w16cid:durableId="1947423274">
    <w:abstractNumId w:val="15"/>
  </w:num>
  <w:num w:numId="16" w16cid:durableId="1012025721">
    <w:abstractNumId w:val="17"/>
  </w:num>
  <w:num w:numId="17" w16cid:durableId="1045838506">
    <w:abstractNumId w:val="8"/>
  </w:num>
  <w:num w:numId="18" w16cid:durableId="1229615838">
    <w:abstractNumId w:val="3"/>
  </w:num>
  <w:num w:numId="19" w16cid:durableId="1050302712">
    <w:abstractNumId w:val="2"/>
  </w:num>
  <w:num w:numId="20" w16cid:durableId="1561137895">
    <w:abstractNumId w:val="1"/>
  </w:num>
  <w:num w:numId="21" w16cid:durableId="775519257">
    <w:abstractNumId w:val="0"/>
  </w:num>
  <w:num w:numId="22" w16cid:durableId="1258631867">
    <w:abstractNumId w:val="9"/>
  </w:num>
  <w:num w:numId="23" w16cid:durableId="1879314166">
    <w:abstractNumId w:val="7"/>
  </w:num>
  <w:num w:numId="24" w16cid:durableId="600336008">
    <w:abstractNumId w:val="6"/>
  </w:num>
  <w:num w:numId="25" w16cid:durableId="1609703214">
    <w:abstractNumId w:val="5"/>
  </w:num>
  <w:num w:numId="26" w16cid:durableId="535505588">
    <w:abstractNumId w:val="4"/>
  </w:num>
  <w:num w:numId="27" w16cid:durableId="282806759">
    <w:abstractNumId w:val="36"/>
  </w:num>
  <w:num w:numId="28" w16cid:durableId="2032222756">
    <w:abstractNumId w:val="27"/>
  </w:num>
  <w:num w:numId="29" w16cid:durableId="1432625320">
    <w:abstractNumId w:val="39"/>
  </w:num>
  <w:num w:numId="30" w16cid:durableId="1564832533">
    <w:abstractNumId w:val="35"/>
  </w:num>
  <w:num w:numId="31" w16cid:durableId="362630103">
    <w:abstractNumId w:val="20"/>
  </w:num>
  <w:num w:numId="32" w16cid:durableId="1093210040">
    <w:abstractNumId w:val="11"/>
  </w:num>
  <w:num w:numId="33" w16cid:durableId="2129160663">
    <w:abstractNumId w:val="33"/>
  </w:num>
  <w:num w:numId="34" w16cid:durableId="2013415069">
    <w:abstractNumId w:val="21"/>
  </w:num>
  <w:num w:numId="35" w16cid:durableId="538133346">
    <w:abstractNumId w:val="18"/>
  </w:num>
  <w:num w:numId="36" w16cid:durableId="708338825">
    <w:abstractNumId w:val="23"/>
  </w:num>
  <w:num w:numId="37" w16cid:durableId="1947880974">
    <w:abstractNumId w:val="29"/>
  </w:num>
  <w:num w:numId="38" w16cid:durableId="676617594">
    <w:abstractNumId w:val="26"/>
  </w:num>
  <w:num w:numId="39" w16cid:durableId="378825427">
    <w:abstractNumId w:val="14"/>
  </w:num>
  <w:num w:numId="40" w16cid:durableId="724304362">
    <w:abstractNumId w:val="32"/>
  </w:num>
  <w:num w:numId="41" w16cid:durableId="1895194821">
    <w:abstractNumId w:val="30"/>
  </w:num>
  <w:num w:numId="42" w16cid:durableId="1763914550">
    <w:abstractNumId w:val="22"/>
  </w:num>
  <w:num w:numId="43" w16cid:durableId="195971495">
    <w:abstractNumId w:val="37"/>
  </w:num>
  <w:num w:numId="44" w16cid:durableId="1156651464">
    <w:abstractNumId w:val="13"/>
  </w:num>
  <w:num w:numId="45" w16cid:durableId="332882649">
    <w:abstractNumId w:val="40"/>
  </w:num>
  <w:num w:numId="46" w16cid:durableId="183787987">
    <w:abstractNumId w:val="25"/>
  </w:num>
  <w:num w:numId="47" w16cid:durableId="2113239768">
    <w:abstractNumId w:val="12"/>
  </w:num>
  <w:num w:numId="48" w16cid:durableId="1308291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F8E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D5E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CFA"/>
    <w:rsid w:val="000F3D0D"/>
    <w:rsid w:val="000F6ED4"/>
    <w:rsid w:val="000F7A6E"/>
    <w:rsid w:val="00100541"/>
    <w:rsid w:val="001042BA"/>
    <w:rsid w:val="001063D7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9B8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104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2D7"/>
    <w:rsid w:val="00435D26"/>
    <w:rsid w:val="00440C99"/>
    <w:rsid w:val="0044175C"/>
    <w:rsid w:val="00445F4D"/>
    <w:rsid w:val="004504C0"/>
    <w:rsid w:val="004550FB"/>
    <w:rsid w:val="0046111A"/>
    <w:rsid w:val="00462946"/>
    <w:rsid w:val="00463EAA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FA7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516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7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6FDB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A5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C72"/>
    <w:rsid w:val="007E59C9"/>
    <w:rsid w:val="007F0072"/>
    <w:rsid w:val="007F2EB6"/>
    <w:rsid w:val="007F54C3"/>
    <w:rsid w:val="00802949"/>
    <w:rsid w:val="0080301E"/>
    <w:rsid w:val="0080365F"/>
    <w:rsid w:val="00812BE5"/>
    <w:rsid w:val="00816BD4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52BB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B1D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9D3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E7EDB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F2D"/>
    <w:rsid w:val="00BC11E5"/>
    <w:rsid w:val="00BC1F6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9F5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2C49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194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54D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D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51A89E-10BF-4444-A4E5-90B2FC60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2025-04-22T19:22:00Z</dcterms:created>
  <dcterms:modified xsi:type="dcterms:W3CDTF">2025-04-22T19:22:00Z</dcterms:modified>
  <cp:category/>
</cp:coreProperties>
</file>