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3C3B" w14:textId="77777777" w:rsidR="00247124" w:rsidRPr="00813C07" w:rsidRDefault="00247124" w:rsidP="00813C07">
      <w:pPr>
        <w:pStyle w:val="OZNRODZAKTUtznustawalubrozporzdzenieiorganwydajcy"/>
      </w:pPr>
      <w:r w:rsidRPr="00813C07">
        <w:t>Uzasadnienie</w:t>
      </w:r>
    </w:p>
    <w:p w14:paraId="15234441" w14:textId="77777777" w:rsidR="00247124" w:rsidRDefault="00247124" w:rsidP="007B15CF"/>
    <w:p w14:paraId="04FE3A86" w14:textId="77777777" w:rsidR="00247124" w:rsidRDefault="00247124" w:rsidP="007B15CF"/>
    <w:p w14:paraId="2817D00B" w14:textId="77777777" w:rsidR="00247124" w:rsidRPr="00813C07" w:rsidRDefault="00247124" w:rsidP="00813C07">
      <w:pPr>
        <w:rPr>
          <w:rStyle w:val="Ppogrubienie"/>
        </w:rPr>
      </w:pPr>
      <w:r>
        <w:rPr>
          <w:rStyle w:val="Ppogrubienie"/>
        </w:rPr>
        <w:t xml:space="preserve">1. </w:t>
      </w:r>
      <w:r w:rsidRPr="00024C04">
        <w:rPr>
          <w:rStyle w:val="Ppogrubienie"/>
        </w:rPr>
        <w:t>Cel projektowanej ustawy</w:t>
      </w:r>
    </w:p>
    <w:p w14:paraId="3494F3AA" w14:textId="77777777" w:rsidR="00247124" w:rsidRPr="00A428F6" w:rsidRDefault="00247124" w:rsidP="004A54CE">
      <w:pPr>
        <w:pStyle w:val="NIEARTTEKSTtekstnieartykuowanynppodstprawnarozplubpreambua"/>
      </w:pPr>
      <w:r w:rsidRPr="00A428F6">
        <w:t xml:space="preserve">Projekt ustawy stanowi realizację postulatu zawartego w petycji </w:t>
      </w:r>
      <w:r>
        <w:t xml:space="preserve">indywidualnej </w:t>
      </w:r>
      <w:r>
        <w:br/>
      </w:r>
      <w:r w:rsidRPr="00A428F6">
        <w:t>P</w:t>
      </w:r>
      <w:r>
        <w:t>10–09</w:t>
      </w:r>
      <w:r w:rsidRPr="00A428F6">
        <w:t>/</w:t>
      </w:r>
      <w:r>
        <w:t>23</w:t>
      </w:r>
      <w:r w:rsidRPr="00A428F6">
        <w:t xml:space="preserve"> wniesionej do Senatu w dniu </w:t>
      </w:r>
      <w:r>
        <w:t>23 stycznia</w:t>
      </w:r>
      <w:r w:rsidRPr="00A428F6">
        <w:t xml:space="preserve"> 20</w:t>
      </w:r>
      <w:r>
        <w:t>23</w:t>
      </w:r>
      <w:r w:rsidRPr="00A428F6">
        <w:t xml:space="preserve"> r. przez </w:t>
      </w:r>
      <w:r>
        <w:t>osobę fizyczną</w:t>
      </w:r>
      <w:r w:rsidRPr="00A428F6">
        <w:t>.</w:t>
      </w:r>
    </w:p>
    <w:p w14:paraId="5154870A" w14:textId="77777777" w:rsidR="00247124" w:rsidRDefault="00247124" w:rsidP="00E953E9">
      <w:pPr>
        <w:pStyle w:val="NIEARTTEKSTtekstnieartykuowanynppodstprawnarozplubpreambua"/>
      </w:pPr>
      <w:r w:rsidRPr="00A428F6">
        <w:t>Autor petycji zwraca się do Marszałka Senatu o podjęcie przez Senat inicjatywy ustawodawczej zmierzającej do</w:t>
      </w:r>
      <w:r>
        <w:t xml:space="preserve"> usunięcia przepisu </w:t>
      </w:r>
      <w:bookmarkStart w:id="0" w:name="_Hlk182313914"/>
      <w:r w:rsidRPr="00A428F6">
        <w:t>art.</w:t>
      </w:r>
      <w:r>
        <w:t xml:space="preserve"> 2 ust. 1b</w:t>
      </w:r>
      <w:r w:rsidRPr="00A428F6">
        <w:t xml:space="preserve"> </w:t>
      </w:r>
      <w:r>
        <w:t>z tekstu ustawy</w:t>
      </w:r>
      <w:r w:rsidRPr="00A428F6">
        <w:t xml:space="preserve"> z dnia </w:t>
      </w:r>
      <w:r>
        <w:t>17 czerwca 2004 r.</w:t>
      </w:r>
      <w:r w:rsidRPr="00E953E9">
        <w:t xml:space="preserve"> </w:t>
      </w:r>
      <w:r w:rsidRPr="00954CC6">
        <w:t>o skardze na naruszenie prawa strony do</w:t>
      </w:r>
      <w:r>
        <w:t> </w:t>
      </w:r>
      <w:r w:rsidRPr="00954CC6">
        <w:t>rozpoznania sprawy</w:t>
      </w:r>
      <w:r>
        <w:t xml:space="preserve"> </w:t>
      </w:r>
      <w:r w:rsidRPr="00954CC6">
        <w:t>w</w:t>
      </w:r>
      <w:r>
        <w:t> </w:t>
      </w:r>
      <w:r w:rsidRPr="00954CC6">
        <w:t>postępowaniu przygotowawczym prowadzonym lub nadzorowanym przez prokuratora i</w:t>
      </w:r>
      <w:r>
        <w:t> </w:t>
      </w:r>
      <w:r w:rsidRPr="00954CC6">
        <w:t>postępowaniu sądowym bez nieuzasadnionej zwłoki</w:t>
      </w:r>
      <w:r>
        <w:t>, zwanej dalej „</w:t>
      </w:r>
      <w:bookmarkStart w:id="1" w:name="_Hlk181968840"/>
      <w:r>
        <w:t>ustawą o skardze na przewlekłość postępowania</w:t>
      </w:r>
      <w:bookmarkEnd w:id="1"/>
      <w:r>
        <w:t>”, który to przepis wyłącza możliwość:</w:t>
      </w:r>
    </w:p>
    <w:p w14:paraId="32CD7302" w14:textId="77777777" w:rsidR="00247124" w:rsidRDefault="00247124" w:rsidP="00E953E9">
      <w:pPr>
        <w:pStyle w:val="NIEARTTEKSTtekstnieartykuowanynppodstprawnarozplubpreambua"/>
      </w:pPr>
      <w:bookmarkStart w:id="2" w:name="_Hlk182314765"/>
      <w:bookmarkEnd w:id="0"/>
      <w:r>
        <w:t>–</w:t>
      </w:r>
      <w:r>
        <w:tab/>
        <w:t>złożenia skargi na przewlekłość postępowania w postępowaniu karnym wykonawczym dotyczącym m. in. udzielenia osobie skazanej warunkowego przedterminowego zwolnienia z odbywania reszty orzeczonej kary pozbawienia wolności, oraz</w:t>
      </w:r>
    </w:p>
    <w:p w14:paraId="0EC1EE8B" w14:textId="77777777" w:rsidR="00247124" w:rsidRDefault="00247124" w:rsidP="00E953E9">
      <w:pPr>
        <w:pStyle w:val="NIEARTTEKSTtekstnieartykuowanynppodstprawnarozplubpreambua"/>
      </w:pPr>
      <w:r>
        <w:t>–</w:t>
      </w:r>
      <w:r>
        <w:tab/>
        <w:t>uzyskania rekompensaty z tytułu niezgodnego z prawem działania władzy publicznej.</w:t>
      </w:r>
    </w:p>
    <w:bookmarkEnd w:id="2"/>
    <w:p w14:paraId="40E903AB" w14:textId="77777777" w:rsidR="00247124" w:rsidRDefault="00247124" w:rsidP="00D95D58">
      <w:pPr>
        <w:pStyle w:val="NIEARTTEKSTtekstnieartykuowanynppodstprawnarozplubpreambua"/>
      </w:pPr>
      <w:r>
        <w:t>Zdaniem autora petycji usunięcie z art. 2 rzeczonego przepisu ust. 1b, zapewni osobom skazanym poszanowanie zasady równości wobec prawa, realizację prawa do sądu oraz prawa do wynagrodzenia za szkodę, jaką ponieśli oni z związku z niezgodnym z prawem działaniem władzy publicznej (polegającym na przewlekłości postępowania). Prawa te mają swoje umocowanie konstytucyjne w art. 32 ust. 1, art. 45 ust. 1 oraz w art. 77 ust. 2 Konstytucji RP.</w:t>
      </w:r>
    </w:p>
    <w:p w14:paraId="463E814D" w14:textId="77777777" w:rsidR="00247124" w:rsidRDefault="00247124" w:rsidP="00D95D58">
      <w:pPr>
        <w:pStyle w:val="NIEARTTEKSTtekstnieartykuowanynppodstprawnarozplubpreambua"/>
      </w:pPr>
      <w:r>
        <w:t xml:space="preserve">Realizacja postulatu wyrażonego w petycji doprowadzi do przywrócenia stanu prawnego obowiązującego przed nowelizacją dokonaną </w:t>
      </w:r>
      <w:bookmarkStart w:id="3" w:name="_Hlk181970703"/>
      <w:r>
        <w:t xml:space="preserve">ustawą z dnia 30 listopada 2016 r. </w:t>
      </w:r>
      <w:bookmarkEnd w:id="3"/>
      <w:r>
        <w:t>o zmianie ustawy – Prawo o ustroju sądów powszechnych oraz niektórych innych ustaw (Dz. U. z 2016 r. poz. 2103), która weszła w życie w dniu 6 stycznia 2017 r.</w:t>
      </w:r>
    </w:p>
    <w:p w14:paraId="66F33A11" w14:textId="77777777" w:rsidR="00247124" w:rsidRPr="00AA010C" w:rsidRDefault="00247124" w:rsidP="007B15CF"/>
    <w:p w14:paraId="1C0788E0" w14:textId="77777777" w:rsidR="00247124" w:rsidRPr="00813C07" w:rsidRDefault="00247124" w:rsidP="00813C07">
      <w:pPr>
        <w:rPr>
          <w:rStyle w:val="Ppogrubienie"/>
        </w:rPr>
      </w:pPr>
      <w:r>
        <w:rPr>
          <w:rStyle w:val="Ppogrubienie"/>
        </w:rPr>
        <w:t>2. Obecny stan prawny i o</w:t>
      </w:r>
      <w:r w:rsidRPr="00813C07">
        <w:rPr>
          <w:rStyle w:val="Ppogrubienie"/>
        </w:rPr>
        <w:t>mówienie projektowanej regulacji</w:t>
      </w:r>
    </w:p>
    <w:p w14:paraId="681AC606" w14:textId="77777777" w:rsidR="00247124" w:rsidRDefault="00247124" w:rsidP="00813C07">
      <w:pPr>
        <w:pStyle w:val="NIEARTTEKSTtekstnieartykuowanynppodstprawnarozplubpreambua"/>
      </w:pPr>
      <w:r>
        <w:t xml:space="preserve">Przepis art. 2 ust. 1b ustawy o skardze na przewlekłość postępowania przewiduje wyłączenie prawa strony do wystąpienia do sądu ze skargą na przewlekłość postępowania, w sprawach wymienionych w art. 1 </w:t>
      </w:r>
      <w:r>
        <w:rPr>
          <w:rFonts w:cs="Times"/>
        </w:rPr>
        <w:t>§</w:t>
      </w:r>
      <w:r>
        <w:t xml:space="preserve"> 1 Kodeksu karnego wykonawczego, a więc w postępowaniu wykonawczym w sprawach o przestępstwa i wykroczenia oraz przestępstwa </w:t>
      </w:r>
      <w:r>
        <w:lastRenderedPageBreak/>
        <w:t>i wykroczenia skarbowe, chyba że dotyczą one obowiązku naprawienia szkody, zadośćuczynienia za doznaną krzywdę lub nawiązki orzeczonej na rzecz pokrzywdzonego. Oznacza to, że przepis ten dotyczy również przewidzianych w k.k.w.</w:t>
      </w:r>
      <w:r w:rsidRPr="004E4723">
        <w:t xml:space="preserve"> </w:t>
      </w:r>
      <w:r>
        <w:t>postępowań sądowych w przedmiocie udzielenia warunkowego przedterminowego zwolnienia, przerwy czy odroczenia wykonania kary.</w:t>
      </w:r>
    </w:p>
    <w:p w14:paraId="662BCD69" w14:textId="77777777" w:rsidR="00247124" w:rsidRPr="004F5170" w:rsidRDefault="00247124" w:rsidP="004F5170">
      <w:pPr>
        <w:pStyle w:val="ARTartustawynprozporzdzenia"/>
      </w:pPr>
      <w:r>
        <w:t>Pozbawienie strony postępowania wykonawczego prawa do skargi, wyżej wymienioną ustawą z dnia 30 listopada 2016 r. było uzasadniane twierdzeniem, że zgodnie z orzecznictwem Europejskiego Trybunału Praw Człowieka, art. 6 ust. 1 Europejskiej Konwencji o Ochronie Praw Człowieka i Podstawowych Wolności nie wymaga dopuszczalności skargi na  przewlekłość postępowania w postępowaniu wykonawczym, chyba że w postępowaniu karnym orzeczono o prawach i obowiązkach o charakterze cywilnym albo o zasadności oskarżenia w wytoczonej sprawie karnej (wyrok w sprawie Perez przeciwko Francji z dnia 12 lutego 2004 r., skarga nr 47287/99).</w:t>
      </w:r>
    </w:p>
    <w:p w14:paraId="3974314D" w14:textId="77777777" w:rsidR="00247124" w:rsidRDefault="00247124" w:rsidP="00813C07">
      <w:pPr>
        <w:pStyle w:val="NIEARTTEKSTtekstnieartykuowanynppodstprawnarozplubpreambua"/>
      </w:pPr>
      <w:r>
        <w:t>Ustawa, której uzasadnienie zostało oparte o standard konwencyjny, ograniczyła prawo do skargi na przewlekłość postępowania wykonawczego, pomijając tak istotny fakt, że tak ujęte prawo do sądu i rzetelnej procedury jest zdecydowanie węższe od unormowania ujętego w przepisie art. 45 ust. 1 polskiej Konstytucji.</w:t>
      </w:r>
    </w:p>
    <w:p w14:paraId="39942FFD" w14:textId="77777777" w:rsidR="00247124" w:rsidRDefault="00247124" w:rsidP="00813C07">
      <w:pPr>
        <w:pStyle w:val="NIEARTTEKSTtekstnieartykuowanynppodstprawnarozplubpreambua"/>
      </w:pPr>
      <w:r>
        <w:t>Zgodność przepisu art. 2 ust. 1b</w:t>
      </w:r>
      <w:r w:rsidRPr="00A428F6">
        <w:t xml:space="preserve"> </w:t>
      </w:r>
      <w:r>
        <w:t>ustawy</w:t>
      </w:r>
      <w:r w:rsidRPr="00A428F6">
        <w:t xml:space="preserve"> </w:t>
      </w:r>
      <w:r>
        <w:t>o skardze na przewlekłość postępowania z wymogami Konwencji nie może przesądzać o jego zgodności ze standardem konstytucyjnym związanym z tym prawem (tak wypowiedział się Sąd Najwyższy w postanowieniu z dnia 9 września 1998 r. sygn. akt III RN 73/98).</w:t>
      </w:r>
    </w:p>
    <w:p w14:paraId="0501CEA9" w14:textId="77777777" w:rsidR="00247124" w:rsidRDefault="00247124" w:rsidP="002559A0">
      <w:pPr>
        <w:pStyle w:val="NIEARTTEKSTtekstnieartykuowanynppodstprawnarozplubpreambua"/>
        <w:rPr>
          <w:lang w:eastAsia="en-US"/>
        </w:rPr>
      </w:pPr>
      <w:r>
        <w:t>W</w:t>
      </w:r>
      <w:r w:rsidRPr="00393E17">
        <w:rPr>
          <w:lang w:eastAsia="en-US"/>
        </w:rPr>
        <w:t xml:space="preserve"> rozumieniu art. </w:t>
      </w:r>
      <w:r>
        <w:t>45 ust. 1 Konstytucji każdy ma prawo do sprawiedliwego i jawnego rozpatrzenia jego sprawy bez nieuzasadnionej zwłoki przez właściwy, niezależny, bezstronny i niezawisły sąd. W piśmiennictwie zaznacza się, że kluczowe znaczenie ma ustalenie zakresu pojęciowego „sprawy”. Istotę analizy zmierzającej do przyznania przez ustawodawcę prawa do skargi na przewlekłość postępowania, stanowi zatem rozstrzygnięcie, czy postępowaniu wykonawczemu w zakresie rozpoznawania przez sąd kwestii np. warunkowego przedterminowego zwolnienia albo decydowania w kwestii udzielenia przerwy można przyznać przymiot „sprawy”.</w:t>
      </w:r>
    </w:p>
    <w:p w14:paraId="3161E364" w14:textId="77777777" w:rsidR="00247124" w:rsidRPr="00876CD3" w:rsidRDefault="00247124" w:rsidP="00BF5DE1">
      <w:pPr>
        <w:pStyle w:val="ARTartustawynprozporzdzenia"/>
      </w:pPr>
      <w:r>
        <w:t xml:space="preserve">W orzecznictwie Trybunału Konstytucyjnego przyjęto szerokie rozumienie tego pojęcia, (autonomiczne wobec ujęcia w procedurze karnej czy cywilnej), zgodnie z którym obejmuje ono wszystkie sytuacje, w których pojawia się konieczność rozstrzygania o prawach danego </w:t>
      </w:r>
      <w:r>
        <w:lastRenderedPageBreak/>
        <w:t>podmiotu w relacji do innego równorzędnego podmiotu lub do władzy publicznej, gdy natura danego stosunku prawnego wyklucza arbitralność rozstrzygania o sytuacji prawnej tego podmiotu przez drugą stronę tego stosunku prawnego (wyrok TK z dnia 10 maja 2000 r., sygn. akt K 21/99).</w:t>
      </w:r>
    </w:p>
    <w:p w14:paraId="135D3D6F" w14:textId="77777777" w:rsidR="00247124" w:rsidRDefault="00247124" w:rsidP="002559A0">
      <w:pPr>
        <w:pStyle w:val="NIEARTTEKSTtekstnieartykuowanynppodstprawnarozplubpreambua"/>
        <w:rPr>
          <w:lang w:eastAsia="en-US"/>
        </w:rPr>
      </w:pPr>
      <w:r>
        <w:t>W omawianym przypadku wąskie rozumienie pojęcia sprawy prowadzi do ograniczenia prawa jednostki do sądu, tymczasem art. 77 ust. 2 Konstytucji stanowi, że żadna ustawa nie może nikomu zamykać drogi sądowej dochodzenia naruszonych wolności lub praw.</w:t>
      </w:r>
    </w:p>
    <w:p w14:paraId="7B0A9773" w14:textId="77777777" w:rsidR="00247124" w:rsidRDefault="00247124" w:rsidP="002559A0">
      <w:pPr>
        <w:pStyle w:val="NIEARTTEKSTtekstnieartykuowanynppodstprawnarozplubpreambua"/>
        <w:rPr>
          <w:lang w:eastAsia="en-US"/>
        </w:rPr>
      </w:pPr>
      <w:r>
        <w:t xml:space="preserve">Stosownie do treści art. 1 </w:t>
      </w:r>
      <w:r>
        <w:rPr>
          <w:rFonts w:cs="Times"/>
        </w:rPr>
        <w:t>§</w:t>
      </w:r>
      <w:r>
        <w:t xml:space="preserve"> 2 Kodeksu karnego wykonawczego, w postępowaniu wykonawczym wiele kwestii rozstrzyganych jest bowiem w postępowaniu jurysdykcyjnym co do ich meritum, kwestii istotnych dla skazanego z punktu widzenia możliwości zrealizowania jego podstawowych interesów np. tego czy dalej będzie odbywał karę pozbawienia wolności w zakładzie karnym w systemie zamkniętym czy na wolności, w systemie dozoru elektronicznego, czy też zostanie warunkowo terminowo zwolniony z odbycia reszty kary.</w:t>
      </w:r>
    </w:p>
    <w:p w14:paraId="60610598" w14:textId="77777777" w:rsidR="00247124" w:rsidRDefault="00247124" w:rsidP="002559A0">
      <w:pPr>
        <w:pStyle w:val="NIEARTTEKSTtekstnieartykuowanynppodstprawnarozplubpreambua"/>
        <w:rPr>
          <w:lang w:eastAsia="en-US"/>
        </w:rPr>
      </w:pPr>
      <w:r>
        <w:t>Konstytucyjne prawo do sądu obejmuje zarówno prawo do wymiaru sprawiedliwości, czyli do uzyskania merytorycznego rozstrzygnięcia w sprawach z zakresu praw jednostki,</w:t>
      </w:r>
      <w:r>
        <w:br/>
        <w:t>jak i prawo do sądowej kontroli aktów, które godzą w konstytucyjne prawa i wolności jednostki (wyrok TK z dnia 3 lipca 2019 r., sygn. akt SK 14/18).</w:t>
      </w:r>
    </w:p>
    <w:p w14:paraId="05208AF0" w14:textId="77777777" w:rsidR="00247124" w:rsidRDefault="00247124" w:rsidP="002559A0">
      <w:pPr>
        <w:pStyle w:val="NIEARTTEKSTtekstnieartykuowanynppodstprawnarozplubpreambua"/>
      </w:pPr>
      <w:r>
        <w:t>Jak zaznacza wnoszący petycję, obowiązujący przepis budzi wątpliwości również co do jego zgodności z konstytucyjną zasadą równości wobec prawa, wyrażoną w art. 32 ust. 1 Konstytucji. Wynika z niej nakaz takiego samego, pod względem prawnym, traktowania podmiotów wyróżnionych ze względu tę samą cechę istotną (relewantną) łączącą tę wyróżnioną kategorię podmiotów z władzą publiczną (wyrok TK z dnia 9 marca 1988 r., sygn. akt U 7/87).</w:t>
      </w:r>
    </w:p>
    <w:p w14:paraId="4C7ED02F" w14:textId="77777777" w:rsidR="00247124" w:rsidRPr="00563BD8" w:rsidRDefault="00247124" w:rsidP="00563BD8">
      <w:pPr>
        <w:pStyle w:val="ARTartustawynprozporzdzenia"/>
      </w:pPr>
      <w:r>
        <w:t>W uchylanym niniejszą nowelizacją przepisie osoby skazane nie są traktowane równorzędnie, czyli tak jak w postępowaniu karnym osoby podejrzane, oskarżeni czy strony (uczestnicy) postępowania cywilnego. W odróżnieniu od tych osób przysługujące im prawo do sądu i prawo do rozpoznania sprawy w rozsądnym terminie nie jest obwarowane gwarancją w postaci prawa skargi na przewlekłość postępowania i rekompensaty finansowej.</w:t>
      </w:r>
    </w:p>
    <w:p w14:paraId="3805815A" w14:textId="77777777" w:rsidR="00247124" w:rsidRDefault="00247124" w:rsidP="007052E1">
      <w:pPr>
        <w:pStyle w:val="NIEARTTEKSTtekstnieartykuowanynppodstprawnarozplubpreambua"/>
      </w:pPr>
      <w:r>
        <w:t xml:space="preserve">Niniejszy projekt ustawy, zmierzający do uchylenia przepisu </w:t>
      </w:r>
      <w:r w:rsidRPr="00A428F6">
        <w:t>art.</w:t>
      </w:r>
      <w:r>
        <w:t xml:space="preserve"> 2 ust. 1b</w:t>
      </w:r>
      <w:r w:rsidRPr="00A428F6">
        <w:t xml:space="preserve"> </w:t>
      </w:r>
      <w:r>
        <w:t>z tekstu ustawy</w:t>
      </w:r>
      <w:r w:rsidRPr="00A428F6">
        <w:t xml:space="preserve"> </w:t>
      </w:r>
      <w:r>
        <w:t xml:space="preserve">o skardze na przewlekłość postępowania, jest efektem przekonania projektodawcy o słuszności </w:t>
      </w:r>
      <w:r>
        <w:lastRenderedPageBreak/>
        <w:t>stanowiska przedstawionego w złożonej do Senatu petycji. Ustawa w nowym brzmieniu przywraca osobom podlegającym rygorom ustawy – Kodeks karny wykonawczy prawo do złożenia skargi na przewlekłość postępowania oraz uzyskania sumy pieniężnej tytułem rekompensaty z tytułu niezgodnego z prawem działania władzy publicznej.</w:t>
      </w:r>
    </w:p>
    <w:p w14:paraId="46403136" w14:textId="77777777" w:rsidR="00247124" w:rsidRDefault="00247124" w:rsidP="007B15CF"/>
    <w:p w14:paraId="27ACC474" w14:textId="77777777" w:rsidR="00247124" w:rsidRPr="00346CDB" w:rsidRDefault="00247124" w:rsidP="00346CDB">
      <w:pPr>
        <w:rPr>
          <w:rStyle w:val="Ppogrubienie"/>
        </w:rPr>
      </w:pPr>
      <w:r>
        <w:rPr>
          <w:rStyle w:val="Ppogrubienie"/>
        </w:rPr>
        <w:t>3</w:t>
      </w:r>
      <w:r w:rsidRPr="00346CDB">
        <w:rPr>
          <w:rStyle w:val="Ppogrubienie"/>
        </w:rPr>
        <w:t>.</w:t>
      </w:r>
      <w:r w:rsidRPr="00346CDB">
        <w:rPr>
          <w:rStyle w:val="Ppogrubienie"/>
        </w:rPr>
        <w:tab/>
        <w:t>Przewidywane skutki proponowanych zmian</w:t>
      </w:r>
    </w:p>
    <w:p w14:paraId="29F955D5" w14:textId="77777777" w:rsidR="00247124" w:rsidRPr="00346CDB" w:rsidRDefault="00247124" w:rsidP="00346CDB">
      <w:pPr>
        <w:pStyle w:val="NIEARTTEKSTtekstnieartykuowanynppodstprawnarozplubpreambua"/>
      </w:pPr>
      <w:r w:rsidRPr="00346CDB">
        <w:t>Oczekiwane skutki społeczne, gospodarcze i finansowe zosta</w:t>
      </w:r>
      <w:r>
        <w:t>ły</w:t>
      </w:r>
      <w:r w:rsidRPr="00346CDB">
        <w:t xml:space="preserve"> przedstawione w</w:t>
      </w:r>
      <w:r>
        <w:t> o</w:t>
      </w:r>
      <w:r w:rsidRPr="00346CDB">
        <w:t xml:space="preserve">cenie </w:t>
      </w:r>
      <w:r>
        <w:t>s</w:t>
      </w:r>
      <w:r w:rsidRPr="00346CDB">
        <w:t xml:space="preserve">kutków </w:t>
      </w:r>
      <w:r>
        <w:t>r</w:t>
      </w:r>
      <w:r w:rsidRPr="00346CDB">
        <w:t>egulacji.</w:t>
      </w:r>
    </w:p>
    <w:p w14:paraId="5D5E8EFD" w14:textId="77777777" w:rsidR="00247124" w:rsidRPr="00346CDB" w:rsidRDefault="00247124" w:rsidP="00346CDB">
      <w:pPr>
        <w:rPr>
          <w:rStyle w:val="Ppogrubienie"/>
        </w:rPr>
      </w:pPr>
    </w:p>
    <w:p w14:paraId="0FA06C1C" w14:textId="77777777" w:rsidR="00247124" w:rsidRPr="00346CDB" w:rsidRDefault="00247124" w:rsidP="00346CDB">
      <w:pPr>
        <w:rPr>
          <w:rStyle w:val="Ppogrubienie"/>
        </w:rPr>
      </w:pPr>
      <w:r>
        <w:rPr>
          <w:rStyle w:val="Ppogrubienie"/>
        </w:rPr>
        <w:t>4</w:t>
      </w:r>
      <w:r w:rsidRPr="00346CDB">
        <w:rPr>
          <w:rStyle w:val="Ppogrubienie"/>
        </w:rPr>
        <w:t>.</w:t>
      </w:r>
      <w:r w:rsidRPr="00346CDB">
        <w:rPr>
          <w:rStyle w:val="Ppogrubienie"/>
        </w:rPr>
        <w:tab/>
        <w:t>Konsultacje</w:t>
      </w:r>
    </w:p>
    <w:p w14:paraId="18602CBD" w14:textId="77777777" w:rsidR="00247124" w:rsidRPr="00346CDB" w:rsidRDefault="00247124" w:rsidP="00346CDB">
      <w:pPr>
        <w:pStyle w:val="NIEARTTEKSTtekstnieartykuowanynppodstprawnarozplubpreambua"/>
      </w:pPr>
      <w:r w:rsidRPr="00346CDB">
        <w:t xml:space="preserve">Nadesłane w ramach konsultacji opinie i uwagi zamieszczone </w:t>
      </w:r>
      <w:r>
        <w:t>są</w:t>
      </w:r>
      <w:r w:rsidRPr="00346CDB">
        <w:t xml:space="preserve"> </w:t>
      </w:r>
      <w:r>
        <w:t xml:space="preserve">na </w:t>
      </w:r>
      <w:r w:rsidRPr="00346CDB">
        <w:t>senackiej stronie internetowej. Wyniki konsultacji zosta</w:t>
      </w:r>
      <w:r>
        <w:t>ły</w:t>
      </w:r>
      <w:r w:rsidRPr="00346CDB">
        <w:t xml:space="preserve"> przedstawione w </w:t>
      </w:r>
      <w:r>
        <w:t>O</w:t>
      </w:r>
      <w:r w:rsidRPr="00346CDB">
        <w:t xml:space="preserve">cenie </w:t>
      </w:r>
      <w:r>
        <w:t>S</w:t>
      </w:r>
      <w:r w:rsidRPr="00346CDB">
        <w:t xml:space="preserve">kutków </w:t>
      </w:r>
      <w:r>
        <w:t>R</w:t>
      </w:r>
      <w:r w:rsidRPr="00346CDB">
        <w:t>egulacji.</w:t>
      </w:r>
    </w:p>
    <w:p w14:paraId="3CA11BD6" w14:textId="77777777" w:rsidR="00247124" w:rsidRDefault="00247124" w:rsidP="007B15CF">
      <w:pPr>
        <w:rPr>
          <w:rStyle w:val="Ppogrubienie"/>
        </w:rPr>
      </w:pPr>
    </w:p>
    <w:p w14:paraId="0BB5BE08" w14:textId="77777777" w:rsidR="00247124" w:rsidRPr="0015321A" w:rsidRDefault="00247124" w:rsidP="00A25DA1">
      <w:pPr>
        <w:rPr>
          <w:rStyle w:val="Ppogrubienie"/>
        </w:rPr>
      </w:pPr>
      <w:r>
        <w:rPr>
          <w:rStyle w:val="Ppogrubienie"/>
        </w:rPr>
        <w:t xml:space="preserve">5. </w:t>
      </w:r>
      <w:r w:rsidRPr="0015321A">
        <w:rPr>
          <w:rStyle w:val="Ppogrubienie"/>
        </w:rPr>
        <w:t>Oświadczenie o zgodności z prawem Unii Europejskiej</w:t>
      </w:r>
    </w:p>
    <w:p w14:paraId="5647F1DA" w14:textId="77777777" w:rsidR="00247124" w:rsidRDefault="00247124" w:rsidP="001367C8">
      <w:pPr>
        <w:pStyle w:val="NIEARTTEKSTtekstnieartykuowanynppodstprawnarozplubpreambua"/>
      </w:pPr>
      <w:r w:rsidRPr="0015321A">
        <w:t>Zakres przedmiotowy projektowanej ustawy</w:t>
      </w:r>
      <w:r>
        <w:t>,</w:t>
      </w:r>
      <w:r w:rsidRPr="0015321A">
        <w:t xml:space="preserve"> </w:t>
      </w:r>
      <w:r>
        <w:t xml:space="preserve">jest zgodny z obowiązującymi w tym zakresie przepisami Unii Europejskiej. </w:t>
      </w:r>
      <w:r w:rsidRPr="000367F4">
        <w:t>Artykuł 47</w:t>
      </w:r>
      <w:r>
        <w:t xml:space="preserve"> Karty Praw Podstawowych UE stanowi o prawie </w:t>
      </w:r>
      <w:r w:rsidRPr="000367F4">
        <w:t>do</w:t>
      </w:r>
      <w:r>
        <w:t> </w:t>
      </w:r>
      <w:r w:rsidRPr="000367F4">
        <w:t>skutecznego środka prawnego i</w:t>
      </w:r>
      <w:r>
        <w:t> </w:t>
      </w:r>
      <w:r w:rsidRPr="000367F4">
        <w:t>dostępu do bezstronnego sądu</w:t>
      </w:r>
      <w:r>
        <w:t xml:space="preserve"> oraz rozpatrzenia sprawy w rozsądnym terminie.</w:t>
      </w:r>
    </w:p>
    <w:p w14:paraId="211613D6" w14:textId="77777777" w:rsidR="00247124" w:rsidRPr="0035392F" w:rsidRDefault="00247124" w:rsidP="00580FCF">
      <w:pPr>
        <w:pStyle w:val="ARTartustawynprozporzdzenia"/>
        <w:rPr>
          <w:rStyle w:val="Kkursywa"/>
        </w:rPr>
      </w:pPr>
      <w:r>
        <w:rPr>
          <w:rStyle w:val="Kkursywa"/>
        </w:rPr>
        <w:t>„</w:t>
      </w:r>
      <w:r w:rsidRPr="0035392F">
        <w:rPr>
          <w:rStyle w:val="Kkursywa"/>
        </w:rPr>
        <w:t>Art. 47</w:t>
      </w:r>
      <w:r>
        <w:rPr>
          <w:rStyle w:val="Kkursywa"/>
        </w:rPr>
        <w:t>.</w:t>
      </w:r>
      <w:r w:rsidRPr="0035392F">
        <w:rPr>
          <w:rStyle w:val="Kkursywa"/>
        </w:rPr>
        <w:t xml:space="preserve"> </w:t>
      </w:r>
      <w:r w:rsidRPr="000367F4">
        <w:rPr>
          <w:rStyle w:val="Kkursywa"/>
        </w:rPr>
        <w:t>Każdy, kogo prawa i wolności zagwarantowane przez prawo Unii zostały naruszone, ma prawo do skutecznego środka prawnego przed sądem, zgodnie z warunkami przewidzianymi w niniejszym artykule. Każdy ma prawo do sprawiedliwego i jawnego rozpatrzenia jego sprawy w rozsądnym terminie przez niezawisły i bezstronny sąd ustanowiony uprzednio na mocy ustawy. Każdy ma możliwość uzyskania porady prawnej, skorzystania z pomocy obrońcy i przedstawiciela. Pomoc prawna jest udzielana osobom, które nie posiadają wystarczających środków, w zakresie w jakim jest ona konieczna dla zapewnienia skutecznego dostępu do wymiaru sprawiedliwości.</w:t>
      </w:r>
      <w:r>
        <w:rPr>
          <w:rStyle w:val="Kkursywa"/>
        </w:rPr>
        <w:t>”.</w:t>
      </w:r>
    </w:p>
    <w:p w14:paraId="7F8E23B7" w14:textId="0AFD1E97" w:rsidR="00247124" w:rsidRPr="004810D7" w:rsidRDefault="00247124" w:rsidP="00093D16">
      <w:pPr>
        <w:pStyle w:val="ARTartustawynprozporzdzenia"/>
      </w:pPr>
    </w:p>
    <w:p w14:paraId="0835F2D9" w14:textId="2A21BD5B" w:rsidR="00A12675" w:rsidRDefault="00A12675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p w14:paraId="02EDDED9" w14:textId="04CFBECE" w:rsidR="00735880" w:rsidRDefault="00735880" w:rsidP="00E231EB">
      <w:pPr>
        <w:pStyle w:val="OZNPROJEKTUwskazaniedatylubwersjiprojektu"/>
      </w:pPr>
    </w:p>
    <w:sectPr w:rsidR="00735880" w:rsidSect="00247124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30ED" w14:textId="77777777" w:rsidR="00933AF7" w:rsidRDefault="00933AF7" w:rsidP="00D82574">
      <w:pPr>
        <w:spacing w:line="240" w:lineRule="auto"/>
      </w:pPr>
      <w:r>
        <w:separator/>
      </w:r>
    </w:p>
  </w:endnote>
  <w:endnote w:type="continuationSeparator" w:id="0">
    <w:p w14:paraId="10A044E9" w14:textId="77777777" w:rsidR="00933AF7" w:rsidRDefault="00933AF7" w:rsidP="00D82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A1876" w14:textId="77777777" w:rsidR="00933AF7" w:rsidRDefault="00933AF7" w:rsidP="00D82574">
      <w:pPr>
        <w:spacing w:line="240" w:lineRule="auto"/>
      </w:pPr>
      <w:r>
        <w:separator/>
      </w:r>
    </w:p>
  </w:footnote>
  <w:footnote w:type="continuationSeparator" w:id="0">
    <w:p w14:paraId="25876C92" w14:textId="77777777" w:rsidR="00933AF7" w:rsidRDefault="00933AF7" w:rsidP="00D82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9362" w14:textId="77777777" w:rsidR="00000000" w:rsidRPr="00B371CC" w:rsidRDefault="0086325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5943358">
    <w:abstractNumId w:val="2"/>
  </w:num>
  <w:num w:numId="2" w16cid:durableId="92089251">
    <w:abstractNumId w:val="2"/>
  </w:num>
  <w:num w:numId="3" w16cid:durableId="1337415179">
    <w:abstractNumId w:val="1"/>
  </w:num>
  <w:num w:numId="4" w16cid:durableId="187840261">
    <w:abstractNumId w:val="1"/>
  </w:num>
  <w:num w:numId="5" w16cid:durableId="1754548787">
    <w:abstractNumId w:val="4"/>
  </w:num>
  <w:num w:numId="6" w16cid:durableId="2014792493">
    <w:abstractNumId w:val="3"/>
  </w:num>
  <w:num w:numId="7" w16cid:durableId="2031297373">
    <w:abstractNumId w:val="4"/>
  </w:num>
  <w:num w:numId="8" w16cid:durableId="1570534514">
    <w:abstractNumId w:val="3"/>
  </w:num>
  <w:num w:numId="9" w16cid:durableId="1680964352">
    <w:abstractNumId w:val="4"/>
  </w:num>
  <w:num w:numId="10" w16cid:durableId="486480536">
    <w:abstractNumId w:val="3"/>
  </w:num>
  <w:num w:numId="11" w16cid:durableId="16405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247124"/>
    <w:rsid w:val="002B0A43"/>
    <w:rsid w:val="00382AAC"/>
    <w:rsid w:val="003B69FA"/>
    <w:rsid w:val="004F1121"/>
    <w:rsid w:val="00524B7E"/>
    <w:rsid w:val="00527E52"/>
    <w:rsid w:val="00531300"/>
    <w:rsid w:val="0056045F"/>
    <w:rsid w:val="006F026C"/>
    <w:rsid w:val="007272A2"/>
    <w:rsid w:val="00735880"/>
    <w:rsid w:val="00777F90"/>
    <w:rsid w:val="007F20E7"/>
    <w:rsid w:val="00863253"/>
    <w:rsid w:val="00874611"/>
    <w:rsid w:val="008758BB"/>
    <w:rsid w:val="008C7EE7"/>
    <w:rsid w:val="00933AF7"/>
    <w:rsid w:val="009D2757"/>
    <w:rsid w:val="00A06AF3"/>
    <w:rsid w:val="00A12675"/>
    <w:rsid w:val="00A64FF7"/>
    <w:rsid w:val="00A67A82"/>
    <w:rsid w:val="00AF364E"/>
    <w:rsid w:val="00B5303C"/>
    <w:rsid w:val="00D82574"/>
    <w:rsid w:val="00D829F5"/>
    <w:rsid w:val="00E106C0"/>
    <w:rsid w:val="00E15D93"/>
    <w:rsid w:val="00E231EB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D8257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82574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8257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82574"/>
    <w:pPr>
      <w:spacing w:before="0"/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82574"/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D82574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2574"/>
    <w:rPr>
      <w:bCs/>
    </w:rPr>
  </w:style>
  <w:style w:type="paragraph" w:customStyle="1" w:styleId="PKTpunkt">
    <w:name w:val="PKT – punkt"/>
    <w:uiPriority w:val="13"/>
    <w:qFormat/>
    <w:rsid w:val="00D8257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styleId="Stopka">
    <w:name w:val="footer"/>
    <w:basedOn w:val="Normalny"/>
    <w:link w:val="StopkaZnak"/>
    <w:uiPriority w:val="99"/>
    <w:unhideWhenUsed/>
    <w:rsid w:val="00D825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574"/>
    <w:rPr>
      <w:rFonts w:eastAsiaTheme="minorEastAsia" w:cs="Arial"/>
      <w:sz w:val="24"/>
    </w:rPr>
  </w:style>
  <w:style w:type="character" w:customStyle="1" w:styleId="Kkursywa">
    <w:name w:val="_K_ – kursywa"/>
    <w:basedOn w:val="Domylnaczcionkaakapitu"/>
    <w:uiPriority w:val="1"/>
    <w:qFormat/>
    <w:rsid w:val="0024712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2025-04-23T09:02:00Z</dcterms:created>
  <dcterms:modified xsi:type="dcterms:W3CDTF">2025-04-23T09:02:00Z</dcterms:modified>
</cp:coreProperties>
</file>