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9900" w14:textId="77777777" w:rsidR="007B3213" w:rsidRPr="00AB615F" w:rsidRDefault="007B3213" w:rsidP="007B3213">
      <w:pPr>
        <w:spacing w:before="120" w:after="0" w:line="360" w:lineRule="auto"/>
        <w:jc w:val="center"/>
        <w:rPr>
          <w:rFonts w:ascii="Times" w:eastAsia="Times New Roman" w:hAnsi="Times" w:cs="Times"/>
          <w:b/>
          <w:color w:val="000000"/>
          <w:kern w:val="0"/>
          <w:sz w:val="24"/>
          <w:szCs w:val="24"/>
          <w:lang w:eastAsia="pl-PL"/>
          <w14:ligatures w14:val="none"/>
        </w:rPr>
      </w:pPr>
      <w:r w:rsidRPr="00AB615F">
        <w:rPr>
          <w:rFonts w:ascii="Times" w:eastAsia="Times New Roman" w:hAnsi="Times" w:cs="Times"/>
          <w:b/>
          <w:color w:val="000000"/>
          <w:kern w:val="0"/>
          <w:sz w:val="24"/>
          <w:szCs w:val="24"/>
          <w:lang w:eastAsia="pl-PL"/>
          <w14:ligatures w14:val="none"/>
        </w:rPr>
        <w:t>UZASADNIENIE</w:t>
      </w:r>
    </w:p>
    <w:p w14:paraId="5C374866" w14:textId="77777777" w:rsidR="007B3213"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sidRPr="00AB615F">
        <w:rPr>
          <w:rFonts w:ascii="Times" w:eastAsia="Times New Roman" w:hAnsi="Times" w:cs="Times"/>
          <w:color w:val="000000"/>
          <w:kern w:val="0"/>
          <w:sz w:val="24"/>
          <w:szCs w:val="24"/>
          <w:lang w:eastAsia="pl-PL"/>
          <w14:ligatures w14:val="none"/>
        </w:rPr>
        <w:t xml:space="preserve">Celem proponowanego projektu jest </w:t>
      </w:r>
      <w:r>
        <w:rPr>
          <w:rFonts w:ascii="Times" w:eastAsia="Times New Roman" w:hAnsi="Times" w:cs="Times"/>
          <w:color w:val="000000"/>
          <w:kern w:val="0"/>
          <w:sz w:val="24"/>
          <w:szCs w:val="24"/>
          <w:lang w:eastAsia="pl-PL"/>
          <w14:ligatures w14:val="none"/>
        </w:rPr>
        <w:t>zwiększenie</w:t>
      </w:r>
      <w:r w:rsidRPr="00AB615F">
        <w:rPr>
          <w:rFonts w:ascii="Times" w:eastAsia="Times New Roman" w:hAnsi="Times" w:cs="Times"/>
          <w:color w:val="000000"/>
          <w:kern w:val="0"/>
          <w:sz w:val="24"/>
          <w:szCs w:val="24"/>
          <w:lang w:eastAsia="pl-PL"/>
          <w14:ligatures w14:val="none"/>
        </w:rPr>
        <w:t xml:space="preserve"> profesjonalizmu i fachowości w </w:t>
      </w:r>
      <w:r>
        <w:rPr>
          <w:rFonts w:ascii="Times" w:eastAsia="Times New Roman" w:hAnsi="Times" w:cs="Times"/>
          <w:color w:val="000000"/>
          <w:kern w:val="0"/>
          <w:sz w:val="24"/>
          <w:szCs w:val="24"/>
          <w:lang w:eastAsia="pl-PL"/>
          <w14:ligatures w14:val="none"/>
        </w:rPr>
        <w:t>nadzorowaniu</w:t>
      </w:r>
      <w:r w:rsidRPr="00AB615F">
        <w:rPr>
          <w:rFonts w:ascii="Times" w:eastAsia="Times New Roman" w:hAnsi="Times" w:cs="Times"/>
          <w:color w:val="000000"/>
          <w:kern w:val="0"/>
          <w:sz w:val="24"/>
          <w:szCs w:val="24"/>
          <w:lang w:eastAsia="pl-PL"/>
          <w14:ligatures w14:val="none"/>
        </w:rPr>
        <w:t xml:space="preserve"> majątk</w:t>
      </w:r>
      <w:r>
        <w:rPr>
          <w:rFonts w:ascii="Times" w:eastAsia="Times New Roman" w:hAnsi="Times" w:cs="Times"/>
          <w:color w:val="000000"/>
          <w:kern w:val="0"/>
          <w:sz w:val="24"/>
          <w:szCs w:val="24"/>
          <w:lang w:eastAsia="pl-PL"/>
          <w14:ligatures w14:val="none"/>
        </w:rPr>
        <w:t>u</w:t>
      </w:r>
      <w:r w:rsidRPr="00AB615F">
        <w:rPr>
          <w:rFonts w:ascii="Times" w:eastAsia="Times New Roman" w:hAnsi="Times" w:cs="Times"/>
          <w:color w:val="000000"/>
          <w:kern w:val="0"/>
          <w:sz w:val="24"/>
          <w:szCs w:val="24"/>
          <w:lang w:eastAsia="pl-PL"/>
          <w14:ligatures w14:val="none"/>
        </w:rPr>
        <w:t xml:space="preserve"> publiczn</w:t>
      </w:r>
      <w:r>
        <w:rPr>
          <w:rFonts w:ascii="Times" w:eastAsia="Times New Roman" w:hAnsi="Times" w:cs="Times"/>
          <w:color w:val="000000"/>
          <w:kern w:val="0"/>
          <w:sz w:val="24"/>
          <w:szCs w:val="24"/>
          <w:lang w:eastAsia="pl-PL"/>
          <w14:ligatures w14:val="none"/>
        </w:rPr>
        <w:t>ego</w:t>
      </w:r>
      <w:r w:rsidRPr="00AB615F">
        <w:rPr>
          <w:rFonts w:ascii="Times" w:eastAsia="Times New Roman" w:hAnsi="Times" w:cs="Times"/>
          <w:color w:val="000000"/>
          <w:kern w:val="0"/>
          <w:sz w:val="24"/>
          <w:szCs w:val="24"/>
          <w:lang w:eastAsia="pl-PL"/>
          <w14:ligatures w14:val="none"/>
        </w:rPr>
        <w:t xml:space="preserve">. </w:t>
      </w:r>
      <w:r>
        <w:rPr>
          <w:rFonts w:ascii="Times" w:eastAsia="Times New Roman" w:hAnsi="Times" w:cs="Times"/>
          <w:color w:val="000000"/>
          <w:kern w:val="0"/>
          <w:sz w:val="24"/>
          <w:szCs w:val="24"/>
          <w:lang w:eastAsia="pl-PL"/>
          <w14:ligatures w14:val="none"/>
        </w:rPr>
        <w:t>P</w:t>
      </w:r>
      <w:r w:rsidRPr="00AB615F">
        <w:rPr>
          <w:rFonts w:ascii="Times" w:eastAsia="Times New Roman" w:hAnsi="Times" w:cs="Times"/>
          <w:color w:val="000000"/>
          <w:kern w:val="0"/>
          <w:sz w:val="24"/>
          <w:szCs w:val="24"/>
          <w:lang w:eastAsia="pl-PL"/>
          <w14:ligatures w14:val="none"/>
        </w:rPr>
        <w:t xml:space="preserve">rojekt koncentruje się zwłaszcza na podniesieniu wymogów kwalifikacyjnych i zaostrzeniu kryteriów wykluczających dla kandydatów do rad nadzorczych spółek z udziałem Skarbu Państwa. </w:t>
      </w:r>
      <w:r>
        <w:rPr>
          <w:rFonts w:ascii="Times" w:eastAsia="Times New Roman" w:hAnsi="Times" w:cs="Times"/>
          <w:color w:val="000000"/>
          <w:kern w:val="0"/>
          <w:sz w:val="24"/>
          <w:szCs w:val="24"/>
          <w:lang w:eastAsia="pl-PL"/>
          <w14:ligatures w14:val="none"/>
        </w:rPr>
        <w:t xml:space="preserve">Wprowadza w tym celu instytucję członka niezależnego powoływanego w otwartej procedurze konkursowej. Projekt przewiduje również warunek zachowania wymogów ustawowych w zakresie fachowości, niezależności oraz niekaralności przez czas pełnienia funkcji członka rady nadzorczej z zagrożeniem odwołania członka rady nadzorczej. Dodatkowo projekt zakłada wprowadzenie jawnego rejestru wynagrodzeń członków organów nadzorczych i zarządzających </w:t>
      </w:r>
      <w:r w:rsidRPr="00EA672D">
        <w:rPr>
          <w:rFonts w:ascii="Times" w:eastAsia="Times New Roman" w:hAnsi="Times" w:cs="Times"/>
          <w:color w:val="000000"/>
          <w:kern w:val="0"/>
          <w:sz w:val="24"/>
          <w:szCs w:val="24"/>
          <w:lang w:eastAsia="pl-PL"/>
          <w14:ligatures w14:val="none"/>
        </w:rPr>
        <w:t>spółek z udziałem Skarbu Państwa lub państwowych osób prawnych</w:t>
      </w:r>
      <w:r>
        <w:rPr>
          <w:rFonts w:ascii="Times" w:eastAsia="Times New Roman" w:hAnsi="Times" w:cs="Times"/>
          <w:color w:val="000000"/>
          <w:kern w:val="0"/>
          <w:sz w:val="24"/>
          <w:szCs w:val="24"/>
          <w:lang w:eastAsia="pl-PL"/>
          <w14:ligatures w14:val="none"/>
        </w:rPr>
        <w:t xml:space="preserve"> i zakazu wpłat członków rad nadzorczych i organów zarządzających. </w:t>
      </w:r>
    </w:p>
    <w:p w14:paraId="4FE1621F" w14:textId="77777777" w:rsidR="007B3213"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Projektodawca powyższymi rozwiązaniami planuje poczynić istotny krok w kierunku odpolitycznienia spółek z udziałem Skarbu Państwa, wzmocnienia ich fachowości oraz ograniczenia zjawiska korupcji politycznej. </w:t>
      </w:r>
    </w:p>
    <w:p w14:paraId="147E1CC6" w14:textId="77777777" w:rsidR="007B3213" w:rsidRDefault="007B3213" w:rsidP="004C4C26">
      <w:pPr>
        <w:pStyle w:val="ZPKTzmpktartykuempunktem"/>
        <w:ind w:left="0" w:firstLine="360"/>
      </w:pPr>
      <w:r>
        <w:rPr>
          <w:rFonts w:eastAsia="Times New Roman" w:cs="Times"/>
          <w:color w:val="000000"/>
          <w:szCs w:val="24"/>
        </w:rPr>
        <w:t xml:space="preserve">Na wstępie zaznaczyć należy, że ustawa obejmuje swym zakresem spółki z udziałem Skarbu Państwa oraz z udziałem państwowych osób prawnych. Członkowie niezależni zasiądą we wszystkich spółkach z udziałem Skarbu Państwa lub z udziałem państwowych osób prawnych, w których Skarb Państwa bezpośrednio lub pośrednio ma wpływ na wybieranie co najmniej 70% członków rad nadzorczych. Taka konstrukcja pozwoli na zachowanie nadzoru ministerialnego nad radą nadzorczą, co było podnoszone jako konieczne przez posłów w trakcie prac nad projektem </w:t>
      </w:r>
      <w:r w:rsidRPr="00C3434B">
        <w:rPr>
          <w:rFonts w:eastAsia="Times New Roman" w:cs="Times"/>
          <w:color w:val="000000"/>
          <w:szCs w:val="24"/>
        </w:rPr>
        <w:t xml:space="preserve">ustawy o zmianie niektórych ustaw w celu naprawy ładu korporacyjnego w spółkach z udziałem Skarbu Państwa </w:t>
      </w:r>
      <w:r>
        <w:rPr>
          <w:rFonts w:eastAsia="Times New Roman" w:cs="Times"/>
          <w:color w:val="000000"/>
          <w:szCs w:val="24"/>
        </w:rPr>
        <w:t xml:space="preserve">(druk nr 261). Pozwala jednak w szerszym zakresie, niż proponowano uprzednio, na wybór członków niezależnych. Poprzedni projekt ograniczał się wyłącznie do spółek </w:t>
      </w:r>
      <w:r w:rsidRPr="00C32367">
        <w:rPr>
          <w:rFonts w:eastAsia="Times New Roman" w:cs="Times"/>
          <w:color w:val="000000"/>
          <w:szCs w:val="24"/>
        </w:rPr>
        <w:t>, w któr</w:t>
      </w:r>
      <w:r>
        <w:rPr>
          <w:rFonts w:eastAsia="Times New Roman" w:cs="Times"/>
          <w:color w:val="000000"/>
          <w:szCs w:val="24"/>
        </w:rPr>
        <w:t>ych</w:t>
      </w:r>
      <w:r w:rsidRPr="00C32367">
        <w:rPr>
          <w:rFonts w:eastAsia="Times New Roman" w:cs="Times"/>
          <w:color w:val="000000"/>
          <w:szCs w:val="24"/>
        </w:rPr>
        <w:t xml:space="preserve"> Skarb Państwa, jednoosobowa spółka Skarbu Państwa lub państwowa osoba prawna jest jedynym wspólnikiem lub akcjonariuszem</w:t>
      </w:r>
      <w:r>
        <w:rPr>
          <w:rFonts w:eastAsia="Times New Roman" w:cs="Times"/>
          <w:color w:val="000000"/>
          <w:szCs w:val="24"/>
        </w:rPr>
        <w:t xml:space="preserve">. Obecny projekt dotyczy wszystkich spółek z udziałem Skarbu Państwa lub państwowych osób prawnych, w których Skarb Państwa bezpośrednio lub pośrednio ma wpływ na wybór ponad 70% składu rady nadzorczej. Członka niezależnego rady nadzorczej oprócz dodatkowych wymogów apolityczności charakteryzować będzie sposób wyłonienia w drodze otwartego konkursu, którego zasady projekt szczegółowo opisuje. W </w:t>
      </w:r>
      <w:r w:rsidRPr="00366721">
        <w:rPr>
          <w:rFonts w:eastAsia="Times New Roman" w:cs="Times"/>
          <w:color w:val="000000"/>
          <w:szCs w:val="24"/>
        </w:rPr>
        <w:t xml:space="preserve">szczególności </w:t>
      </w:r>
      <w:r w:rsidRPr="00366721">
        <w:rPr>
          <w:rFonts w:eastAsia="Times New Roman" w:cs="Times"/>
          <w:color w:val="000000"/>
          <w:szCs w:val="24"/>
        </w:rPr>
        <w:lastRenderedPageBreak/>
        <w:t>członkiem niezależnym będzie mogła zostać osoba</w:t>
      </w:r>
      <w:r>
        <w:rPr>
          <w:rFonts w:eastAsia="Times New Roman" w:cs="Times"/>
          <w:color w:val="000000"/>
          <w:szCs w:val="24"/>
        </w:rPr>
        <w:t>, która</w:t>
      </w:r>
      <w:r w:rsidRPr="00E97A9C">
        <w:t xml:space="preserve"> </w:t>
      </w:r>
      <w:r>
        <w:t xml:space="preserve">w okresie 2 lat przed dniem powołania do organu nadzorczego: </w:t>
      </w:r>
    </w:p>
    <w:p w14:paraId="4522A5C8" w14:textId="77777777" w:rsidR="007B3213" w:rsidRDefault="007B3213" w:rsidP="007B3213">
      <w:pPr>
        <w:pStyle w:val="ZLITwPKTzmlitwpktartykuempunktem"/>
        <w:numPr>
          <w:ilvl w:val="0"/>
          <w:numId w:val="2"/>
        </w:numPr>
      </w:pPr>
      <w:r>
        <w:t>nie należała do partii politycznej,</w:t>
      </w:r>
    </w:p>
    <w:p w14:paraId="5D3EB8EE" w14:textId="77777777" w:rsidR="007B3213" w:rsidRDefault="007B3213" w:rsidP="007B3213">
      <w:pPr>
        <w:pStyle w:val="ZLITwPKTzmlitwpktartykuempunktem"/>
        <w:numPr>
          <w:ilvl w:val="0"/>
          <w:numId w:val="2"/>
        </w:numPr>
      </w:pPr>
      <w:r>
        <w:t>nie sprawowała mandatu posła, senatora, posła do Parlamentu Europejskiego lub radnego,</w:t>
      </w:r>
    </w:p>
    <w:p w14:paraId="4A49630B" w14:textId="77777777" w:rsidR="007B3213" w:rsidRDefault="007B3213" w:rsidP="007B3213">
      <w:pPr>
        <w:pStyle w:val="ZLITwPKTzmlitwpktartykuempunktem"/>
        <w:numPr>
          <w:ilvl w:val="0"/>
          <w:numId w:val="2"/>
        </w:numPr>
      </w:pPr>
      <w:r>
        <w:t>nie pełniła funkcji wymienionej w art. 1 lub art. 2 ustawy z dnia 21 sierpnia 1997 r. o ograniczeniu prowadzenia działalności gospodarczej przez osoby pełniące funkcje publiczne (Dz. U. z 2023 r. poz. 1090 oraz z 2024 r. poz. 184),</w:t>
      </w:r>
    </w:p>
    <w:p w14:paraId="7C697C00" w14:textId="77777777" w:rsidR="007B3213" w:rsidRDefault="007B3213" w:rsidP="007B3213">
      <w:pPr>
        <w:pStyle w:val="ZLITwPKTzmlitwpktartykuempunktem"/>
        <w:numPr>
          <w:ilvl w:val="0"/>
          <w:numId w:val="2"/>
        </w:numPr>
      </w:pPr>
      <w:r>
        <w:t>nie była zatrudniona przez partię polityczną na podstawie umowy o pracę lub nie świadczyła pracy lub usługi na podstawie umowy zlecenia lub innej umowy o podobnym charakterze,</w:t>
      </w:r>
    </w:p>
    <w:p w14:paraId="75C7187D" w14:textId="77777777" w:rsidR="007B3213" w:rsidRDefault="007B3213" w:rsidP="007B3213">
      <w:pPr>
        <w:pStyle w:val="ZLITwPKTzmlitwpktartykuempunktem"/>
        <w:numPr>
          <w:ilvl w:val="0"/>
          <w:numId w:val="2"/>
        </w:numPr>
      </w:pPr>
      <w:r>
        <w:t>nie pełniła funkcji społecznego współpracownika albo nie była zatrudniona w biurze poselskim, senatorskim, poselsko-senatorskim lub biurze posła do Parlamentu Europejskiego na podstawie umowy o pracę lub nie świadczyła pracy na podstawie umowy zlecenia lub innej umowy o podobnym charakterze;</w:t>
      </w:r>
    </w:p>
    <w:p w14:paraId="7203636D" w14:textId="77777777" w:rsidR="007B3213" w:rsidRDefault="007B3213" w:rsidP="007B3213">
      <w:pPr>
        <w:spacing w:before="120" w:after="0" w:line="360" w:lineRule="auto"/>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            Istotny będzie sposób wyłonienia członka niezależnego w otwartej procedurze konkursowej. Informacja o konkursie pojawi się na stronie Biuletynu Informacji Publicznej Kancelarii Prezesa Rady Ministrów. 14-dniowy termin od dnia ogłoszenia o zasadach konkursu do dnia upływu terminu zgłaszania kandydatów ma na celu zapewnienie udziału jak najszerszej grupie osób. Z przeprowadzonego konkursu dokumentacja przekazywana jest Radzie do spraw spółek, która w przypadku naruszenia procedury przeprowadzenia konkursu może go unieważnić. Wadliwa procedura konkursowa może stanowić też podstawę odwołania wniesionego przez uczestniczącego w konkursie kandydata. Szczegółowe zasady przeprowadzenia procedury konkursowej określi </w:t>
      </w:r>
      <w:r w:rsidRPr="008C69D6">
        <w:rPr>
          <w:rFonts w:ascii="Times" w:eastAsia="Times New Roman" w:hAnsi="Times" w:cs="Times"/>
          <w:color w:val="000000"/>
          <w:kern w:val="0"/>
          <w:sz w:val="24"/>
          <w:szCs w:val="24"/>
          <w:lang w:eastAsia="pl-PL"/>
          <w14:ligatures w14:val="none"/>
        </w:rPr>
        <w:t>statut spółki lub uchwała walnego zgromadzenia spółki</w:t>
      </w:r>
      <w:r>
        <w:rPr>
          <w:rFonts w:ascii="Times" w:eastAsia="Times New Roman" w:hAnsi="Times" w:cs="Times"/>
          <w:color w:val="000000"/>
          <w:kern w:val="0"/>
          <w:sz w:val="24"/>
          <w:szCs w:val="24"/>
          <w:lang w:eastAsia="pl-PL"/>
          <w14:ligatures w14:val="none"/>
        </w:rPr>
        <w:t>.</w:t>
      </w:r>
    </w:p>
    <w:p w14:paraId="070A3BB8" w14:textId="77777777" w:rsidR="007B3213"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Projektodawca odstąpił od uregulowania sztywnej liczby członków rad nadzorczych </w:t>
      </w:r>
      <w:r w:rsidRPr="007370BB">
        <w:rPr>
          <w:rFonts w:ascii="Times" w:eastAsia="Times New Roman" w:hAnsi="Times" w:cs="Times"/>
          <w:color w:val="000000"/>
          <w:kern w:val="0"/>
          <w:sz w:val="24"/>
          <w:szCs w:val="24"/>
          <w:lang w:eastAsia="pl-PL"/>
          <w14:ligatures w14:val="none"/>
        </w:rPr>
        <w:t>proponowanej w poprzednim projekcie (nr druku 261)</w:t>
      </w:r>
      <w:r>
        <w:rPr>
          <w:rFonts w:ascii="Times" w:eastAsia="Times New Roman" w:hAnsi="Times" w:cs="Times"/>
          <w:color w:val="000000"/>
          <w:kern w:val="0"/>
          <w:sz w:val="24"/>
          <w:szCs w:val="24"/>
          <w:lang w:eastAsia="pl-PL"/>
          <w14:ligatures w14:val="none"/>
        </w:rPr>
        <w:t xml:space="preserve"> na rzecz tego, by każdy członek rady nadzorczej powyżej 70% członków rady nadzorczej wybieranej przez przedstawiciela Skarbu Państwa był członkiem niezależnym w rozumieniu ustawy. </w:t>
      </w:r>
    </w:p>
    <w:p w14:paraId="2EA1C3B5" w14:textId="77777777" w:rsidR="007B3213"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Problem braku apolityczności jest szeroko opisany przez przedstawicieli nauki. </w:t>
      </w:r>
      <w:r w:rsidRPr="005B2743">
        <w:rPr>
          <w:rFonts w:ascii="Times" w:eastAsia="Times New Roman" w:hAnsi="Times" w:cs="Times"/>
          <w:color w:val="000000"/>
          <w:kern w:val="0"/>
          <w:sz w:val="24"/>
          <w:szCs w:val="24"/>
          <w:lang w:eastAsia="pl-PL"/>
          <w14:ligatures w14:val="none"/>
        </w:rPr>
        <w:t xml:space="preserve"> </w:t>
      </w:r>
      <w:r>
        <w:rPr>
          <w:rFonts w:ascii="Times" w:eastAsia="Times New Roman" w:hAnsi="Times" w:cs="Times"/>
          <w:color w:val="000000"/>
          <w:kern w:val="0"/>
          <w:sz w:val="24"/>
          <w:szCs w:val="24"/>
          <w:lang w:eastAsia="pl-PL"/>
          <w14:ligatures w14:val="none"/>
        </w:rPr>
        <w:t>,,Z</w:t>
      </w:r>
      <w:r w:rsidRPr="005B2743">
        <w:rPr>
          <w:rFonts w:ascii="Times" w:eastAsia="Times New Roman" w:hAnsi="Times" w:cs="Times"/>
          <w:color w:val="000000"/>
          <w:kern w:val="0"/>
          <w:sz w:val="24"/>
          <w:szCs w:val="24"/>
          <w:lang w:eastAsia="pl-PL"/>
          <w14:ligatures w14:val="none"/>
        </w:rPr>
        <w:t xml:space="preserve">wraca się uwagę, że część rad nadzorczych nie wykorzystuje w pełni posiadanych uprawnień do wykonywania zadań nadzorczych. Wskazuje się, że wynika to ze słabego przygotowania </w:t>
      </w:r>
      <w:r w:rsidRPr="005B2743">
        <w:rPr>
          <w:rFonts w:ascii="Times" w:eastAsia="Times New Roman" w:hAnsi="Times" w:cs="Times"/>
          <w:color w:val="000000"/>
          <w:kern w:val="0"/>
          <w:sz w:val="24"/>
          <w:szCs w:val="24"/>
          <w:lang w:eastAsia="pl-PL"/>
          <w14:ligatures w14:val="none"/>
        </w:rPr>
        <w:lastRenderedPageBreak/>
        <w:t>zawodowego części członków rad nadzorczych, w szczególności niewystarczającej znajomości obowiązujących przepisów prawnych, uległości wobec nacisków ze strony zarządów, braku umiejętności w układaniu efektywnej współpracy z zarządem, a także unikania współpracy z organizacjami związkowymi</w:t>
      </w:r>
      <w:r>
        <w:rPr>
          <w:rFonts w:ascii="Times" w:eastAsia="Times New Roman" w:hAnsi="Times" w:cs="Times"/>
          <w:color w:val="000000"/>
          <w:kern w:val="0"/>
          <w:sz w:val="24"/>
          <w:szCs w:val="24"/>
          <w:lang w:eastAsia="pl-PL"/>
          <w14:ligatures w14:val="none"/>
        </w:rPr>
        <w:t>”</w:t>
      </w:r>
      <w:r w:rsidRPr="005B2743">
        <w:rPr>
          <w:rFonts w:ascii="Times" w:eastAsia="Times New Roman" w:hAnsi="Times" w:cs="Times"/>
          <w:color w:val="000000"/>
          <w:kern w:val="0"/>
          <w:sz w:val="24"/>
          <w:szCs w:val="24"/>
          <w:lang w:eastAsia="pl-PL"/>
          <w14:ligatures w14:val="none"/>
        </w:rPr>
        <w:t xml:space="preserve"> (tak E. Bryl-Warewicz, M. Sobański [w:] Nadzór właścicielski Skarbu Państwa, red. E. Bryl-Warewicz, Warszawa 2002, s. 69). W doktrynie podnoszono</w:t>
      </w:r>
      <w:r>
        <w:rPr>
          <w:rFonts w:ascii="Times" w:eastAsia="Times New Roman" w:hAnsi="Times" w:cs="Times"/>
          <w:color w:val="000000"/>
          <w:kern w:val="0"/>
          <w:sz w:val="24"/>
          <w:szCs w:val="24"/>
          <w:lang w:eastAsia="pl-PL"/>
          <w14:ligatures w14:val="none"/>
        </w:rPr>
        <w:t xml:space="preserve"> kwestie</w:t>
      </w:r>
      <w:r w:rsidRPr="005B2743">
        <w:rPr>
          <w:rFonts w:ascii="Times" w:eastAsia="Times New Roman" w:hAnsi="Times" w:cs="Times"/>
          <w:color w:val="000000"/>
          <w:kern w:val="0"/>
          <w:sz w:val="24"/>
          <w:szCs w:val="24"/>
          <w:lang w:eastAsia="pl-PL"/>
          <w14:ligatures w14:val="none"/>
        </w:rPr>
        <w:t>, że rady nadzorcze w spółkach z udziałem Skarbu Państwa nie wykazywały należytej dbałości o interesy spółek, wykonywany przez nie nadzór nie był skuteczny i nie zapobiegał naruszaniu interesów spółek i ich akcjonariuszy. Jednej z przyczyn tego stanu upatrywano w dobieraniu członków rad nie ze względu na ich kwalifikacje, lecz koneksje polityczne i koleżeńskie (I.B. Mika, J. Szwaja [w:] S. Sołtysiński, A. Szajkowski, A. Szumański, J. Szwaja, Kodeks spółek handlowych, t. 3, Spółka akcyjna. Komentarz do artykułów 301–490, Warszawa 2013, kom. do art. 385, nb 22). Również w Zasadach nadzoru właścicielskiego nad spółkami z udziałem Skarbu Państwa, wydanych w 2017 r. przez Prezesa Rady Ministrów, wskazano, że dobór właściwie przygotowanych członków organów nadzorczych jest istotny dla zapewnienia prawidłowego funkcjonowania nadzoru właścicielskiego</w:t>
      </w:r>
      <w:r>
        <w:rPr>
          <w:rFonts w:ascii="Times" w:eastAsia="Times New Roman" w:hAnsi="Times" w:cs="Times"/>
          <w:color w:val="000000"/>
          <w:kern w:val="0"/>
          <w:sz w:val="24"/>
          <w:szCs w:val="24"/>
          <w:lang w:eastAsia="pl-PL"/>
          <w14:ligatures w14:val="none"/>
        </w:rPr>
        <w:t>. (</w:t>
      </w:r>
      <w:r w:rsidRPr="00DB3551">
        <w:rPr>
          <w:rFonts w:ascii="Times" w:eastAsia="Times New Roman" w:hAnsi="Times" w:cs="Times"/>
          <w:color w:val="000000"/>
          <w:kern w:val="0"/>
          <w:sz w:val="24"/>
          <w:szCs w:val="24"/>
          <w:lang w:eastAsia="pl-PL"/>
          <w14:ligatures w14:val="none"/>
        </w:rPr>
        <w:t>A. Daszkiewicz [w:] Zasady zarządzania mieniem państwowym. Komentarz, Warszawa 2020, art. 19.</w:t>
      </w:r>
      <w:r>
        <w:rPr>
          <w:rFonts w:ascii="Times" w:eastAsia="Times New Roman" w:hAnsi="Times" w:cs="Times"/>
          <w:color w:val="000000"/>
          <w:kern w:val="0"/>
          <w:sz w:val="24"/>
          <w:szCs w:val="24"/>
          <w:lang w:eastAsia="pl-PL"/>
          <w14:ligatures w14:val="none"/>
        </w:rPr>
        <w:t>).</w:t>
      </w:r>
    </w:p>
    <w:p w14:paraId="0EDDC3A2" w14:textId="77777777" w:rsidR="007B3213"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W zakresie wymogów fachowości projektodawca dostrzega potrzebę prawnej reakcji na przyznawane masowo z naruszeniem zasad kształcenia dyplomy MBA. Zdaniem projektodawców dyplomy MBA uznawane na potrzeby rekrutacji do rad nadzorczych spółek z udziałem Skarbu Państwa powinny być wydawane przez uczelnie posiadające akredytację instytucji, która</w:t>
      </w:r>
      <w:r w:rsidRPr="00040E42">
        <w:rPr>
          <w:rFonts w:ascii="Times" w:eastAsia="Times New Roman" w:hAnsi="Times" w:cs="Times"/>
          <w:color w:val="000000"/>
          <w:kern w:val="0"/>
          <w:sz w:val="24"/>
          <w:szCs w:val="24"/>
          <w:lang w:eastAsia="pl-PL"/>
          <w14:ligatures w14:val="none"/>
        </w:rPr>
        <w:t xml:space="preserve"> zweryfikowa</w:t>
      </w:r>
      <w:r>
        <w:rPr>
          <w:rFonts w:ascii="Times" w:eastAsia="Times New Roman" w:hAnsi="Times" w:cs="Times"/>
          <w:color w:val="000000"/>
          <w:kern w:val="0"/>
          <w:sz w:val="24"/>
          <w:szCs w:val="24"/>
          <w:lang w:eastAsia="pl-PL"/>
          <w14:ligatures w14:val="none"/>
        </w:rPr>
        <w:t>ła</w:t>
      </w:r>
      <w:r w:rsidRPr="00040E42">
        <w:rPr>
          <w:rFonts w:ascii="Times" w:eastAsia="Times New Roman" w:hAnsi="Times" w:cs="Times"/>
          <w:color w:val="000000"/>
          <w:kern w:val="0"/>
          <w:sz w:val="24"/>
          <w:szCs w:val="24"/>
          <w:lang w:eastAsia="pl-PL"/>
          <w14:ligatures w14:val="none"/>
        </w:rPr>
        <w:t xml:space="preserve"> standardy nauczania.</w:t>
      </w:r>
      <w:r>
        <w:rPr>
          <w:rFonts w:ascii="Times" w:eastAsia="Times New Roman" w:hAnsi="Times" w:cs="Times"/>
          <w:color w:val="000000"/>
          <w:kern w:val="0"/>
          <w:sz w:val="24"/>
          <w:szCs w:val="24"/>
          <w:lang w:eastAsia="pl-PL"/>
          <w14:ligatures w14:val="none"/>
        </w:rPr>
        <w:t xml:space="preserve"> Wykaz takich instytucji prowadzić będzie minister aktywów państwowych. Nie niweczy to uznawania dyplomów MBA przez inne instytucje czy pracodawców, jednak w radach nadzorczych spółek Skarbu Państwa powinny zasiadać osoby, których wykształcenie nie budzi wątpliwości.</w:t>
      </w:r>
    </w:p>
    <w:p w14:paraId="6CA6DF43" w14:textId="77777777" w:rsidR="007B3213" w:rsidRPr="00AB615F"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Wprowadzony zostanie wymóg posiadania doświadczenia na stanowisku kierowniczym oraz niekaralności. Pierwszy ma na celu łączenie walorów wykształcenia z doświadczeniem, drugi odnosi się do poszanowania prawa. </w:t>
      </w:r>
      <w:r w:rsidRPr="00946D38">
        <w:rPr>
          <w:rFonts w:ascii="Times" w:eastAsia="Times New Roman" w:hAnsi="Times" w:cs="Times"/>
          <w:color w:val="000000"/>
          <w:kern w:val="0"/>
          <w:sz w:val="24"/>
          <w:szCs w:val="24"/>
          <w:lang w:eastAsia="pl-PL"/>
          <w14:ligatures w14:val="none"/>
        </w:rPr>
        <w:t>Obecnie wymóg przedłożenia zaświadczenia o niekaralności ujęty jest w wykazie dokumentów składanych do wniosku o wydanie opinii przez Radę do spraw spółek z udziałem Skarbu Państwa i</w:t>
      </w:r>
      <w:r>
        <w:rPr>
          <w:rFonts w:ascii="Times" w:eastAsia="Times New Roman" w:hAnsi="Times" w:cs="Times"/>
          <w:color w:val="000000"/>
          <w:kern w:val="0"/>
          <w:sz w:val="24"/>
          <w:szCs w:val="24"/>
          <w:lang w:eastAsia="pl-PL"/>
          <w14:ligatures w14:val="none"/>
        </w:rPr>
        <w:t xml:space="preserve"> </w:t>
      </w:r>
      <w:r w:rsidRPr="00946D38">
        <w:rPr>
          <w:rFonts w:ascii="Times" w:eastAsia="Times New Roman" w:hAnsi="Times" w:cs="Times"/>
          <w:color w:val="000000"/>
          <w:kern w:val="0"/>
          <w:sz w:val="24"/>
          <w:szCs w:val="24"/>
          <w:lang w:eastAsia="pl-PL"/>
          <w14:ligatures w14:val="none"/>
        </w:rPr>
        <w:t>państwowych osób prawnych, a nie jest materialnoprawną przesłanką do bycia członkiem organu nadzoru.</w:t>
      </w:r>
      <w:r>
        <w:rPr>
          <w:rFonts w:ascii="Times" w:eastAsia="Times New Roman" w:hAnsi="Times" w:cs="Times"/>
          <w:color w:val="000000"/>
          <w:kern w:val="0"/>
          <w:sz w:val="24"/>
          <w:szCs w:val="24"/>
          <w:lang w:eastAsia="pl-PL"/>
          <w14:ligatures w14:val="none"/>
        </w:rPr>
        <w:t xml:space="preserve"> W ujęciu praktycznym, skazanie prawomocnym wyrokiem za umyślne popełnienie przestępstwa lub przestępstwa skarbowego stanowić będzie </w:t>
      </w:r>
      <w:r>
        <w:rPr>
          <w:rFonts w:ascii="Times" w:eastAsia="Times New Roman" w:hAnsi="Times" w:cs="Times"/>
          <w:color w:val="000000"/>
          <w:kern w:val="0"/>
          <w:sz w:val="24"/>
          <w:szCs w:val="24"/>
          <w:lang w:eastAsia="pl-PL"/>
          <w14:ligatures w14:val="none"/>
        </w:rPr>
        <w:lastRenderedPageBreak/>
        <w:t xml:space="preserve">przesłankę do odwołania z funkcji członka organu nadzorczego. Służyć temu będzie instytucja - odwołania członka rady nadzorczej w przypadku utraty wymogów koniecznych do pełnienia tej funkcji. Dodatkowo członek organu nadzorczego będzie zobowiązany do poinformowania spółki, gdy </w:t>
      </w:r>
      <w:r w:rsidRPr="00946D38">
        <w:rPr>
          <w:rFonts w:ascii="Times" w:eastAsia="Times New Roman" w:hAnsi="Times" w:cs="Times"/>
          <w:color w:val="000000"/>
          <w:kern w:val="0"/>
          <w:sz w:val="24"/>
          <w:szCs w:val="24"/>
          <w:lang w:eastAsia="pl-PL"/>
          <w14:ligatures w14:val="none"/>
        </w:rPr>
        <w:t>po powołaniu do rady nadzorczej przestanie spełniać wymogi jakie muszą spełniać członkowie organu nadzorczego</w:t>
      </w:r>
      <w:r>
        <w:rPr>
          <w:rFonts w:ascii="Times" w:eastAsia="Times New Roman" w:hAnsi="Times" w:cs="Times"/>
          <w:color w:val="000000"/>
          <w:kern w:val="0"/>
          <w:sz w:val="24"/>
          <w:szCs w:val="24"/>
          <w:lang w:eastAsia="pl-PL"/>
          <w14:ligatures w14:val="none"/>
        </w:rPr>
        <w:t xml:space="preserve">. </w:t>
      </w:r>
      <w:r w:rsidRPr="00AB615F">
        <w:rPr>
          <w:rFonts w:ascii="Times" w:eastAsia="Times New Roman" w:hAnsi="Times" w:cs="Times"/>
          <w:color w:val="000000"/>
          <w:kern w:val="0"/>
          <w:sz w:val="24"/>
          <w:szCs w:val="24"/>
          <w:lang w:eastAsia="pl-PL"/>
          <w14:ligatures w14:val="none"/>
        </w:rPr>
        <w:t xml:space="preserve">Kolejnym elementem projektu jest uderzenie w zjawisko korupcji politycznej. Przepisy dotyczące partii politycznych i komitetów wyborczych zakazują finansowania działalności partii oraz komitetów przez osoby prawne, w tym spółki. Co do zasady, wpłaty dopuszczalne są wyłącznie od obywateli polskich stale zamieszkałych w kraju. Przepisy zamykają zatem drogę dla bezpośredniego finansowania działalności politycznej przez podmioty gospodarcze kontrolowane przez państwo.  </w:t>
      </w:r>
    </w:p>
    <w:p w14:paraId="58CFFD22" w14:textId="77777777" w:rsidR="007B3213" w:rsidRPr="00AB615F"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sidRPr="00AB615F">
        <w:rPr>
          <w:rFonts w:ascii="Times" w:eastAsia="Times New Roman" w:hAnsi="Times" w:cs="Times"/>
          <w:color w:val="000000"/>
          <w:kern w:val="0"/>
          <w:sz w:val="24"/>
          <w:szCs w:val="24"/>
          <w:lang w:eastAsia="pl-PL"/>
          <w14:ligatures w14:val="none"/>
        </w:rPr>
        <w:t xml:space="preserve">Przepisy nie ograniczają jednak zjawiska, które nasiliło się w ostatnich latach, a mianowicie finansowania działalności rządzącej partii przez osoby zawdzięczające stanowiska członków organów zarządzających i nadzorczych spółek z udziałem Skarbu Państwa. Mamy w ten sposób do czynienia z faktycznym obejściem zakazu finansowania działalności partyjnej przez spółki kontrolowane przez państwo. Taki mechanizm wpisuje się w definicję korupcji politycznej, do której przejawów należy zwłaszcza patologiczne sprzężenie partii i spółek państwowych oraz wszelkie formy manipulowania instytucjami publicznymi (takimi również jak spółki) dla pogłębiania korzyści dla politycznych decydentów. </w:t>
      </w:r>
    </w:p>
    <w:p w14:paraId="3E2EDB7E" w14:textId="77777777" w:rsidR="007B3213" w:rsidRPr="00AB615F" w:rsidRDefault="007B3213" w:rsidP="007B3213">
      <w:pPr>
        <w:spacing w:before="120" w:after="0" w:line="360" w:lineRule="auto"/>
        <w:ind w:firstLine="510"/>
        <w:jc w:val="both"/>
        <w:rPr>
          <w:rFonts w:ascii="Times" w:eastAsia="Times New Roman" w:hAnsi="Times" w:cs="Times"/>
          <w:color w:val="000000"/>
          <w:kern w:val="0"/>
          <w:sz w:val="24"/>
          <w:szCs w:val="24"/>
          <w:lang w:eastAsia="pl-PL"/>
          <w14:ligatures w14:val="none"/>
        </w:rPr>
      </w:pPr>
      <w:r w:rsidRPr="00AB615F">
        <w:rPr>
          <w:rFonts w:ascii="Times" w:eastAsia="Times New Roman" w:hAnsi="Times" w:cs="Times"/>
          <w:color w:val="000000"/>
          <w:kern w:val="0"/>
          <w:sz w:val="24"/>
          <w:szCs w:val="24"/>
          <w:lang w:eastAsia="pl-PL"/>
          <w14:ligatures w14:val="none"/>
        </w:rPr>
        <w:t xml:space="preserve">Projektowana ustawa stanowi punkt wyjścia dla przeciwdziałania temu zjawisku poprzez ustawowy zakaz przyjmowania przez partie polityczne i komitety wyborcze wpłat oraz korzyści od członków organów zarządzających i nadzorczych spółek z udziałem Skarbu Państwa. Proponowane rozwiązanie stanowi </w:t>
      </w:r>
      <w:r>
        <w:rPr>
          <w:rFonts w:ascii="Times" w:eastAsia="Times New Roman" w:hAnsi="Times" w:cs="Times"/>
          <w:color w:val="000000"/>
          <w:kern w:val="0"/>
          <w:sz w:val="24"/>
          <w:szCs w:val="24"/>
          <w:lang w:eastAsia="pl-PL"/>
          <w14:ligatures w14:val="none"/>
        </w:rPr>
        <w:t xml:space="preserve">istotny etap </w:t>
      </w:r>
      <w:r w:rsidRPr="00AB615F">
        <w:rPr>
          <w:rFonts w:ascii="Times" w:eastAsia="Times New Roman" w:hAnsi="Times" w:cs="Times"/>
          <w:color w:val="000000"/>
          <w:kern w:val="0"/>
          <w:sz w:val="24"/>
          <w:szCs w:val="24"/>
          <w:lang w:eastAsia="pl-PL"/>
          <w14:ligatures w14:val="none"/>
        </w:rPr>
        <w:t xml:space="preserve"> na drodze do skutecznej walki z opisaną formą korupcji politycznej, oferując rozwiązanie stosunkowo najmniej inwazyjne i możliwe do wdrożenia, biorąc pod uwagę, że informacja o członkach organów zarządzających i nadzorczych spółek z udziałem Skarbu Państwa jest dostępna powszechnie. </w:t>
      </w:r>
    </w:p>
    <w:p w14:paraId="26A737F5" w14:textId="77777777" w:rsidR="007B3213" w:rsidRPr="00AB615F" w:rsidRDefault="007B3213" w:rsidP="007B3213">
      <w:pPr>
        <w:spacing w:after="0" w:line="360" w:lineRule="auto"/>
        <w:ind w:firstLine="510"/>
        <w:contextualSpacing/>
        <w:jc w:val="both"/>
        <w:rPr>
          <w:rFonts w:ascii="Times" w:eastAsia="Times New Roman" w:hAnsi="Times" w:cs="Times"/>
          <w:color w:val="000000"/>
          <w:kern w:val="0"/>
          <w:sz w:val="24"/>
          <w:szCs w:val="24"/>
          <w:lang w:eastAsia="pl-PL"/>
          <w14:ligatures w14:val="none"/>
        </w:rPr>
      </w:pPr>
      <w:r w:rsidRPr="00AB615F">
        <w:rPr>
          <w:rFonts w:ascii="Times" w:eastAsia="Times New Roman" w:hAnsi="Times" w:cs="Times"/>
          <w:color w:val="000000"/>
          <w:kern w:val="0"/>
          <w:sz w:val="24"/>
          <w:szCs w:val="24"/>
          <w:lang w:eastAsia="pl-PL"/>
          <w14:ligatures w14:val="none"/>
        </w:rPr>
        <w:t xml:space="preserve">Jakkolwiek projektowana regulacja nie jest powszechnie stosowana w innych państwach, należy zwrócić uwagę, że niekiedy ustawodawstwo w zakresie finansowania działalności politycznej idzie jeszcze dalej w swojej restrykcyjności. Przykładowo, niemiecka ustawa o partiach politycznych szeroko zakazuje przyjmowania </w:t>
      </w:r>
      <w:r>
        <w:rPr>
          <w:rFonts w:ascii="Times" w:eastAsia="Times New Roman" w:hAnsi="Times" w:cs="Times"/>
          <w:color w:val="000000"/>
          <w:kern w:val="0"/>
          <w:sz w:val="24"/>
          <w:szCs w:val="24"/>
          <w:lang w:eastAsia="pl-PL"/>
          <w14:ligatures w14:val="none"/>
        </w:rPr>
        <w:t>d</w:t>
      </w:r>
      <w:r w:rsidRPr="00AB6E0E">
        <w:rPr>
          <w:rFonts w:ascii="Times" w:eastAsia="Times New Roman" w:hAnsi="Times" w:cs="Times"/>
          <w:color w:val="000000"/>
          <w:kern w:val="0"/>
          <w:sz w:val="24"/>
          <w:szCs w:val="24"/>
          <w:lang w:eastAsia="pl-PL"/>
          <w14:ligatures w14:val="none"/>
        </w:rPr>
        <w:t xml:space="preserve">arowizny, które są partii udzielane w oczekiwaniu </w:t>
      </w:r>
      <w:r w:rsidRPr="00AB6E0E">
        <w:rPr>
          <w:rFonts w:ascii="Times" w:eastAsia="Times New Roman" w:hAnsi="Times" w:cs="Times"/>
          <w:color w:val="000000"/>
          <w:kern w:val="0"/>
          <w:sz w:val="24"/>
          <w:szCs w:val="24"/>
          <w:lang w:eastAsia="pl-PL"/>
          <w14:ligatures w14:val="none"/>
        </w:rPr>
        <w:lastRenderedPageBreak/>
        <w:t>na lub w zamian za określoną korzyść gospodarczą lub polityczną</w:t>
      </w:r>
      <w:r w:rsidRPr="00AB615F">
        <w:rPr>
          <w:rFonts w:ascii="Times" w:eastAsia="Times New Roman" w:hAnsi="Times" w:cs="Times"/>
          <w:color w:val="000000"/>
          <w:kern w:val="0"/>
          <w:sz w:val="24"/>
          <w:szCs w:val="24"/>
          <w:vertAlign w:val="superscript"/>
          <w:lang w:eastAsia="pl-PL"/>
          <w14:ligatures w14:val="none"/>
        </w:rPr>
        <w:footnoteReference w:id="1"/>
      </w:r>
      <w:r w:rsidRPr="00AB615F">
        <w:rPr>
          <w:rFonts w:ascii="Times" w:eastAsia="Times New Roman" w:hAnsi="Times" w:cs="Times"/>
          <w:color w:val="000000"/>
          <w:kern w:val="0"/>
          <w:sz w:val="24"/>
          <w:szCs w:val="24"/>
          <w:lang w:eastAsia="pl-PL"/>
          <w14:ligatures w14:val="none"/>
        </w:rPr>
        <w:t xml:space="preserve">. Proponowana regulacja w istocie dotyczy takiego zjawiska, jednak wprowadza bardziej precyzyjną i szczegółową regulację. </w:t>
      </w:r>
    </w:p>
    <w:p w14:paraId="781A7AE8" w14:textId="77777777" w:rsidR="007B3213" w:rsidRDefault="007B3213" w:rsidP="007B3213">
      <w:pPr>
        <w:spacing w:after="0" w:line="360" w:lineRule="auto"/>
        <w:contextualSpacing/>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         Powiązania będzie łatwiej zidentyfikować dzięki wprowadzanemu niniejszym projektem rejestrowi wynagrodzeń ujawniającemu wysokość wynagrodzeń członków rad nadzorczych oraz organów zarządzających. Projekt ogranicza rejestr wynagrodzeń charakteryzujący się jawnością wynagrodzeń do członków organów nadzorczych i zarządzających spółek z udziałem Skarbu Państwa lub państwowych osób prawnych. Dane tych członków obejmujące imię, nazwisko i numer PESEL są już jawne i łatwe do ustalenia w Krajowym Rejestrze Sądowym, do którego dostęp jest uproszczony, nie wymaga wykazania interesu faktycznego lub prawnego. Niemniej projektodawca uznał, że jawne pozostaną podstawowe dane identyfikacyjne jak imię, nazwisko, a PESEL nie będzie ujawniany.</w:t>
      </w:r>
    </w:p>
    <w:p w14:paraId="2AEA0C5F" w14:textId="77777777" w:rsidR="007B3213" w:rsidRDefault="007B3213" w:rsidP="007B3213">
      <w:pPr>
        <w:spacing w:after="0" w:line="360" w:lineRule="auto"/>
        <w:contextualSpacing/>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Projektodawca przewidział przepisy przejściowe obejmujące czas na weryfikację ustawowych kryteriów członków rad nadzorczych jak i wprowadzenie do spółki członka niezależnego. </w:t>
      </w:r>
    </w:p>
    <w:p w14:paraId="6FE9562D" w14:textId="77777777" w:rsidR="007B3213" w:rsidRDefault="007B3213" w:rsidP="007B3213">
      <w:pPr>
        <w:spacing w:after="0" w:line="360" w:lineRule="auto"/>
        <w:contextualSpacing/>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t>Wejście w życie projektu wymaga wydania rozporządzenia na podstawie dodawanego art. 44b ust. 2, w którym m</w:t>
      </w:r>
      <w:r w:rsidRPr="00A52E77">
        <w:rPr>
          <w:rFonts w:ascii="Times" w:eastAsia="Times New Roman" w:hAnsi="Times" w:cs="Times"/>
          <w:color w:val="000000"/>
          <w:kern w:val="0"/>
          <w:sz w:val="24"/>
          <w:szCs w:val="24"/>
          <w:lang w:eastAsia="pl-PL"/>
          <w14:ligatures w14:val="none"/>
        </w:rPr>
        <w:t>inister właściwy do spraw aktywów państwowych</w:t>
      </w:r>
      <w:r>
        <w:rPr>
          <w:rFonts w:ascii="Times" w:eastAsia="Times New Roman" w:hAnsi="Times" w:cs="Times"/>
          <w:color w:val="000000"/>
          <w:kern w:val="0"/>
          <w:sz w:val="24"/>
          <w:szCs w:val="24"/>
          <w:lang w:eastAsia="pl-PL"/>
          <w14:ligatures w14:val="none"/>
        </w:rPr>
        <w:t xml:space="preserve"> </w:t>
      </w:r>
      <w:r w:rsidRPr="00A52E77">
        <w:rPr>
          <w:rFonts w:ascii="Times" w:eastAsia="Times New Roman" w:hAnsi="Times" w:cs="Times"/>
          <w:color w:val="000000"/>
          <w:kern w:val="0"/>
          <w:sz w:val="24"/>
          <w:szCs w:val="24"/>
          <w:lang w:eastAsia="pl-PL"/>
          <w14:ligatures w14:val="none"/>
        </w:rPr>
        <w:t>określi sposób prowadzenia rejestru, wprowadzania informacji o wynagrodzeniach i ich zmianie oraz sposób dostępu do niego</w:t>
      </w:r>
      <w:r>
        <w:rPr>
          <w:rFonts w:ascii="Times" w:eastAsia="Times New Roman" w:hAnsi="Times" w:cs="Times"/>
          <w:color w:val="000000"/>
          <w:kern w:val="0"/>
          <w:sz w:val="24"/>
          <w:szCs w:val="24"/>
          <w:lang w:eastAsia="pl-PL"/>
          <w14:ligatures w14:val="none"/>
        </w:rPr>
        <w:t xml:space="preserve">. </w:t>
      </w:r>
    </w:p>
    <w:p w14:paraId="659BE8FE" w14:textId="77777777" w:rsidR="007B3213" w:rsidRPr="00AE4D5D" w:rsidRDefault="007B3213" w:rsidP="007B3213">
      <w:pPr>
        <w:pBdr>
          <w:top w:val="nil"/>
          <w:left w:val="nil"/>
          <w:bottom w:val="nil"/>
          <w:right w:val="nil"/>
          <w:between w:val="nil"/>
        </w:pBdr>
        <w:spacing w:before="120" w:after="0" w:line="360" w:lineRule="auto"/>
        <w:ind w:left="510"/>
        <w:jc w:val="both"/>
        <w:rPr>
          <w:rFonts w:ascii="Times New Roman" w:hAnsi="Times New Roman" w:cs="Times New Roman"/>
          <w:sz w:val="24"/>
          <w:szCs w:val="24"/>
        </w:rPr>
      </w:pPr>
      <w:r w:rsidRPr="00AE4D5D">
        <w:rPr>
          <w:rFonts w:ascii="Times New Roman" w:hAnsi="Times New Roman" w:cs="Times New Roman"/>
          <w:sz w:val="24"/>
          <w:szCs w:val="24"/>
        </w:rPr>
        <w:t>Podstawowymi założeniami rozporzą</w:t>
      </w:r>
      <w:r>
        <w:rPr>
          <w:rFonts w:ascii="Times New Roman" w:hAnsi="Times New Roman" w:cs="Times New Roman"/>
          <w:sz w:val="24"/>
          <w:szCs w:val="24"/>
        </w:rPr>
        <w:t>dzenia będzie określenie:</w:t>
      </w:r>
    </w:p>
    <w:p w14:paraId="294640CD" w14:textId="77777777" w:rsidR="007B3213" w:rsidRPr="00AE4D5D" w:rsidRDefault="007B3213" w:rsidP="007B3213">
      <w:pPr>
        <w:numPr>
          <w:ilvl w:val="0"/>
          <w:numId w:val="1"/>
        </w:numPr>
        <w:pBdr>
          <w:top w:val="nil"/>
          <w:left w:val="nil"/>
          <w:bottom w:val="nil"/>
          <w:right w:val="nil"/>
          <w:between w:val="nil"/>
        </w:pBdr>
        <w:spacing w:before="120" w:after="0" w:line="360" w:lineRule="auto"/>
        <w:jc w:val="both"/>
        <w:rPr>
          <w:rFonts w:ascii="Times New Roman" w:hAnsi="Times New Roman" w:cs="Times New Roman"/>
          <w:sz w:val="24"/>
          <w:szCs w:val="24"/>
        </w:rPr>
      </w:pPr>
      <w:r w:rsidRPr="00AE4D5D">
        <w:rPr>
          <w:rFonts w:ascii="Times New Roman" w:eastAsia="Times" w:hAnsi="Times New Roman" w:cs="Times New Roman"/>
          <w:color w:val="000000"/>
          <w:sz w:val="24"/>
          <w:szCs w:val="24"/>
        </w:rPr>
        <w:t>spos</w:t>
      </w:r>
      <w:r>
        <w:rPr>
          <w:rFonts w:ascii="Times New Roman" w:eastAsia="Times" w:hAnsi="Times New Roman" w:cs="Times New Roman"/>
          <w:color w:val="000000"/>
          <w:sz w:val="24"/>
          <w:szCs w:val="24"/>
        </w:rPr>
        <w:t>o</w:t>
      </w:r>
      <w:r w:rsidRPr="00AE4D5D">
        <w:rPr>
          <w:rFonts w:ascii="Times New Roman" w:eastAsia="Times" w:hAnsi="Times New Roman" w:cs="Times New Roman"/>
          <w:color w:val="000000"/>
          <w:sz w:val="24"/>
          <w:szCs w:val="24"/>
        </w:rPr>
        <w:t>b</w:t>
      </w:r>
      <w:r>
        <w:rPr>
          <w:rFonts w:ascii="Times New Roman" w:eastAsia="Times" w:hAnsi="Times New Roman" w:cs="Times New Roman"/>
          <w:color w:val="000000"/>
          <w:sz w:val="24"/>
          <w:szCs w:val="24"/>
        </w:rPr>
        <w:t>u</w:t>
      </w:r>
      <w:r w:rsidRPr="00AE4D5D">
        <w:rPr>
          <w:rFonts w:ascii="Times New Roman" w:eastAsia="Times" w:hAnsi="Times New Roman" w:cs="Times New Roman"/>
          <w:color w:val="000000"/>
          <w:sz w:val="24"/>
          <w:szCs w:val="24"/>
        </w:rPr>
        <w:t xml:space="preserve"> post</w:t>
      </w:r>
      <w:r>
        <w:rPr>
          <w:rFonts w:ascii="Times New Roman" w:eastAsia="Times" w:hAnsi="Times New Roman" w:cs="Times New Roman"/>
          <w:color w:val="000000"/>
          <w:sz w:val="24"/>
          <w:szCs w:val="24"/>
        </w:rPr>
        <w:t>ę</w:t>
      </w:r>
      <w:r w:rsidRPr="00AE4D5D">
        <w:rPr>
          <w:rFonts w:ascii="Times New Roman" w:eastAsia="Times" w:hAnsi="Times New Roman" w:cs="Times New Roman"/>
          <w:color w:val="000000"/>
          <w:sz w:val="24"/>
          <w:szCs w:val="24"/>
        </w:rPr>
        <w:t>powania osób wprowadzających dane do rejestru, w tym sposób ich uwierzytelniania;</w:t>
      </w:r>
    </w:p>
    <w:p w14:paraId="0730BADD" w14:textId="77777777" w:rsidR="007B3213" w:rsidRPr="00AE4D5D" w:rsidRDefault="007B3213" w:rsidP="007B3213">
      <w:pPr>
        <w:numPr>
          <w:ilvl w:val="0"/>
          <w:numId w:val="1"/>
        </w:numPr>
        <w:pBdr>
          <w:top w:val="nil"/>
          <w:left w:val="nil"/>
          <w:bottom w:val="nil"/>
          <w:right w:val="nil"/>
          <w:between w:val="nil"/>
        </w:pBdr>
        <w:spacing w:before="120" w:after="0" w:line="360" w:lineRule="auto"/>
        <w:jc w:val="both"/>
        <w:rPr>
          <w:rFonts w:ascii="Times New Roman" w:hAnsi="Times New Roman" w:cs="Times New Roman"/>
          <w:sz w:val="24"/>
          <w:szCs w:val="24"/>
        </w:rPr>
      </w:pPr>
      <w:r w:rsidRPr="00AE4D5D">
        <w:rPr>
          <w:rFonts w:ascii="Times New Roman" w:eastAsia="Times" w:hAnsi="Times New Roman" w:cs="Times New Roman"/>
          <w:color w:val="000000"/>
          <w:sz w:val="24"/>
          <w:szCs w:val="24"/>
        </w:rPr>
        <w:t>szczegółow</w:t>
      </w:r>
      <w:r>
        <w:rPr>
          <w:rFonts w:ascii="Times New Roman" w:eastAsia="Times" w:hAnsi="Times New Roman" w:cs="Times New Roman"/>
          <w:color w:val="000000"/>
          <w:sz w:val="24"/>
          <w:szCs w:val="24"/>
        </w:rPr>
        <w:t>ego</w:t>
      </w:r>
      <w:r w:rsidRPr="00AE4D5D">
        <w:rPr>
          <w:rFonts w:ascii="Times New Roman" w:eastAsia="Times" w:hAnsi="Times New Roman" w:cs="Times New Roman"/>
          <w:color w:val="000000"/>
          <w:sz w:val="24"/>
          <w:szCs w:val="24"/>
        </w:rPr>
        <w:t xml:space="preserve"> zakres</w:t>
      </w:r>
      <w:r>
        <w:rPr>
          <w:rFonts w:ascii="Times New Roman" w:eastAsia="Times" w:hAnsi="Times New Roman" w:cs="Times New Roman"/>
          <w:color w:val="000000"/>
          <w:sz w:val="24"/>
          <w:szCs w:val="24"/>
        </w:rPr>
        <w:t>u</w:t>
      </w:r>
      <w:r w:rsidRPr="00AE4D5D">
        <w:rPr>
          <w:rFonts w:ascii="Times New Roman" w:eastAsia="Times" w:hAnsi="Times New Roman" w:cs="Times New Roman"/>
          <w:color w:val="000000"/>
          <w:sz w:val="24"/>
          <w:szCs w:val="24"/>
        </w:rPr>
        <w:t xml:space="preserve"> i format</w:t>
      </w:r>
      <w:r>
        <w:rPr>
          <w:rFonts w:ascii="Times New Roman" w:eastAsia="Times" w:hAnsi="Times New Roman" w:cs="Times New Roman"/>
          <w:color w:val="000000"/>
          <w:sz w:val="24"/>
          <w:szCs w:val="24"/>
        </w:rPr>
        <w:t>u</w:t>
      </w:r>
      <w:r w:rsidRPr="00AE4D5D">
        <w:rPr>
          <w:rFonts w:ascii="Times New Roman" w:eastAsia="Times" w:hAnsi="Times New Roman" w:cs="Times New Roman"/>
          <w:color w:val="000000"/>
          <w:sz w:val="24"/>
          <w:szCs w:val="24"/>
        </w:rPr>
        <w:t xml:space="preserve"> danych przekazywanych do rejestru, mieszcząc</w:t>
      </w:r>
      <w:r>
        <w:rPr>
          <w:rFonts w:ascii="Times New Roman" w:eastAsia="Times" w:hAnsi="Times New Roman" w:cs="Times New Roman"/>
          <w:color w:val="000000"/>
          <w:sz w:val="24"/>
          <w:szCs w:val="24"/>
        </w:rPr>
        <w:t>ego</w:t>
      </w:r>
      <w:r w:rsidRPr="00AE4D5D">
        <w:rPr>
          <w:rFonts w:ascii="Times New Roman" w:eastAsia="Times" w:hAnsi="Times New Roman" w:cs="Times New Roman"/>
          <w:color w:val="000000"/>
          <w:sz w:val="24"/>
          <w:szCs w:val="24"/>
        </w:rPr>
        <w:t xml:space="preserve"> się w katalogu danych określonych ustawą;</w:t>
      </w:r>
    </w:p>
    <w:p w14:paraId="737D6136" w14:textId="77777777" w:rsidR="007B3213" w:rsidRPr="00AE4D5D" w:rsidRDefault="007B3213" w:rsidP="007B3213">
      <w:pPr>
        <w:numPr>
          <w:ilvl w:val="0"/>
          <w:numId w:val="1"/>
        </w:numPr>
        <w:pBdr>
          <w:top w:val="nil"/>
          <w:left w:val="nil"/>
          <w:bottom w:val="nil"/>
          <w:right w:val="nil"/>
          <w:between w:val="nil"/>
        </w:pBdr>
        <w:spacing w:before="120" w:after="0" w:line="360" w:lineRule="auto"/>
        <w:jc w:val="both"/>
        <w:rPr>
          <w:rFonts w:ascii="Times New Roman" w:hAnsi="Times New Roman" w:cs="Times New Roman"/>
          <w:sz w:val="24"/>
          <w:szCs w:val="24"/>
        </w:rPr>
      </w:pPr>
      <w:r w:rsidRPr="00AE4D5D">
        <w:rPr>
          <w:rFonts w:ascii="Times New Roman" w:eastAsia="Times" w:hAnsi="Times New Roman" w:cs="Times New Roman"/>
          <w:color w:val="000000"/>
          <w:sz w:val="24"/>
          <w:szCs w:val="24"/>
        </w:rPr>
        <w:t>spos</w:t>
      </w:r>
      <w:r>
        <w:rPr>
          <w:rFonts w:ascii="Times New Roman" w:eastAsia="Times" w:hAnsi="Times New Roman" w:cs="Times New Roman"/>
          <w:color w:val="000000"/>
          <w:sz w:val="24"/>
          <w:szCs w:val="24"/>
        </w:rPr>
        <w:t>obu</w:t>
      </w:r>
      <w:r w:rsidRPr="00AE4D5D">
        <w:rPr>
          <w:rFonts w:ascii="Times New Roman" w:eastAsia="Times" w:hAnsi="Times New Roman" w:cs="Times New Roman"/>
          <w:color w:val="000000"/>
          <w:sz w:val="24"/>
          <w:szCs w:val="24"/>
        </w:rPr>
        <w:t xml:space="preserve"> weryfikacji danych przez urząd obsługujący ministra właściwego do spraw aktywów państwowych;</w:t>
      </w:r>
    </w:p>
    <w:p w14:paraId="2C0745E9" w14:textId="77777777" w:rsidR="007B3213" w:rsidRPr="00AE4D5D" w:rsidRDefault="007B3213" w:rsidP="007B3213">
      <w:pPr>
        <w:numPr>
          <w:ilvl w:val="0"/>
          <w:numId w:val="1"/>
        </w:numPr>
        <w:pBdr>
          <w:top w:val="nil"/>
          <w:left w:val="nil"/>
          <w:bottom w:val="nil"/>
          <w:right w:val="nil"/>
          <w:between w:val="nil"/>
        </w:pBdr>
        <w:spacing w:before="120" w:after="0" w:line="360" w:lineRule="auto"/>
        <w:jc w:val="both"/>
        <w:rPr>
          <w:rFonts w:ascii="Times New Roman" w:hAnsi="Times New Roman" w:cs="Times New Roman"/>
          <w:sz w:val="24"/>
          <w:szCs w:val="24"/>
        </w:rPr>
      </w:pPr>
      <w:r w:rsidRPr="00AE4D5D">
        <w:rPr>
          <w:rFonts w:ascii="Times New Roman" w:eastAsia="Times" w:hAnsi="Times New Roman" w:cs="Times New Roman"/>
          <w:color w:val="000000"/>
          <w:sz w:val="24"/>
          <w:szCs w:val="24"/>
        </w:rPr>
        <w:t>wymog</w:t>
      </w:r>
      <w:r>
        <w:rPr>
          <w:rFonts w:ascii="Times New Roman" w:eastAsia="Times" w:hAnsi="Times New Roman" w:cs="Times New Roman"/>
          <w:color w:val="000000"/>
          <w:sz w:val="24"/>
          <w:szCs w:val="24"/>
        </w:rPr>
        <w:t>ów</w:t>
      </w:r>
      <w:r w:rsidRPr="00AE4D5D">
        <w:rPr>
          <w:rFonts w:ascii="Times New Roman" w:eastAsia="Times" w:hAnsi="Times New Roman" w:cs="Times New Roman"/>
          <w:color w:val="000000"/>
          <w:sz w:val="24"/>
          <w:szCs w:val="24"/>
        </w:rPr>
        <w:t xml:space="preserve"> techniczn</w:t>
      </w:r>
      <w:r>
        <w:rPr>
          <w:rFonts w:ascii="Times New Roman" w:eastAsia="Times" w:hAnsi="Times New Roman" w:cs="Times New Roman"/>
          <w:color w:val="000000"/>
          <w:sz w:val="24"/>
          <w:szCs w:val="24"/>
        </w:rPr>
        <w:t>ych</w:t>
      </w:r>
      <w:r w:rsidRPr="00AE4D5D">
        <w:rPr>
          <w:rFonts w:ascii="Times New Roman" w:eastAsia="Times" w:hAnsi="Times New Roman" w:cs="Times New Roman"/>
          <w:color w:val="000000"/>
          <w:sz w:val="24"/>
          <w:szCs w:val="24"/>
        </w:rPr>
        <w:t xml:space="preserve"> i graficzn</w:t>
      </w:r>
      <w:r>
        <w:rPr>
          <w:rFonts w:ascii="Times New Roman" w:eastAsia="Times" w:hAnsi="Times New Roman" w:cs="Times New Roman"/>
          <w:color w:val="000000"/>
          <w:sz w:val="24"/>
          <w:szCs w:val="24"/>
        </w:rPr>
        <w:t>ych</w:t>
      </w:r>
      <w:r w:rsidRPr="00AE4D5D">
        <w:rPr>
          <w:rFonts w:ascii="Times New Roman" w:eastAsia="Times" w:hAnsi="Times New Roman" w:cs="Times New Roman"/>
          <w:color w:val="000000"/>
          <w:sz w:val="24"/>
          <w:szCs w:val="24"/>
        </w:rPr>
        <w:t xml:space="preserve"> co do formatu i </w:t>
      </w:r>
      <w:r>
        <w:rPr>
          <w:rFonts w:ascii="Times New Roman" w:eastAsia="Times" w:hAnsi="Times New Roman" w:cs="Times New Roman"/>
          <w:color w:val="000000"/>
          <w:sz w:val="24"/>
          <w:szCs w:val="24"/>
        </w:rPr>
        <w:t>sposobu</w:t>
      </w:r>
      <w:r w:rsidRPr="00AE4D5D">
        <w:rPr>
          <w:rFonts w:ascii="Times New Roman" w:eastAsia="Times" w:hAnsi="Times New Roman" w:cs="Times New Roman"/>
          <w:color w:val="000000"/>
          <w:sz w:val="24"/>
          <w:szCs w:val="24"/>
        </w:rPr>
        <w:t xml:space="preserve"> udostępnienia danych zawartych w rejestrze</w:t>
      </w:r>
      <w:r>
        <w:rPr>
          <w:rFonts w:ascii="Times New Roman" w:eastAsia="Times" w:hAnsi="Times New Roman" w:cs="Times New Roman"/>
          <w:color w:val="000000"/>
          <w:sz w:val="24"/>
          <w:szCs w:val="24"/>
        </w:rPr>
        <w:t xml:space="preserve"> w zakresie w jakim jest on jawny</w:t>
      </w:r>
      <w:r w:rsidRPr="00AE4D5D">
        <w:rPr>
          <w:rFonts w:ascii="Times New Roman" w:eastAsia="Times" w:hAnsi="Times New Roman" w:cs="Times New Roman"/>
          <w:color w:val="000000"/>
          <w:sz w:val="24"/>
          <w:szCs w:val="24"/>
        </w:rPr>
        <w:t>.</w:t>
      </w:r>
    </w:p>
    <w:p w14:paraId="2E11C7B3" w14:textId="77777777" w:rsidR="007B3213" w:rsidRPr="00AE4D5D" w:rsidRDefault="007B3213" w:rsidP="007B3213">
      <w:pPr>
        <w:spacing w:after="0" w:line="360" w:lineRule="auto"/>
        <w:contextualSpacing/>
        <w:jc w:val="both"/>
        <w:rPr>
          <w:rFonts w:ascii="Times New Roman" w:eastAsia="Times New Roman" w:hAnsi="Times New Roman" w:cs="Times New Roman"/>
          <w:color w:val="000000"/>
          <w:kern w:val="0"/>
          <w:sz w:val="24"/>
          <w:szCs w:val="24"/>
          <w:lang w:eastAsia="pl-PL"/>
          <w14:ligatures w14:val="none"/>
        </w:rPr>
      </w:pPr>
    </w:p>
    <w:p w14:paraId="7B26DF83" w14:textId="77777777" w:rsidR="007B3213" w:rsidRDefault="007B3213" w:rsidP="007B3213">
      <w:pPr>
        <w:spacing w:after="0" w:line="360" w:lineRule="auto"/>
        <w:contextualSpacing/>
        <w:jc w:val="both"/>
        <w:rPr>
          <w:rFonts w:ascii="Times" w:eastAsia="Times New Roman" w:hAnsi="Times" w:cs="Times"/>
          <w:color w:val="000000"/>
          <w:kern w:val="0"/>
          <w:sz w:val="24"/>
          <w:szCs w:val="24"/>
          <w:lang w:eastAsia="pl-PL"/>
          <w14:ligatures w14:val="none"/>
        </w:rPr>
      </w:pPr>
      <w:r>
        <w:rPr>
          <w:rFonts w:ascii="Times" w:eastAsia="Times New Roman" w:hAnsi="Times" w:cs="Times"/>
          <w:color w:val="000000"/>
          <w:kern w:val="0"/>
          <w:sz w:val="24"/>
          <w:szCs w:val="24"/>
          <w:lang w:eastAsia="pl-PL"/>
          <w14:ligatures w14:val="none"/>
        </w:rPr>
        <w:lastRenderedPageBreak/>
        <w:t>Ustawa wejdzie w życie w terminie 3 miesięcy od dnia ogłoszenia i przewiduje od tego czasu 3 miesiące na dostosowanie spółek do ustawowych wymogów.</w:t>
      </w:r>
    </w:p>
    <w:p w14:paraId="1D599B5B" w14:textId="77777777" w:rsidR="007B3213" w:rsidRDefault="007B3213" w:rsidP="007B3213">
      <w:pPr>
        <w:spacing w:after="0" w:line="360" w:lineRule="auto"/>
        <w:contextualSpacing/>
        <w:jc w:val="both"/>
        <w:rPr>
          <w:rFonts w:ascii="Times" w:eastAsia="Times New Roman" w:hAnsi="Times" w:cs="Times"/>
          <w:color w:val="000000"/>
          <w:kern w:val="0"/>
          <w:sz w:val="24"/>
          <w:szCs w:val="24"/>
          <w:lang w:eastAsia="pl-PL"/>
          <w14:ligatures w14:val="none"/>
        </w:rPr>
      </w:pPr>
    </w:p>
    <w:p w14:paraId="11A9A1CB" w14:textId="77777777" w:rsidR="007B3213" w:rsidRDefault="007B3213" w:rsidP="007B3213">
      <w:pPr>
        <w:spacing w:after="0" w:line="360" w:lineRule="auto"/>
        <w:contextualSpacing/>
        <w:jc w:val="both"/>
      </w:pPr>
      <w:r>
        <w:rPr>
          <w:rFonts w:ascii="Times" w:eastAsia="Times New Roman" w:hAnsi="Times" w:cs="Times"/>
          <w:color w:val="000000"/>
          <w:kern w:val="0"/>
          <w:sz w:val="24"/>
          <w:szCs w:val="24"/>
          <w:lang w:eastAsia="pl-PL"/>
          <w14:ligatures w14:val="none"/>
        </w:rPr>
        <w:t>Projekt jest zgodny w prawem Unii Europejskiej</w:t>
      </w:r>
    </w:p>
    <w:p w14:paraId="5BCBC89B" w14:textId="77777777" w:rsidR="00F740E1" w:rsidRDefault="00F740E1"/>
    <w:sectPr w:rsidR="00F740E1" w:rsidSect="007B3213">
      <w:footerReference w:type="default" r:id="rId7"/>
      <w:pgSz w:w="12240" w:h="15840"/>
      <w:pgMar w:top="1417" w:right="1417" w:bottom="1417" w:left="1417" w:header="708" w:footer="708"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58BE" w14:textId="77777777" w:rsidR="00D137A7" w:rsidRDefault="00D137A7" w:rsidP="007B3213">
      <w:pPr>
        <w:spacing w:after="0" w:line="240" w:lineRule="auto"/>
      </w:pPr>
      <w:r>
        <w:separator/>
      </w:r>
    </w:p>
  </w:endnote>
  <w:endnote w:type="continuationSeparator" w:id="0">
    <w:p w14:paraId="20553CA3" w14:textId="77777777" w:rsidR="00D137A7" w:rsidRDefault="00D137A7" w:rsidP="007B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26767"/>
      <w:docPartObj>
        <w:docPartGallery w:val="Page Numbers (Bottom of Page)"/>
        <w:docPartUnique/>
      </w:docPartObj>
    </w:sdtPr>
    <w:sdtContent>
      <w:p w14:paraId="17B3FBE9" w14:textId="77777777" w:rsidR="00696110" w:rsidRDefault="00000000">
        <w:pPr>
          <w:pStyle w:val="Stopka"/>
          <w:jc w:val="right"/>
        </w:pPr>
        <w:r>
          <w:fldChar w:fldCharType="begin"/>
        </w:r>
        <w:r>
          <w:instrText>PAGE   \* MERGEFORMAT</w:instrText>
        </w:r>
        <w:r>
          <w:fldChar w:fldCharType="separate"/>
        </w:r>
        <w:r>
          <w:t>2</w:t>
        </w:r>
        <w:r>
          <w:fldChar w:fldCharType="end"/>
        </w:r>
      </w:p>
    </w:sdtContent>
  </w:sdt>
  <w:p w14:paraId="6ED3D523" w14:textId="77777777" w:rsidR="00696110" w:rsidRDefault="006961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F69D" w14:textId="77777777" w:rsidR="00D137A7" w:rsidRDefault="00D137A7" w:rsidP="007B3213">
      <w:pPr>
        <w:spacing w:after="0" w:line="240" w:lineRule="auto"/>
      </w:pPr>
      <w:r>
        <w:separator/>
      </w:r>
    </w:p>
  </w:footnote>
  <w:footnote w:type="continuationSeparator" w:id="0">
    <w:p w14:paraId="5D92501A" w14:textId="77777777" w:rsidR="00D137A7" w:rsidRDefault="00D137A7" w:rsidP="007B3213">
      <w:pPr>
        <w:spacing w:after="0" w:line="240" w:lineRule="auto"/>
      </w:pPr>
      <w:r>
        <w:continuationSeparator/>
      </w:r>
    </w:p>
  </w:footnote>
  <w:footnote w:id="1">
    <w:p w14:paraId="33B090E9" w14:textId="77777777" w:rsidR="007B3213" w:rsidRDefault="007B3213" w:rsidP="007B3213">
      <w:r>
        <w:rPr>
          <w:vertAlign w:val="superscript"/>
        </w:rPr>
        <w:footnoteRef/>
      </w:r>
      <w:r>
        <w:rPr>
          <w:color w:val="000000"/>
          <w:sz w:val="20"/>
          <w:szCs w:val="20"/>
        </w:rPr>
        <w:t xml:space="preserve"> Par. 25 ust. 2 pkt 7 ustawy o partiach politycznych, online: </w:t>
      </w:r>
      <w:hyperlink r:id="rId1">
        <w:r>
          <w:rPr>
            <w:color w:val="0000FF"/>
            <w:sz w:val="20"/>
            <w:szCs w:val="20"/>
            <w:u w:val="single"/>
          </w:rPr>
          <w:t>https://www.gesetze-im-internet.de/partg/BJNR007730967.html</w:t>
        </w:r>
      </w:hyperlink>
      <w:r>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08DD"/>
    <w:multiLevelType w:val="multilevel"/>
    <w:tmpl w:val="FFFFFFFF"/>
    <w:lvl w:ilvl="0">
      <w:start w:val="1"/>
      <w:numFmt w:val="decimal"/>
      <w:lvlText w:val="%1)"/>
      <w:lvlJc w:val="left"/>
      <w:pPr>
        <w:ind w:left="870" w:hanging="360"/>
      </w:pPr>
      <w:rPr>
        <w:rFonts w:cs="Times New Roman"/>
      </w:rPr>
    </w:lvl>
    <w:lvl w:ilvl="1">
      <w:start w:val="1"/>
      <w:numFmt w:val="lowerLetter"/>
      <w:lvlText w:val="%2."/>
      <w:lvlJc w:val="left"/>
      <w:pPr>
        <w:ind w:left="1590" w:hanging="360"/>
      </w:pPr>
      <w:rPr>
        <w:rFonts w:cs="Times New Roman"/>
      </w:rPr>
    </w:lvl>
    <w:lvl w:ilvl="2">
      <w:start w:val="1"/>
      <w:numFmt w:val="lowerRoman"/>
      <w:lvlText w:val="%3."/>
      <w:lvlJc w:val="right"/>
      <w:pPr>
        <w:ind w:left="2310" w:hanging="180"/>
      </w:pPr>
      <w:rPr>
        <w:rFonts w:cs="Times New Roman"/>
      </w:rPr>
    </w:lvl>
    <w:lvl w:ilvl="3">
      <w:start w:val="1"/>
      <w:numFmt w:val="decimal"/>
      <w:lvlText w:val="%4."/>
      <w:lvlJc w:val="left"/>
      <w:pPr>
        <w:ind w:left="3030" w:hanging="360"/>
      </w:pPr>
      <w:rPr>
        <w:rFonts w:cs="Times New Roman"/>
      </w:rPr>
    </w:lvl>
    <w:lvl w:ilvl="4">
      <w:start w:val="1"/>
      <w:numFmt w:val="lowerLetter"/>
      <w:lvlText w:val="%5."/>
      <w:lvlJc w:val="left"/>
      <w:pPr>
        <w:ind w:left="3750" w:hanging="360"/>
      </w:pPr>
      <w:rPr>
        <w:rFonts w:cs="Times New Roman"/>
      </w:rPr>
    </w:lvl>
    <w:lvl w:ilvl="5">
      <w:start w:val="1"/>
      <w:numFmt w:val="lowerRoman"/>
      <w:lvlText w:val="%6."/>
      <w:lvlJc w:val="right"/>
      <w:pPr>
        <w:ind w:left="4470" w:hanging="180"/>
      </w:pPr>
      <w:rPr>
        <w:rFonts w:cs="Times New Roman"/>
      </w:rPr>
    </w:lvl>
    <w:lvl w:ilvl="6">
      <w:start w:val="1"/>
      <w:numFmt w:val="decimal"/>
      <w:lvlText w:val="%7."/>
      <w:lvlJc w:val="left"/>
      <w:pPr>
        <w:ind w:left="5190" w:hanging="360"/>
      </w:pPr>
      <w:rPr>
        <w:rFonts w:cs="Times New Roman"/>
      </w:rPr>
    </w:lvl>
    <w:lvl w:ilvl="7">
      <w:start w:val="1"/>
      <w:numFmt w:val="lowerLetter"/>
      <w:lvlText w:val="%8."/>
      <w:lvlJc w:val="left"/>
      <w:pPr>
        <w:ind w:left="5910" w:hanging="360"/>
      </w:pPr>
      <w:rPr>
        <w:rFonts w:cs="Times New Roman"/>
      </w:rPr>
    </w:lvl>
    <w:lvl w:ilvl="8">
      <w:start w:val="1"/>
      <w:numFmt w:val="lowerRoman"/>
      <w:lvlText w:val="%9."/>
      <w:lvlJc w:val="right"/>
      <w:pPr>
        <w:ind w:left="6630" w:hanging="180"/>
      </w:pPr>
      <w:rPr>
        <w:rFonts w:cs="Times New Roman"/>
      </w:rPr>
    </w:lvl>
  </w:abstractNum>
  <w:abstractNum w:abstractNumId="1" w15:restartNumberingAfterBreak="0">
    <w:nsid w:val="55F906DE"/>
    <w:multiLevelType w:val="hybridMultilevel"/>
    <w:tmpl w:val="22CA2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059740">
    <w:abstractNumId w:val="0"/>
  </w:num>
  <w:num w:numId="2" w16cid:durableId="118902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13"/>
    <w:rsid w:val="001B7544"/>
    <w:rsid w:val="004C4C26"/>
    <w:rsid w:val="0068408D"/>
    <w:rsid w:val="00696110"/>
    <w:rsid w:val="0071169E"/>
    <w:rsid w:val="00797CF4"/>
    <w:rsid w:val="007B3213"/>
    <w:rsid w:val="00BE4EE9"/>
    <w:rsid w:val="00CE7AEB"/>
    <w:rsid w:val="00D137A7"/>
    <w:rsid w:val="00DD33CC"/>
    <w:rsid w:val="00E87AB5"/>
    <w:rsid w:val="00F52B45"/>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3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3213"/>
  </w:style>
  <w:style w:type="paragraph" w:styleId="Nagwek1">
    <w:name w:val="heading 1"/>
    <w:basedOn w:val="Normalny"/>
    <w:next w:val="Normalny"/>
    <w:link w:val="Nagwek1Znak"/>
    <w:uiPriority w:val="9"/>
    <w:qFormat/>
    <w:rsid w:val="007B3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3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32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32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32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32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32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32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32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32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32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32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32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32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32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32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32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3213"/>
    <w:rPr>
      <w:rFonts w:eastAsiaTheme="majorEastAsia" w:cstheme="majorBidi"/>
      <w:color w:val="272727" w:themeColor="text1" w:themeTint="D8"/>
    </w:rPr>
  </w:style>
  <w:style w:type="paragraph" w:styleId="Tytu">
    <w:name w:val="Title"/>
    <w:basedOn w:val="Normalny"/>
    <w:next w:val="Normalny"/>
    <w:link w:val="TytuZnak"/>
    <w:uiPriority w:val="10"/>
    <w:qFormat/>
    <w:rsid w:val="007B3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32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32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32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3213"/>
    <w:pPr>
      <w:spacing w:before="160"/>
      <w:jc w:val="center"/>
    </w:pPr>
    <w:rPr>
      <w:i/>
      <w:iCs/>
      <w:color w:val="404040" w:themeColor="text1" w:themeTint="BF"/>
    </w:rPr>
  </w:style>
  <w:style w:type="character" w:customStyle="1" w:styleId="CytatZnak">
    <w:name w:val="Cytat Znak"/>
    <w:basedOn w:val="Domylnaczcionkaakapitu"/>
    <w:link w:val="Cytat"/>
    <w:uiPriority w:val="29"/>
    <w:rsid w:val="007B3213"/>
    <w:rPr>
      <w:i/>
      <w:iCs/>
      <w:color w:val="404040" w:themeColor="text1" w:themeTint="BF"/>
    </w:rPr>
  </w:style>
  <w:style w:type="paragraph" w:styleId="Akapitzlist">
    <w:name w:val="List Paragraph"/>
    <w:basedOn w:val="Normalny"/>
    <w:uiPriority w:val="34"/>
    <w:qFormat/>
    <w:rsid w:val="007B3213"/>
    <w:pPr>
      <w:ind w:left="720"/>
      <w:contextualSpacing/>
    </w:pPr>
  </w:style>
  <w:style w:type="character" w:styleId="Wyrnienieintensywne">
    <w:name w:val="Intense Emphasis"/>
    <w:basedOn w:val="Domylnaczcionkaakapitu"/>
    <w:uiPriority w:val="21"/>
    <w:qFormat/>
    <w:rsid w:val="007B3213"/>
    <w:rPr>
      <w:i/>
      <w:iCs/>
      <w:color w:val="0F4761" w:themeColor="accent1" w:themeShade="BF"/>
    </w:rPr>
  </w:style>
  <w:style w:type="paragraph" w:styleId="Cytatintensywny">
    <w:name w:val="Intense Quote"/>
    <w:basedOn w:val="Normalny"/>
    <w:next w:val="Normalny"/>
    <w:link w:val="CytatintensywnyZnak"/>
    <w:uiPriority w:val="30"/>
    <w:qFormat/>
    <w:rsid w:val="007B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3213"/>
    <w:rPr>
      <w:i/>
      <w:iCs/>
      <w:color w:val="0F4761" w:themeColor="accent1" w:themeShade="BF"/>
    </w:rPr>
  </w:style>
  <w:style w:type="character" w:styleId="Odwoanieintensywne">
    <w:name w:val="Intense Reference"/>
    <w:basedOn w:val="Domylnaczcionkaakapitu"/>
    <w:uiPriority w:val="32"/>
    <w:qFormat/>
    <w:rsid w:val="007B3213"/>
    <w:rPr>
      <w:b/>
      <w:bCs/>
      <w:smallCaps/>
      <w:color w:val="0F4761" w:themeColor="accent1" w:themeShade="BF"/>
      <w:spacing w:val="5"/>
    </w:rPr>
  </w:style>
  <w:style w:type="paragraph" w:customStyle="1" w:styleId="ZLITwPKTzmlitwpktartykuempunktem">
    <w:name w:val="Z/LIT_w_PKT – zm. lit. w pkt artykułem (punktem)"/>
    <w:basedOn w:val="Normalny"/>
    <w:uiPriority w:val="32"/>
    <w:qFormat/>
    <w:rsid w:val="007B3213"/>
    <w:pPr>
      <w:spacing w:after="0" w:line="360" w:lineRule="auto"/>
      <w:ind w:left="1497"/>
      <w:jc w:val="both"/>
    </w:pPr>
    <w:rPr>
      <w:rFonts w:ascii="Times" w:eastAsiaTheme="minorEastAsia" w:hAnsi="Times" w:cs="Arial"/>
      <w:bCs/>
      <w:kern w:val="0"/>
      <w:sz w:val="24"/>
      <w:szCs w:val="20"/>
      <w:lang w:eastAsia="pl-PL"/>
    </w:rPr>
  </w:style>
  <w:style w:type="paragraph" w:customStyle="1" w:styleId="ZPKTzmpktartykuempunktem">
    <w:name w:val="Z/PKT – zm. pkt artykułem (punktem)"/>
    <w:basedOn w:val="Normalny"/>
    <w:uiPriority w:val="31"/>
    <w:qFormat/>
    <w:rsid w:val="007B3213"/>
    <w:pPr>
      <w:spacing w:after="0" w:line="360" w:lineRule="auto"/>
      <w:ind w:left="1020"/>
      <w:jc w:val="both"/>
    </w:pPr>
    <w:rPr>
      <w:rFonts w:ascii="Times" w:eastAsiaTheme="minorEastAsia" w:hAnsi="Times" w:cs="Arial"/>
      <w:bCs/>
      <w:kern w:val="0"/>
      <w:sz w:val="24"/>
      <w:szCs w:val="20"/>
      <w:lang w:eastAsia="pl-PL"/>
    </w:rPr>
  </w:style>
  <w:style w:type="paragraph" w:styleId="Stopka">
    <w:name w:val="footer"/>
    <w:basedOn w:val="Normalny"/>
    <w:link w:val="StopkaZnak"/>
    <w:uiPriority w:val="99"/>
    <w:unhideWhenUsed/>
    <w:rsid w:val="007B32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213"/>
  </w:style>
  <w:style w:type="paragraph" w:styleId="Nagwek">
    <w:name w:val="header"/>
    <w:basedOn w:val="Normalny"/>
    <w:link w:val="NagwekZnak"/>
    <w:uiPriority w:val="99"/>
    <w:unhideWhenUsed/>
    <w:rsid w:val="00BE4E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partg/BJNR00773096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1712</Words>
  <Characters>10272</Characters>
  <Application>Microsoft Office Word</Application>
  <DocSecurity>0</DocSecurity>
  <Lines>85</Lines>
  <Paragraphs>23</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2025-04-23T09:07:00Z</dcterms:created>
  <dcterms:modified xsi:type="dcterms:W3CDTF">2025-04-23T09:08:00Z</dcterms:modified>
</cp:coreProperties>
</file>