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C463" w14:textId="77777777" w:rsidR="0031359F" w:rsidRPr="00511737" w:rsidRDefault="0031359F" w:rsidP="00511737">
      <w:pPr>
        <w:pStyle w:val="TYTUAKTUprzedmiotregulacjiustawylubrozporzdzenia"/>
        <w:spacing w:after="0"/>
        <w:rPr>
          <w:rFonts w:ascii="Times New Roman" w:hAnsi="Times New Roman" w:cs="Times New Roman"/>
          <w:b w:val="0"/>
          <w:bCs w:val="0"/>
        </w:rPr>
      </w:pPr>
      <w:r w:rsidRPr="00511737">
        <w:rPr>
          <w:rFonts w:ascii="Times New Roman" w:hAnsi="Times New Roman" w:cs="Times New Roman"/>
          <w:b w:val="0"/>
          <w:bCs w:val="0"/>
        </w:rPr>
        <w:t>UZASADNIENIE</w:t>
      </w:r>
    </w:p>
    <w:p w14:paraId="5CFBF749" w14:textId="58BBEA8B"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Celem projektowanej ustawy jest wprowadzenie zmian w przepisach ustawy z dnia 22</w:t>
      </w:r>
      <w:r w:rsidR="00A32C96">
        <w:rPr>
          <w:rFonts w:ascii="Times New Roman" w:hAnsi="Times New Roman" w:cs="Times New Roman"/>
        </w:rPr>
        <w:t xml:space="preserve"> </w:t>
      </w:r>
      <w:r w:rsidRPr="00511737">
        <w:rPr>
          <w:rFonts w:ascii="Times New Roman" w:hAnsi="Times New Roman" w:cs="Times New Roman"/>
        </w:rPr>
        <w:t xml:space="preserve">marca 2018 r. o komornikach sądowych (Dz. U. z 2024 r. poz. 1458), </w:t>
      </w:r>
      <w:r w:rsidRPr="000D3395">
        <w:t>dalej „u.k.s.”.</w:t>
      </w:r>
    </w:p>
    <w:p w14:paraId="494A85E2" w14:textId="373C2CCE"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Uzasadnieniem proponowanych zmian jest przede wszystkim potrzeba pilnego wyeliminowania sprzeczności, jakie wyłaniają się na tle regulacji zawartej w art. 19 ust. 1 pkt</w:t>
      </w:r>
      <w:r w:rsidR="00F6668F" w:rsidRPr="00511737">
        <w:rPr>
          <w:rFonts w:ascii="Times New Roman" w:hAnsi="Times New Roman" w:cs="Times New Roman"/>
        </w:rPr>
        <w:t> </w:t>
      </w:r>
      <w:r w:rsidRPr="00511737">
        <w:rPr>
          <w:rFonts w:ascii="Times New Roman" w:hAnsi="Times New Roman" w:cs="Times New Roman"/>
        </w:rPr>
        <w:t>2 oraz art. 144 ust. 1 pkt 4 u.k.s. wobec art. 2 ust. 2 (a)</w:t>
      </w:r>
      <w:r w:rsidR="00A32C96">
        <w:rPr>
          <w:rFonts w:ascii="Times New Roman" w:hAnsi="Times New Roman" w:cs="Times New Roman"/>
        </w:rPr>
        <w:t xml:space="preserve"> </w:t>
      </w:r>
      <w:r w:rsidRPr="00511737">
        <w:rPr>
          <w:rFonts w:ascii="Times New Roman" w:hAnsi="Times New Roman" w:cs="Times New Roman"/>
        </w:rPr>
        <w:t>dyrektywy Rady z dnia 27 listopada 2000</w:t>
      </w:r>
      <w:r w:rsidR="00F6668F" w:rsidRPr="00511737">
        <w:rPr>
          <w:rFonts w:ascii="Times New Roman" w:hAnsi="Times New Roman" w:cs="Times New Roman"/>
        </w:rPr>
        <w:t> </w:t>
      </w:r>
      <w:r w:rsidRPr="00511737">
        <w:rPr>
          <w:rFonts w:ascii="Times New Roman" w:hAnsi="Times New Roman" w:cs="Times New Roman"/>
        </w:rPr>
        <w:t>r. 2000/78/WE ustanawiającej ogólne warunki ramowe równego traktowania w</w:t>
      </w:r>
      <w:r w:rsidR="00A32C96">
        <w:rPr>
          <w:rFonts w:ascii="Times New Roman" w:hAnsi="Times New Roman" w:cs="Times New Roman"/>
        </w:rPr>
        <w:t xml:space="preserve"> </w:t>
      </w:r>
      <w:r w:rsidRPr="00511737">
        <w:rPr>
          <w:rFonts w:ascii="Times New Roman" w:hAnsi="Times New Roman" w:cs="Times New Roman"/>
        </w:rPr>
        <w:t>zakresie zatrudnienia i pracy (Dz. Urz. UE L 303.12.16).</w:t>
      </w:r>
    </w:p>
    <w:p w14:paraId="4AFF0B30" w14:textId="77777777"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Ponadto projektowana ustawa zmierza do zniesienia maksymalnego czasu trwania asesury komorniczej wynoszącego obecnie 6 lat od dnia pierwszego powołania na stanowisko asesora komorniczego.</w:t>
      </w:r>
    </w:p>
    <w:p w14:paraId="355D1358" w14:textId="1A8F9B34" w:rsidR="0031359F" w:rsidRPr="00511737" w:rsidRDefault="0031359F" w:rsidP="00167C5D">
      <w:pPr>
        <w:pStyle w:val="NIEARTTEKSTtekstnieartykuowanynppodstprawnarozplubpreambua"/>
        <w:rPr>
          <w:rStyle w:val="Ppogrubienie"/>
          <w:rFonts w:ascii="Times New Roman" w:hAnsi="Times New Roman" w:cs="Times New Roman"/>
        </w:rPr>
      </w:pPr>
      <w:r w:rsidRPr="00511737">
        <w:rPr>
          <w:rStyle w:val="Ppogrubienie"/>
          <w:rFonts w:ascii="Times New Roman" w:hAnsi="Times New Roman" w:cs="Times New Roman"/>
        </w:rPr>
        <w:t>1. Zmiany przepisów związanych z wiekiem emerytalnym komornika sądowego oraz asesora komorniczego obejmujące art. 19 ust. 1 pkt 2, art. 144 i art. 281 u.k.s.</w:t>
      </w:r>
    </w:p>
    <w:p w14:paraId="4EBBE7D1" w14:textId="1241CE7E"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W aktualnym stanie prawnym Minister Sprawiedliwości odwołuje z urzędu komornika </w:t>
      </w:r>
      <w:bookmarkStart w:id="0" w:name="_Hlk173912053"/>
      <w:r w:rsidRPr="00511737">
        <w:rPr>
          <w:rFonts w:ascii="Times New Roman" w:hAnsi="Times New Roman" w:cs="Times New Roman"/>
        </w:rPr>
        <w:t xml:space="preserve">sądowego, zwanego dalej „komornikiem”, z zajmowanego stanowiska, jeżeli komornik ukończył 65. rok życia (art. 19 ust. 1 pkt 2 u.k.s.), </w:t>
      </w:r>
      <w:bookmarkEnd w:id="0"/>
      <w:r w:rsidRPr="00511737">
        <w:rPr>
          <w:rFonts w:ascii="Times New Roman" w:hAnsi="Times New Roman" w:cs="Times New Roman"/>
        </w:rPr>
        <w:t>natomiast prezes właściwego sądu apelacyjnego odwołuje z urzędu asesora komorniczego, zwanego dalej „asesorem”, z</w:t>
      </w:r>
      <w:r w:rsidR="00F6668F" w:rsidRPr="00511737">
        <w:rPr>
          <w:rFonts w:ascii="Times New Roman" w:hAnsi="Times New Roman" w:cs="Times New Roman"/>
        </w:rPr>
        <w:t> </w:t>
      </w:r>
      <w:r w:rsidRPr="00511737">
        <w:rPr>
          <w:rFonts w:ascii="Times New Roman" w:hAnsi="Times New Roman" w:cs="Times New Roman"/>
        </w:rPr>
        <w:t>zajmowanego stanowiska, jeżeli asesor ukończył 65. rok życia (art. 144 ust. 1 pkt 4 u.k.s.). Regulacja ta obowiązuje od dnia 1 stycznia 2019 r.</w:t>
      </w:r>
    </w:p>
    <w:p w14:paraId="19B91665" w14:textId="77DA617A"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Do czasu wejścia w życie ww. przepisów, tj. do dnia 31 grudnia 2018 r., obowiązywała ustawa z dnia 29 sierpnia 1997 r. o komornikach sądowych i egzekucji (Dz. U. z 2018</w:t>
      </w:r>
      <w:r w:rsidR="007E01DA">
        <w:rPr>
          <w:rFonts w:ascii="Times New Roman" w:hAnsi="Times New Roman" w:cs="Times New Roman"/>
        </w:rPr>
        <w:t> </w:t>
      </w:r>
      <w:r w:rsidRPr="00511737">
        <w:rPr>
          <w:rFonts w:ascii="Times New Roman" w:hAnsi="Times New Roman" w:cs="Times New Roman"/>
        </w:rPr>
        <w:t>r. poz.</w:t>
      </w:r>
      <w:r w:rsidR="007E01DA">
        <w:rPr>
          <w:rFonts w:ascii="Times New Roman" w:hAnsi="Times New Roman" w:cs="Times New Roman"/>
        </w:rPr>
        <w:t> </w:t>
      </w:r>
      <w:r w:rsidRPr="00511737">
        <w:rPr>
          <w:rFonts w:ascii="Times New Roman" w:hAnsi="Times New Roman" w:cs="Times New Roman"/>
        </w:rPr>
        <w:t>1309</w:t>
      </w:r>
      <w:r w:rsidR="007E01DA">
        <w:rPr>
          <w:rFonts w:ascii="Times New Roman" w:hAnsi="Times New Roman" w:cs="Times New Roman"/>
        </w:rPr>
        <w:t>, z późn. zm.</w:t>
      </w:r>
      <w:r w:rsidRPr="00511737">
        <w:rPr>
          <w:rFonts w:ascii="Times New Roman" w:hAnsi="Times New Roman" w:cs="Times New Roman"/>
        </w:rPr>
        <w:t>), dalej „u.k.s.e.”. Zgodnie z jej regulacjami Minister Sprawiedliwości odwoływał komornika ze stanowiska z chwilą ukończenia 70</w:t>
      </w:r>
      <w:r w:rsidR="007E01DA">
        <w:rPr>
          <w:rFonts w:ascii="Times New Roman" w:hAnsi="Times New Roman" w:cs="Times New Roman"/>
        </w:rPr>
        <w:t>.</w:t>
      </w:r>
      <w:r w:rsidRPr="00511737">
        <w:rPr>
          <w:rFonts w:ascii="Times New Roman" w:hAnsi="Times New Roman" w:cs="Times New Roman"/>
        </w:rPr>
        <w:t xml:space="preserve"> roku życia (art. 15a ust. 1 pkt</w:t>
      </w:r>
      <w:r w:rsidR="007E01DA">
        <w:rPr>
          <w:rFonts w:ascii="Times New Roman" w:hAnsi="Times New Roman" w:cs="Times New Roman"/>
        </w:rPr>
        <w:t> </w:t>
      </w:r>
      <w:r w:rsidRPr="00511737">
        <w:rPr>
          <w:rFonts w:ascii="Times New Roman" w:hAnsi="Times New Roman" w:cs="Times New Roman"/>
        </w:rPr>
        <w:t>3a u.k.s.e.). Podobne określenie wieku, którego osiągnięcie skutkowało odwołaniem ze stanowiska, dotyczyło asesora (art. 32b ust. 1 pkt 3a u.k.s.e.). U.k.s. obniżyła zatem granicę wieku odwołania komornika i asesora o 5 lat (z 70 lat na 65 lat).</w:t>
      </w:r>
    </w:p>
    <w:p w14:paraId="6C9CCF85" w14:textId="0FDA7471"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Decyzje odwołujące komorników z zajmowanych stanowisk wydawane przez Ministra Sprawiedliwości w trybie art. 19 ust. 1 pkt 2 u.k.s. (ukończony 65. roku życia) stanowiły na przestrzeni ostatnich 5 lat funkcjonowania ustawy przedmiot kontroli judykacyjnej sądów administracyjnych. W wyniku tych postępowań decyzje Ministra Sprawiedliwości były uchylane przez sądy administracyjne I instancji, a skargi kasacyjne Ministra Sprawiedliwości </w:t>
      </w:r>
      <w:r w:rsidRPr="00511737">
        <w:rPr>
          <w:rFonts w:ascii="Times New Roman" w:hAnsi="Times New Roman" w:cs="Times New Roman"/>
        </w:rPr>
        <w:lastRenderedPageBreak/>
        <w:t>od tych orzeczeń były oddalane. Sądy administracyjne konsekwentnie powoływały w</w:t>
      </w:r>
      <w:r w:rsidR="00F6668F" w:rsidRPr="00511737">
        <w:rPr>
          <w:rFonts w:ascii="Times New Roman" w:hAnsi="Times New Roman" w:cs="Times New Roman"/>
        </w:rPr>
        <w:t> </w:t>
      </w:r>
      <w:r w:rsidRPr="00511737">
        <w:rPr>
          <w:rFonts w:ascii="Times New Roman" w:hAnsi="Times New Roman" w:cs="Times New Roman"/>
        </w:rPr>
        <w:t xml:space="preserve">uzasadnieniach wyroków, </w:t>
      </w:r>
      <w:r w:rsidR="00012B98" w:rsidRPr="00511737">
        <w:rPr>
          <w:rFonts w:ascii="Times New Roman" w:hAnsi="Times New Roman" w:cs="Times New Roman"/>
        </w:rPr>
        <w:t>że</w:t>
      </w:r>
      <w:r w:rsidRPr="00511737">
        <w:rPr>
          <w:rFonts w:ascii="Times New Roman" w:hAnsi="Times New Roman" w:cs="Times New Roman"/>
        </w:rPr>
        <w:t xml:space="preserve"> stanowiąca podstawę decyzji administracyjnych wydawanych przez Ministra Sprawiedliwości regulacja zawarta w art. 19 ust. 1 pkt 2 u.k.s. pozostaje</w:t>
      </w:r>
      <w:r w:rsidR="00F6668F" w:rsidRPr="00511737">
        <w:rPr>
          <w:rFonts w:ascii="Times New Roman" w:hAnsi="Times New Roman" w:cs="Times New Roman"/>
        </w:rPr>
        <w:t xml:space="preserve"> w </w:t>
      </w:r>
      <w:r w:rsidRPr="00511737">
        <w:rPr>
          <w:rFonts w:ascii="Times New Roman" w:hAnsi="Times New Roman" w:cs="Times New Roman"/>
        </w:rPr>
        <w:t xml:space="preserve">sprzeczności z uregulowaniami zawartymi w art. 2 ust. 2 (a) dyrektywy </w:t>
      </w:r>
      <w:r w:rsidRPr="000D3395">
        <w:t xml:space="preserve">2000/78/WE </w:t>
      </w:r>
      <w:r w:rsidRPr="00511737">
        <w:rPr>
          <w:rFonts w:ascii="Times New Roman" w:hAnsi="Times New Roman" w:cs="Times New Roman"/>
        </w:rPr>
        <w:t>i</w:t>
      </w:r>
      <w:r w:rsidR="003F05C6" w:rsidRPr="00511737">
        <w:rPr>
          <w:rFonts w:ascii="Times New Roman" w:hAnsi="Times New Roman" w:cs="Times New Roman"/>
        </w:rPr>
        <w:t> </w:t>
      </w:r>
      <w:r w:rsidRPr="00511737">
        <w:rPr>
          <w:rFonts w:ascii="Times New Roman" w:hAnsi="Times New Roman" w:cs="Times New Roman"/>
        </w:rPr>
        <w:t>stanowi pr</w:t>
      </w:r>
      <w:bookmarkStart w:id="1" w:name="_Hlk177038464"/>
      <w:r w:rsidRPr="00511737">
        <w:rPr>
          <w:rFonts w:ascii="Times New Roman" w:hAnsi="Times New Roman" w:cs="Times New Roman"/>
        </w:rPr>
        <w:t>zejaw dyskryminacji bezpośredniej określonej grupy zawodowej (por. wyroki NSA: z dnia 25 sierpnia 2020 r., sygn. akt II GSK 560/20; z dnia 30 czerwca 2021 r., sygn. akt II GSK 582/21; z dnia 7 września 2021 r., sygn. akt II GSK 585/21; z dnia 16 listopada 2021</w:t>
      </w:r>
      <w:r w:rsidR="003F05C6" w:rsidRPr="00511737">
        <w:rPr>
          <w:rFonts w:ascii="Times New Roman" w:hAnsi="Times New Roman" w:cs="Times New Roman"/>
        </w:rPr>
        <w:t> </w:t>
      </w:r>
      <w:r w:rsidRPr="00511737">
        <w:rPr>
          <w:rFonts w:ascii="Times New Roman" w:hAnsi="Times New Roman" w:cs="Times New Roman"/>
        </w:rPr>
        <w:t>r., sygn. akt II GSK 1933/21; z dnia 16 listopada 2021 r., sygn. akt II GSK 1794/21; z dnia 7</w:t>
      </w:r>
      <w:r w:rsidR="003F05C6" w:rsidRPr="00511737">
        <w:rPr>
          <w:rFonts w:ascii="Times New Roman" w:hAnsi="Times New Roman" w:cs="Times New Roman"/>
        </w:rPr>
        <w:t> </w:t>
      </w:r>
      <w:r w:rsidRPr="00511737">
        <w:rPr>
          <w:rFonts w:ascii="Times New Roman" w:hAnsi="Times New Roman" w:cs="Times New Roman"/>
        </w:rPr>
        <w:t>grudnia 2021 r., sygn. akt II GSK 2281/21; z dnia 12 grudnia 2022 r., sygn. akt II GSK 425/22).</w:t>
      </w:r>
    </w:p>
    <w:bookmarkEnd w:id="1"/>
    <w:p w14:paraId="56D20F4F" w14:textId="2341E1E3"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W ten sam sposób </w:t>
      </w:r>
      <w:r w:rsidR="007E01DA" w:rsidRPr="00B6133F">
        <w:rPr>
          <w:rFonts w:ascii="Times New Roman" w:hAnsi="Times New Roman" w:cs="Times New Roman"/>
        </w:rPr>
        <w:t>były</w:t>
      </w:r>
      <w:r w:rsidR="007E01DA" w:rsidRPr="007E01DA">
        <w:rPr>
          <w:rFonts w:ascii="Times New Roman" w:hAnsi="Times New Roman" w:cs="Times New Roman"/>
        </w:rPr>
        <w:t xml:space="preserve"> </w:t>
      </w:r>
      <w:r w:rsidRPr="00511737">
        <w:rPr>
          <w:rFonts w:ascii="Times New Roman" w:hAnsi="Times New Roman" w:cs="Times New Roman"/>
        </w:rPr>
        <w:t>oceniane decyzje wydawane w oparciu o art. 144 ust. 1 pkt 4 u.k.s. zobowiązując</w:t>
      </w:r>
      <w:r w:rsidR="007E01DA">
        <w:rPr>
          <w:rFonts w:ascii="Times New Roman" w:hAnsi="Times New Roman" w:cs="Times New Roman"/>
        </w:rPr>
        <w:t>e</w:t>
      </w:r>
      <w:r w:rsidRPr="00511737">
        <w:rPr>
          <w:rFonts w:ascii="Times New Roman" w:hAnsi="Times New Roman" w:cs="Times New Roman"/>
        </w:rPr>
        <w:t xml:space="preserve"> prezesa właściwego sądu apelacyjnego do odwołania ze stanowiska asesora, który ukończył 65. rok życia.</w:t>
      </w:r>
      <w:r w:rsidR="00012B98" w:rsidRPr="00511737">
        <w:rPr>
          <w:rFonts w:ascii="Times New Roman" w:hAnsi="Times New Roman" w:cs="Times New Roman"/>
        </w:rPr>
        <w:t xml:space="preserve"> </w:t>
      </w:r>
      <w:r w:rsidRPr="00511737">
        <w:rPr>
          <w:rFonts w:ascii="Times New Roman" w:hAnsi="Times New Roman" w:cs="Times New Roman"/>
        </w:rPr>
        <w:t>Decyzje administracyjne odwołujące asesorów z uwagi na ukończony 65. rok życia są uchylane z tych samych powodów co decyzje odwołujące komorników, jako stanowiące przejaw dyskryminacji bezpośredniej (por. wyrok NSA z dnia 6</w:t>
      </w:r>
      <w:r w:rsidR="000C36ED" w:rsidRPr="00511737">
        <w:rPr>
          <w:rFonts w:ascii="Times New Roman" w:hAnsi="Times New Roman" w:cs="Times New Roman"/>
        </w:rPr>
        <w:t> </w:t>
      </w:r>
      <w:r w:rsidRPr="00511737">
        <w:rPr>
          <w:rFonts w:ascii="Times New Roman" w:hAnsi="Times New Roman" w:cs="Times New Roman"/>
        </w:rPr>
        <w:t>kwietnia 2022 r. sygn. akt II GSK 296/22).</w:t>
      </w:r>
    </w:p>
    <w:p w14:paraId="53A23C6A" w14:textId="3FA12C6C"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Stanowisko sądów administracyjnych w tej materii jest obecnie ugruntowane, a</w:t>
      </w:r>
      <w:r w:rsidR="003F05C6" w:rsidRPr="00511737">
        <w:rPr>
          <w:rFonts w:ascii="Times New Roman" w:hAnsi="Times New Roman" w:cs="Times New Roman"/>
        </w:rPr>
        <w:t> </w:t>
      </w:r>
      <w:r w:rsidRPr="00511737">
        <w:rPr>
          <w:rFonts w:ascii="Times New Roman" w:hAnsi="Times New Roman" w:cs="Times New Roman"/>
        </w:rPr>
        <w:t>pozbawieni możliwości wykonywania zawodu komornicy i asesorzy, po uzyskaniu pozytywnego wyroku</w:t>
      </w:r>
      <w:r w:rsidR="007E01DA">
        <w:rPr>
          <w:rFonts w:ascii="Times New Roman" w:hAnsi="Times New Roman" w:cs="Times New Roman"/>
        </w:rPr>
        <w:t>,</w:t>
      </w:r>
      <w:r w:rsidRPr="00511737">
        <w:rPr>
          <w:rFonts w:ascii="Times New Roman" w:hAnsi="Times New Roman" w:cs="Times New Roman"/>
        </w:rPr>
        <w:t xml:space="preserve"> nabywają uprawnienia do dochodzenia od Skarbu Państwa roszczeń odszkodowawczych w oparciu o przepis art. 417</w:t>
      </w:r>
      <w:r w:rsidRPr="00511737">
        <w:rPr>
          <w:rStyle w:val="IGindeksgrny"/>
          <w:rFonts w:ascii="Times New Roman" w:hAnsi="Times New Roman" w:cs="Times New Roman"/>
        </w:rPr>
        <w:t>1</w:t>
      </w:r>
      <w:r w:rsidRPr="00511737">
        <w:rPr>
          <w:rFonts w:ascii="Times New Roman" w:hAnsi="Times New Roman" w:cs="Times New Roman"/>
        </w:rPr>
        <w:t xml:space="preserve"> § 2 Kodeksu cywilnego. Z tych względów istniejące w u.k.s. rozwiązania, stanowiące przejaw dyskryminacji bezpośredniej określonych grup zawodowych (komorników i asesorów), muszą być pilnie zmienione, tak aby osoby wykonujące określoną działalność zawodową i mające status funkcjonariuszy publicznych nie były traktowane mniej korzystnie niż inne osoby wykonujące prawniczą działalność zawodową, mające status funkcjonariuszy publicznych lub status zawodu zaufania publicznego, w szczególności sędziowie, prokuratorzy czy notariusze.</w:t>
      </w:r>
    </w:p>
    <w:p w14:paraId="11F48BDF" w14:textId="77777777"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W celach porównawczych należy wskazać, jak ustawodawca określa wiek zakończenia aktywności zawodowej w poszczególnych zawodach prawniczych:</w:t>
      </w:r>
    </w:p>
    <w:p w14:paraId="6DA6A9EC" w14:textId="57593AC2" w:rsidR="0031359F" w:rsidRPr="00511737" w:rsidRDefault="0031359F" w:rsidP="00511737">
      <w:pPr>
        <w:pStyle w:val="NIEARTTEKSTtekstnieartykuowanynppodstprawnarozplubpreambua"/>
        <w:ind w:left="993" w:hanging="483"/>
        <w:rPr>
          <w:rFonts w:ascii="Times New Roman" w:hAnsi="Times New Roman" w:cs="Times New Roman"/>
        </w:rPr>
      </w:pPr>
      <w:r w:rsidRPr="00511737">
        <w:rPr>
          <w:rFonts w:ascii="Times New Roman" w:hAnsi="Times New Roman" w:cs="Times New Roman"/>
        </w:rPr>
        <w:t>1)</w:t>
      </w:r>
      <w:r w:rsidR="00167C5D">
        <w:rPr>
          <w:rFonts w:ascii="Times New Roman" w:hAnsi="Times New Roman" w:cs="Times New Roman"/>
        </w:rPr>
        <w:tab/>
      </w:r>
      <w:r w:rsidRPr="00511737">
        <w:rPr>
          <w:rFonts w:ascii="Times New Roman" w:hAnsi="Times New Roman" w:cs="Times New Roman"/>
        </w:rPr>
        <w:t>ustawa z dnia 14 lutego 1991 r. – Prawo o notariacie (Dz. U. z 2024 r. poz.</w:t>
      </w:r>
      <w:r w:rsidR="00167C5D">
        <w:rPr>
          <w:rFonts w:ascii="Times New Roman" w:hAnsi="Times New Roman" w:cs="Times New Roman"/>
        </w:rPr>
        <w:t> </w:t>
      </w:r>
      <w:r w:rsidRPr="00511737">
        <w:rPr>
          <w:rFonts w:ascii="Times New Roman" w:hAnsi="Times New Roman" w:cs="Times New Roman"/>
        </w:rPr>
        <w:t>1001</w:t>
      </w:r>
      <w:r w:rsidR="00F96F30">
        <w:rPr>
          <w:rFonts w:ascii="Times New Roman" w:hAnsi="Times New Roman" w:cs="Times New Roman"/>
        </w:rPr>
        <w:t>, z późn. zm.</w:t>
      </w:r>
      <w:r w:rsidRPr="00511737">
        <w:rPr>
          <w:rFonts w:ascii="Times New Roman" w:hAnsi="Times New Roman" w:cs="Times New Roman"/>
        </w:rPr>
        <w:t>) w</w:t>
      </w:r>
      <w:r w:rsidR="00F96F30">
        <w:rPr>
          <w:rFonts w:ascii="Times New Roman" w:hAnsi="Times New Roman" w:cs="Times New Roman"/>
        </w:rPr>
        <w:t xml:space="preserve"> </w:t>
      </w:r>
      <w:r w:rsidRPr="00511737">
        <w:rPr>
          <w:rFonts w:ascii="Times New Roman" w:hAnsi="Times New Roman" w:cs="Times New Roman"/>
        </w:rPr>
        <w:t>art. 16 § 1 pkt 2a wskazuje, że Minister Sprawiedliwości odwołuje notariusza, jeżeli notariusz ukończył 70 lat;</w:t>
      </w:r>
    </w:p>
    <w:p w14:paraId="2DD1C09E" w14:textId="15301206" w:rsidR="0031359F" w:rsidRPr="00511737" w:rsidRDefault="0031359F" w:rsidP="00511737">
      <w:pPr>
        <w:pStyle w:val="NIEARTTEKSTtekstnieartykuowanynppodstprawnarozplubpreambua"/>
        <w:ind w:left="993" w:hanging="483"/>
        <w:rPr>
          <w:rFonts w:ascii="Times New Roman" w:hAnsi="Times New Roman" w:cs="Times New Roman"/>
        </w:rPr>
      </w:pPr>
      <w:r w:rsidRPr="00511737">
        <w:rPr>
          <w:rFonts w:ascii="Times New Roman" w:hAnsi="Times New Roman" w:cs="Times New Roman"/>
        </w:rPr>
        <w:lastRenderedPageBreak/>
        <w:t>2)</w:t>
      </w:r>
      <w:r w:rsidR="00167C5D">
        <w:rPr>
          <w:rFonts w:ascii="Times New Roman" w:hAnsi="Times New Roman" w:cs="Times New Roman"/>
        </w:rPr>
        <w:tab/>
      </w:r>
      <w:r w:rsidRPr="00511737">
        <w:rPr>
          <w:rFonts w:ascii="Times New Roman" w:hAnsi="Times New Roman" w:cs="Times New Roman"/>
        </w:rPr>
        <w:t>ustawa z dnia 27 lipca 2001 r. – Prawo o ustroju sądów powszechnych (Dz. U. z 2024</w:t>
      </w:r>
      <w:r w:rsidR="003F05C6" w:rsidRPr="00511737">
        <w:rPr>
          <w:rFonts w:ascii="Times New Roman" w:hAnsi="Times New Roman" w:cs="Times New Roman"/>
        </w:rPr>
        <w:t> </w:t>
      </w:r>
      <w:r w:rsidRPr="00511737">
        <w:rPr>
          <w:rFonts w:ascii="Times New Roman" w:hAnsi="Times New Roman" w:cs="Times New Roman"/>
        </w:rPr>
        <w:t>r. poz. 334</w:t>
      </w:r>
      <w:r w:rsidR="00F96F30">
        <w:rPr>
          <w:rFonts w:ascii="Times New Roman" w:hAnsi="Times New Roman" w:cs="Times New Roman"/>
        </w:rPr>
        <w:t>, z późn. zm.</w:t>
      </w:r>
      <w:r w:rsidRPr="00511737">
        <w:rPr>
          <w:rFonts w:ascii="Times New Roman" w:hAnsi="Times New Roman" w:cs="Times New Roman"/>
        </w:rPr>
        <w:t xml:space="preserve">) w art. 69 </w:t>
      </w:r>
      <w:bookmarkStart w:id="2" w:name="_Hlk196377559"/>
      <w:r w:rsidRPr="00511737">
        <w:rPr>
          <w:rFonts w:ascii="Times New Roman" w:hAnsi="Times New Roman" w:cs="Times New Roman"/>
        </w:rPr>
        <w:t xml:space="preserve">§ </w:t>
      </w:r>
      <w:bookmarkEnd w:id="2"/>
      <w:r w:rsidRPr="00511737">
        <w:rPr>
          <w:rFonts w:ascii="Times New Roman" w:hAnsi="Times New Roman" w:cs="Times New Roman"/>
        </w:rPr>
        <w:t xml:space="preserve">1 i 3 wskazuje, że sędzia przechodzi w stan spoczynku z dniem ukończenia 65. roku życia, a pod pewnymi warunkami ten okres </w:t>
      </w:r>
      <w:bookmarkStart w:id="3" w:name="_Hlk177037625"/>
      <w:r w:rsidRPr="00511737">
        <w:rPr>
          <w:rFonts w:ascii="Times New Roman" w:hAnsi="Times New Roman" w:cs="Times New Roman"/>
        </w:rPr>
        <w:t>może być wydłużony do 70. roku życia;</w:t>
      </w:r>
    </w:p>
    <w:bookmarkEnd w:id="3"/>
    <w:p w14:paraId="62D726DE" w14:textId="70303915" w:rsidR="0031359F" w:rsidRPr="00511737" w:rsidRDefault="0031359F" w:rsidP="00511737">
      <w:pPr>
        <w:pStyle w:val="NIEARTTEKSTtekstnieartykuowanynppodstprawnarozplubpreambua"/>
        <w:ind w:left="993" w:hanging="483"/>
        <w:rPr>
          <w:rFonts w:ascii="Times New Roman" w:hAnsi="Times New Roman" w:cs="Times New Roman"/>
        </w:rPr>
      </w:pPr>
      <w:r w:rsidRPr="00511737">
        <w:rPr>
          <w:rFonts w:ascii="Times New Roman" w:hAnsi="Times New Roman" w:cs="Times New Roman"/>
        </w:rPr>
        <w:t>3)</w:t>
      </w:r>
      <w:r w:rsidR="00167C5D">
        <w:rPr>
          <w:rFonts w:ascii="Times New Roman" w:hAnsi="Times New Roman" w:cs="Times New Roman"/>
        </w:rPr>
        <w:tab/>
      </w:r>
      <w:r w:rsidRPr="00511737">
        <w:rPr>
          <w:rFonts w:ascii="Times New Roman" w:hAnsi="Times New Roman" w:cs="Times New Roman"/>
        </w:rPr>
        <w:t>ustawa z dnia 28 stycznia 2016 r. – Prawo o prokuraturze (Dz. U. z 2024 r. poz. 390</w:t>
      </w:r>
      <w:r w:rsidR="00F96F30">
        <w:rPr>
          <w:rFonts w:ascii="Times New Roman" w:hAnsi="Times New Roman" w:cs="Times New Roman"/>
        </w:rPr>
        <w:t>, z późn. zm.</w:t>
      </w:r>
      <w:r w:rsidRPr="00511737">
        <w:rPr>
          <w:rFonts w:ascii="Times New Roman" w:hAnsi="Times New Roman" w:cs="Times New Roman"/>
        </w:rPr>
        <w:t>) w art. 127 § 1 odsyła wprost do stosowania odpowiednich przepisów ustawy z dnia 27 lipca 2001 r. – Prawo o ustroju sądów powszechnych, określając przechodzenie prokuratorów w stan spoczynku w sposób analogiczny do sędziów, czyli okres ten może być wydłużony do 70. roku życia;</w:t>
      </w:r>
    </w:p>
    <w:p w14:paraId="72FAF8B3" w14:textId="15B2C7E0" w:rsidR="0031359F" w:rsidRPr="00511737" w:rsidRDefault="0031359F" w:rsidP="00511737">
      <w:pPr>
        <w:pStyle w:val="NIEARTTEKSTtekstnieartykuowanynppodstprawnarozplubpreambua"/>
        <w:ind w:left="993" w:hanging="483"/>
        <w:rPr>
          <w:rFonts w:ascii="Times New Roman" w:hAnsi="Times New Roman" w:cs="Times New Roman"/>
        </w:rPr>
      </w:pPr>
      <w:r w:rsidRPr="00511737">
        <w:rPr>
          <w:rFonts w:ascii="Times New Roman" w:hAnsi="Times New Roman" w:cs="Times New Roman"/>
        </w:rPr>
        <w:t>4)</w:t>
      </w:r>
      <w:r w:rsidR="00167C5D">
        <w:rPr>
          <w:rFonts w:ascii="Times New Roman" w:hAnsi="Times New Roman" w:cs="Times New Roman"/>
        </w:rPr>
        <w:tab/>
      </w:r>
      <w:r w:rsidRPr="00511737">
        <w:rPr>
          <w:rFonts w:ascii="Times New Roman" w:hAnsi="Times New Roman" w:cs="Times New Roman"/>
        </w:rPr>
        <w:t>ustawa z dnia 26 maja 1982 r. – Prawo o adwokaturze (Dz. U. z 2024 r. poz. 1564) oraz ustawa z dnia 6 lipca 1982 r. o radcach prawnych (Dz. U. z 2024 r. poz. 499) nie określają górnej granicy wieku wykonywania zawodów adwokata czy radcy prawnego.</w:t>
      </w:r>
    </w:p>
    <w:p w14:paraId="2123D401" w14:textId="06AA9E64" w:rsidR="0031359F" w:rsidRPr="00511737" w:rsidRDefault="0031359F" w:rsidP="00F96F30">
      <w:pPr>
        <w:pStyle w:val="NIEARTTEKSTtekstnieartykuowanynppodstprawnarozplubpreambua"/>
        <w:rPr>
          <w:rFonts w:ascii="Times New Roman" w:hAnsi="Times New Roman" w:cs="Times New Roman"/>
        </w:rPr>
      </w:pPr>
      <w:r w:rsidRPr="00511737">
        <w:rPr>
          <w:rFonts w:ascii="Times New Roman" w:hAnsi="Times New Roman" w:cs="Times New Roman"/>
        </w:rPr>
        <w:t>Na tle wskazanych prawniczych grup zawodowych jedynie komornicy w wieku 65 lat</w:t>
      </w:r>
      <w:r w:rsidR="00F96F30">
        <w:rPr>
          <w:rFonts w:ascii="Times New Roman" w:hAnsi="Times New Roman" w:cs="Times New Roman"/>
        </w:rPr>
        <w:t xml:space="preserve"> </w:t>
      </w:r>
      <w:r w:rsidRPr="00511737">
        <w:rPr>
          <w:rFonts w:ascii="Times New Roman" w:hAnsi="Times New Roman" w:cs="Times New Roman"/>
        </w:rPr>
        <w:t>muszą – w sposób bezwzględny – zakończyć wykonywanie zawodu.</w:t>
      </w:r>
    </w:p>
    <w:p w14:paraId="7688F045" w14:textId="00672233"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Mając powyższe na względzie, </w:t>
      </w:r>
      <w:r w:rsidR="00F96F30" w:rsidRPr="00410A17">
        <w:rPr>
          <w:rFonts w:ascii="Times New Roman" w:hAnsi="Times New Roman" w:cs="Times New Roman"/>
        </w:rPr>
        <w:t>jest</w:t>
      </w:r>
      <w:r w:rsidR="00F96F30" w:rsidRPr="00F96F30">
        <w:rPr>
          <w:rFonts w:ascii="Times New Roman" w:hAnsi="Times New Roman" w:cs="Times New Roman"/>
        </w:rPr>
        <w:t xml:space="preserve"> </w:t>
      </w:r>
      <w:r w:rsidRPr="00511737">
        <w:rPr>
          <w:rFonts w:ascii="Times New Roman" w:hAnsi="Times New Roman" w:cs="Times New Roman"/>
        </w:rPr>
        <w:t>zasadna zmiana obecnych przepisów polegająca na przywróceniu rozwiązań prawnych funkcjonujących w u.k.s.e., które określały granicę wieku, której przekroczenie będzie oznaczało konieczność odwołania komornika i asesora – na poziomie 70 lat. Tak ukształtowana granica wieku nie będzie stanowiła przejawu dyskryminacji bezpośredniej, bowiem proponowane przepisy u.k.s. korespondują z przepisami ustalającymi granice wieku obowiązujące dla innych prawniczych grup zawodowych, tj. notariuszy, sędziów i prokuratorów. Wobec charakteru czynności podejmowanych przez komorników</w:t>
      </w:r>
      <w:r w:rsidR="00012B98" w:rsidRPr="00511737">
        <w:rPr>
          <w:rFonts w:ascii="Times New Roman" w:hAnsi="Times New Roman" w:cs="Times New Roman"/>
        </w:rPr>
        <w:t xml:space="preserve"> </w:t>
      </w:r>
      <w:r w:rsidRPr="00511737">
        <w:rPr>
          <w:rFonts w:ascii="Times New Roman" w:hAnsi="Times New Roman" w:cs="Times New Roman"/>
        </w:rPr>
        <w:t xml:space="preserve">i faktu, </w:t>
      </w:r>
      <w:r w:rsidR="00012B98" w:rsidRPr="00511737">
        <w:rPr>
          <w:rFonts w:ascii="Times New Roman" w:hAnsi="Times New Roman" w:cs="Times New Roman"/>
        </w:rPr>
        <w:t>że</w:t>
      </w:r>
      <w:r w:rsidRPr="00511737">
        <w:rPr>
          <w:rFonts w:ascii="Times New Roman" w:hAnsi="Times New Roman" w:cs="Times New Roman"/>
        </w:rPr>
        <w:t xml:space="preserve"> są oni funkcjonariuszami publicznym, </w:t>
      </w:r>
      <w:r w:rsidR="00F96F30" w:rsidRPr="006461E5">
        <w:rPr>
          <w:rFonts w:ascii="Times New Roman" w:hAnsi="Times New Roman" w:cs="Times New Roman"/>
        </w:rPr>
        <w:t>jest</w:t>
      </w:r>
      <w:r w:rsidR="00F96F30" w:rsidRPr="00F96F30">
        <w:rPr>
          <w:rFonts w:ascii="Times New Roman" w:hAnsi="Times New Roman" w:cs="Times New Roman"/>
        </w:rPr>
        <w:t xml:space="preserve"> </w:t>
      </w:r>
      <w:r w:rsidRPr="00511737">
        <w:rPr>
          <w:rFonts w:ascii="Times New Roman" w:hAnsi="Times New Roman" w:cs="Times New Roman"/>
        </w:rPr>
        <w:t xml:space="preserve">zasadne postawienie zbliżonej granicy wieku, jak w przypadku powołanych powyżej grup zawodowych. </w:t>
      </w:r>
      <w:r w:rsidR="00F96C5C" w:rsidRPr="00511737">
        <w:rPr>
          <w:rFonts w:ascii="Times New Roman" w:hAnsi="Times New Roman" w:cs="Times New Roman"/>
        </w:rPr>
        <w:t>Z uwagi na rodzaj prowadzonej przez komorników działalności zawodowej (w doktrynie określanej mianem pomocniczego organu wymiaru sprawiedliwości) oraz mając na względzie zapewnienie stronom postępowań komorniczych warunków dających</w:t>
      </w:r>
      <w:r w:rsidR="00F945C2" w:rsidRPr="00511737">
        <w:rPr>
          <w:rFonts w:ascii="Times New Roman" w:hAnsi="Times New Roman" w:cs="Times New Roman"/>
        </w:rPr>
        <w:t xml:space="preserve"> </w:t>
      </w:r>
      <w:r w:rsidR="00F96C5C" w:rsidRPr="00511737">
        <w:rPr>
          <w:rFonts w:ascii="Times New Roman" w:hAnsi="Times New Roman" w:cs="Times New Roman"/>
        </w:rPr>
        <w:t>gwarancję bezpieczeństwa prawnego podejmowanych wobec nich działań o charakterze</w:t>
      </w:r>
      <w:r w:rsidR="00F945C2" w:rsidRPr="00511737">
        <w:rPr>
          <w:rFonts w:ascii="Times New Roman" w:hAnsi="Times New Roman" w:cs="Times New Roman"/>
        </w:rPr>
        <w:t xml:space="preserve"> </w:t>
      </w:r>
      <w:r w:rsidR="00F96C5C" w:rsidRPr="00511737">
        <w:rPr>
          <w:rFonts w:ascii="Times New Roman" w:hAnsi="Times New Roman" w:cs="Times New Roman"/>
        </w:rPr>
        <w:t>władczym oraz uwzględniwszy solidarną z komornikiem odpowiedzialność Skarbu</w:t>
      </w:r>
      <w:r w:rsidR="00F945C2" w:rsidRPr="00511737">
        <w:rPr>
          <w:rFonts w:ascii="Times New Roman" w:hAnsi="Times New Roman" w:cs="Times New Roman"/>
        </w:rPr>
        <w:t xml:space="preserve"> </w:t>
      </w:r>
      <w:r w:rsidR="00F96C5C" w:rsidRPr="00511737">
        <w:rPr>
          <w:rFonts w:ascii="Times New Roman" w:hAnsi="Times New Roman" w:cs="Times New Roman"/>
        </w:rPr>
        <w:t>Państwa za wyrządzoną szkodę przez niezgodne z prawem działanie lub zaniechanie przy</w:t>
      </w:r>
      <w:r w:rsidR="00F945C2" w:rsidRPr="00511737">
        <w:rPr>
          <w:rFonts w:ascii="Times New Roman" w:hAnsi="Times New Roman" w:cs="Times New Roman"/>
        </w:rPr>
        <w:t xml:space="preserve"> </w:t>
      </w:r>
      <w:r w:rsidR="00F96C5C" w:rsidRPr="00511737">
        <w:rPr>
          <w:rFonts w:ascii="Times New Roman" w:hAnsi="Times New Roman" w:cs="Times New Roman"/>
        </w:rPr>
        <w:t xml:space="preserve">wykonywaniu czynności, </w:t>
      </w:r>
      <w:r w:rsidR="00F96F30" w:rsidRPr="00722D57">
        <w:rPr>
          <w:rFonts w:ascii="Times New Roman" w:hAnsi="Times New Roman" w:cs="Times New Roman"/>
        </w:rPr>
        <w:t xml:space="preserve">jest </w:t>
      </w:r>
      <w:r w:rsidR="00F96C5C" w:rsidRPr="00511737">
        <w:rPr>
          <w:rFonts w:ascii="Times New Roman" w:hAnsi="Times New Roman" w:cs="Times New Roman"/>
        </w:rPr>
        <w:t>konieczne wprowadzenie ograniczenia wieku, z upływem</w:t>
      </w:r>
      <w:r w:rsidR="00F945C2" w:rsidRPr="00511737">
        <w:rPr>
          <w:rFonts w:ascii="Times New Roman" w:hAnsi="Times New Roman" w:cs="Times New Roman"/>
        </w:rPr>
        <w:t xml:space="preserve"> </w:t>
      </w:r>
      <w:r w:rsidR="00F96C5C" w:rsidRPr="00511737">
        <w:rPr>
          <w:rFonts w:ascii="Times New Roman" w:hAnsi="Times New Roman" w:cs="Times New Roman"/>
        </w:rPr>
        <w:t>którego komornik winien zakończyć sprawowanie swojej funkcji. Błędne decyzje</w:t>
      </w:r>
      <w:r w:rsidR="00F945C2" w:rsidRPr="00511737">
        <w:rPr>
          <w:rFonts w:ascii="Times New Roman" w:hAnsi="Times New Roman" w:cs="Times New Roman"/>
        </w:rPr>
        <w:t xml:space="preserve"> </w:t>
      </w:r>
      <w:r w:rsidR="00F96C5C" w:rsidRPr="00511737">
        <w:rPr>
          <w:rFonts w:ascii="Times New Roman" w:hAnsi="Times New Roman" w:cs="Times New Roman"/>
        </w:rPr>
        <w:t>urzędnicze funkcjonariuszy publicznych (w tym komorników sądowych) mogą rodzić</w:t>
      </w:r>
      <w:r w:rsidR="00F945C2" w:rsidRPr="00511737">
        <w:rPr>
          <w:rFonts w:ascii="Times New Roman" w:hAnsi="Times New Roman" w:cs="Times New Roman"/>
        </w:rPr>
        <w:t xml:space="preserve"> </w:t>
      </w:r>
      <w:r w:rsidR="00F96C5C" w:rsidRPr="00511737">
        <w:rPr>
          <w:rFonts w:ascii="Times New Roman" w:hAnsi="Times New Roman" w:cs="Times New Roman"/>
        </w:rPr>
        <w:lastRenderedPageBreak/>
        <w:t>poważne reperkusje nie tylko dla nich samych, ale dla stron i uczestników postępowania,</w:t>
      </w:r>
      <w:r w:rsidR="00F945C2" w:rsidRPr="00511737">
        <w:rPr>
          <w:rFonts w:ascii="Times New Roman" w:hAnsi="Times New Roman" w:cs="Times New Roman"/>
        </w:rPr>
        <w:t xml:space="preserve"> </w:t>
      </w:r>
      <w:r w:rsidR="00F96C5C" w:rsidRPr="00511737">
        <w:rPr>
          <w:rFonts w:ascii="Times New Roman" w:hAnsi="Times New Roman" w:cs="Times New Roman"/>
        </w:rPr>
        <w:t>zaś przede wszystkim dla całego systemu wymiaru sprawiedliwości.</w:t>
      </w:r>
    </w:p>
    <w:p w14:paraId="7E7672F6" w14:textId="0F97AB43"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Zgodnie z art. 33 ust. 1 i 2 u.k.s. komornik nie jest przedsiębiorcą w rozumieniu przepisów regulujących podejmowanie, wykonywanie i zakończenie działalności gospodarczej. Komornik nie może prowadzić działalności gospodarczej. Nie można zatem porównywać zawodu komornika do adwokatów czy radców prawnych, którzy są przedsiębiorcami, a pomoc prawna wykonywana przez przedstawicieli obu tych zawodów stanowi działalność gospodarczą.</w:t>
      </w:r>
    </w:p>
    <w:p w14:paraId="0FC32E7B" w14:textId="435A7A97" w:rsidR="00F945C2" w:rsidRPr="00511737" w:rsidRDefault="00F945C2" w:rsidP="00167C5D">
      <w:pPr>
        <w:pStyle w:val="ARTartustawynprozporzdzenia"/>
        <w:rPr>
          <w:rFonts w:ascii="Times New Roman" w:hAnsi="Times New Roman" w:cs="Times New Roman"/>
        </w:rPr>
      </w:pPr>
      <w:r w:rsidRPr="00511737">
        <w:rPr>
          <w:rFonts w:ascii="Times New Roman" w:hAnsi="Times New Roman" w:cs="Times New Roman"/>
        </w:rPr>
        <w:t xml:space="preserve">Projektowane rozwiązanie jest również zgodne z art. 2 ust. 1 i art. 2 ust. 2 lit. </w:t>
      </w:r>
      <w:r w:rsidR="001A3FAB" w:rsidRPr="00511737">
        <w:rPr>
          <w:rFonts w:ascii="Times New Roman" w:hAnsi="Times New Roman" w:cs="Times New Roman"/>
        </w:rPr>
        <w:t xml:space="preserve">b </w:t>
      </w:r>
      <w:r w:rsidRPr="00511737">
        <w:rPr>
          <w:rFonts w:ascii="Times New Roman" w:hAnsi="Times New Roman" w:cs="Times New Roman"/>
        </w:rPr>
        <w:t>dyrektywy</w:t>
      </w:r>
      <w:r w:rsidR="001A3FAB" w:rsidRPr="00167C5D">
        <w:rPr>
          <w:rFonts w:ascii="Times New Roman" w:hAnsi="Times New Roman" w:cs="Times New Roman"/>
        </w:rPr>
        <w:t xml:space="preserve"> </w:t>
      </w:r>
      <w:r w:rsidR="001A3FAB" w:rsidRPr="000D3395">
        <w:t>2000/78/WE</w:t>
      </w:r>
      <w:r w:rsidRPr="00511737">
        <w:rPr>
          <w:rFonts w:ascii="Times New Roman" w:hAnsi="Times New Roman" w:cs="Times New Roman"/>
        </w:rPr>
        <w:t>, które regulują możliwość występowania dyskryminacji pośredniej, w tym</w:t>
      </w:r>
      <w:r w:rsidR="001A3FAB" w:rsidRPr="00511737">
        <w:rPr>
          <w:rFonts w:ascii="Times New Roman" w:hAnsi="Times New Roman" w:cs="Times New Roman"/>
        </w:rPr>
        <w:t xml:space="preserve"> </w:t>
      </w:r>
      <w:r w:rsidRPr="00511737">
        <w:rPr>
          <w:rFonts w:ascii="Times New Roman" w:hAnsi="Times New Roman" w:cs="Times New Roman"/>
        </w:rPr>
        <w:t>w</w:t>
      </w:r>
      <w:r w:rsidR="001A3FAB" w:rsidRPr="00511737">
        <w:rPr>
          <w:rFonts w:ascii="Times New Roman" w:hAnsi="Times New Roman" w:cs="Times New Roman"/>
        </w:rPr>
        <w:t> </w:t>
      </w:r>
      <w:r w:rsidRPr="00511737">
        <w:rPr>
          <w:rFonts w:ascii="Times New Roman" w:hAnsi="Times New Roman" w:cs="Times New Roman"/>
        </w:rPr>
        <w:t>związku z kryterium wieku. Ocena ta została poprzedzona analizą przewidywanych</w:t>
      </w:r>
      <w:r w:rsidR="001A3FAB" w:rsidRPr="00511737">
        <w:rPr>
          <w:rFonts w:ascii="Times New Roman" w:hAnsi="Times New Roman" w:cs="Times New Roman"/>
        </w:rPr>
        <w:t xml:space="preserve"> </w:t>
      </w:r>
      <w:r w:rsidRPr="00511737">
        <w:rPr>
          <w:rFonts w:ascii="Times New Roman" w:hAnsi="Times New Roman" w:cs="Times New Roman"/>
        </w:rPr>
        <w:t>wyjątków od zakazu dyskryminacji wynikających z założeń art. 6 ust. 1 tej dyrektywy, który</w:t>
      </w:r>
      <w:r w:rsidR="001A3FAB" w:rsidRPr="00511737">
        <w:rPr>
          <w:rFonts w:ascii="Times New Roman" w:hAnsi="Times New Roman" w:cs="Times New Roman"/>
        </w:rPr>
        <w:t xml:space="preserve"> </w:t>
      </w:r>
      <w:r w:rsidRPr="00511737">
        <w:rPr>
          <w:rFonts w:ascii="Times New Roman" w:hAnsi="Times New Roman" w:cs="Times New Roman"/>
        </w:rPr>
        <w:t>to przepis otwiera przed państwami członkowskimi możliwości dalszego stosowania</w:t>
      </w:r>
      <w:r w:rsidR="001A3FAB" w:rsidRPr="00511737">
        <w:rPr>
          <w:rFonts w:ascii="Times New Roman" w:hAnsi="Times New Roman" w:cs="Times New Roman"/>
        </w:rPr>
        <w:t xml:space="preserve"> </w:t>
      </w:r>
      <w:r w:rsidRPr="00511737">
        <w:rPr>
          <w:rFonts w:ascii="Times New Roman" w:hAnsi="Times New Roman" w:cs="Times New Roman"/>
        </w:rPr>
        <w:t>środków bezpośrednio dyskryminujących ze względu na wiek, pod warunkiem że są one</w:t>
      </w:r>
      <w:r w:rsidR="001A3FAB" w:rsidRPr="00511737">
        <w:rPr>
          <w:rFonts w:ascii="Times New Roman" w:hAnsi="Times New Roman" w:cs="Times New Roman"/>
        </w:rPr>
        <w:t xml:space="preserve"> </w:t>
      </w:r>
      <w:r w:rsidRPr="00511737">
        <w:rPr>
          <w:rFonts w:ascii="Times New Roman" w:hAnsi="Times New Roman" w:cs="Times New Roman"/>
        </w:rPr>
        <w:t>uzasadnione zgodnym z prawem celem, a przy tym są właściwe i konieczne do jego</w:t>
      </w:r>
      <w:r w:rsidR="001A3FAB" w:rsidRPr="00511737">
        <w:rPr>
          <w:rFonts w:ascii="Times New Roman" w:hAnsi="Times New Roman" w:cs="Times New Roman"/>
        </w:rPr>
        <w:t xml:space="preserve"> </w:t>
      </w:r>
      <w:r w:rsidRPr="00511737">
        <w:rPr>
          <w:rFonts w:ascii="Times New Roman" w:hAnsi="Times New Roman" w:cs="Times New Roman"/>
        </w:rPr>
        <w:t>osiągnięcia. Wprowadzenie ograniczeń wiekowych odnoszących się do wykonywania</w:t>
      </w:r>
      <w:r w:rsidR="001A3FAB" w:rsidRPr="00511737">
        <w:rPr>
          <w:rFonts w:ascii="Times New Roman" w:hAnsi="Times New Roman" w:cs="Times New Roman"/>
        </w:rPr>
        <w:t xml:space="preserve"> </w:t>
      </w:r>
      <w:r w:rsidRPr="00511737">
        <w:rPr>
          <w:rFonts w:ascii="Times New Roman" w:hAnsi="Times New Roman" w:cs="Times New Roman"/>
        </w:rPr>
        <w:t>obowiązków służbowych przez funkcjonariuszy publicznych, do grona których należą</w:t>
      </w:r>
      <w:r w:rsidR="001A3FAB" w:rsidRPr="00511737">
        <w:rPr>
          <w:rFonts w:ascii="Times New Roman" w:hAnsi="Times New Roman" w:cs="Times New Roman"/>
        </w:rPr>
        <w:t xml:space="preserve"> </w:t>
      </w:r>
      <w:r w:rsidRPr="00511737">
        <w:rPr>
          <w:rFonts w:ascii="Times New Roman" w:hAnsi="Times New Roman" w:cs="Times New Roman"/>
        </w:rPr>
        <w:t>komornicy, jest obiektywnie i racjonalnie uzasadnione, a zastosowane w projekcie środki</w:t>
      </w:r>
      <w:r w:rsidR="001A3FAB" w:rsidRPr="00511737">
        <w:rPr>
          <w:rFonts w:ascii="Times New Roman" w:hAnsi="Times New Roman" w:cs="Times New Roman"/>
        </w:rPr>
        <w:t xml:space="preserve"> </w:t>
      </w:r>
      <w:r w:rsidRPr="00511737">
        <w:rPr>
          <w:rFonts w:ascii="Times New Roman" w:hAnsi="Times New Roman" w:cs="Times New Roman"/>
        </w:rPr>
        <w:t xml:space="preserve">– postawienie granicy na dość wysokim poziomie 70 lat – </w:t>
      </w:r>
      <w:r w:rsidR="000C174D">
        <w:rPr>
          <w:rFonts w:ascii="Times New Roman" w:hAnsi="Times New Roman" w:cs="Times New Roman"/>
        </w:rPr>
        <w:t>są</w:t>
      </w:r>
      <w:r w:rsidRPr="00511737">
        <w:rPr>
          <w:rFonts w:ascii="Times New Roman" w:hAnsi="Times New Roman" w:cs="Times New Roman"/>
        </w:rPr>
        <w:t xml:space="preserve"> właściwe i konieczne.</w:t>
      </w:r>
    </w:p>
    <w:p w14:paraId="72198F7E" w14:textId="7139A3B4" w:rsidR="00F945C2" w:rsidRPr="00511737" w:rsidRDefault="00F945C2" w:rsidP="00167C5D">
      <w:pPr>
        <w:pStyle w:val="ARTartustawynprozporzdzenia"/>
        <w:rPr>
          <w:rFonts w:ascii="Times New Roman" w:hAnsi="Times New Roman" w:cs="Times New Roman"/>
        </w:rPr>
      </w:pPr>
      <w:r w:rsidRPr="00511737">
        <w:rPr>
          <w:rFonts w:ascii="Times New Roman" w:hAnsi="Times New Roman" w:cs="Times New Roman"/>
        </w:rPr>
        <w:t>Przepis art. 65 ust. 1 Konstytucji R</w:t>
      </w:r>
      <w:r w:rsidR="000C174D">
        <w:rPr>
          <w:rFonts w:ascii="Times New Roman" w:hAnsi="Times New Roman" w:cs="Times New Roman"/>
        </w:rPr>
        <w:t xml:space="preserve">zeczypospolitej </w:t>
      </w:r>
      <w:r w:rsidRPr="00511737">
        <w:rPr>
          <w:rFonts w:ascii="Times New Roman" w:hAnsi="Times New Roman" w:cs="Times New Roman"/>
        </w:rPr>
        <w:t>P</w:t>
      </w:r>
      <w:r w:rsidR="000C174D">
        <w:rPr>
          <w:rFonts w:ascii="Times New Roman" w:hAnsi="Times New Roman" w:cs="Times New Roman"/>
        </w:rPr>
        <w:t>olskiej</w:t>
      </w:r>
      <w:r w:rsidRPr="00511737">
        <w:rPr>
          <w:rFonts w:ascii="Times New Roman" w:hAnsi="Times New Roman" w:cs="Times New Roman"/>
        </w:rPr>
        <w:t xml:space="preserve"> rozpatrywany w związku z art. 31 ust. 3 Konstytucji</w:t>
      </w:r>
      <w:r w:rsidR="001A3FAB" w:rsidRPr="00511737">
        <w:rPr>
          <w:rFonts w:ascii="Times New Roman" w:hAnsi="Times New Roman" w:cs="Times New Roman"/>
        </w:rPr>
        <w:t xml:space="preserve"> </w:t>
      </w:r>
      <w:r w:rsidRPr="00511737">
        <w:rPr>
          <w:rFonts w:ascii="Times New Roman" w:hAnsi="Times New Roman" w:cs="Times New Roman"/>
        </w:rPr>
        <w:t>R</w:t>
      </w:r>
      <w:r w:rsidR="00EA6C90">
        <w:rPr>
          <w:rFonts w:ascii="Times New Roman" w:hAnsi="Times New Roman" w:cs="Times New Roman"/>
        </w:rPr>
        <w:t xml:space="preserve">zeczypospolitej </w:t>
      </w:r>
      <w:r w:rsidRPr="00511737">
        <w:rPr>
          <w:rFonts w:ascii="Times New Roman" w:hAnsi="Times New Roman" w:cs="Times New Roman"/>
        </w:rPr>
        <w:t>P</w:t>
      </w:r>
      <w:r w:rsidR="00EA6C90">
        <w:rPr>
          <w:rFonts w:ascii="Times New Roman" w:hAnsi="Times New Roman" w:cs="Times New Roman"/>
        </w:rPr>
        <w:t>olskiej</w:t>
      </w:r>
      <w:r w:rsidRPr="00511737">
        <w:rPr>
          <w:rFonts w:ascii="Times New Roman" w:hAnsi="Times New Roman" w:cs="Times New Roman"/>
        </w:rPr>
        <w:t xml:space="preserve"> wskazuje, że wolność wykonywania zawodu może być ograniczona wówczas, gdy takie ograniczenie będzie zgodne z zasadą proporcjonalności, spełniającą przesłanki:</w:t>
      </w:r>
      <w:r w:rsidR="001A3FAB" w:rsidRPr="00511737">
        <w:rPr>
          <w:rFonts w:ascii="Times New Roman" w:hAnsi="Times New Roman" w:cs="Times New Roman"/>
        </w:rPr>
        <w:t xml:space="preserve"> </w:t>
      </w:r>
      <w:r w:rsidRPr="00511737">
        <w:rPr>
          <w:rFonts w:ascii="Times New Roman" w:hAnsi="Times New Roman" w:cs="Times New Roman"/>
        </w:rPr>
        <w:t>przydatności (gdzie wprowadzone ograniczenie wolności lub prawa jednostki musi</w:t>
      </w:r>
      <w:r w:rsidR="001A3FAB" w:rsidRPr="00511737">
        <w:rPr>
          <w:rFonts w:ascii="Times New Roman" w:hAnsi="Times New Roman" w:cs="Times New Roman"/>
        </w:rPr>
        <w:t xml:space="preserve"> </w:t>
      </w:r>
      <w:r w:rsidRPr="00511737">
        <w:rPr>
          <w:rFonts w:ascii="Times New Roman" w:hAnsi="Times New Roman" w:cs="Times New Roman"/>
        </w:rPr>
        <w:t>efektywnie służyć założonemu celowi), konieczności (jako konieczności wyboru najmniej</w:t>
      </w:r>
      <w:r w:rsidR="001A3FAB" w:rsidRPr="00511737">
        <w:rPr>
          <w:rFonts w:ascii="Times New Roman" w:hAnsi="Times New Roman" w:cs="Times New Roman"/>
        </w:rPr>
        <w:t xml:space="preserve"> </w:t>
      </w:r>
      <w:r w:rsidRPr="00511737">
        <w:rPr>
          <w:rFonts w:ascii="Times New Roman" w:hAnsi="Times New Roman" w:cs="Times New Roman"/>
        </w:rPr>
        <w:t>dolegliwego dla jednostki środka ograniczającego wolności lub prawa) oraz</w:t>
      </w:r>
      <w:r w:rsidR="001A3FAB" w:rsidRPr="00511737">
        <w:rPr>
          <w:rFonts w:ascii="Times New Roman" w:hAnsi="Times New Roman" w:cs="Times New Roman"/>
        </w:rPr>
        <w:t xml:space="preserve"> </w:t>
      </w:r>
      <w:r w:rsidRPr="00511737">
        <w:rPr>
          <w:rFonts w:ascii="Times New Roman" w:hAnsi="Times New Roman" w:cs="Times New Roman"/>
        </w:rPr>
        <w:t xml:space="preserve">proporcjonalności </w:t>
      </w:r>
      <w:r w:rsidRPr="00511737">
        <w:rPr>
          <w:rFonts w:ascii="Times New Roman" w:hAnsi="Times New Roman" w:cs="Times New Roman"/>
          <w:i/>
          <w:iCs/>
        </w:rPr>
        <w:t>sensu stricto</w:t>
      </w:r>
      <w:r w:rsidRPr="00511737">
        <w:rPr>
          <w:rFonts w:ascii="Times New Roman" w:hAnsi="Times New Roman" w:cs="Times New Roman"/>
        </w:rPr>
        <w:t>, tj.</w:t>
      </w:r>
      <w:r w:rsidR="00EA6C90">
        <w:rPr>
          <w:rFonts w:ascii="Times New Roman" w:hAnsi="Times New Roman" w:cs="Times New Roman"/>
        </w:rPr>
        <w:t xml:space="preserve"> </w:t>
      </w:r>
      <w:r w:rsidRPr="00511737">
        <w:rPr>
          <w:rFonts w:ascii="Times New Roman" w:hAnsi="Times New Roman" w:cs="Times New Roman"/>
        </w:rPr>
        <w:t>nakazu ważenia interesu poświęcanego</w:t>
      </w:r>
      <w:r w:rsidR="001A3FAB" w:rsidRPr="00511737">
        <w:rPr>
          <w:rFonts w:ascii="Times New Roman" w:hAnsi="Times New Roman" w:cs="Times New Roman"/>
        </w:rPr>
        <w:t xml:space="preserve"> </w:t>
      </w:r>
      <w:r w:rsidRPr="00511737">
        <w:rPr>
          <w:rFonts w:ascii="Times New Roman" w:hAnsi="Times New Roman" w:cs="Times New Roman"/>
        </w:rPr>
        <w:t>i uzyskiwanego, zgodnie z założeniem, że efekty wprowadzonej do porządku prawnego</w:t>
      </w:r>
      <w:r w:rsidR="001A3FAB" w:rsidRPr="00511737">
        <w:rPr>
          <w:rFonts w:ascii="Times New Roman" w:hAnsi="Times New Roman" w:cs="Times New Roman"/>
        </w:rPr>
        <w:t xml:space="preserve"> </w:t>
      </w:r>
      <w:r w:rsidRPr="00511737">
        <w:rPr>
          <w:rFonts w:ascii="Times New Roman" w:hAnsi="Times New Roman" w:cs="Times New Roman"/>
        </w:rPr>
        <w:t>normy pozostają w proporcji do nałożonych przez nią na obywatela ciężarów lub</w:t>
      </w:r>
      <w:r w:rsidR="001A3FAB" w:rsidRPr="00511737">
        <w:rPr>
          <w:rFonts w:ascii="Times New Roman" w:hAnsi="Times New Roman" w:cs="Times New Roman"/>
        </w:rPr>
        <w:t xml:space="preserve"> </w:t>
      </w:r>
      <w:r w:rsidRPr="00511737">
        <w:rPr>
          <w:rFonts w:ascii="Times New Roman" w:hAnsi="Times New Roman" w:cs="Times New Roman"/>
        </w:rPr>
        <w:t>ograniczeń.</w:t>
      </w:r>
    </w:p>
    <w:p w14:paraId="5BA508E9" w14:textId="13C733FC" w:rsidR="00F945C2" w:rsidRPr="00511737" w:rsidRDefault="00F945C2" w:rsidP="00167C5D">
      <w:pPr>
        <w:pStyle w:val="ARTartustawynprozporzdzenia"/>
        <w:rPr>
          <w:rFonts w:ascii="Times New Roman" w:hAnsi="Times New Roman" w:cs="Times New Roman"/>
        </w:rPr>
      </w:pPr>
      <w:r w:rsidRPr="00511737">
        <w:rPr>
          <w:rFonts w:ascii="Times New Roman" w:hAnsi="Times New Roman" w:cs="Times New Roman"/>
        </w:rPr>
        <w:t>Ustawodawca przez wprowadzenie granicy wieku, jako daty granicznej posiadania przez</w:t>
      </w:r>
      <w:r w:rsidR="001A3FAB" w:rsidRPr="00511737">
        <w:rPr>
          <w:rFonts w:ascii="Times New Roman" w:hAnsi="Times New Roman" w:cs="Times New Roman"/>
        </w:rPr>
        <w:t xml:space="preserve"> </w:t>
      </w:r>
      <w:r w:rsidRPr="00511737">
        <w:rPr>
          <w:rFonts w:ascii="Times New Roman" w:hAnsi="Times New Roman" w:cs="Times New Roman"/>
        </w:rPr>
        <w:t>funkcjonariusza publicznego uprawnień do wykonywania czynności urzędowych, stara się</w:t>
      </w:r>
      <w:r w:rsidR="001A3FAB" w:rsidRPr="00511737">
        <w:rPr>
          <w:rFonts w:ascii="Times New Roman" w:hAnsi="Times New Roman" w:cs="Times New Roman"/>
        </w:rPr>
        <w:t xml:space="preserve"> </w:t>
      </w:r>
      <w:r w:rsidRPr="00511737">
        <w:rPr>
          <w:rFonts w:ascii="Times New Roman" w:hAnsi="Times New Roman" w:cs="Times New Roman"/>
        </w:rPr>
        <w:t>zagwarantować bezpieczeństwo obrotu prawnego, zwłaszcza w świetle nieuchronnie</w:t>
      </w:r>
      <w:r w:rsidR="001A3FAB" w:rsidRPr="00511737">
        <w:rPr>
          <w:rFonts w:ascii="Times New Roman" w:hAnsi="Times New Roman" w:cs="Times New Roman"/>
        </w:rPr>
        <w:t xml:space="preserve"> </w:t>
      </w:r>
      <w:r w:rsidRPr="00511737">
        <w:rPr>
          <w:rFonts w:ascii="Times New Roman" w:hAnsi="Times New Roman" w:cs="Times New Roman"/>
        </w:rPr>
        <w:t>słabnącej wraz z wiekiem ludzkiej sprawności nie tylko fizycznej, ale przede wszystkim</w:t>
      </w:r>
      <w:r w:rsidR="001A3FAB" w:rsidRPr="00511737">
        <w:rPr>
          <w:rFonts w:ascii="Times New Roman" w:hAnsi="Times New Roman" w:cs="Times New Roman"/>
        </w:rPr>
        <w:t xml:space="preserve"> </w:t>
      </w:r>
      <w:r w:rsidRPr="00511737">
        <w:rPr>
          <w:rFonts w:ascii="Times New Roman" w:hAnsi="Times New Roman" w:cs="Times New Roman"/>
        </w:rPr>
        <w:t xml:space="preserve">intelektualnej. </w:t>
      </w:r>
      <w:r w:rsidRPr="00511737">
        <w:rPr>
          <w:rFonts w:ascii="Times New Roman" w:hAnsi="Times New Roman" w:cs="Times New Roman"/>
        </w:rPr>
        <w:lastRenderedPageBreak/>
        <w:t>Czynności wykonywane przez komorników sądowych mają przymiot</w:t>
      </w:r>
      <w:r w:rsidR="001A3FAB" w:rsidRPr="00511737">
        <w:rPr>
          <w:rFonts w:ascii="Times New Roman" w:hAnsi="Times New Roman" w:cs="Times New Roman"/>
        </w:rPr>
        <w:t xml:space="preserve"> </w:t>
      </w:r>
      <w:r w:rsidRPr="00511737">
        <w:rPr>
          <w:rFonts w:ascii="Times New Roman" w:hAnsi="Times New Roman" w:cs="Times New Roman"/>
        </w:rPr>
        <w:t>czynności urzędowych, a ich wiarygodność i moc prawna jest gwarantowana przez</w:t>
      </w:r>
      <w:r w:rsidR="001A3FAB" w:rsidRPr="00511737">
        <w:rPr>
          <w:rFonts w:ascii="Times New Roman" w:hAnsi="Times New Roman" w:cs="Times New Roman"/>
        </w:rPr>
        <w:t xml:space="preserve"> </w:t>
      </w:r>
      <w:r w:rsidRPr="00511737">
        <w:rPr>
          <w:rFonts w:ascii="Times New Roman" w:hAnsi="Times New Roman" w:cs="Times New Roman"/>
        </w:rPr>
        <w:t>państwo. Takie ograniczenie stanowi zatem element systemu gwarantującego</w:t>
      </w:r>
      <w:r w:rsidR="001A3FAB" w:rsidRPr="00511737">
        <w:rPr>
          <w:rFonts w:ascii="Times New Roman" w:hAnsi="Times New Roman" w:cs="Times New Roman"/>
        </w:rPr>
        <w:t xml:space="preserve"> </w:t>
      </w:r>
      <w:r w:rsidRPr="00511737">
        <w:rPr>
          <w:rFonts w:ascii="Times New Roman" w:hAnsi="Times New Roman" w:cs="Times New Roman"/>
        </w:rPr>
        <w:t>profesjonalizm i rzetelność w wykonywaniu funkcji publicznych. Stąd wprowadzenie</w:t>
      </w:r>
      <w:r w:rsidR="001A3FAB" w:rsidRPr="00511737">
        <w:rPr>
          <w:rFonts w:ascii="Times New Roman" w:hAnsi="Times New Roman" w:cs="Times New Roman"/>
        </w:rPr>
        <w:t xml:space="preserve"> </w:t>
      </w:r>
      <w:r w:rsidRPr="00511737">
        <w:rPr>
          <w:rFonts w:ascii="Times New Roman" w:hAnsi="Times New Roman" w:cs="Times New Roman"/>
        </w:rPr>
        <w:t>limitu wieku nie może być uznane za akt dyskryminacji wobec jednostki, bowiem służy</w:t>
      </w:r>
      <w:r w:rsidR="001A3FAB" w:rsidRPr="00511737">
        <w:rPr>
          <w:rFonts w:ascii="Times New Roman" w:hAnsi="Times New Roman" w:cs="Times New Roman"/>
        </w:rPr>
        <w:t xml:space="preserve"> </w:t>
      </w:r>
      <w:r w:rsidRPr="00511737">
        <w:rPr>
          <w:rFonts w:ascii="Times New Roman" w:hAnsi="Times New Roman" w:cs="Times New Roman"/>
        </w:rPr>
        <w:t>ochronie interesu publicznego i jest uzasadnione bezpieczeństwem wykonywania</w:t>
      </w:r>
      <w:r w:rsidR="001A3FAB" w:rsidRPr="00511737">
        <w:rPr>
          <w:rFonts w:ascii="Times New Roman" w:hAnsi="Times New Roman" w:cs="Times New Roman"/>
        </w:rPr>
        <w:t xml:space="preserve"> </w:t>
      </w:r>
      <w:r w:rsidRPr="00511737">
        <w:rPr>
          <w:rFonts w:ascii="Times New Roman" w:hAnsi="Times New Roman" w:cs="Times New Roman"/>
        </w:rPr>
        <w:t>obowiązków służbowych.</w:t>
      </w:r>
    </w:p>
    <w:p w14:paraId="53725437" w14:textId="4B4A1180" w:rsidR="00F945C2" w:rsidRPr="00511737" w:rsidRDefault="00F945C2" w:rsidP="00167C5D">
      <w:pPr>
        <w:pStyle w:val="ARTartustawynprozporzdzenia"/>
        <w:rPr>
          <w:rFonts w:ascii="Times New Roman" w:hAnsi="Times New Roman" w:cs="Times New Roman"/>
        </w:rPr>
      </w:pPr>
      <w:r w:rsidRPr="00511737">
        <w:rPr>
          <w:rFonts w:ascii="Times New Roman" w:hAnsi="Times New Roman" w:cs="Times New Roman"/>
        </w:rPr>
        <w:t>Ponadto pozostawienie przez ustawodawcę granicy wieku uwzględnia potrzebę ochrony</w:t>
      </w:r>
      <w:r w:rsidR="001A3FAB" w:rsidRPr="00511737">
        <w:rPr>
          <w:rFonts w:ascii="Times New Roman" w:hAnsi="Times New Roman" w:cs="Times New Roman"/>
        </w:rPr>
        <w:t xml:space="preserve"> </w:t>
      </w:r>
      <w:r w:rsidRPr="00511737">
        <w:rPr>
          <w:rFonts w:ascii="Times New Roman" w:hAnsi="Times New Roman" w:cs="Times New Roman"/>
        </w:rPr>
        <w:t>interesu samego komornika sądowego, bowiem zawód komornika sądowego wymaga nie</w:t>
      </w:r>
      <w:r w:rsidR="001A3FAB" w:rsidRPr="00511737">
        <w:rPr>
          <w:rFonts w:ascii="Times New Roman" w:hAnsi="Times New Roman" w:cs="Times New Roman"/>
        </w:rPr>
        <w:t xml:space="preserve"> </w:t>
      </w:r>
      <w:r w:rsidRPr="00511737">
        <w:rPr>
          <w:rFonts w:ascii="Times New Roman" w:hAnsi="Times New Roman" w:cs="Times New Roman"/>
        </w:rPr>
        <w:t>tylko wiedzy prawniczej, wysokiej sprawności fizycznej i intelektualnej, ale również</w:t>
      </w:r>
      <w:r w:rsidR="001A3FAB" w:rsidRPr="00511737">
        <w:rPr>
          <w:rFonts w:ascii="Times New Roman" w:hAnsi="Times New Roman" w:cs="Times New Roman"/>
        </w:rPr>
        <w:t xml:space="preserve"> </w:t>
      </w:r>
      <w:r w:rsidRPr="00511737">
        <w:rPr>
          <w:rFonts w:ascii="Times New Roman" w:hAnsi="Times New Roman" w:cs="Times New Roman"/>
        </w:rPr>
        <w:t>odporności na stres, konieczności szybkiego podejmowania decyzji i właściwych reakcji na</w:t>
      </w:r>
      <w:r w:rsidR="001A3FAB" w:rsidRPr="00511737">
        <w:rPr>
          <w:rFonts w:ascii="Times New Roman" w:hAnsi="Times New Roman" w:cs="Times New Roman"/>
        </w:rPr>
        <w:t xml:space="preserve"> </w:t>
      </w:r>
      <w:r w:rsidRPr="00511737">
        <w:rPr>
          <w:rFonts w:ascii="Times New Roman" w:hAnsi="Times New Roman" w:cs="Times New Roman"/>
        </w:rPr>
        <w:t>ewentualne zagrożenia wynikające z racji wykonywania tego zawodu. Komornik sądowy</w:t>
      </w:r>
      <w:r w:rsidR="001A3FAB" w:rsidRPr="00511737">
        <w:rPr>
          <w:rFonts w:ascii="Times New Roman" w:hAnsi="Times New Roman" w:cs="Times New Roman"/>
        </w:rPr>
        <w:t xml:space="preserve"> </w:t>
      </w:r>
      <w:r w:rsidRPr="00511737">
        <w:rPr>
          <w:rFonts w:ascii="Times New Roman" w:hAnsi="Times New Roman" w:cs="Times New Roman"/>
        </w:rPr>
        <w:t>to również pracodawca, a prowadzenie kancelarii komorniczej wiąże się z koniecznością</w:t>
      </w:r>
      <w:r w:rsidR="001A3FAB" w:rsidRPr="00511737">
        <w:rPr>
          <w:rFonts w:ascii="Times New Roman" w:hAnsi="Times New Roman" w:cs="Times New Roman"/>
        </w:rPr>
        <w:t xml:space="preserve"> </w:t>
      </w:r>
      <w:r w:rsidRPr="00511737">
        <w:rPr>
          <w:rFonts w:ascii="Times New Roman" w:hAnsi="Times New Roman" w:cs="Times New Roman"/>
        </w:rPr>
        <w:t>wykonywania czynności wymagających sprawności logistyczno-organizacyjnej. Ustalenie</w:t>
      </w:r>
      <w:r w:rsidR="001A3FAB" w:rsidRPr="00511737">
        <w:rPr>
          <w:rFonts w:ascii="Times New Roman" w:hAnsi="Times New Roman" w:cs="Times New Roman"/>
        </w:rPr>
        <w:t xml:space="preserve"> </w:t>
      </w:r>
      <w:r w:rsidRPr="00511737">
        <w:rPr>
          <w:rFonts w:ascii="Times New Roman" w:hAnsi="Times New Roman" w:cs="Times New Roman"/>
        </w:rPr>
        <w:t>relatywnie wysokiego limitu wieku (na poziomie 70 lat) ma na celu zagwarantowanie, że</w:t>
      </w:r>
      <w:r w:rsidR="001A3FAB" w:rsidRPr="00511737">
        <w:rPr>
          <w:rFonts w:ascii="Times New Roman" w:hAnsi="Times New Roman" w:cs="Times New Roman"/>
        </w:rPr>
        <w:t xml:space="preserve"> </w:t>
      </w:r>
      <w:r w:rsidRPr="00511737">
        <w:rPr>
          <w:rFonts w:ascii="Times New Roman" w:hAnsi="Times New Roman" w:cs="Times New Roman"/>
        </w:rPr>
        <w:t>osoby pełniące tę funkcję będą w stanie efektywnie i bezpiecznie wykonywać wszystkie</w:t>
      </w:r>
      <w:r w:rsidR="001A3FAB" w:rsidRPr="00511737">
        <w:rPr>
          <w:rFonts w:ascii="Times New Roman" w:hAnsi="Times New Roman" w:cs="Times New Roman"/>
        </w:rPr>
        <w:t xml:space="preserve"> </w:t>
      </w:r>
      <w:r w:rsidRPr="00511737">
        <w:rPr>
          <w:rFonts w:ascii="Times New Roman" w:hAnsi="Times New Roman" w:cs="Times New Roman"/>
        </w:rPr>
        <w:t>swoje obowiązki, przy czym umożliwia ono planowe przejście kompetencji na młodsze</w:t>
      </w:r>
      <w:r w:rsidR="001A3FAB" w:rsidRPr="00511737">
        <w:rPr>
          <w:rFonts w:ascii="Times New Roman" w:hAnsi="Times New Roman" w:cs="Times New Roman"/>
        </w:rPr>
        <w:t xml:space="preserve"> </w:t>
      </w:r>
      <w:r w:rsidRPr="00511737">
        <w:rPr>
          <w:rFonts w:ascii="Times New Roman" w:hAnsi="Times New Roman" w:cs="Times New Roman"/>
        </w:rPr>
        <w:t>pokolenie, zapewniając jednocześnie, że usługi świadczone przez komorników sądowych</w:t>
      </w:r>
      <w:r w:rsidR="001A3FAB" w:rsidRPr="00511737">
        <w:rPr>
          <w:rFonts w:ascii="Times New Roman" w:hAnsi="Times New Roman" w:cs="Times New Roman"/>
        </w:rPr>
        <w:t xml:space="preserve"> </w:t>
      </w:r>
      <w:r w:rsidRPr="00511737">
        <w:rPr>
          <w:rFonts w:ascii="Times New Roman" w:hAnsi="Times New Roman" w:cs="Times New Roman"/>
        </w:rPr>
        <w:t>pozostaną na stałym, wysokim poziomie.</w:t>
      </w:r>
    </w:p>
    <w:p w14:paraId="212536CA" w14:textId="4D9E3FE2"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Przyznanie komornikom prawa do wykonywania zawodu do czasu osiągnięcia przez nich 70. roku życia nie wyłącza możliwości przejścia na emeryturę z chwilą osiągnięcia przez komornika (czy asesora) wieku uzasadniającego nabycie uprawnień emerytalnych. Zgodnie bowiem z treścią art. 33 ust. 3 u.k.s. do komornika stosuje się odpowiednio przepisy ustawy z</w:t>
      </w:r>
      <w:r w:rsidR="003F05C6" w:rsidRPr="00511737">
        <w:rPr>
          <w:rFonts w:ascii="Times New Roman" w:hAnsi="Times New Roman" w:cs="Times New Roman"/>
        </w:rPr>
        <w:t> </w:t>
      </w:r>
      <w:r w:rsidRPr="00511737">
        <w:rPr>
          <w:rFonts w:ascii="Times New Roman" w:hAnsi="Times New Roman" w:cs="Times New Roman"/>
        </w:rPr>
        <w:t>dnia 13 października 1998 r. o systemie ubezpieczeń społecznych (Dz. U. z 202</w:t>
      </w:r>
      <w:r w:rsidR="00EA6C90">
        <w:rPr>
          <w:rFonts w:ascii="Times New Roman" w:hAnsi="Times New Roman" w:cs="Times New Roman"/>
        </w:rPr>
        <w:t>5</w:t>
      </w:r>
      <w:r w:rsidRPr="00511737">
        <w:rPr>
          <w:rFonts w:ascii="Times New Roman" w:hAnsi="Times New Roman" w:cs="Times New Roman"/>
        </w:rPr>
        <w:t xml:space="preserve"> r. poz. </w:t>
      </w:r>
      <w:r w:rsidR="00EA6C90">
        <w:rPr>
          <w:rFonts w:ascii="Times New Roman" w:hAnsi="Times New Roman" w:cs="Times New Roman"/>
        </w:rPr>
        <w:t>350</w:t>
      </w:r>
      <w:r w:rsidRPr="00511737">
        <w:rPr>
          <w:rFonts w:ascii="Times New Roman" w:hAnsi="Times New Roman" w:cs="Times New Roman"/>
        </w:rPr>
        <w:t>). Zatem, stosownie do art. 21 u.k.s., z chwilą osiągnięcia wieku emerytalnego komornik może przejść na emeryturę</w:t>
      </w:r>
      <w:r w:rsidR="00361E45">
        <w:rPr>
          <w:rFonts w:ascii="Times New Roman" w:hAnsi="Times New Roman" w:cs="Times New Roman"/>
        </w:rPr>
        <w:t>,</w:t>
      </w:r>
      <w:r w:rsidRPr="00511737">
        <w:rPr>
          <w:rFonts w:ascii="Times New Roman" w:hAnsi="Times New Roman" w:cs="Times New Roman"/>
        </w:rPr>
        <w:t xml:space="preserve"> składając Ministrowi Sprawiedliwości rezygnację ze stanowiska.</w:t>
      </w:r>
    </w:p>
    <w:p w14:paraId="2BB39AC2" w14:textId="4B05AA86"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Wydłużenie wieku uprawniającego do wykonywania zawodu nie przesądza zatem, że wszyscy komornicy i asesorzy </w:t>
      </w:r>
      <w:r w:rsidR="00012B98" w:rsidRPr="00511737">
        <w:rPr>
          <w:rFonts w:ascii="Times New Roman" w:hAnsi="Times New Roman" w:cs="Times New Roman"/>
        </w:rPr>
        <w:t>będą</w:t>
      </w:r>
      <w:r w:rsidRPr="00511737">
        <w:rPr>
          <w:rFonts w:ascii="Times New Roman" w:hAnsi="Times New Roman" w:cs="Times New Roman"/>
        </w:rPr>
        <w:t xml:space="preserve"> pozostawać czynni zawodowo do ukończenia 70 lat. Nie w każdym przypadku (np. ze względu na stan zdrowia) wykonywanie zawodu przez komornika będzie wskazane, nawet przy woli kontynuowania aktywności zawodowej. Gwarantem sprawowania urzędu przez osoby zdolne do pełnienia obowiązków komornika jest przepis art.</w:t>
      </w:r>
      <w:r w:rsidR="003F05C6" w:rsidRPr="00511737">
        <w:rPr>
          <w:rFonts w:ascii="Times New Roman" w:hAnsi="Times New Roman" w:cs="Times New Roman"/>
        </w:rPr>
        <w:t> </w:t>
      </w:r>
      <w:r w:rsidRPr="00511737">
        <w:rPr>
          <w:rFonts w:ascii="Times New Roman" w:hAnsi="Times New Roman" w:cs="Times New Roman"/>
        </w:rPr>
        <w:t xml:space="preserve">26 u.k.s., zgodnie z którym Minister Sprawiedliwości, prezes właściwego sądu (rejonowego, okręgowego, apelacyjnego) albo rada właściwej izby komorniczej z urzędu może skierować komornika na badanie przeprowadzane przez lekarza orzecznika Zakładu </w:t>
      </w:r>
      <w:r w:rsidRPr="00511737">
        <w:rPr>
          <w:rFonts w:ascii="Times New Roman" w:hAnsi="Times New Roman" w:cs="Times New Roman"/>
        </w:rPr>
        <w:lastRenderedPageBreak/>
        <w:t>Ubezpieczeń Społecznych w celu ustalenia trwałej niezdolności do pełnienia obowiązków komornika.</w:t>
      </w:r>
    </w:p>
    <w:p w14:paraId="2444C0DF" w14:textId="48A42A5B"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W zakresie rozwiązań dotyczących wieku emerytalnego </w:t>
      </w:r>
      <w:r w:rsidR="00361E45" w:rsidRPr="00342A45">
        <w:rPr>
          <w:rFonts w:ascii="Times New Roman" w:hAnsi="Times New Roman" w:cs="Times New Roman"/>
        </w:rPr>
        <w:t>jest</w:t>
      </w:r>
      <w:r w:rsidR="00361E45" w:rsidRPr="00361E45">
        <w:rPr>
          <w:rFonts w:ascii="Times New Roman" w:hAnsi="Times New Roman" w:cs="Times New Roman"/>
        </w:rPr>
        <w:t xml:space="preserve"> </w:t>
      </w:r>
      <w:r w:rsidRPr="00511737">
        <w:rPr>
          <w:rFonts w:ascii="Times New Roman" w:hAnsi="Times New Roman" w:cs="Times New Roman"/>
        </w:rPr>
        <w:t xml:space="preserve">zasadne również uchylenie przepisu art. 281 u.k.s., zgodnie z którym powołanie na stanowisko komornika osób, które przed dniem wejścia w życie niniejszej ustawy ukończyły 65 lat, wygasa z upływem 2 lat od dnia wejścia w życie niniejszej ustawy, nie później jednak niż z dniem ukończenia 70. roku życia. </w:t>
      </w:r>
      <w:bookmarkStart w:id="4" w:name="_Hlk177045996"/>
      <w:r w:rsidRPr="00511737">
        <w:rPr>
          <w:rFonts w:ascii="Times New Roman" w:hAnsi="Times New Roman" w:cs="Times New Roman"/>
        </w:rPr>
        <w:t>Przepis art. 281 u.k.s. normował sytuacje przejściowe odnoszące skutek do komorników, którzy w chwili wejścia w życie ustawy, tj. na dzień 1 stycznia 2019 r., mieli ukończone 65 lat. W takich przypadkach powołanie na stanowisko komornika wygasało z mocy art. 281 u.k.s. w</w:t>
      </w:r>
      <w:r w:rsidR="003F05C6" w:rsidRPr="00511737">
        <w:rPr>
          <w:rFonts w:ascii="Times New Roman" w:hAnsi="Times New Roman" w:cs="Times New Roman"/>
        </w:rPr>
        <w:t> </w:t>
      </w:r>
      <w:r w:rsidRPr="00511737">
        <w:rPr>
          <w:rFonts w:ascii="Times New Roman" w:hAnsi="Times New Roman" w:cs="Times New Roman"/>
        </w:rPr>
        <w:t>dniu 1 stycznia 2021 r., nie później jednak niż z dniem ukończenia przez komornika 70. roku życia. Na podstawie powyższego przepisu Minister Sprawiedliwości zawiadamiał komorników – do których przepis ten miał zastosowanie – o wygaśnięciu powołania. Skutek ten zrealizował się we wszystkich stanach faktycznych najpóźniej do dnia 1 stycznia 2021 r. Przepis miał charakter przejściowy i obecnie wobec upływu czasu nie jest stosowany.</w:t>
      </w:r>
      <w:bookmarkEnd w:id="4"/>
    </w:p>
    <w:p w14:paraId="7CA7EDEB" w14:textId="4339BEA8"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Wskazać należy, </w:t>
      </w:r>
      <w:r w:rsidR="00012B98" w:rsidRPr="00511737">
        <w:rPr>
          <w:rFonts w:ascii="Times New Roman" w:hAnsi="Times New Roman" w:cs="Times New Roman"/>
        </w:rPr>
        <w:t>że</w:t>
      </w:r>
      <w:r w:rsidRPr="00511737">
        <w:rPr>
          <w:rFonts w:ascii="Times New Roman" w:hAnsi="Times New Roman" w:cs="Times New Roman"/>
        </w:rPr>
        <w:t xml:space="preserve"> stwierdzane przez Ministra Sprawiedliwości w trybie tego przepisu wygaśnięcia powołania komorników z mocy prawa były zaskarżane do sądów administracyjnych. Pierwotnie orzeczenia sądów administracyjnych nie kwestionowały prawidłowości czynności podejmowanych przez Ministra Sprawiedliwości na jego podstawie. Jednakże w ostatnich wyrokach, wydawanych w tego rodzaju sprawach, Naczelny Sąd Administracyjny w oparciu o argumentację stosowaną w przypadku art. 19 ust. 1 pkt 2 u.k.s. stwierdzał bezskuteczność czynności zawiadomienia Ministra Sprawiedliwości w przedmiocie wygaśnięcia powołania na stanowiska komornika (por. wyrok NSA z dnia 11 lipca 2023</w:t>
      </w:r>
      <w:r w:rsidR="00167C5D">
        <w:rPr>
          <w:rFonts w:ascii="Times New Roman" w:hAnsi="Times New Roman" w:cs="Times New Roman"/>
        </w:rPr>
        <w:t> </w:t>
      </w:r>
      <w:r w:rsidRPr="00511737">
        <w:rPr>
          <w:rFonts w:ascii="Times New Roman" w:hAnsi="Times New Roman" w:cs="Times New Roman"/>
        </w:rPr>
        <w:t>r. sygn. akt II GSK 257/23, wyrok NSA z dnia 7 grudnia 2023 r. sygn. akt II GSK 351/23). Orzeczenia te skutkowały przywróceniem do zawodu komorników objętych działaniem przepisu art. 281 u.k.s. i pojawieniem się roszczeń odszkodowawczych przeciwko Skarbowi Państwa w oparciu o tę samą argumentację, co w przypadku art. 19 ust. 1 pkt 2 u.k.s.</w:t>
      </w:r>
    </w:p>
    <w:p w14:paraId="515F5871" w14:textId="2E7FA2FD"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Zaznaczyć także należy, </w:t>
      </w:r>
      <w:r w:rsidR="00012B98" w:rsidRPr="00511737">
        <w:rPr>
          <w:rFonts w:ascii="Times New Roman" w:hAnsi="Times New Roman" w:cs="Times New Roman"/>
        </w:rPr>
        <w:t>że</w:t>
      </w:r>
      <w:r w:rsidRPr="00511737">
        <w:rPr>
          <w:rFonts w:ascii="Times New Roman" w:hAnsi="Times New Roman" w:cs="Times New Roman"/>
        </w:rPr>
        <w:t xml:space="preserve"> jeden z komorników wystąpił do Trybunału Konstytucyjnego o stwierdzenie, </w:t>
      </w:r>
      <w:r w:rsidR="00012B98" w:rsidRPr="00511737">
        <w:rPr>
          <w:rFonts w:ascii="Times New Roman" w:hAnsi="Times New Roman" w:cs="Times New Roman"/>
        </w:rPr>
        <w:t>iż</w:t>
      </w:r>
      <w:r w:rsidRPr="00511737">
        <w:rPr>
          <w:rFonts w:ascii="Times New Roman" w:hAnsi="Times New Roman" w:cs="Times New Roman"/>
        </w:rPr>
        <w:t xml:space="preserve"> art. 281 u.k.s. jest niezgodny z art. 2, art. 31 ust. 3, art. 32 ust. 1 i 2, art.</w:t>
      </w:r>
      <w:r w:rsidR="00167C5D">
        <w:rPr>
          <w:rFonts w:ascii="Times New Roman" w:hAnsi="Times New Roman" w:cs="Times New Roman"/>
        </w:rPr>
        <w:t> </w:t>
      </w:r>
      <w:r w:rsidRPr="00511737">
        <w:rPr>
          <w:rFonts w:ascii="Times New Roman" w:hAnsi="Times New Roman" w:cs="Times New Roman"/>
        </w:rPr>
        <w:t>45 ust. 1, art. 60 i art. 65 ust. 1 Konstytucji R</w:t>
      </w:r>
      <w:r w:rsidR="00361E45">
        <w:rPr>
          <w:rFonts w:ascii="Times New Roman" w:hAnsi="Times New Roman" w:cs="Times New Roman"/>
        </w:rPr>
        <w:t xml:space="preserve">zeczypospolitej </w:t>
      </w:r>
      <w:r w:rsidRPr="00511737">
        <w:rPr>
          <w:rFonts w:ascii="Times New Roman" w:hAnsi="Times New Roman" w:cs="Times New Roman"/>
        </w:rPr>
        <w:t>P</w:t>
      </w:r>
      <w:r w:rsidR="00361E45">
        <w:rPr>
          <w:rFonts w:ascii="Times New Roman" w:hAnsi="Times New Roman" w:cs="Times New Roman"/>
        </w:rPr>
        <w:t>olskiej</w:t>
      </w:r>
      <w:r w:rsidRPr="00511737">
        <w:rPr>
          <w:rFonts w:ascii="Times New Roman" w:hAnsi="Times New Roman" w:cs="Times New Roman"/>
        </w:rPr>
        <w:t>. Skarga została przyjęta i zarejestrowana pod sygn. akt SK 31/24. Do toczącego się przez Trybunałem Konstytucyjnym postępowania pismem z</w:t>
      </w:r>
      <w:r w:rsidR="00361E45">
        <w:rPr>
          <w:rFonts w:ascii="Times New Roman" w:hAnsi="Times New Roman" w:cs="Times New Roman"/>
        </w:rPr>
        <w:t xml:space="preserve"> </w:t>
      </w:r>
      <w:r w:rsidRPr="00511737">
        <w:rPr>
          <w:rFonts w:ascii="Times New Roman" w:hAnsi="Times New Roman" w:cs="Times New Roman"/>
        </w:rPr>
        <w:t>dnia 10 kwietnia 2024 r. przyłączył się Rzecznik Praw Obywatelskich, który wnosi o</w:t>
      </w:r>
      <w:r w:rsidR="00361E45">
        <w:rPr>
          <w:rFonts w:ascii="Times New Roman" w:hAnsi="Times New Roman" w:cs="Times New Roman"/>
        </w:rPr>
        <w:t xml:space="preserve"> </w:t>
      </w:r>
      <w:r w:rsidRPr="00511737">
        <w:rPr>
          <w:rFonts w:ascii="Times New Roman" w:hAnsi="Times New Roman" w:cs="Times New Roman"/>
        </w:rPr>
        <w:t xml:space="preserve">stwierdzenie, że </w:t>
      </w:r>
      <w:r w:rsidR="00F6668F" w:rsidRPr="00511737">
        <w:rPr>
          <w:rFonts w:ascii="Times New Roman" w:hAnsi="Times New Roman" w:cs="Times New Roman"/>
        </w:rPr>
        <w:t>art.</w:t>
      </w:r>
      <w:r w:rsidRPr="00511737">
        <w:rPr>
          <w:rFonts w:ascii="Times New Roman" w:hAnsi="Times New Roman" w:cs="Times New Roman"/>
        </w:rPr>
        <w:t xml:space="preserve"> 281 u.k.s. jest niezgodny z art. 65 ust. 1 w związku z art.</w:t>
      </w:r>
      <w:r w:rsidR="00361E45">
        <w:rPr>
          <w:rFonts w:ascii="Times New Roman" w:hAnsi="Times New Roman" w:cs="Times New Roman"/>
        </w:rPr>
        <w:t> </w:t>
      </w:r>
      <w:r w:rsidRPr="00511737">
        <w:rPr>
          <w:rFonts w:ascii="Times New Roman" w:hAnsi="Times New Roman" w:cs="Times New Roman"/>
        </w:rPr>
        <w:t xml:space="preserve">31 </w:t>
      </w:r>
      <w:r w:rsidRPr="00511737">
        <w:rPr>
          <w:rFonts w:ascii="Times New Roman" w:hAnsi="Times New Roman" w:cs="Times New Roman"/>
        </w:rPr>
        <w:lastRenderedPageBreak/>
        <w:t>ust.</w:t>
      </w:r>
      <w:r w:rsidR="00167C5D">
        <w:rPr>
          <w:rFonts w:ascii="Times New Roman" w:hAnsi="Times New Roman" w:cs="Times New Roman"/>
        </w:rPr>
        <w:t> </w:t>
      </w:r>
      <w:r w:rsidRPr="00511737">
        <w:rPr>
          <w:rFonts w:ascii="Times New Roman" w:hAnsi="Times New Roman" w:cs="Times New Roman"/>
        </w:rPr>
        <w:t>3 Konstytucji R</w:t>
      </w:r>
      <w:r w:rsidR="00361E45">
        <w:rPr>
          <w:rFonts w:ascii="Times New Roman" w:hAnsi="Times New Roman" w:cs="Times New Roman"/>
        </w:rPr>
        <w:t xml:space="preserve">zeczypospolitej </w:t>
      </w:r>
      <w:r w:rsidRPr="00511737">
        <w:rPr>
          <w:rFonts w:ascii="Times New Roman" w:hAnsi="Times New Roman" w:cs="Times New Roman"/>
        </w:rPr>
        <w:t>P</w:t>
      </w:r>
      <w:r w:rsidR="00361E45">
        <w:rPr>
          <w:rFonts w:ascii="Times New Roman" w:hAnsi="Times New Roman" w:cs="Times New Roman"/>
        </w:rPr>
        <w:t>olskiej</w:t>
      </w:r>
      <w:r w:rsidRPr="00511737">
        <w:rPr>
          <w:rFonts w:ascii="Times New Roman" w:hAnsi="Times New Roman" w:cs="Times New Roman"/>
        </w:rPr>
        <w:t xml:space="preserve"> oraz z art. 45 ust. 1 w związku z art. 32 ust.</w:t>
      </w:r>
      <w:r w:rsidR="00361E45">
        <w:rPr>
          <w:rFonts w:ascii="Times New Roman" w:hAnsi="Times New Roman" w:cs="Times New Roman"/>
        </w:rPr>
        <w:t> </w:t>
      </w:r>
      <w:r w:rsidRPr="00511737">
        <w:rPr>
          <w:rFonts w:ascii="Times New Roman" w:hAnsi="Times New Roman" w:cs="Times New Roman"/>
        </w:rPr>
        <w:t>1 Konstytucji R</w:t>
      </w:r>
      <w:r w:rsidR="00361E45">
        <w:rPr>
          <w:rFonts w:ascii="Times New Roman" w:hAnsi="Times New Roman" w:cs="Times New Roman"/>
        </w:rPr>
        <w:t xml:space="preserve">zeczypospolitej </w:t>
      </w:r>
      <w:r w:rsidRPr="00511737">
        <w:rPr>
          <w:rFonts w:ascii="Times New Roman" w:hAnsi="Times New Roman" w:cs="Times New Roman"/>
        </w:rPr>
        <w:t>P</w:t>
      </w:r>
      <w:r w:rsidR="00361E45">
        <w:rPr>
          <w:rFonts w:ascii="Times New Roman" w:hAnsi="Times New Roman" w:cs="Times New Roman"/>
        </w:rPr>
        <w:t>olskiej</w:t>
      </w:r>
      <w:r w:rsidRPr="00511737">
        <w:rPr>
          <w:rFonts w:ascii="Times New Roman" w:hAnsi="Times New Roman" w:cs="Times New Roman"/>
        </w:rPr>
        <w:t>.</w:t>
      </w:r>
    </w:p>
    <w:p w14:paraId="51D0BB7F" w14:textId="1F14EF2B" w:rsidR="0031359F" w:rsidRPr="00511737" w:rsidRDefault="0031359F" w:rsidP="00167C5D">
      <w:pPr>
        <w:pStyle w:val="NIEARTTEKSTtekstnieartykuowanynppodstprawnarozplubpreambua"/>
        <w:rPr>
          <w:rStyle w:val="Ppogrubienie"/>
          <w:rFonts w:ascii="Times New Roman" w:hAnsi="Times New Roman" w:cs="Times New Roman"/>
        </w:rPr>
      </w:pPr>
      <w:r w:rsidRPr="00511737">
        <w:rPr>
          <w:rStyle w:val="Ppogrubienie"/>
          <w:rFonts w:ascii="Times New Roman" w:hAnsi="Times New Roman" w:cs="Times New Roman"/>
        </w:rPr>
        <w:t>2. Uchylenie przepisu art. 131 ust. 2 u.k.s. skutkującego utratą uprawnień asesora komorniczego po 6 latach od pierwszego powołania na stanowisko asesora oraz uchylenie art. 11 ust. 4 pkt 4, zmiana brzmienia art. 16 i art. 132 u.k.s. – przepisów funkcjonalnie powiązanych z uchylanym przepisem</w:t>
      </w:r>
    </w:p>
    <w:p w14:paraId="4FB5C5D0" w14:textId="77777777"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Z uwagi na okoliczność, że po ponad 5 latach obowiązywania nowej u.k.s., jest możliwe dokonanie krytycznego przeglądu zawartych w niej rozwiązań, projekt zawiera także zmiany korygujące ograniczenie do 6 lat trwania asesury komorniczej.</w:t>
      </w:r>
    </w:p>
    <w:p w14:paraId="0B728BC4" w14:textId="0802B36D"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W aktualnym stanie prawnym funkcjonują dwa reżimy prawne regulujące okres</w:t>
      </w:r>
      <w:r w:rsidR="00EB3E5F">
        <w:rPr>
          <w:rFonts w:ascii="Times New Roman" w:hAnsi="Times New Roman" w:cs="Times New Roman"/>
        </w:rPr>
        <w:t>,</w:t>
      </w:r>
      <w:r w:rsidRPr="00511737">
        <w:rPr>
          <w:rFonts w:ascii="Times New Roman" w:hAnsi="Times New Roman" w:cs="Times New Roman"/>
        </w:rPr>
        <w:t xml:space="preserve"> przez jaki asesor może zajmować stanowisko. Pierwszy wynikający z uprzednio obowiązującej u.k.s.e., która nie przewidywała czasowego ograniczenia asesury, oraz drugi wynikający z aktualnie obowiązującej u.k.s. ograniczającej czas trwania asesury do 6 lat. Rozwiązanie przewidujące nieograniczony czas trwania asesury daje asesorom swobodę podjęcia decyzji o momencie wystąpienia </w:t>
      </w:r>
      <w:r w:rsidR="00361E45">
        <w:rPr>
          <w:rFonts w:ascii="Times New Roman" w:hAnsi="Times New Roman" w:cs="Times New Roman"/>
        </w:rPr>
        <w:t>z</w:t>
      </w:r>
      <w:r w:rsidRPr="00511737">
        <w:rPr>
          <w:rFonts w:ascii="Times New Roman" w:hAnsi="Times New Roman" w:cs="Times New Roman"/>
        </w:rPr>
        <w:t xml:space="preserve"> wnioskiem o powołanie na stanowisko komornika. Decyzja ta </w:t>
      </w:r>
      <w:r w:rsidR="00361E45" w:rsidRPr="00537A95">
        <w:rPr>
          <w:rFonts w:ascii="Times New Roman" w:hAnsi="Times New Roman" w:cs="Times New Roman"/>
        </w:rPr>
        <w:t xml:space="preserve">może być </w:t>
      </w:r>
      <w:r w:rsidRPr="00511737">
        <w:rPr>
          <w:rFonts w:ascii="Times New Roman" w:hAnsi="Times New Roman" w:cs="Times New Roman"/>
        </w:rPr>
        <w:t>zależna od wielu czynników np. od indywidualnego poczucia przygotowania do wykonywania zawodu komornika, zdobytego doświadczenia, sytuacji rodzinnej, zdrowotnej czy w końcu możliwości finansowych. Tymczasem obecne rozwiązanie ograniczające do 6 lat czas asesury komorniczej</w:t>
      </w:r>
      <w:r w:rsidR="009B5BAC">
        <w:rPr>
          <w:rFonts w:ascii="Times New Roman" w:hAnsi="Times New Roman" w:cs="Times New Roman"/>
        </w:rPr>
        <w:t>,</w:t>
      </w:r>
      <w:r w:rsidRPr="00511737">
        <w:rPr>
          <w:rFonts w:ascii="Times New Roman" w:hAnsi="Times New Roman" w:cs="Times New Roman"/>
        </w:rPr>
        <w:t xml:space="preserve"> liczony od dnia pierwszego powołania na stanowisko asesora, </w:t>
      </w:r>
      <w:r w:rsidR="00361E45" w:rsidRPr="00F661B8">
        <w:rPr>
          <w:rFonts w:ascii="Times New Roman" w:hAnsi="Times New Roman" w:cs="Times New Roman"/>
        </w:rPr>
        <w:t>będzie</w:t>
      </w:r>
      <w:r w:rsidR="00361E45" w:rsidRPr="00361E45">
        <w:rPr>
          <w:rFonts w:ascii="Times New Roman" w:hAnsi="Times New Roman" w:cs="Times New Roman"/>
        </w:rPr>
        <w:t xml:space="preserve"> </w:t>
      </w:r>
      <w:r w:rsidRPr="00511737">
        <w:rPr>
          <w:rFonts w:ascii="Times New Roman" w:hAnsi="Times New Roman" w:cs="Times New Roman"/>
        </w:rPr>
        <w:t>skutkować już w 2025</w:t>
      </w:r>
      <w:r w:rsidR="00361E45">
        <w:rPr>
          <w:rFonts w:ascii="Times New Roman" w:hAnsi="Times New Roman" w:cs="Times New Roman"/>
        </w:rPr>
        <w:t> </w:t>
      </w:r>
      <w:r w:rsidRPr="00511737">
        <w:rPr>
          <w:rFonts w:ascii="Times New Roman" w:hAnsi="Times New Roman" w:cs="Times New Roman"/>
        </w:rPr>
        <w:t>r. wygaśnięciem uprawnień zawodowych asesorów</w:t>
      </w:r>
      <w:r w:rsidR="00361E45">
        <w:rPr>
          <w:rFonts w:ascii="Times New Roman" w:hAnsi="Times New Roman" w:cs="Times New Roman"/>
        </w:rPr>
        <w:t>,</w:t>
      </w:r>
      <w:r w:rsidRPr="00511737">
        <w:rPr>
          <w:rFonts w:ascii="Times New Roman" w:hAnsi="Times New Roman" w:cs="Times New Roman"/>
        </w:rPr>
        <w:t xml:space="preserve"> w sytuacji gdy nie wystąpią o powołanie ich na stanowisko komornika. Podwójny reżim statusu asesora stanowi niezrozumiałe uprzywilejowanie jednych asesorów wobec innych. Asesorzy powołani pod rządami nowej ustawy, jeżeli nie zdecydują się na wystąpienie o powołanie ich na stanowisko komornika, stracą status asesora i przysługujące im ustawowe kompetencje samodzielnego podejmowania niektórych czynności egzekucyjnych.</w:t>
      </w:r>
    </w:p>
    <w:p w14:paraId="44689174" w14:textId="40157037"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Dbając o stabilność egzekucji sądowej</w:t>
      </w:r>
      <w:r w:rsidR="00361E45">
        <w:rPr>
          <w:rFonts w:ascii="Times New Roman" w:hAnsi="Times New Roman" w:cs="Times New Roman"/>
        </w:rPr>
        <w:t>,</w:t>
      </w:r>
      <w:r w:rsidRPr="00511737">
        <w:rPr>
          <w:rFonts w:ascii="Times New Roman" w:hAnsi="Times New Roman" w:cs="Times New Roman"/>
        </w:rPr>
        <w:t xml:space="preserve"> nie można również tracić z pola widzenia zjawiska stale malejącej liczby kandydatów do odbycia aplikacji komorniczej, a w przyszłości pracy w</w:t>
      </w:r>
      <w:r w:rsidR="003F05C6" w:rsidRPr="00511737">
        <w:rPr>
          <w:rFonts w:ascii="Times New Roman" w:hAnsi="Times New Roman" w:cs="Times New Roman"/>
        </w:rPr>
        <w:t> </w:t>
      </w:r>
      <w:r w:rsidRPr="00511737">
        <w:rPr>
          <w:rFonts w:ascii="Times New Roman" w:hAnsi="Times New Roman" w:cs="Times New Roman"/>
        </w:rPr>
        <w:t>charakterze asesora, a następnie komornika. Jedną z przyczyn tego stanu rzeczy może być aktualny status tej grupy zawodowej. Decydując się na aplikację komorniczą</w:t>
      </w:r>
      <w:r w:rsidR="00361E45">
        <w:rPr>
          <w:rFonts w:ascii="Times New Roman" w:hAnsi="Times New Roman" w:cs="Times New Roman"/>
        </w:rPr>
        <w:t>,</w:t>
      </w:r>
      <w:r w:rsidRPr="00511737">
        <w:rPr>
          <w:rFonts w:ascii="Times New Roman" w:hAnsi="Times New Roman" w:cs="Times New Roman"/>
        </w:rPr>
        <w:t xml:space="preserve"> kandydat, już w</w:t>
      </w:r>
      <w:r w:rsidR="003F05C6" w:rsidRPr="00511737">
        <w:rPr>
          <w:rFonts w:ascii="Times New Roman" w:hAnsi="Times New Roman" w:cs="Times New Roman"/>
        </w:rPr>
        <w:t> </w:t>
      </w:r>
      <w:r w:rsidRPr="00511737">
        <w:rPr>
          <w:rFonts w:ascii="Times New Roman" w:hAnsi="Times New Roman" w:cs="Times New Roman"/>
        </w:rPr>
        <w:t>chwili jej rozpoczęcia, musi być zdecydowany zostać komornikiem, w innym wypadku traci bowiem uprawnienia asesorskie po 6 latach od dnia pierwszego powołania na stanowisko asesora.</w:t>
      </w:r>
    </w:p>
    <w:p w14:paraId="7AA0F244" w14:textId="6AAA1E62"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lastRenderedPageBreak/>
        <w:t xml:space="preserve">W związku z powyższym, </w:t>
      </w:r>
      <w:r w:rsidR="00361E45" w:rsidRPr="00D96AC4">
        <w:rPr>
          <w:rFonts w:ascii="Times New Roman" w:hAnsi="Times New Roman" w:cs="Times New Roman"/>
        </w:rPr>
        <w:t>jest</w:t>
      </w:r>
      <w:r w:rsidR="00361E45" w:rsidRPr="00361E45">
        <w:rPr>
          <w:rFonts w:ascii="Times New Roman" w:hAnsi="Times New Roman" w:cs="Times New Roman"/>
        </w:rPr>
        <w:t xml:space="preserve"> </w:t>
      </w:r>
      <w:r w:rsidRPr="00511737">
        <w:rPr>
          <w:rFonts w:ascii="Times New Roman" w:hAnsi="Times New Roman" w:cs="Times New Roman"/>
        </w:rPr>
        <w:t>zasadny powrót do poprzednich rozwiązań ustawowych, w których nie było określonej daty granicznej zmuszającej asesora do złożenia wniosku o</w:t>
      </w:r>
      <w:r w:rsidR="003F05C6" w:rsidRPr="00511737">
        <w:rPr>
          <w:rFonts w:ascii="Times New Roman" w:hAnsi="Times New Roman" w:cs="Times New Roman"/>
        </w:rPr>
        <w:t> </w:t>
      </w:r>
      <w:r w:rsidRPr="00511737">
        <w:rPr>
          <w:rFonts w:ascii="Times New Roman" w:hAnsi="Times New Roman" w:cs="Times New Roman"/>
        </w:rPr>
        <w:t>powołanie na stanowisko komornika w chwili, w której może nie być na to gotowy. Ujednolicenie okresu asesury komorniczej dla wszystkich asesorów wykonujących taki zawód jest uzasadnione. Proponowana zmiana jest pożądana, a wprowadzenie przepisów winno nastąpić jak najszybciej, bowiem już w 2025 r. problem bezpowrotnej utraty statusu asesora będzie dotyczył około 60 osób (pierwsze powołanie miało miejsce w styczniu 2019 r.).</w:t>
      </w:r>
    </w:p>
    <w:p w14:paraId="0B7B26D3" w14:textId="46EF33E9"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Zniesienie powyższego 6-letnego ograniczenia trwania asesury komorniczej, uzasadnia także dostosowani</w:t>
      </w:r>
      <w:r w:rsidR="00F6668F" w:rsidRPr="00511737">
        <w:rPr>
          <w:rFonts w:ascii="Times New Roman" w:hAnsi="Times New Roman" w:cs="Times New Roman"/>
        </w:rPr>
        <w:t>e</w:t>
      </w:r>
      <w:r w:rsidRPr="00511737">
        <w:rPr>
          <w:rFonts w:ascii="Times New Roman" w:hAnsi="Times New Roman" w:cs="Times New Roman"/>
        </w:rPr>
        <w:t xml:space="preserve"> innych przepisów ustawy do projektowanej regulacji. Konieczne jest uchylenie przepisów art. 11 ust. 4 pkt 4 u.k.s. oraz nadanie nowego brzmienia art. 132 u.k.s., który w końcowej części zawierał odwołanie do uchylanego przepisu i uprawniał prezesa sądu apelacyjnego do odmowy powołania na stanowisko asesora „gdy upłynął okres, o którym mowa w art. 131 ust. 2”. Z zamkniętym okresem trwania asesury komorniczej ma związek także art.</w:t>
      </w:r>
      <w:r w:rsidR="00167C5D">
        <w:rPr>
          <w:rFonts w:ascii="Times New Roman" w:hAnsi="Times New Roman" w:cs="Times New Roman"/>
        </w:rPr>
        <w:t> </w:t>
      </w:r>
      <w:r w:rsidRPr="00511737">
        <w:rPr>
          <w:rFonts w:ascii="Times New Roman" w:hAnsi="Times New Roman" w:cs="Times New Roman"/>
        </w:rPr>
        <w:t>16 u.k.s., którego celem było wyłączenie możliwości ubiegania się o powołanie na stanowisko komornika po upływie 5 lat od momentu odbycia asesury.</w:t>
      </w:r>
    </w:p>
    <w:p w14:paraId="0E8D138B" w14:textId="44D0B5BA"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Projektowane zniesienie ustawowego ograniczenia możliwości pozostawania asesorem wymaga jednak doprecyzowania sytuacji, w której osoba niezajmująca stanowiska asesora (np. wskutek rezygnacji czy rozwiązania stosunku pracy, czy wystąpienia innych zdarzeń związanych z ustaniem zatrudnienia w charakterze asesora – art. 135 u.k.s.) będzie występowała z wnioskiem o powołanie na stanowisko komornika. Niezajmowanie stanowiska asesora i niewykonywanie w tym czasie czynności egzekucyjnych przez osoby, które chciałaby wrócić na obraną wcześniej ścieżkę zawodową, musi zostać ograniczone czasowo. Jest to uzasadnione potrzebą sprawnego powrotu do zawodu i gwarancją prawidłowego stosowania prawa. Obecnie art. 148 ust. 2 u.k.s. stanowi, </w:t>
      </w:r>
      <w:r w:rsidR="00F6668F" w:rsidRPr="00511737">
        <w:rPr>
          <w:rFonts w:ascii="Times New Roman" w:hAnsi="Times New Roman" w:cs="Times New Roman"/>
        </w:rPr>
        <w:t>że</w:t>
      </w:r>
      <w:r w:rsidRPr="00511737">
        <w:rPr>
          <w:rFonts w:ascii="Times New Roman" w:hAnsi="Times New Roman" w:cs="Times New Roman"/>
        </w:rPr>
        <w:t xml:space="preserve"> przerwa w zajmowaniu stanowiska asesora, nie może być dłuższa niż 5 lat. Po tym czasie powrót na stanowisko asesora wiąże się z</w:t>
      </w:r>
      <w:r w:rsidR="003F05C6" w:rsidRPr="00511737">
        <w:rPr>
          <w:rFonts w:ascii="Times New Roman" w:hAnsi="Times New Roman" w:cs="Times New Roman"/>
        </w:rPr>
        <w:t> </w:t>
      </w:r>
      <w:r w:rsidRPr="00511737">
        <w:rPr>
          <w:rFonts w:ascii="Times New Roman" w:hAnsi="Times New Roman" w:cs="Times New Roman"/>
        </w:rPr>
        <w:t xml:space="preserve">koniecznością złożenia egzaminu komorniczego. Jednakże bez ingerencji w art. 16 u.k.s. osoba taka mogłaby wnioskować o powołanie na stanowisko komornika sądowego bez dodatkowych wymagań (jeżeli przepracowała w charakterze asesora 2 lata i spełnia pozostałe przesłanki z art. 11 u.k.s.). Stąd </w:t>
      </w:r>
      <w:r w:rsidR="0008156F" w:rsidRPr="00AF3CDF">
        <w:rPr>
          <w:rFonts w:ascii="Times New Roman" w:hAnsi="Times New Roman" w:cs="Times New Roman"/>
        </w:rPr>
        <w:t xml:space="preserve">jest </w:t>
      </w:r>
      <w:r w:rsidRPr="00511737">
        <w:rPr>
          <w:rFonts w:ascii="Times New Roman" w:hAnsi="Times New Roman" w:cs="Times New Roman"/>
        </w:rPr>
        <w:t>zasadne ograniczenie możliwości ubiegania się byłego asesora o powołanie na stanowisko komornika po upływie 5 lat od ustania zatrudnienia na stanowisku asesora.</w:t>
      </w:r>
    </w:p>
    <w:p w14:paraId="55337963" w14:textId="2A0B6047"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W projekcie zaproponowano przepis przejściowy w odniesieniu do postępowań w przedmiocie odwołania ze stanowiska komornika na podstawie art. 19 ust. 1 pkt</w:t>
      </w:r>
      <w:r w:rsidR="00167C5D">
        <w:rPr>
          <w:rFonts w:ascii="Times New Roman" w:hAnsi="Times New Roman" w:cs="Times New Roman"/>
        </w:rPr>
        <w:t xml:space="preserve"> </w:t>
      </w:r>
      <w:r w:rsidRPr="00511737">
        <w:rPr>
          <w:rFonts w:ascii="Times New Roman" w:hAnsi="Times New Roman" w:cs="Times New Roman"/>
        </w:rPr>
        <w:t xml:space="preserve">2 u.k.s. </w:t>
      </w:r>
      <w:r w:rsidRPr="00511737">
        <w:rPr>
          <w:rFonts w:ascii="Times New Roman" w:hAnsi="Times New Roman" w:cs="Times New Roman"/>
        </w:rPr>
        <w:lastRenderedPageBreak/>
        <w:t>wszczętych i niezakończonych przed dniem wejścia w życie projektowanej ustawy. W takim przypadku zastosowanie znajdą przepisy u.k.s. w brzmieniu nadanym projektowaną ustawą.</w:t>
      </w:r>
    </w:p>
    <w:p w14:paraId="32C4A627" w14:textId="3C977B55"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Ponadto komornik, który przed dniem wejścia w życie projektowanej ustawy został odwołany z zajmowanego stanowiska na podstawie art. 19 ust. 1 pkt 2 u.k.s., może zostać ponownie powołany na stanowisko komornika, nie później jednak niż do dnia ukończenia 70. roku życia.</w:t>
      </w:r>
    </w:p>
    <w:p w14:paraId="3D27022E" w14:textId="11795BC3" w:rsidR="0031359F" w:rsidRPr="00511737" w:rsidRDefault="0031359F" w:rsidP="00167C5D">
      <w:pPr>
        <w:pStyle w:val="ARTartustawynprozporzdzenia"/>
        <w:rPr>
          <w:rFonts w:ascii="Times New Roman" w:hAnsi="Times New Roman" w:cs="Times New Roman"/>
        </w:rPr>
      </w:pPr>
      <w:r w:rsidRPr="00511737">
        <w:rPr>
          <w:rFonts w:ascii="Times New Roman" w:hAnsi="Times New Roman" w:cs="Times New Roman"/>
        </w:rPr>
        <w:t>Analogiczne rozwiązania przewidziano wobec asesorów.</w:t>
      </w:r>
    </w:p>
    <w:p w14:paraId="1C8B7AA7" w14:textId="77C204C1"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Przewiduje się, że projektowana ustawa wejdzie w życie po upływie 14 dni od dnia ogłoszenia. Z uwagi na pilną potrzebę wejścia w życie nowych rozwiązań </w:t>
      </w:r>
      <w:r w:rsidRPr="00511737">
        <w:rPr>
          <w:rStyle w:val="Kkursywa"/>
          <w:rFonts w:ascii="Times New Roman" w:hAnsi="Times New Roman" w:cs="Times New Roman"/>
        </w:rPr>
        <w:t>vacatio legis</w:t>
      </w:r>
      <w:r w:rsidRPr="00511737">
        <w:rPr>
          <w:rFonts w:ascii="Times New Roman" w:hAnsi="Times New Roman" w:cs="Times New Roman"/>
        </w:rPr>
        <w:t xml:space="preserve"> powin</w:t>
      </w:r>
      <w:r w:rsidR="00740610" w:rsidRPr="00511737">
        <w:rPr>
          <w:rFonts w:ascii="Times New Roman" w:hAnsi="Times New Roman" w:cs="Times New Roman"/>
        </w:rPr>
        <w:t>na</w:t>
      </w:r>
      <w:r w:rsidRPr="00511737">
        <w:rPr>
          <w:rFonts w:ascii="Times New Roman" w:hAnsi="Times New Roman" w:cs="Times New Roman"/>
        </w:rPr>
        <w:t xml:space="preserve"> być jak najkrótsz</w:t>
      </w:r>
      <w:r w:rsidR="00740610" w:rsidRPr="00511737">
        <w:rPr>
          <w:rFonts w:ascii="Times New Roman" w:hAnsi="Times New Roman" w:cs="Times New Roman"/>
        </w:rPr>
        <w:t>a</w:t>
      </w:r>
      <w:r w:rsidRPr="00511737">
        <w:rPr>
          <w:rFonts w:ascii="Times New Roman" w:hAnsi="Times New Roman" w:cs="Times New Roman"/>
        </w:rPr>
        <w:t>.</w:t>
      </w:r>
    </w:p>
    <w:p w14:paraId="2DED0746" w14:textId="693D53CD"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Stosownie do art. 4 ustawy z dnia 7 lipca 2005 r. o działalności lobbingowej w procesie stanowienia prawa (Dz. U. z 2017 r. poz. 248, z późn. zm.) projekt został zamieszczony w</w:t>
      </w:r>
      <w:r w:rsidR="003F05C6" w:rsidRPr="00511737">
        <w:rPr>
          <w:rFonts w:ascii="Times New Roman" w:hAnsi="Times New Roman" w:cs="Times New Roman"/>
        </w:rPr>
        <w:t> </w:t>
      </w:r>
      <w:r w:rsidR="0008156F">
        <w:rPr>
          <w:rFonts w:ascii="Times New Roman" w:hAnsi="Times New Roman" w:cs="Times New Roman"/>
        </w:rPr>
        <w:t>W</w:t>
      </w:r>
      <w:r w:rsidRPr="00511737">
        <w:rPr>
          <w:rFonts w:ascii="Times New Roman" w:hAnsi="Times New Roman" w:cs="Times New Roman"/>
        </w:rPr>
        <w:t>ykazie prac legislacyjnych i programowych Rady Ministrów</w:t>
      </w:r>
      <w:r w:rsidR="00F6668F" w:rsidRPr="00511737">
        <w:rPr>
          <w:rFonts w:ascii="Times New Roman" w:hAnsi="Times New Roman" w:cs="Times New Roman"/>
        </w:rPr>
        <w:t xml:space="preserve"> pod poz. UD174</w:t>
      </w:r>
      <w:r w:rsidRPr="00511737">
        <w:rPr>
          <w:rFonts w:ascii="Times New Roman" w:hAnsi="Times New Roman" w:cs="Times New Roman"/>
        </w:rPr>
        <w:t>.</w:t>
      </w:r>
    </w:p>
    <w:p w14:paraId="793CE184" w14:textId="0E5492DD"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Zgodnie z art. 5 ustawy z dnia 7 lipca 2005 r. o działalności lobbingowej w procesie stanowienia prawa oraz § 52 uchwały nr 190 Rady Ministrów z dnia 29 października 2013 r. – Regulamin pracy Rady Ministrów (M.P. z 2024 r. poz. 806) projekt ustawy </w:t>
      </w:r>
      <w:r w:rsidR="00740610" w:rsidRPr="00511737">
        <w:rPr>
          <w:rFonts w:ascii="Times New Roman" w:hAnsi="Times New Roman" w:cs="Times New Roman"/>
        </w:rPr>
        <w:t>został</w:t>
      </w:r>
      <w:r w:rsidRPr="00511737">
        <w:rPr>
          <w:rFonts w:ascii="Times New Roman" w:hAnsi="Times New Roman" w:cs="Times New Roman"/>
        </w:rPr>
        <w:t xml:space="preserve"> udostępniony w Biuletynie Informacji Publicznej na stronie podmiotowej Rządowego Centrum Legislacji, w</w:t>
      </w:r>
      <w:r w:rsidR="00740610" w:rsidRPr="00511737">
        <w:rPr>
          <w:rFonts w:ascii="Times New Roman" w:hAnsi="Times New Roman" w:cs="Times New Roman"/>
        </w:rPr>
        <w:t> </w:t>
      </w:r>
      <w:r w:rsidRPr="00511737">
        <w:rPr>
          <w:rFonts w:ascii="Times New Roman" w:hAnsi="Times New Roman" w:cs="Times New Roman"/>
        </w:rPr>
        <w:t xml:space="preserve">serwisie </w:t>
      </w:r>
      <w:r w:rsidR="00F12AC0">
        <w:rPr>
          <w:rFonts w:ascii="Times New Roman" w:hAnsi="Times New Roman" w:cs="Times New Roman"/>
        </w:rPr>
        <w:t>„</w:t>
      </w:r>
      <w:r w:rsidRPr="00511737">
        <w:rPr>
          <w:rFonts w:ascii="Times New Roman" w:hAnsi="Times New Roman" w:cs="Times New Roman"/>
        </w:rPr>
        <w:t>Rządowy Proces Legislacyjny</w:t>
      </w:r>
      <w:r w:rsidR="00F12AC0">
        <w:rPr>
          <w:rFonts w:ascii="Times New Roman" w:hAnsi="Times New Roman" w:cs="Times New Roman"/>
        </w:rPr>
        <w:t>”</w:t>
      </w:r>
      <w:r w:rsidRPr="00511737">
        <w:rPr>
          <w:rFonts w:ascii="Times New Roman" w:hAnsi="Times New Roman" w:cs="Times New Roman"/>
        </w:rPr>
        <w:t>.</w:t>
      </w:r>
      <w:r w:rsidR="00F66CF3" w:rsidRPr="00511737">
        <w:rPr>
          <w:rFonts w:ascii="Times New Roman" w:eastAsiaTheme="minorHAnsi" w:hAnsi="Times New Roman" w:cs="Times New Roman"/>
          <w:szCs w:val="24"/>
          <w:lang w:eastAsia="en-US"/>
          <w14:ligatures w14:val="standardContextual"/>
        </w:rPr>
        <w:t xml:space="preserve"> </w:t>
      </w:r>
      <w:r w:rsidR="00F66CF3" w:rsidRPr="00511737">
        <w:rPr>
          <w:rFonts w:ascii="Times New Roman" w:hAnsi="Times New Roman" w:cs="Times New Roman"/>
        </w:rPr>
        <w:t>W trybie wskazanej ustawy nie wpłynęły do projektodawcy zgłoszenia zainteresowania pracami nad projektem.</w:t>
      </w:r>
    </w:p>
    <w:p w14:paraId="2FA48408" w14:textId="70C4CAB1"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Projekt ustawy jest zgodny z prawem Unii Europejskiej.</w:t>
      </w:r>
    </w:p>
    <w:p w14:paraId="556A0324" w14:textId="48A0E5BB" w:rsidR="0031359F"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 xml:space="preserve">Projekt ustawy nie podlega przedstawieniu właściwym organom i instytucjom Unii Europejskiej, w tym Europejskiemu Bankowi Centralnemu, w celu uzyskania opinii, dokonania powiadomienia, konsultacji </w:t>
      </w:r>
      <w:r w:rsidR="00F12AC0">
        <w:rPr>
          <w:rFonts w:ascii="Times New Roman" w:hAnsi="Times New Roman" w:cs="Times New Roman"/>
        </w:rPr>
        <w:t>albo</w:t>
      </w:r>
      <w:r w:rsidR="00F12AC0" w:rsidRPr="00511737">
        <w:rPr>
          <w:rFonts w:ascii="Times New Roman" w:hAnsi="Times New Roman" w:cs="Times New Roman"/>
        </w:rPr>
        <w:t xml:space="preserve"> </w:t>
      </w:r>
      <w:r w:rsidRPr="00511737">
        <w:rPr>
          <w:rFonts w:ascii="Times New Roman" w:hAnsi="Times New Roman" w:cs="Times New Roman"/>
        </w:rPr>
        <w:t>uzgodnienia.</w:t>
      </w:r>
    </w:p>
    <w:p w14:paraId="39DC1BFD" w14:textId="5F9A1378" w:rsidR="00E51A44" w:rsidRPr="00511737" w:rsidRDefault="0031359F" w:rsidP="00167C5D">
      <w:pPr>
        <w:pStyle w:val="NIEARTTEKSTtekstnieartykuowanynppodstprawnarozplubpreambua"/>
        <w:rPr>
          <w:rFonts w:ascii="Times New Roman" w:hAnsi="Times New Roman" w:cs="Times New Roman"/>
        </w:rPr>
      </w:pPr>
      <w:r w:rsidRPr="00511737">
        <w:rPr>
          <w:rFonts w:ascii="Times New Roman" w:hAnsi="Times New Roman" w:cs="Times New Roman"/>
        </w:rPr>
        <w:t>Projekt ustawy nie zawiera norm technicznych w rozumieniu przepisów rozporządzenia Rady Ministrów z dnia 23 grudnia 2002 r. w sprawie sposobu funkcjonowania krajowego systemu notyfikacji norm i aktów prawnych (Dz. U. poz. 2039, z późn. zm.), w</w:t>
      </w:r>
      <w:r w:rsidR="00167C5D">
        <w:rPr>
          <w:rFonts w:ascii="Times New Roman" w:hAnsi="Times New Roman" w:cs="Times New Roman"/>
        </w:rPr>
        <w:t xml:space="preserve"> </w:t>
      </w:r>
      <w:r w:rsidRPr="00511737">
        <w:rPr>
          <w:rFonts w:ascii="Times New Roman" w:hAnsi="Times New Roman" w:cs="Times New Roman"/>
        </w:rPr>
        <w:t>związku z czym nie podlega notyfikacji.</w:t>
      </w:r>
    </w:p>
    <w:p w14:paraId="40C46FC8" w14:textId="7337199D" w:rsidR="002647EF" w:rsidRPr="00511737" w:rsidRDefault="002647EF" w:rsidP="00167C5D">
      <w:pPr>
        <w:pStyle w:val="ARTartustawynprozporzdzenia"/>
        <w:rPr>
          <w:rFonts w:ascii="Times New Roman" w:hAnsi="Times New Roman" w:cs="Times New Roman"/>
        </w:rPr>
      </w:pPr>
      <w:r w:rsidRPr="00511737">
        <w:rPr>
          <w:rFonts w:ascii="Times New Roman" w:hAnsi="Times New Roman" w:cs="Times New Roman"/>
        </w:rPr>
        <w:t>Projekt ustawy został przekazany do zaopiniowania przez Koordynatora Oceny Skutków Regulacji. Nie przedstawił on swojego stanowiska.</w:t>
      </w:r>
    </w:p>
    <w:sectPr w:rsidR="002647EF" w:rsidRPr="00511737" w:rsidSect="00511737">
      <w:footerReference w:type="default" r:id="rId6"/>
      <w:footnotePr>
        <w:numRestart w:val="eachSect"/>
      </w:footnotePr>
      <w:pgSz w:w="11906"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5EC0" w14:textId="77777777" w:rsidR="005B1731" w:rsidRDefault="005B1731">
      <w:pPr>
        <w:spacing w:line="240" w:lineRule="auto"/>
      </w:pPr>
      <w:r>
        <w:separator/>
      </w:r>
    </w:p>
  </w:endnote>
  <w:endnote w:type="continuationSeparator" w:id="0">
    <w:p w14:paraId="674C4D0A" w14:textId="77777777" w:rsidR="005B1731" w:rsidRDefault="005B1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260297"/>
      <w:docPartObj>
        <w:docPartGallery w:val="Page Numbers (Bottom of Page)"/>
        <w:docPartUnique/>
      </w:docPartObj>
    </w:sdtPr>
    <w:sdtEndPr/>
    <w:sdtContent>
      <w:p w14:paraId="28ADA862" w14:textId="74A4A62F" w:rsidR="00167C5D" w:rsidRDefault="00167C5D" w:rsidP="00167C5D">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84DEB" w14:textId="77777777" w:rsidR="005B1731" w:rsidRDefault="005B1731">
      <w:pPr>
        <w:spacing w:line="240" w:lineRule="auto"/>
      </w:pPr>
      <w:r>
        <w:separator/>
      </w:r>
    </w:p>
  </w:footnote>
  <w:footnote w:type="continuationSeparator" w:id="0">
    <w:p w14:paraId="6CCDF834" w14:textId="77777777" w:rsidR="005B1731" w:rsidRDefault="005B17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9F"/>
    <w:rsid w:val="00012B98"/>
    <w:rsid w:val="00017CEA"/>
    <w:rsid w:val="0008156F"/>
    <w:rsid w:val="000B00FB"/>
    <w:rsid w:val="000C174D"/>
    <w:rsid w:val="000C36ED"/>
    <w:rsid w:val="000D3395"/>
    <w:rsid w:val="001204AF"/>
    <w:rsid w:val="00167C5D"/>
    <w:rsid w:val="001A3FAB"/>
    <w:rsid w:val="001B1BC0"/>
    <w:rsid w:val="001B22E1"/>
    <w:rsid w:val="00204140"/>
    <w:rsid w:val="002647EF"/>
    <w:rsid w:val="00280D49"/>
    <w:rsid w:val="002C11DF"/>
    <w:rsid w:val="0031359F"/>
    <w:rsid w:val="00345D52"/>
    <w:rsid w:val="00361E45"/>
    <w:rsid w:val="003C562C"/>
    <w:rsid w:val="003D1C1A"/>
    <w:rsid w:val="003F05C6"/>
    <w:rsid w:val="00425935"/>
    <w:rsid w:val="004C2B56"/>
    <w:rsid w:val="00511737"/>
    <w:rsid w:val="005A0840"/>
    <w:rsid w:val="005B1731"/>
    <w:rsid w:val="005C7B56"/>
    <w:rsid w:val="00615F48"/>
    <w:rsid w:val="006970D8"/>
    <w:rsid w:val="00716DEA"/>
    <w:rsid w:val="00740610"/>
    <w:rsid w:val="007C362D"/>
    <w:rsid w:val="007D3E57"/>
    <w:rsid w:val="007E01DA"/>
    <w:rsid w:val="00824E96"/>
    <w:rsid w:val="0089506B"/>
    <w:rsid w:val="0091248E"/>
    <w:rsid w:val="00991E74"/>
    <w:rsid w:val="009B5BAC"/>
    <w:rsid w:val="009E3E8F"/>
    <w:rsid w:val="00A32C96"/>
    <w:rsid w:val="00A55560"/>
    <w:rsid w:val="00AF18A6"/>
    <w:rsid w:val="00B91D52"/>
    <w:rsid w:val="00BD103A"/>
    <w:rsid w:val="00CF29A5"/>
    <w:rsid w:val="00D6106F"/>
    <w:rsid w:val="00D971F1"/>
    <w:rsid w:val="00E51A44"/>
    <w:rsid w:val="00E54C85"/>
    <w:rsid w:val="00E61EF5"/>
    <w:rsid w:val="00EA6C90"/>
    <w:rsid w:val="00EB3E5F"/>
    <w:rsid w:val="00F12AC0"/>
    <w:rsid w:val="00F33599"/>
    <w:rsid w:val="00F47CBB"/>
    <w:rsid w:val="00F6668F"/>
    <w:rsid w:val="00F66CF3"/>
    <w:rsid w:val="00F945C2"/>
    <w:rsid w:val="00F95054"/>
    <w:rsid w:val="00F96C5C"/>
    <w:rsid w:val="00F96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FB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59F"/>
    <w:pPr>
      <w:widowControl w:val="0"/>
      <w:autoSpaceDE w:val="0"/>
      <w:autoSpaceDN w:val="0"/>
      <w:adjustRightInd w:val="0"/>
      <w:spacing w:after="0" w:line="360" w:lineRule="auto"/>
    </w:pPr>
    <w:rPr>
      <w:rFonts w:ascii="Times New Roman" w:eastAsiaTheme="minorEastAsia" w:hAnsi="Times New Roman" w:cs="Arial"/>
      <w:kern w:val="0"/>
      <w:szCs w:val="20"/>
      <w:lang w:eastAsia="pl-PL"/>
      <w14:ligatures w14:val="none"/>
    </w:rPr>
  </w:style>
  <w:style w:type="paragraph" w:styleId="Nagwek1">
    <w:name w:val="heading 1"/>
    <w:basedOn w:val="Normalny"/>
    <w:next w:val="Normalny"/>
    <w:link w:val="Nagwek1Znak"/>
    <w:uiPriority w:val="9"/>
    <w:qFormat/>
    <w:rsid w:val="0031359F"/>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31359F"/>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31359F"/>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31359F"/>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Nagwek5">
    <w:name w:val="heading 5"/>
    <w:basedOn w:val="Normalny"/>
    <w:next w:val="Normalny"/>
    <w:link w:val="Nagwek5Znak"/>
    <w:uiPriority w:val="9"/>
    <w:semiHidden/>
    <w:unhideWhenUsed/>
    <w:qFormat/>
    <w:rsid w:val="0031359F"/>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Nagwek6">
    <w:name w:val="heading 6"/>
    <w:basedOn w:val="Normalny"/>
    <w:next w:val="Normalny"/>
    <w:link w:val="Nagwek6Znak"/>
    <w:uiPriority w:val="9"/>
    <w:semiHidden/>
    <w:unhideWhenUsed/>
    <w:qFormat/>
    <w:rsid w:val="0031359F"/>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Nagwek7">
    <w:name w:val="heading 7"/>
    <w:basedOn w:val="Normalny"/>
    <w:next w:val="Normalny"/>
    <w:link w:val="Nagwek7Znak"/>
    <w:uiPriority w:val="9"/>
    <w:semiHidden/>
    <w:unhideWhenUsed/>
    <w:qFormat/>
    <w:rsid w:val="0031359F"/>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Nagwek8">
    <w:name w:val="heading 8"/>
    <w:basedOn w:val="Normalny"/>
    <w:next w:val="Normalny"/>
    <w:link w:val="Nagwek8Znak"/>
    <w:uiPriority w:val="9"/>
    <w:semiHidden/>
    <w:unhideWhenUsed/>
    <w:qFormat/>
    <w:rsid w:val="0031359F"/>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Nagwek9">
    <w:name w:val="heading 9"/>
    <w:basedOn w:val="Normalny"/>
    <w:next w:val="Normalny"/>
    <w:link w:val="Nagwek9Znak"/>
    <w:uiPriority w:val="9"/>
    <w:semiHidden/>
    <w:unhideWhenUsed/>
    <w:qFormat/>
    <w:rsid w:val="0031359F"/>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359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359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1359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359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359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359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359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359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359F"/>
    <w:rPr>
      <w:rFonts w:eastAsiaTheme="majorEastAsia" w:cstheme="majorBidi"/>
      <w:color w:val="272727" w:themeColor="text1" w:themeTint="D8"/>
    </w:rPr>
  </w:style>
  <w:style w:type="paragraph" w:styleId="Tytu">
    <w:name w:val="Title"/>
    <w:basedOn w:val="Normalny"/>
    <w:next w:val="Normalny"/>
    <w:link w:val="TytuZnak"/>
    <w:uiPriority w:val="10"/>
    <w:qFormat/>
    <w:rsid w:val="0031359F"/>
    <w:pPr>
      <w:widowControl/>
      <w:autoSpaceDE/>
      <w:autoSpaceDN/>
      <w:adjustRightInd/>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31359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359F"/>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31359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359F"/>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ytatZnak">
    <w:name w:val="Cytat Znak"/>
    <w:basedOn w:val="Domylnaczcionkaakapitu"/>
    <w:link w:val="Cytat"/>
    <w:uiPriority w:val="29"/>
    <w:rsid w:val="0031359F"/>
    <w:rPr>
      <w:i/>
      <w:iCs/>
      <w:color w:val="404040" w:themeColor="text1" w:themeTint="BF"/>
    </w:rPr>
  </w:style>
  <w:style w:type="paragraph" w:styleId="Akapitzlist">
    <w:name w:val="List Paragraph"/>
    <w:basedOn w:val="Normalny"/>
    <w:uiPriority w:val="34"/>
    <w:qFormat/>
    <w:rsid w:val="0031359F"/>
    <w:pPr>
      <w:widowControl/>
      <w:autoSpaceDE/>
      <w:autoSpaceDN/>
      <w:adjustRightInd/>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Wyrnienieintensywne">
    <w:name w:val="Intense Emphasis"/>
    <w:basedOn w:val="Domylnaczcionkaakapitu"/>
    <w:uiPriority w:val="21"/>
    <w:qFormat/>
    <w:rsid w:val="0031359F"/>
    <w:rPr>
      <w:i/>
      <w:iCs/>
      <w:color w:val="0F4761" w:themeColor="accent1" w:themeShade="BF"/>
    </w:rPr>
  </w:style>
  <w:style w:type="paragraph" w:styleId="Cytatintensywny">
    <w:name w:val="Intense Quote"/>
    <w:basedOn w:val="Normalny"/>
    <w:next w:val="Normalny"/>
    <w:link w:val="CytatintensywnyZnak"/>
    <w:uiPriority w:val="30"/>
    <w:qFormat/>
    <w:rsid w:val="0031359F"/>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ytatintensywnyZnak">
    <w:name w:val="Cytat intensywny Znak"/>
    <w:basedOn w:val="Domylnaczcionkaakapitu"/>
    <w:link w:val="Cytatintensywny"/>
    <w:uiPriority w:val="30"/>
    <w:rsid w:val="0031359F"/>
    <w:rPr>
      <w:i/>
      <w:iCs/>
      <w:color w:val="0F4761" w:themeColor="accent1" w:themeShade="BF"/>
    </w:rPr>
  </w:style>
  <w:style w:type="character" w:styleId="Odwoanieintensywne">
    <w:name w:val="Intense Reference"/>
    <w:basedOn w:val="Domylnaczcionkaakapitu"/>
    <w:uiPriority w:val="32"/>
    <w:qFormat/>
    <w:rsid w:val="0031359F"/>
    <w:rPr>
      <w:b/>
      <w:bCs/>
      <w:smallCaps/>
      <w:color w:val="0F4761" w:themeColor="accent1" w:themeShade="BF"/>
      <w:spacing w:val="5"/>
    </w:rPr>
  </w:style>
  <w:style w:type="paragraph" w:styleId="Nagwek">
    <w:name w:val="header"/>
    <w:basedOn w:val="Normalny"/>
    <w:link w:val="NagwekZnak"/>
    <w:uiPriority w:val="99"/>
    <w:semiHidden/>
    <w:rsid w:val="0031359F"/>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31359F"/>
    <w:rPr>
      <w:rFonts w:ascii="Times" w:eastAsia="Times New Roman" w:hAnsi="Times" w:cs="Times New Roman"/>
      <w:kern w:val="1"/>
      <w:lang w:eastAsia="ar-SA"/>
      <w14:ligatures w14:val="none"/>
    </w:rPr>
  </w:style>
  <w:style w:type="paragraph" w:customStyle="1" w:styleId="ARTartustawynprozporzdzenia">
    <w:name w:val="ART(§) – art. ustawy (§ np. rozporządzenia)"/>
    <w:uiPriority w:val="11"/>
    <w:qFormat/>
    <w:rsid w:val="0031359F"/>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31359F"/>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31359F"/>
    <w:rPr>
      <w:bCs/>
    </w:rPr>
  </w:style>
  <w:style w:type="character" w:customStyle="1" w:styleId="IGindeksgrny">
    <w:name w:val="_IG_ – indeks górny"/>
    <w:basedOn w:val="Domylnaczcionkaakapitu"/>
    <w:uiPriority w:val="2"/>
    <w:qFormat/>
    <w:rsid w:val="0031359F"/>
    <w:rPr>
      <w:b w:val="0"/>
      <w:i w:val="0"/>
      <w:vanish w:val="0"/>
      <w:spacing w:val="0"/>
      <w:vertAlign w:val="superscript"/>
    </w:rPr>
  </w:style>
  <w:style w:type="character" w:customStyle="1" w:styleId="Ppogrubienie">
    <w:name w:val="_P_ – pogrubienie"/>
    <w:basedOn w:val="Domylnaczcionkaakapitu"/>
    <w:uiPriority w:val="1"/>
    <w:qFormat/>
    <w:rsid w:val="0031359F"/>
    <w:rPr>
      <w:b/>
    </w:rPr>
  </w:style>
  <w:style w:type="character" w:customStyle="1" w:styleId="Kkursywa">
    <w:name w:val="_K_ – kursywa"/>
    <w:basedOn w:val="Domylnaczcionkaakapitu"/>
    <w:uiPriority w:val="1"/>
    <w:qFormat/>
    <w:rsid w:val="0031359F"/>
    <w:rPr>
      <w:i/>
    </w:rPr>
  </w:style>
  <w:style w:type="paragraph" w:styleId="Poprawka">
    <w:name w:val="Revision"/>
    <w:hidden/>
    <w:uiPriority w:val="99"/>
    <w:semiHidden/>
    <w:rsid w:val="001204AF"/>
    <w:pPr>
      <w:spacing w:after="0" w:line="240" w:lineRule="auto"/>
    </w:pPr>
    <w:rPr>
      <w:rFonts w:ascii="Times New Roman" w:eastAsiaTheme="minorEastAsia" w:hAnsi="Times New Roman" w:cs="Arial"/>
      <w:kern w:val="0"/>
      <w:szCs w:val="20"/>
      <w:lang w:eastAsia="pl-PL"/>
      <w14:ligatures w14:val="none"/>
    </w:rPr>
  </w:style>
  <w:style w:type="paragraph" w:styleId="Stopka">
    <w:name w:val="footer"/>
    <w:basedOn w:val="Normalny"/>
    <w:link w:val="StopkaZnak"/>
    <w:uiPriority w:val="99"/>
    <w:unhideWhenUsed/>
    <w:rsid w:val="00167C5D"/>
    <w:pPr>
      <w:tabs>
        <w:tab w:val="center" w:pos="4536"/>
        <w:tab w:val="right" w:pos="9072"/>
      </w:tabs>
      <w:spacing w:line="240" w:lineRule="auto"/>
    </w:pPr>
  </w:style>
  <w:style w:type="character" w:customStyle="1" w:styleId="StopkaZnak">
    <w:name w:val="Stopka Znak"/>
    <w:basedOn w:val="Domylnaczcionkaakapitu"/>
    <w:link w:val="Stopka"/>
    <w:uiPriority w:val="99"/>
    <w:rsid w:val="00167C5D"/>
    <w:rPr>
      <w:rFonts w:ascii="Times New Roman" w:eastAsiaTheme="minorEastAsia" w:hAnsi="Times New Roman" w:cs="Arial"/>
      <w:kern w:val="0"/>
      <w:szCs w:val="20"/>
      <w:lang w:eastAsia="pl-PL"/>
      <w14:ligatures w14:val="none"/>
    </w:rPr>
  </w:style>
  <w:style w:type="character" w:styleId="Odwoaniedokomentarza">
    <w:name w:val="annotation reference"/>
    <w:basedOn w:val="Domylnaczcionkaakapitu"/>
    <w:uiPriority w:val="99"/>
    <w:semiHidden/>
    <w:unhideWhenUsed/>
    <w:rsid w:val="0008156F"/>
    <w:rPr>
      <w:sz w:val="16"/>
      <w:szCs w:val="16"/>
    </w:rPr>
  </w:style>
  <w:style w:type="paragraph" w:styleId="Tekstkomentarza">
    <w:name w:val="annotation text"/>
    <w:basedOn w:val="Normalny"/>
    <w:link w:val="TekstkomentarzaZnak"/>
    <w:uiPriority w:val="99"/>
    <w:unhideWhenUsed/>
    <w:rsid w:val="0008156F"/>
    <w:pPr>
      <w:spacing w:line="240" w:lineRule="auto"/>
    </w:pPr>
    <w:rPr>
      <w:sz w:val="20"/>
    </w:rPr>
  </w:style>
  <w:style w:type="character" w:customStyle="1" w:styleId="TekstkomentarzaZnak">
    <w:name w:val="Tekst komentarza Znak"/>
    <w:basedOn w:val="Domylnaczcionkaakapitu"/>
    <w:link w:val="Tekstkomentarza"/>
    <w:uiPriority w:val="99"/>
    <w:rsid w:val="0008156F"/>
    <w:rPr>
      <w:rFonts w:ascii="Times New Roman" w:eastAsiaTheme="minorEastAsia"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08156F"/>
    <w:rPr>
      <w:b/>
      <w:bCs/>
    </w:rPr>
  </w:style>
  <w:style w:type="character" w:customStyle="1" w:styleId="TematkomentarzaZnak">
    <w:name w:val="Temat komentarza Znak"/>
    <w:basedOn w:val="TekstkomentarzaZnak"/>
    <w:link w:val="Tematkomentarza"/>
    <w:uiPriority w:val="99"/>
    <w:semiHidden/>
    <w:rsid w:val="0008156F"/>
    <w:rPr>
      <w:rFonts w:ascii="Times New Roman" w:eastAsiaTheme="minorEastAsia" w:hAnsi="Times New Roman" w:cs="Arial"/>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3277</Words>
  <Characters>19665</Characters>
  <Application>Microsoft Office Word</Application>
  <DocSecurity>0</DocSecurity>
  <Lines>163</Lines>
  <Paragraphs>45</Paragraphs>
  <ScaleCrop>false</ScaleCrop>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2025-04-30T12:54:00Z</dcterms:created>
  <dcterms:modified xsi:type="dcterms:W3CDTF">2025-05-05T06:47:00Z</dcterms:modified>
</cp:coreProperties>
</file>