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89F44" w14:textId="12ACF324" w:rsidR="00CF762B" w:rsidRPr="004742CC" w:rsidRDefault="00ED7946" w:rsidP="004742CC">
      <w:pPr>
        <w:spacing w:after="240" w:line="360" w:lineRule="auto"/>
        <w:jc w:val="center"/>
        <w:rPr>
          <w:rFonts w:ascii="Times New Roman" w:hAnsi="Times New Roman" w:cs="Times New Roman"/>
          <w:sz w:val="24"/>
          <w:szCs w:val="24"/>
        </w:rPr>
      </w:pPr>
      <w:bookmarkStart w:id="0" w:name="_GoBack"/>
      <w:bookmarkEnd w:id="0"/>
      <w:r w:rsidRPr="004742CC">
        <w:rPr>
          <w:rFonts w:ascii="Times New Roman" w:hAnsi="Times New Roman" w:cs="Times New Roman"/>
          <w:sz w:val="24"/>
          <w:szCs w:val="24"/>
        </w:rPr>
        <w:t>UZASADNIENIE</w:t>
      </w:r>
    </w:p>
    <w:p w14:paraId="5EF6C3B2" w14:textId="7F629324" w:rsidR="00046AAE" w:rsidRPr="000431F7" w:rsidRDefault="009C66E7" w:rsidP="004742CC">
      <w:pPr>
        <w:tabs>
          <w:tab w:val="left" w:pos="426"/>
        </w:tabs>
        <w:spacing w:before="120" w:after="0" w:line="360" w:lineRule="auto"/>
        <w:jc w:val="both"/>
        <w:rPr>
          <w:rFonts w:ascii="Times New Roman" w:hAnsi="Times New Roman" w:cs="Times New Roman"/>
          <w:b/>
          <w:bCs/>
          <w:sz w:val="24"/>
          <w:szCs w:val="24"/>
        </w:rPr>
      </w:pPr>
      <w:r w:rsidRPr="000431F7">
        <w:rPr>
          <w:rFonts w:ascii="Times New Roman" w:hAnsi="Times New Roman" w:cs="Times New Roman"/>
          <w:b/>
          <w:bCs/>
          <w:sz w:val="24"/>
          <w:szCs w:val="24"/>
        </w:rPr>
        <w:t>I.</w:t>
      </w:r>
      <w:r w:rsidR="000431F7">
        <w:rPr>
          <w:rFonts w:ascii="Times New Roman" w:hAnsi="Times New Roman" w:cs="Times New Roman"/>
          <w:b/>
          <w:bCs/>
          <w:sz w:val="24"/>
          <w:szCs w:val="24"/>
        </w:rPr>
        <w:tab/>
      </w:r>
      <w:r w:rsidR="00ED7946" w:rsidRPr="000431F7">
        <w:rPr>
          <w:rFonts w:ascii="Times New Roman" w:hAnsi="Times New Roman" w:cs="Times New Roman"/>
          <w:b/>
          <w:bCs/>
          <w:sz w:val="24"/>
          <w:szCs w:val="24"/>
        </w:rPr>
        <w:t>Potrzeba i cel wydania ustawy</w:t>
      </w:r>
    </w:p>
    <w:p w14:paraId="39D59E80" w14:textId="25849691" w:rsidR="00F111A0" w:rsidRPr="000431F7" w:rsidRDefault="00227E7A" w:rsidP="004742CC">
      <w:pPr>
        <w:spacing w:before="120"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046AAE" w:rsidRPr="000431F7">
        <w:rPr>
          <w:rFonts w:ascii="Times New Roman" w:hAnsi="Times New Roman" w:cs="Times New Roman"/>
          <w:bCs/>
          <w:sz w:val="24"/>
          <w:szCs w:val="24"/>
        </w:rPr>
        <w:t xml:space="preserve">Projekt ustawy o zmianie niektórych ustaw w związku z zapewnieniem operacyjnej odporności cyfrowej sektora finansowego </w:t>
      </w:r>
      <w:r w:rsidR="00F111A0" w:rsidRPr="000431F7">
        <w:rPr>
          <w:rFonts w:ascii="Times New Roman" w:hAnsi="Times New Roman" w:cs="Times New Roman"/>
          <w:sz w:val="24"/>
          <w:szCs w:val="24"/>
        </w:rPr>
        <w:t>oraz emitowaniem europejskich zielonych obligacji</w:t>
      </w:r>
      <w:r w:rsidR="00F111A0" w:rsidRPr="004742CC">
        <w:rPr>
          <w:rFonts w:ascii="Times New Roman" w:hAnsi="Times New Roman" w:cs="Times New Roman"/>
          <w:sz w:val="24"/>
          <w:szCs w:val="24"/>
        </w:rPr>
        <w:t xml:space="preserve"> </w:t>
      </w:r>
      <w:r w:rsidR="00046AAE" w:rsidRPr="000431F7">
        <w:rPr>
          <w:rFonts w:ascii="Times New Roman" w:hAnsi="Times New Roman" w:cs="Times New Roman"/>
          <w:bCs/>
          <w:sz w:val="24"/>
          <w:szCs w:val="24"/>
        </w:rPr>
        <w:t>ma na celu</w:t>
      </w:r>
      <w:r w:rsidR="00F260AA" w:rsidRPr="000431F7">
        <w:rPr>
          <w:rFonts w:ascii="Times New Roman" w:hAnsi="Times New Roman" w:cs="Times New Roman"/>
          <w:bCs/>
          <w:sz w:val="24"/>
          <w:szCs w:val="24"/>
        </w:rPr>
        <w:t>:</w:t>
      </w:r>
    </w:p>
    <w:p w14:paraId="09ED07DB" w14:textId="1AA37256" w:rsidR="00F111A0" w:rsidRPr="000431F7" w:rsidRDefault="000431F7" w:rsidP="004742CC">
      <w:pPr>
        <w:spacing w:before="120" w:after="0" w:line="360" w:lineRule="auto"/>
        <w:ind w:left="426" w:hanging="426"/>
        <w:jc w:val="both"/>
        <w:rPr>
          <w:rFonts w:ascii="Times New Roman" w:hAnsi="Times New Roman" w:cs="Times New Roman"/>
          <w:sz w:val="24"/>
          <w:szCs w:val="24"/>
        </w:rPr>
      </w:pPr>
      <w:r>
        <w:rPr>
          <w:rFonts w:ascii="Times New Roman" w:hAnsi="Times New Roman" w:cs="Times New Roman"/>
          <w:bCs/>
          <w:sz w:val="24"/>
          <w:szCs w:val="24"/>
        </w:rPr>
        <w:t>–</w:t>
      </w:r>
      <w:r>
        <w:rPr>
          <w:rFonts w:ascii="Times New Roman" w:hAnsi="Times New Roman" w:cs="Times New Roman"/>
          <w:bCs/>
          <w:sz w:val="24"/>
          <w:szCs w:val="24"/>
        </w:rPr>
        <w:tab/>
      </w:r>
      <w:r w:rsidR="00046AAE" w:rsidRPr="000431F7">
        <w:rPr>
          <w:rFonts w:ascii="Times New Roman" w:hAnsi="Times New Roman" w:cs="Times New Roman"/>
          <w:bCs/>
          <w:sz w:val="24"/>
          <w:szCs w:val="24"/>
        </w:rPr>
        <w:t xml:space="preserve">wdrożenie do polskiego systemu prawnego oraz zapewnienie stosowania rozporządzenia </w:t>
      </w:r>
      <w:r w:rsidR="00046AAE" w:rsidRPr="000431F7">
        <w:rPr>
          <w:rFonts w:ascii="Times New Roman" w:hAnsi="Times New Roman" w:cs="Times New Roman"/>
          <w:sz w:val="24"/>
          <w:szCs w:val="24"/>
        </w:rPr>
        <w:t>Parlamentu Europejskiego i Rady (UE) 2022/2554 z</w:t>
      </w:r>
      <w:r w:rsidR="002562D9" w:rsidRPr="000431F7">
        <w:rPr>
          <w:rFonts w:ascii="Times New Roman" w:hAnsi="Times New Roman" w:cs="Times New Roman"/>
          <w:sz w:val="24"/>
          <w:szCs w:val="24"/>
        </w:rPr>
        <w:t> </w:t>
      </w:r>
      <w:r w:rsidR="00046AAE" w:rsidRPr="000431F7">
        <w:rPr>
          <w:rFonts w:ascii="Times New Roman" w:hAnsi="Times New Roman" w:cs="Times New Roman"/>
          <w:sz w:val="24"/>
          <w:szCs w:val="24"/>
        </w:rPr>
        <w:t>dnia 14 grudnia 2022 r. w sprawie operacyjnej odporności cyfrowej sektora finansowego i</w:t>
      </w:r>
      <w:r w:rsidR="002562D9" w:rsidRPr="000431F7">
        <w:rPr>
          <w:rFonts w:ascii="Times New Roman" w:hAnsi="Times New Roman" w:cs="Times New Roman"/>
          <w:sz w:val="24"/>
          <w:szCs w:val="24"/>
        </w:rPr>
        <w:t> </w:t>
      </w:r>
      <w:r w:rsidR="00046AAE" w:rsidRPr="000431F7">
        <w:rPr>
          <w:rFonts w:ascii="Times New Roman" w:hAnsi="Times New Roman" w:cs="Times New Roman"/>
          <w:sz w:val="24"/>
          <w:szCs w:val="24"/>
        </w:rPr>
        <w:t>zmieniającego rozporządzenia (WE) nr 1060/2009, (UE) nr 648/2012, (UE) nr 600/2014, (UE) nr 909/2014 oraz (UE) 2016/1011</w:t>
      </w:r>
      <w:r w:rsidR="00050970" w:rsidRPr="000431F7">
        <w:rPr>
          <w:rFonts w:ascii="Times New Roman" w:hAnsi="Times New Roman" w:cs="Times New Roman"/>
          <w:sz w:val="24"/>
          <w:szCs w:val="24"/>
        </w:rPr>
        <w:t xml:space="preserve">, </w:t>
      </w:r>
      <w:r w:rsidR="00046AAE" w:rsidRPr="000431F7">
        <w:rPr>
          <w:rFonts w:ascii="Times New Roman" w:hAnsi="Times New Roman" w:cs="Times New Roman"/>
          <w:sz w:val="24"/>
          <w:szCs w:val="24"/>
        </w:rPr>
        <w:t>zwanego dalej „rozporządzeniem 2022/2554”,</w:t>
      </w:r>
    </w:p>
    <w:p w14:paraId="59B528F2" w14:textId="6398201E" w:rsidR="00F111A0" w:rsidRPr="000431F7" w:rsidRDefault="000431F7" w:rsidP="004742CC">
      <w:pPr>
        <w:spacing w:before="120"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046AAE" w:rsidRPr="000431F7">
        <w:rPr>
          <w:rFonts w:ascii="Times New Roman" w:hAnsi="Times New Roman" w:cs="Times New Roman"/>
          <w:sz w:val="24"/>
          <w:szCs w:val="24"/>
        </w:rPr>
        <w:t>wdrożenie dyrektywy Parlamentu Europejskiego i Rady 2022/2556 z dnia 14 grudnia 2022</w:t>
      </w:r>
      <w:r w:rsidR="00F82895">
        <w:rPr>
          <w:rFonts w:ascii="Times New Roman" w:hAnsi="Times New Roman" w:cs="Times New Roman"/>
          <w:sz w:val="24"/>
          <w:szCs w:val="24"/>
        </w:rPr>
        <w:t> </w:t>
      </w:r>
      <w:r w:rsidR="00046AAE" w:rsidRPr="000431F7">
        <w:rPr>
          <w:rFonts w:ascii="Times New Roman" w:hAnsi="Times New Roman" w:cs="Times New Roman"/>
          <w:sz w:val="24"/>
          <w:szCs w:val="24"/>
        </w:rPr>
        <w:t>r. w sprawie zmiany dyrektyw 2009/65/WE, 2009/138/WE, 2011/61/UE, 2013/36/UE, 2014/59/UE, 2014/65/UE, (UE) 2015/2366 oraz (UE) 2016/2341 w odniesieniu do operacyjnej odporności cyfrowej sektora finansowego</w:t>
      </w:r>
      <w:r w:rsidR="00050970" w:rsidRPr="000431F7">
        <w:rPr>
          <w:rFonts w:ascii="Times New Roman" w:hAnsi="Times New Roman" w:cs="Times New Roman"/>
          <w:sz w:val="24"/>
          <w:szCs w:val="24"/>
        </w:rPr>
        <w:t xml:space="preserve">, </w:t>
      </w:r>
      <w:r w:rsidR="00046AAE" w:rsidRPr="000431F7">
        <w:rPr>
          <w:rFonts w:ascii="Times New Roman" w:hAnsi="Times New Roman" w:cs="Times New Roman"/>
          <w:sz w:val="24"/>
          <w:szCs w:val="24"/>
        </w:rPr>
        <w:t>zwanej dalej „dyrektywą 2022/2556”</w:t>
      </w:r>
      <w:r w:rsidR="00F111A0" w:rsidRPr="000431F7">
        <w:rPr>
          <w:rFonts w:ascii="Times New Roman" w:hAnsi="Times New Roman" w:cs="Times New Roman"/>
          <w:sz w:val="24"/>
          <w:szCs w:val="24"/>
        </w:rPr>
        <w:t xml:space="preserve">, </w:t>
      </w:r>
    </w:p>
    <w:p w14:paraId="34F639F0" w14:textId="5E1505A0" w:rsidR="00046AAE" w:rsidRPr="000431F7" w:rsidRDefault="000431F7" w:rsidP="004742CC">
      <w:pPr>
        <w:spacing w:before="120"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F111A0" w:rsidRPr="000431F7">
        <w:rPr>
          <w:rFonts w:ascii="Times New Roman" w:hAnsi="Times New Roman" w:cs="Times New Roman"/>
          <w:bCs/>
          <w:sz w:val="24"/>
          <w:szCs w:val="24"/>
        </w:rPr>
        <w:t xml:space="preserve">wdrożenie do polskiego systemu prawnego oraz zapewnienie </w:t>
      </w:r>
      <w:r w:rsidR="00F111A0" w:rsidRPr="000431F7">
        <w:rPr>
          <w:rFonts w:ascii="Times New Roman" w:hAnsi="Times New Roman" w:cs="Times New Roman"/>
          <w:sz w:val="24"/>
          <w:szCs w:val="24"/>
        </w:rPr>
        <w:t xml:space="preserve">stosowania rozporządzenia Parlamentu Europejskiego i Rady (UE) 2023/2631 z dnia 22 listopada 2023 r. w sprawie europejskich zielonych obligacji oraz opcjonalnego ujawniania informacji na temat obligacji wprowadzanych do obrotu jako zrównoważone środowiskowo i obligacji powiązanych ze zrównoważonym rozwojem (Dz. Urz. UE L 2023/2631 z 30.11.2023 oraz Dz. Urz. UE L 2023/2869 z 20.12.2023), </w:t>
      </w:r>
      <w:r w:rsidR="00050970" w:rsidRPr="000431F7">
        <w:rPr>
          <w:rFonts w:ascii="Times New Roman" w:hAnsi="Times New Roman" w:cs="Times New Roman"/>
          <w:sz w:val="24"/>
          <w:szCs w:val="24"/>
        </w:rPr>
        <w:t xml:space="preserve">zwanego </w:t>
      </w:r>
      <w:r w:rsidR="00F111A0" w:rsidRPr="000431F7">
        <w:rPr>
          <w:rFonts w:ascii="Times New Roman" w:hAnsi="Times New Roman" w:cs="Times New Roman"/>
          <w:sz w:val="24"/>
          <w:szCs w:val="24"/>
        </w:rPr>
        <w:t>dalej „rozporządzenie</w:t>
      </w:r>
      <w:r w:rsidR="00050970" w:rsidRPr="000431F7">
        <w:rPr>
          <w:rFonts w:ascii="Times New Roman" w:hAnsi="Times New Roman" w:cs="Times New Roman"/>
          <w:sz w:val="24"/>
          <w:szCs w:val="24"/>
        </w:rPr>
        <w:t>m</w:t>
      </w:r>
      <w:r w:rsidR="00F111A0" w:rsidRPr="000431F7">
        <w:rPr>
          <w:rFonts w:ascii="Times New Roman" w:hAnsi="Times New Roman" w:cs="Times New Roman"/>
          <w:sz w:val="24"/>
          <w:szCs w:val="24"/>
        </w:rPr>
        <w:t xml:space="preserve"> 2023/2631”</w:t>
      </w:r>
      <w:r w:rsidR="00046AAE" w:rsidRPr="000431F7">
        <w:rPr>
          <w:rFonts w:ascii="Times New Roman" w:hAnsi="Times New Roman" w:cs="Times New Roman"/>
          <w:sz w:val="24"/>
          <w:szCs w:val="24"/>
        </w:rPr>
        <w:t>.</w:t>
      </w:r>
    </w:p>
    <w:p w14:paraId="6519735E" w14:textId="6785A616" w:rsidR="00046AAE" w:rsidRPr="000431F7" w:rsidRDefault="00046AAE" w:rsidP="004742CC">
      <w:pPr>
        <w:spacing w:before="120" w:after="0" w:line="360" w:lineRule="auto"/>
        <w:jc w:val="both"/>
        <w:rPr>
          <w:rFonts w:ascii="Times New Roman" w:hAnsi="Times New Roman" w:cs="Times New Roman"/>
          <w:color w:val="000000"/>
          <w:sz w:val="24"/>
          <w:szCs w:val="24"/>
          <w:shd w:val="clear" w:color="auto" w:fill="FFFFFF"/>
        </w:rPr>
      </w:pPr>
      <w:r w:rsidRPr="000431F7">
        <w:rPr>
          <w:rFonts w:ascii="Times New Roman" w:hAnsi="Times New Roman" w:cs="Times New Roman"/>
          <w:color w:val="000000"/>
          <w:sz w:val="24"/>
          <w:szCs w:val="24"/>
        </w:rPr>
        <w:t xml:space="preserve">Przyjęcie rozporządzenia </w:t>
      </w:r>
      <w:bookmarkStart w:id="1" w:name="_Hlk151544329"/>
      <w:r w:rsidRPr="000431F7">
        <w:rPr>
          <w:rFonts w:ascii="Times New Roman" w:hAnsi="Times New Roman" w:cs="Times New Roman"/>
          <w:sz w:val="24"/>
          <w:szCs w:val="24"/>
        </w:rPr>
        <w:t>2022/2554</w:t>
      </w:r>
      <w:bookmarkEnd w:id="1"/>
      <w:r w:rsidRPr="000431F7">
        <w:rPr>
          <w:rFonts w:ascii="Times New Roman" w:hAnsi="Times New Roman" w:cs="Times New Roman"/>
          <w:sz w:val="24"/>
          <w:szCs w:val="24"/>
        </w:rPr>
        <w:t xml:space="preserve"> jest konsekwencją postanowień zawartych w </w:t>
      </w:r>
      <w:r w:rsidR="001D579C" w:rsidRPr="000431F7">
        <w:rPr>
          <w:rFonts w:ascii="Times New Roman" w:hAnsi="Times New Roman" w:cs="Times New Roman"/>
          <w:sz w:val="24"/>
          <w:szCs w:val="24"/>
        </w:rPr>
        <w:t>k</w:t>
      </w:r>
      <w:r w:rsidRPr="000431F7">
        <w:rPr>
          <w:rFonts w:ascii="Times New Roman" w:hAnsi="Times New Roman" w:cs="Times New Roman"/>
          <w:sz w:val="24"/>
          <w:szCs w:val="24"/>
        </w:rPr>
        <w:t xml:space="preserve">omunikacie Komisji Europejskiej </w:t>
      </w:r>
      <w:r w:rsidRPr="000431F7">
        <w:rPr>
          <w:rFonts w:ascii="Times New Roman" w:hAnsi="Times New Roman" w:cs="Times New Roman"/>
          <w:color w:val="000000"/>
          <w:sz w:val="24"/>
          <w:szCs w:val="24"/>
          <w:shd w:val="clear" w:color="auto" w:fill="FFFFFF"/>
        </w:rPr>
        <w:t>z dnia 8 marca 2018 r. pt. „Plan działania w zakresie technologii finansowej: w kierunku bardziej konkurencyjnego i innowacyjnego europejskiego sektora finansowego” oraz służy realizacji wspólnych zaleceń technicznych Europejskiego Urzędu Nadzoru Bankowego, Europejskiego Urzędu Nadzoru Ubezpieczeń </w:t>
      </w:r>
      <w:r w:rsidRPr="000431F7">
        <w:rPr>
          <w:rStyle w:val="oj-italic"/>
          <w:rFonts w:ascii="Times New Roman" w:hAnsi="Times New Roman" w:cs="Times New Roman"/>
          <w:sz w:val="24"/>
          <w:szCs w:val="24"/>
        </w:rPr>
        <w:t>i</w:t>
      </w:r>
      <w:r w:rsidRPr="000431F7">
        <w:rPr>
          <w:rFonts w:ascii="Times New Roman" w:hAnsi="Times New Roman" w:cs="Times New Roman"/>
          <w:color w:val="000000"/>
          <w:sz w:val="24"/>
          <w:szCs w:val="24"/>
          <w:shd w:val="clear" w:color="auto" w:fill="FFFFFF"/>
        </w:rPr>
        <w:t> Pracowniczych Programów Emerytalnych oraz Europejskiego Urzędu Nadzoru Giełd i Papierów Wartościowych, opublikowanych w kwietniu 2019 r., w których ww. instytucje wezwały do przyjęcia spójnego podejścia do ryzyka związanego</w:t>
      </w:r>
      <w:r w:rsidR="004D6A42" w:rsidRPr="000431F7">
        <w:rPr>
          <w:rFonts w:ascii="Times New Roman" w:hAnsi="Times New Roman" w:cs="Times New Roman"/>
          <w:color w:val="000000"/>
          <w:sz w:val="24"/>
          <w:szCs w:val="24"/>
          <w:shd w:val="clear" w:color="auto" w:fill="FFFFFF"/>
        </w:rPr>
        <w:t xml:space="preserve"> </w:t>
      </w:r>
      <w:r w:rsidRPr="000431F7">
        <w:rPr>
          <w:rFonts w:ascii="Times New Roman" w:hAnsi="Times New Roman" w:cs="Times New Roman"/>
          <w:color w:val="000000"/>
          <w:sz w:val="24"/>
          <w:szCs w:val="24"/>
          <w:shd w:val="clear" w:color="auto" w:fill="FFFFFF"/>
        </w:rPr>
        <w:t>z ICT (technologie informacyjno</w:t>
      </w:r>
      <w:bookmarkStart w:id="2" w:name="_Hlk196810768"/>
      <w:r w:rsidR="00F82895">
        <w:noBreakHyphen/>
      </w:r>
      <w:bookmarkEnd w:id="2"/>
      <w:r w:rsidRPr="000431F7">
        <w:rPr>
          <w:rFonts w:ascii="Times New Roman" w:hAnsi="Times New Roman" w:cs="Times New Roman"/>
          <w:color w:val="000000"/>
          <w:sz w:val="24"/>
          <w:szCs w:val="24"/>
          <w:shd w:val="clear" w:color="auto" w:fill="FFFFFF"/>
        </w:rPr>
        <w:t xml:space="preserve">komunikacyjne) w sektorze finansów oraz zaleciły wzmocnienie, w sposób proporcjonalny, operacyjnej odporności cyfrowej sektora usług finansowych za pomocą unijnej inicjatywy sektorowej. </w:t>
      </w:r>
    </w:p>
    <w:p w14:paraId="6715AAD6" w14:textId="0D418777" w:rsidR="002C7618" w:rsidRPr="000431F7" w:rsidRDefault="002C7618" w:rsidP="004742CC">
      <w:pPr>
        <w:spacing w:before="120" w:after="0" w:line="360" w:lineRule="auto"/>
        <w:jc w:val="both"/>
        <w:rPr>
          <w:rFonts w:ascii="Times New Roman" w:hAnsi="Times New Roman" w:cs="Times New Roman"/>
          <w:color w:val="000000"/>
          <w:sz w:val="24"/>
          <w:szCs w:val="24"/>
          <w:shd w:val="clear" w:color="auto" w:fill="FFFFFF"/>
        </w:rPr>
      </w:pPr>
      <w:r w:rsidRPr="000431F7">
        <w:rPr>
          <w:rFonts w:ascii="Times New Roman" w:hAnsi="Times New Roman" w:cs="Times New Roman"/>
          <w:color w:val="000000"/>
          <w:sz w:val="24"/>
          <w:szCs w:val="24"/>
          <w:shd w:val="clear" w:color="auto" w:fill="FFFFFF"/>
        </w:rPr>
        <w:lastRenderedPageBreak/>
        <w:t xml:space="preserve">Dynamiczny rozwój </w:t>
      </w:r>
      <w:r w:rsidR="006B71F4" w:rsidRPr="000431F7">
        <w:rPr>
          <w:rFonts w:ascii="Times New Roman" w:hAnsi="Times New Roman" w:cs="Times New Roman"/>
          <w:color w:val="000000"/>
          <w:sz w:val="24"/>
          <w:szCs w:val="24"/>
          <w:shd w:val="clear" w:color="auto" w:fill="FFFFFF"/>
        </w:rPr>
        <w:t>gospodarki</w:t>
      </w:r>
      <w:r w:rsidRPr="000431F7">
        <w:rPr>
          <w:rFonts w:ascii="Times New Roman" w:hAnsi="Times New Roman" w:cs="Times New Roman"/>
          <w:color w:val="000000"/>
          <w:sz w:val="24"/>
          <w:szCs w:val="24"/>
          <w:shd w:val="clear" w:color="auto" w:fill="FFFFFF"/>
        </w:rPr>
        <w:t xml:space="preserve"> cyfrowej zwiększa wykorzystanie ICT</w:t>
      </w:r>
      <w:r w:rsidR="004D6A42" w:rsidRPr="000431F7">
        <w:rPr>
          <w:rFonts w:ascii="Times New Roman" w:hAnsi="Times New Roman" w:cs="Times New Roman"/>
          <w:color w:val="000000"/>
          <w:sz w:val="24"/>
          <w:szCs w:val="24"/>
          <w:shd w:val="clear" w:color="auto" w:fill="FFFFFF"/>
        </w:rPr>
        <w:t xml:space="preserve"> t</w:t>
      </w:r>
      <w:r w:rsidRPr="000431F7">
        <w:rPr>
          <w:rFonts w:ascii="Times New Roman" w:hAnsi="Times New Roman" w:cs="Times New Roman"/>
          <w:color w:val="000000"/>
          <w:sz w:val="24"/>
          <w:szCs w:val="24"/>
          <w:shd w:val="clear" w:color="auto" w:fill="FFFFFF"/>
        </w:rPr>
        <w:t>akże w sektorze usług finansowych, co powoduje jednak zwiększenie ryzyka związanego z</w:t>
      </w:r>
      <w:r w:rsidR="006B71F4" w:rsidRPr="000431F7">
        <w:rPr>
          <w:rFonts w:ascii="Times New Roman" w:hAnsi="Times New Roman" w:cs="Times New Roman"/>
          <w:color w:val="000000"/>
          <w:sz w:val="24"/>
          <w:szCs w:val="24"/>
          <w:shd w:val="clear" w:color="auto" w:fill="FFFFFF"/>
        </w:rPr>
        <w:t xml:space="preserve"> </w:t>
      </w:r>
      <w:proofErr w:type="spellStart"/>
      <w:r w:rsidRPr="000431F7">
        <w:rPr>
          <w:rFonts w:ascii="Times New Roman" w:hAnsi="Times New Roman" w:cs="Times New Roman"/>
          <w:color w:val="000000"/>
          <w:sz w:val="24"/>
          <w:szCs w:val="24"/>
          <w:shd w:val="clear" w:color="auto" w:fill="FFFFFF"/>
        </w:rPr>
        <w:t>cyberzagrożeniami</w:t>
      </w:r>
      <w:proofErr w:type="spellEnd"/>
      <w:r w:rsidRPr="000431F7">
        <w:rPr>
          <w:rFonts w:ascii="Times New Roman" w:hAnsi="Times New Roman" w:cs="Times New Roman"/>
          <w:color w:val="000000"/>
          <w:sz w:val="24"/>
          <w:szCs w:val="24"/>
          <w:shd w:val="clear" w:color="auto" w:fill="FFFFFF"/>
        </w:rPr>
        <w:t xml:space="preserve">. Obecnie </w:t>
      </w:r>
      <w:r w:rsidR="00E576B4" w:rsidRPr="000431F7">
        <w:rPr>
          <w:rFonts w:ascii="Times New Roman" w:hAnsi="Times New Roman" w:cs="Times New Roman"/>
          <w:color w:val="000000"/>
          <w:sz w:val="24"/>
          <w:szCs w:val="24"/>
          <w:shd w:val="clear" w:color="auto" w:fill="FFFFFF"/>
        </w:rPr>
        <w:t>cyfryzacja</w:t>
      </w:r>
      <w:r w:rsidRPr="000431F7">
        <w:rPr>
          <w:rFonts w:ascii="Times New Roman" w:hAnsi="Times New Roman" w:cs="Times New Roman"/>
          <w:color w:val="000000"/>
          <w:sz w:val="24"/>
          <w:szCs w:val="24"/>
          <w:shd w:val="clear" w:color="auto" w:fill="FFFFFF"/>
        </w:rPr>
        <w:t xml:space="preserve"> ma krytyczne znaczenie dla wykonywania typowych funkcji wszystkich podmiotów finansowych</w:t>
      </w:r>
      <w:r w:rsidR="00E576B4" w:rsidRPr="000431F7">
        <w:rPr>
          <w:rFonts w:ascii="Times New Roman" w:hAnsi="Times New Roman" w:cs="Times New Roman"/>
          <w:color w:val="000000"/>
          <w:sz w:val="24"/>
          <w:szCs w:val="24"/>
          <w:shd w:val="clear" w:color="auto" w:fill="FFFFFF"/>
        </w:rPr>
        <w:t xml:space="preserve"> i obejmuje m.in.</w:t>
      </w:r>
      <w:r w:rsidR="00983BA7" w:rsidRPr="000431F7">
        <w:rPr>
          <w:rFonts w:ascii="Times New Roman" w:hAnsi="Times New Roman" w:cs="Times New Roman"/>
          <w:color w:val="000000"/>
          <w:sz w:val="24"/>
          <w:szCs w:val="24"/>
          <w:shd w:val="clear" w:color="auto" w:fill="FFFFFF"/>
        </w:rPr>
        <w:t xml:space="preserve"> płatności, w przypadku </w:t>
      </w:r>
      <w:r w:rsidR="006B71F4" w:rsidRPr="000431F7">
        <w:rPr>
          <w:rFonts w:ascii="Times New Roman" w:hAnsi="Times New Roman" w:cs="Times New Roman"/>
          <w:color w:val="000000"/>
          <w:sz w:val="24"/>
          <w:szCs w:val="24"/>
          <w:shd w:val="clear" w:color="auto" w:fill="FFFFFF"/>
        </w:rPr>
        <w:t>których</w:t>
      </w:r>
      <w:r w:rsidR="00983BA7" w:rsidRPr="000431F7">
        <w:rPr>
          <w:rFonts w:ascii="Times New Roman" w:hAnsi="Times New Roman" w:cs="Times New Roman"/>
          <w:color w:val="000000"/>
          <w:sz w:val="24"/>
          <w:szCs w:val="24"/>
          <w:shd w:val="clear" w:color="auto" w:fill="FFFFFF"/>
        </w:rPr>
        <w:t xml:space="preserve"> coraz bardziej odchodzi się od płatności gotówkowych, a także rozliczanie i rozrachunek papierów wartościowych, operacje udzielania pożyczek i finansowania etc. </w:t>
      </w:r>
    </w:p>
    <w:p w14:paraId="1C6BCC6B" w14:textId="305D5962" w:rsidR="00046AAE" w:rsidRPr="000431F7" w:rsidRDefault="00046AAE" w:rsidP="004742CC">
      <w:pPr>
        <w:spacing w:before="120" w:after="0" w:line="360" w:lineRule="auto"/>
        <w:jc w:val="both"/>
        <w:rPr>
          <w:rFonts w:ascii="Times New Roman" w:hAnsi="Times New Roman" w:cs="Times New Roman"/>
          <w:color w:val="000000"/>
          <w:sz w:val="24"/>
          <w:szCs w:val="24"/>
          <w:shd w:val="clear" w:color="auto" w:fill="FFFFFF"/>
        </w:rPr>
      </w:pPr>
      <w:r w:rsidRPr="000431F7">
        <w:rPr>
          <w:rFonts w:ascii="Times New Roman" w:hAnsi="Times New Roman" w:cs="Times New Roman"/>
          <w:color w:val="000000"/>
          <w:sz w:val="24"/>
          <w:szCs w:val="24"/>
        </w:rPr>
        <w:t>W zw</w:t>
      </w:r>
      <w:r w:rsidR="00B21EB2" w:rsidRPr="000431F7">
        <w:rPr>
          <w:rFonts w:ascii="Times New Roman" w:hAnsi="Times New Roman" w:cs="Times New Roman"/>
          <w:color w:val="000000"/>
          <w:sz w:val="24"/>
          <w:szCs w:val="24"/>
        </w:rPr>
        <w:t>iązku</w:t>
      </w:r>
      <w:r w:rsidRPr="000431F7">
        <w:rPr>
          <w:rFonts w:ascii="Times New Roman" w:hAnsi="Times New Roman" w:cs="Times New Roman"/>
          <w:color w:val="000000"/>
          <w:sz w:val="24"/>
          <w:szCs w:val="24"/>
        </w:rPr>
        <w:t xml:space="preserve"> z powyższy</w:t>
      </w:r>
      <w:r w:rsidR="00AD1999" w:rsidRPr="000431F7">
        <w:rPr>
          <w:rFonts w:ascii="Times New Roman" w:hAnsi="Times New Roman" w:cs="Times New Roman"/>
          <w:color w:val="000000"/>
          <w:sz w:val="24"/>
          <w:szCs w:val="24"/>
        </w:rPr>
        <w:t xml:space="preserve">m </w:t>
      </w:r>
      <w:r w:rsidRPr="000431F7">
        <w:rPr>
          <w:rFonts w:ascii="Times New Roman" w:hAnsi="Times New Roman" w:cs="Times New Roman"/>
          <w:color w:val="000000"/>
          <w:sz w:val="24"/>
          <w:szCs w:val="24"/>
        </w:rPr>
        <w:t xml:space="preserve">rozporządzenie </w:t>
      </w:r>
      <w:r w:rsidRPr="000431F7">
        <w:rPr>
          <w:rFonts w:ascii="Times New Roman" w:hAnsi="Times New Roman" w:cs="Times New Roman"/>
          <w:sz w:val="24"/>
          <w:szCs w:val="24"/>
        </w:rPr>
        <w:t xml:space="preserve">2022/2554 </w:t>
      </w:r>
      <w:r w:rsidR="002C7618" w:rsidRPr="000431F7">
        <w:rPr>
          <w:rFonts w:ascii="Times New Roman" w:hAnsi="Times New Roman" w:cs="Times New Roman"/>
          <w:sz w:val="24"/>
          <w:szCs w:val="24"/>
        </w:rPr>
        <w:t xml:space="preserve">dokonuje </w:t>
      </w:r>
      <w:r w:rsidRPr="000431F7">
        <w:rPr>
          <w:rFonts w:ascii="Times New Roman" w:hAnsi="Times New Roman" w:cs="Times New Roman"/>
          <w:sz w:val="24"/>
          <w:szCs w:val="24"/>
        </w:rPr>
        <w:t>harmonizacj</w:t>
      </w:r>
      <w:r w:rsidR="002C7618" w:rsidRPr="000431F7">
        <w:rPr>
          <w:rFonts w:ascii="Times New Roman" w:hAnsi="Times New Roman" w:cs="Times New Roman"/>
          <w:sz w:val="24"/>
          <w:szCs w:val="24"/>
        </w:rPr>
        <w:t xml:space="preserve">i </w:t>
      </w:r>
      <w:r w:rsidRPr="000431F7">
        <w:rPr>
          <w:rFonts w:ascii="Times New Roman" w:hAnsi="Times New Roman" w:cs="Times New Roman"/>
          <w:color w:val="000000"/>
          <w:sz w:val="24"/>
          <w:szCs w:val="24"/>
          <w:shd w:val="clear" w:color="auto" w:fill="FFFFFF"/>
        </w:rPr>
        <w:t>przepisów</w:t>
      </w:r>
      <w:r w:rsidR="00E576B4" w:rsidRPr="000431F7">
        <w:rPr>
          <w:rFonts w:ascii="Times New Roman" w:hAnsi="Times New Roman" w:cs="Times New Roman"/>
          <w:color w:val="000000"/>
          <w:sz w:val="24"/>
          <w:szCs w:val="24"/>
          <w:shd w:val="clear" w:color="auto" w:fill="FFFFFF"/>
        </w:rPr>
        <w:t xml:space="preserve"> dotyczących</w:t>
      </w:r>
      <w:r w:rsidRPr="000431F7">
        <w:rPr>
          <w:rFonts w:ascii="Times New Roman" w:hAnsi="Times New Roman" w:cs="Times New Roman"/>
          <w:color w:val="000000"/>
          <w:sz w:val="24"/>
          <w:szCs w:val="24"/>
          <w:shd w:val="clear" w:color="auto" w:fill="FFFFFF"/>
        </w:rPr>
        <w:t xml:space="preserve"> operacyjnej odporności cyfrowej i bezpieczeństwa ICT w obszarze usług finansowych. Z uwagi na dynamiczny rozwój gospodarki cyfrowej, przepisy te mają kluczowe znaczenie dla zapewnienia stabilności </w:t>
      </w:r>
      <w:r w:rsidR="002A1A78" w:rsidRPr="000431F7">
        <w:rPr>
          <w:rFonts w:ascii="Times New Roman" w:hAnsi="Times New Roman" w:cs="Times New Roman"/>
          <w:color w:val="000000"/>
          <w:sz w:val="24"/>
          <w:szCs w:val="24"/>
          <w:shd w:val="clear" w:color="auto" w:fill="FFFFFF"/>
        </w:rPr>
        <w:t>finansowej i</w:t>
      </w:r>
      <w:r w:rsidRPr="000431F7">
        <w:rPr>
          <w:rFonts w:ascii="Times New Roman" w:hAnsi="Times New Roman" w:cs="Times New Roman"/>
          <w:color w:val="000000"/>
          <w:sz w:val="24"/>
          <w:szCs w:val="24"/>
          <w:shd w:val="clear" w:color="auto" w:fill="FFFFFF"/>
        </w:rPr>
        <w:t xml:space="preserve"> integralności rynku finansowego. </w:t>
      </w:r>
      <w:r w:rsidR="00AD1999" w:rsidRPr="000431F7">
        <w:rPr>
          <w:rFonts w:ascii="Times New Roman" w:hAnsi="Times New Roman" w:cs="Times New Roman"/>
          <w:color w:val="000000"/>
          <w:sz w:val="24"/>
          <w:szCs w:val="24"/>
          <w:shd w:val="clear" w:color="auto" w:fill="FFFFFF"/>
        </w:rPr>
        <w:t xml:space="preserve">Harmonizacja w tym zakresie ma </w:t>
      </w:r>
      <w:r w:rsidR="006B71F4" w:rsidRPr="000431F7">
        <w:rPr>
          <w:rFonts w:ascii="Times New Roman" w:hAnsi="Times New Roman" w:cs="Times New Roman"/>
          <w:color w:val="000000"/>
          <w:sz w:val="24"/>
          <w:szCs w:val="24"/>
          <w:shd w:val="clear" w:color="auto" w:fill="FFFFFF"/>
        </w:rPr>
        <w:t>istotne</w:t>
      </w:r>
      <w:r w:rsidR="00AD1999" w:rsidRPr="000431F7">
        <w:rPr>
          <w:rFonts w:ascii="Times New Roman" w:hAnsi="Times New Roman" w:cs="Times New Roman"/>
          <w:color w:val="000000"/>
          <w:sz w:val="24"/>
          <w:szCs w:val="24"/>
          <w:shd w:val="clear" w:color="auto" w:fill="FFFFFF"/>
        </w:rPr>
        <w:t xml:space="preserve"> znaczenie dla obniżenia poziomu ryzyka systemowego</w:t>
      </w:r>
      <w:r w:rsidR="000A2814" w:rsidRPr="000431F7">
        <w:rPr>
          <w:rFonts w:ascii="Times New Roman" w:hAnsi="Times New Roman" w:cs="Times New Roman"/>
          <w:color w:val="000000"/>
          <w:sz w:val="24"/>
          <w:szCs w:val="24"/>
          <w:shd w:val="clear" w:color="auto" w:fill="FFFFFF"/>
        </w:rPr>
        <w:t xml:space="preserve">, które w zakresie rynku </w:t>
      </w:r>
      <w:r w:rsidR="00E576B4" w:rsidRPr="000431F7">
        <w:rPr>
          <w:rFonts w:ascii="Times New Roman" w:hAnsi="Times New Roman" w:cs="Times New Roman"/>
          <w:color w:val="000000"/>
          <w:sz w:val="24"/>
          <w:szCs w:val="24"/>
          <w:shd w:val="clear" w:color="auto" w:fill="FFFFFF"/>
        </w:rPr>
        <w:t xml:space="preserve">finansowego </w:t>
      </w:r>
      <w:r w:rsidR="000A2814" w:rsidRPr="000431F7">
        <w:rPr>
          <w:rFonts w:ascii="Times New Roman" w:hAnsi="Times New Roman" w:cs="Times New Roman"/>
          <w:color w:val="000000"/>
          <w:sz w:val="24"/>
          <w:szCs w:val="24"/>
          <w:shd w:val="clear" w:color="auto" w:fill="FFFFFF"/>
        </w:rPr>
        <w:t>ma wysoki poziom</w:t>
      </w:r>
      <w:r w:rsidR="00E576B4" w:rsidRPr="000431F7">
        <w:rPr>
          <w:rFonts w:ascii="Times New Roman" w:hAnsi="Times New Roman" w:cs="Times New Roman"/>
          <w:color w:val="000000"/>
          <w:sz w:val="24"/>
          <w:szCs w:val="24"/>
          <w:shd w:val="clear" w:color="auto" w:fill="FFFFFF"/>
        </w:rPr>
        <w:t>,</w:t>
      </w:r>
      <w:r w:rsidR="000A2814" w:rsidRPr="000431F7">
        <w:rPr>
          <w:rFonts w:ascii="Times New Roman" w:hAnsi="Times New Roman" w:cs="Times New Roman"/>
          <w:color w:val="000000"/>
          <w:sz w:val="24"/>
          <w:szCs w:val="24"/>
          <w:shd w:val="clear" w:color="auto" w:fill="FFFFFF"/>
        </w:rPr>
        <w:t xml:space="preserve"> z uwagi na wysoki poziom wzajemnych powiązań między podmiotami </w:t>
      </w:r>
      <w:r w:rsidR="006B71F4" w:rsidRPr="000431F7">
        <w:rPr>
          <w:rFonts w:ascii="Times New Roman" w:hAnsi="Times New Roman" w:cs="Times New Roman"/>
          <w:color w:val="000000"/>
          <w:sz w:val="24"/>
          <w:szCs w:val="24"/>
          <w:shd w:val="clear" w:color="auto" w:fill="FFFFFF"/>
        </w:rPr>
        <w:t>finansowymi</w:t>
      </w:r>
      <w:r w:rsidR="000A2814" w:rsidRPr="000431F7">
        <w:rPr>
          <w:rFonts w:ascii="Times New Roman" w:hAnsi="Times New Roman" w:cs="Times New Roman"/>
          <w:color w:val="000000"/>
          <w:sz w:val="24"/>
          <w:szCs w:val="24"/>
          <w:shd w:val="clear" w:color="auto" w:fill="FFFFFF"/>
        </w:rPr>
        <w:t xml:space="preserve">, rynkami finansowymi i infrastrukturami rynku finansowego, w szczególności </w:t>
      </w:r>
      <w:r w:rsidR="00E576B4" w:rsidRPr="000431F7">
        <w:rPr>
          <w:rFonts w:ascii="Times New Roman" w:hAnsi="Times New Roman" w:cs="Times New Roman"/>
          <w:color w:val="000000"/>
          <w:sz w:val="24"/>
          <w:szCs w:val="24"/>
          <w:shd w:val="clear" w:color="auto" w:fill="FFFFFF"/>
        </w:rPr>
        <w:t>współzależności</w:t>
      </w:r>
      <w:r w:rsidR="000A2814" w:rsidRPr="000431F7">
        <w:rPr>
          <w:rFonts w:ascii="Times New Roman" w:hAnsi="Times New Roman" w:cs="Times New Roman"/>
          <w:color w:val="000000"/>
          <w:sz w:val="24"/>
          <w:szCs w:val="24"/>
          <w:shd w:val="clear" w:color="auto" w:fill="FFFFFF"/>
        </w:rPr>
        <w:t xml:space="preserve"> między ich systemami ICT, która może powodować rozprzestrzenianie się </w:t>
      </w:r>
      <w:proofErr w:type="spellStart"/>
      <w:r w:rsidR="000A2814" w:rsidRPr="000431F7">
        <w:rPr>
          <w:rFonts w:ascii="Times New Roman" w:hAnsi="Times New Roman" w:cs="Times New Roman"/>
          <w:color w:val="000000"/>
          <w:sz w:val="24"/>
          <w:szCs w:val="24"/>
          <w:shd w:val="clear" w:color="auto" w:fill="FFFFFF"/>
        </w:rPr>
        <w:t>cyberincydentów</w:t>
      </w:r>
      <w:proofErr w:type="spellEnd"/>
      <w:r w:rsidR="000A2814" w:rsidRPr="000431F7">
        <w:rPr>
          <w:rFonts w:ascii="Times New Roman" w:hAnsi="Times New Roman" w:cs="Times New Roman"/>
          <w:color w:val="000000"/>
          <w:sz w:val="24"/>
          <w:szCs w:val="24"/>
          <w:shd w:val="clear" w:color="auto" w:fill="FFFFFF"/>
        </w:rPr>
        <w:t>.</w:t>
      </w:r>
    </w:p>
    <w:p w14:paraId="16F9D37D" w14:textId="0F9BFBE3" w:rsidR="004A75AD" w:rsidRPr="000431F7" w:rsidRDefault="006B71F4" w:rsidP="004742CC">
      <w:pPr>
        <w:pStyle w:val="oj-normal"/>
        <w:shd w:val="clear" w:color="auto" w:fill="FFFFFF"/>
        <w:spacing w:before="120" w:beforeAutospacing="0" w:after="0" w:afterAutospacing="0" w:line="360" w:lineRule="auto"/>
        <w:jc w:val="both"/>
      </w:pPr>
      <w:r w:rsidRPr="000431F7">
        <w:rPr>
          <w:color w:val="000000"/>
        </w:rPr>
        <w:t xml:space="preserve">Rozporządzenie </w:t>
      </w:r>
      <w:r w:rsidRPr="000431F7">
        <w:t xml:space="preserve">2022/2554 nakłada obowiązki na </w:t>
      </w:r>
      <w:r w:rsidRPr="000431F7">
        <w:rPr>
          <w:color w:val="000000"/>
        </w:rPr>
        <w:t>podmioty finansowe</w:t>
      </w:r>
      <w:r w:rsidR="008D6BE5" w:rsidRPr="000431F7">
        <w:rPr>
          <w:color w:val="000000"/>
        </w:rPr>
        <w:t>,</w:t>
      </w:r>
      <w:r w:rsidRPr="000431F7">
        <w:rPr>
          <w:color w:val="000000"/>
        </w:rPr>
        <w:t xml:space="preserve"> w</w:t>
      </w:r>
      <w:r w:rsidR="008D6BE5" w:rsidRPr="000431F7">
        <w:rPr>
          <w:color w:val="000000"/>
        </w:rPr>
        <w:t>ymienione</w:t>
      </w:r>
      <w:r w:rsidRPr="000431F7">
        <w:rPr>
          <w:color w:val="000000"/>
        </w:rPr>
        <w:t xml:space="preserve"> w art. 2 ust. 1 lit.</w:t>
      </w:r>
      <w:r w:rsidRPr="000431F7">
        <w:rPr>
          <w:color w:val="000000"/>
          <w:shd w:val="clear" w:color="auto" w:fill="FFFFFF"/>
        </w:rPr>
        <w:t> a–t</w:t>
      </w:r>
      <w:r w:rsidRPr="000431F7">
        <w:rPr>
          <w:color w:val="000000"/>
        </w:rPr>
        <w:t>.</w:t>
      </w:r>
      <w:r w:rsidR="004A75AD" w:rsidRPr="000431F7">
        <w:t xml:space="preserve"> </w:t>
      </w:r>
      <w:r w:rsidRPr="000431F7">
        <w:rPr>
          <w:color w:val="000000"/>
        </w:rPr>
        <w:t xml:space="preserve">Jednocześnie art. 2 ust. 3 </w:t>
      </w:r>
      <w:r w:rsidR="00FE4D41" w:rsidRPr="000431F7">
        <w:rPr>
          <w:color w:val="000000"/>
        </w:rPr>
        <w:t>rozporządzenia 2022/2554</w:t>
      </w:r>
      <w:r w:rsidR="004A75AD" w:rsidRPr="000431F7">
        <w:rPr>
          <w:color w:val="000000"/>
        </w:rPr>
        <w:t xml:space="preserve"> </w:t>
      </w:r>
      <w:r w:rsidRPr="000431F7">
        <w:rPr>
          <w:color w:val="000000"/>
        </w:rPr>
        <w:t xml:space="preserve">wskazuje podmioty finansowe wyłączone z zakresu </w:t>
      </w:r>
      <w:r w:rsidR="003436E9" w:rsidRPr="000431F7">
        <w:rPr>
          <w:color w:val="000000"/>
        </w:rPr>
        <w:t xml:space="preserve">jego </w:t>
      </w:r>
      <w:r w:rsidRPr="000431F7">
        <w:rPr>
          <w:color w:val="000000"/>
        </w:rPr>
        <w:t>stosowania</w:t>
      </w:r>
      <w:r w:rsidR="004A75AD" w:rsidRPr="000431F7">
        <w:t xml:space="preserve">. </w:t>
      </w:r>
    </w:p>
    <w:p w14:paraId="7F388635" w14:textId="380A48FE" w:rsidR="006B71F4" w:rsidRPr="000431F7" w:rsidRDefault="006B71F4" w:rsidP="004742CC">
      <w:pPr>
        <w:pStyle w:val="oj-normal"/>
        <w:shd w:val="clear" w:color="auto" w:fill="FFFFFF"/>
        <w:spacing w:before="120" w:beforeAutospacing="0" w:after="0" w:afterAutospacing="0" w:line="360" w:lineRule="auto"/>
        <w:jc w:val="both"/>
        <w:rPr>
          <w:color w:val="000000"/>
        </w:rPr>
      </w:pPr>
      <w:r w:rsidRPr="000431F7">
        <w:rPr>
          <w:color w:val="000000"/>
        </w:rPr>
        <w:t xml:space="preserve">Dodatkowo rozporządzenie </w:t>
      </w:r>
      <w:r w:rsidRPr="000431F7">
        <w:t>2022/2554 obejmuje także</w:t>
      </w:r>
      <w:r w:rsidRPr="000431F7">
        <w:rPr>
          <w:color w:val="000000"/>
        </w:rPr>
        <w:t xml:space="preserve">, zgodnie z art. 2 ust. 1 </w:t>
      </w:r>
      <w:r w:rsidR="00CF762B" w:rsidRPr="000431F7">
        <w:rPr>
          <w:color w:val="000000"/>
        </w:rPr>
        <w:t xml:space="preserve">lit. </w:t>
      </w:r>
      <w:r w:rsidRPr="000431F7">
        <w:rPr>
          <w:color w:val="000000"/>
        </w:rPr>
        <w:t>u</w:t>
      </w:r>
      <w:r w:rsidR="002562D9" w:rsidRPr="000431F7">
        <w:rPr>
          <w:color w:val="000000"/>
        </w:rPr>
        <w:t xml:space="preserve">, </w:t>
      </w:r>
      <w:r w:rsidRPr="000431F7">
        <w:rPr>
          <w:color w:val="000000"/>
        </w:rPr>
        <w:t xml:space="preserve">zewnętrznych dostawców usług ICT, na których oddziałuje pośrednio, z uwagi </w:t>
      </w:r>
      <w:r w:rsidR="008D6BE5" w:rsidRPr="000431F7">
        <w:rPr>
          <w:color w:val="000000"/>
        </w:rPr>
        <w:t xml:space="preserve">m.in. </w:t>
      </w:r>
      <w:r w:rsidRPr="000431F7">
        <w:rPr>
          <w:color w:val="000000"/>
        </w:rPr>
        <w:t>na możliwość wydania decyzji, o której mowa w art. 42 ust. 6</w:t>
      </w:r>
      <w:r w:rsidR="003436E9" w:rsidRPr="000431F7">
        <w:rPr>
          <w:color w:val="000000"/>
        </w:rPr>
        <w:t xml:space="preserve"> tego rozporządzenia</w:t>
      </w:r>
      <w:r w:rsidRPr="000431F7">
        <w:rPr>
          <w:color w:val="000000"/>
        </w:rPr>
        <w:t xml:space="preserve">. </w:t>
      </w:r>
    </w:p>
    <w:p w14:paraId="7EA06CFC" w14:textId="54BCBD3A" w:rsidR="006B71F4" w:rsidRPr="000431F7" w:rsidRDefault="006B71F4" w:rsidP="004742CC">
      <w:pPr>
        <w:pStyle w:val="oj-normal"/>
        <w:shd w:val="clear" w:color="auto" w:fill="FFFFFF"/>
        <w:spacing w:before="120" w:beforeAutospacing="0" w:after="0" w:afterAutospacing="0" w:line="360" w:lineRule="auto"/>
        <w:jc w:val="both"/>
        <w:rPr>
          <w:color w:val="000000"/>
          <w:shd w:val="clear" w:color="auto" w:fill="FFFFFF"/>
        </w:rPr>
      </w:pPr>
      <w:r w:rsidRPr="000431F7">
        <w:rPr>
          <w:color w:val="000000"/>
          <w:shd w:val="clear" w:color="auto" w:fill="FFFFFF"/>
        </w:rPr>
        <w:t>Zgodnie z art. 1</w:t>
      </w:r>
      <w:r w:rsidR="003436E9" w:rsidRPr="000431F7">
        <w:rPr>
          <w:color w:val="000000"/>
          <w:shd w:val="clear" w:color="auto" w:fill="FFFFFF"/>
        </w:rPr>
        <w:t xml:space="preserve"> rozporządzenia 2022/2554</w:t>
      </w:r>
      <w:r w:rsidRPr="000431F7">
        <w:rPr>
          <w:color w:val="000000"/>
          <w:shd w:val="clear" w:color="auto" w:fill="FFFFFF"/>
        </w:rPr>
        <w:t>, w zakresie obowiązków nakładanych na podmioty finansowe, reguluje</w:t>
      </w:r>
      <w:r w:rsidR="0025643F" w:rsidRPr="000431F7">
        <w:rPr>
          <w:color w:val="000000"/>
          <w:shd w:val="clear" w:color="auto" w:fill="FFFFFF"/>
        </w:rPr>
        <w:t xml:space="preserve"> ono</w:t>
      </w:r>
      <w:r w:rsidRPr="000431F7">
        <w:rPr>
          <w:color w:val="000000"/>
          <w:shd w:val="clear" w:color="auto" w:fill="FFFFFF"/>
        </w:rPr>
        <w:t>:</w:t>
      </w:r>
    </w:p>
    <w:p w14:paraId="2DB1B0F7" w14:textId="6E1AFD45" w:rsidR="006B71F4" w:rsidRPr="000431F7" w:rsidRDefault="006B71F4" w:rsidP="004742CC">
      <w:pPr>
        <w:spacing w:before="120" w:after="0" w:line="360" w:lineRule="auto"/>
        <w:ind w:left="426" w:hanging="426"/>
        <w:jc w:val="both"/>
        <w:rPr>
          <w:rFonts w:ascii="Times New Roman" w:eastAsia="Times New Roman" w:hAnsi="Times New Roman" w:cs="Times New Roman"/>
          <w:color w:val="000000"/>
          <w:sz w:val="24"/>
          <w:szCs w:val="24"/>
          <w:lang w:eastAsia="pl-PL"/>
        </w:rPr>
      </w:pPr>
      <w:r w:rsidRPr="000431F7">
        <w:rPr>
          <w:rFonts w:ascii="Times New Roman" w:hAnsi="Times New Roman" w:cs="Times New Roman"/>
          <w:color w:val="000000"/>
          <w:sz w:val="24"/>
          <w:szCs w:val="24"/>
          <w:shd w:val="clear" w:color="auto" w:fill="FFFFFF"/>
        </w:rPr>
        <w:t>a)</w:t>
      </w:r>
      <w:r w:rsidR="000431F7">
        <w:rPr>
          <w:rFonts w:ascii="Times New Roman" w:hAnsi="Times New Roman" w:cs="Times New Roman"/>
          <w:color w:val="000000"/>
          <w:sz w:val="24"/>
          <w:szCs w:val="24"/>
          <w:shd w:val="clear" w:color="auto" w:fill="FFFFFF"/>
        </w:rPr>
        <w:tab/>
      </w:r>
      <w:r w:rsidRPr="000431F7">
        <w:rPr>
          <w:rFonts w:ascii="Times New Roman" w:eastAsia="Times New Roman" w:hAnsi="Times New Roman" w:cs="Times New Roman"/>
          <w:color w:val="000000"/>
          <w:sz w:val="24"/>
          <w:szCs w:val="24"/>
          <w:lang w:eastAsia="pl-PL"/>
        </w:rPr>
        <w:t>wymogi mające zastosowanie do podmiotów finansowych objętych zakresem regulacji rozporządzenia, w odniesieniu do:</w:t>
      </w:r>
    </w:p>
    <w:p w14:paraId="4F1146DE" w14:textId="09AC88E4" w:rsidR="006B71F4" w:rsidRPr="000431F7" w:rsidRDefault="006B71F4" w:rsidP="004742CC">
      <w:pPr>
        <w:spacing w:before="120" w:after="0" w:line="360" w:lineRule="auto"/>
        <w:ind w:left="993" w:hanging="567"/>
        <w:jc w:val="both"/>
        <w:rPr>
          <w:rFonts w:ascii="Times New Roman" w:hAnsi="Times New Roman" w:cs="Times New Roman"/>
          <w:color w:val="000000"/>
          <w:sz w:val="24"/>
          <w:szCs w:val="24"/>
          <w:shd w:val="clear" w:color="auto" w:fill="FFFFFF"/>
        </w:rPr>
      </w:pPr>
      <w:r w:rsidRPr="000431F7">
        <w:rPr>
          <w:rFonts w:ascii="Times New Roman" w:eastAsia="Times New Roman" w:hAnsi="Times New Roman" w:cs="Times New Roman"/>
          <w:color w:val="000000"/>
          <w:sz w:val="24"/>
          <w:szCs w:val="24"/>
          <w:lang w:eastAsia="pl-PL"/>
        </w:rPr>
        <w:t>(i)</w:t>
      </w:r>
      <w:r w:rsidR="000431F7">
        <w:rPr>
          <w:rFonts w:ascii="Times New Roman" w:eastAsia="Times New Roman" w:hAnsi="Times New Roman" w:cs="Times New Roman"/>
          <w:color w:val="000000"/>
          <w:sz w:val="24"/>
          <w:szCs w:val="24"/>
          <w:lang w:eastAsia="pl-PL"/>
        </w:rPr>
        <w:tab/>
      </w:r>
      <w:r w:rsidRPr="004742CC">
        <w:rPr>
          <w:rFonts w:ascii="Times New Roman" w:hAnsi="Times New Roman" w:cs="Times New Roman"/>
          <w:color w:val="000000"/>
          <w:sz w:val="24"/>
          <w:szCs w:val="24"/>
          <w:shd w:val="clear" w:color="auto" w:fill="FFFFFF"/>
        </w:rPr>
        <w:t>z</w:t>
      </w:r>
      <w:r w:rsidRPr="000431F7">
        <w:rPr>
          <w:rFonts w:ascii="Times New Roman" w:hAnsi="Times New Roman" w:cs="Times New Roman"/>
          <w:color w:val="000000"/>
          <w:sz w:val="24"/>
          <w:szCs w:val="24"/>
          <w:shd w:val="clear" w:color="auto" w:fill="FFFFFF"/>
        </w:rPr>
        <w:t>arządzania ryzykiem związanym z wykorzystaniem technologii informacyjno</w:t>
      </w:r>
      <w:r w:rsidR="00F82895">
        <w:noBreakHyphen/>
      </w:r>
      <w:r w:rsidRPr="000431F7">
        <w:rPr>
          <w:rFonts w:ascii="Times New Roman" w:hAnsi="Times New Roman" w:cs="Times New Roman"/>
          <w:color w:val="000000"/>
          <w:sz w:val="24"/>
          <w:szCs w:val="24"/>
          <w:shd w:val="clear" w:color="auto" w:fill="FFFFFF"/>
        </w:rPr>
        <w:t>komunikacyjnych (ICT);</w:t>
      </w:r>
    </w:p>
    <w:p w14:paraId="52255F9C" w14:textId="3B0C3F09" w:rsidR="006B71F4" w:rsidRPr="000431F7" w:rsidRDefault="006B71F4" w:rsidP="004742CC">
      <w:pPr>
        <w:spacing w:before="120" w:after="0" w:line="360" w:lineRule="auto"/>
        <w:ind w:left="993" w:hanging="567"/>
        <w:jc w:val="both"/>
        <w:rPr>
          <w:rFonts w:ascii="Times New Roman" w:hAnsi="Times New Roman" w:cs="Times New Roman"/>
          <w:color w:val="000000"/>
          <w:sz w:val="24"/>
          <w:szCs w:val="24"/>
          <w:shd w:val="clear" w:color="auto" w:fill="FFFFFF"/>
        </w:rPr>
      </w:pPr>
      <w:r w:rsidRPr="000431F7">
        <w:rPr>
          <w:rFonts w:ascii="Times New Roman" w:hAnsi="Times New Roman" w:cs="Times New Roman"/>
          <w:color w:val="000000"/>
          <w:sz w:val="24"/>
          <w:szCs w:val="24"/>
          <w:shd w:val="clear" w:color="auto" w:fill="FFFFFF"/>
        </w:rPr>
        <w:t>(ii)</w:t>
      </w:r>
      <w:r w:rsidR="000431F7">
        <w:rPr>
          <w:rFonts w:ascii="Times New Roman" w:hAnsi="Times New Roman" w:cs="Times New Roman"/>
          <w:color w:val="000000"/>
          <w:sz w:val="24"/>
          <w:szCs w:val="24"/>
          <w:shd w:val="clear" w:color="auto" w:fill="FFFFFF"/>
        </w:rPr>
        <w:tab/>
      </w:r>
      <w:r w:rsidRPr="000431F7">
        <w:rPr>
          <w:rFonts w:ascii="Times New Roman" w:hAnsi="Times New Roman" w:cs="Times New Roman"/>
          <w:color w:val="000000"/>
          <w:sz w:val="24"/>
          <w:szCs w:val="24"/>
          <w:shd w:val="clear" w:color="auto" w:fill="FFFFFF"/>
        </w:rPr>
        <w:t xml:space="preserve">zgłaszania poważnych incydentów </w:t>
      </w:r>
      <w:r w:rsidR="003F4341" w:rsidRPr="000431F7">
        <w:rPr>
          <w:rFonts w:ascii="Times New Roman" w:hAnsi="Times New Roman" w:cs="Times New Roman"/>
          <w:color w:val="000000"/>
          <w:sz w:val="24"/>
          <w:szCs w:val="24"/>
          <w:shd w:val="clear" w:color="auto" w:fill="FFFFFF"/>
        </w:rPr>
        <w:t>związanych z</w:t>
      </w:r>
      <w:r w:rsidRPr="000431F7">
        <w:rPr>
          <w:rFonts w:ascii="Times New Roman" w:hAnsi="Times New Roman" w:cs="Times New Roman"/>
          <w:color w:val="000000"/>
          <w:sz w:val="24"/>
          <w:szCs w:val="24"/>
          <w:shd w:val="clear" w:color="auto" w:fill="FFFFFF"/>
        </w:rPr>
        <w:t xml:space="preserve"> ICT właściwym organom oraz dobrowolnego informowania ich o znaczących </w:t>
      </w:r>
      <w:proofErr w:type="spellStart"/>
      <w:r w:rsidRPr="000431F7">
        <w:rPr>
          <w:rFonts w:ascii="Times New Roman" w:hAnsi="Times New Roman" w:cs="Times New Roman"/>
          <w:color w:val="000000"/>
          <w:sz w:val="24"/>
          <w:szCs w:val="24"/>
          <w:shd w:val="clear" w:color="auto" w:fill="FFFFFF"/>
        </w:rPr>
        <w:t>cyberzagrożeniach</w:t>
      </w:r>
      <w:proofErr w:type="spellEnd"/>
      <w:r w:rsidRPr="000431F7">
        <w:rPr>
          <w:rFonts w:ascii="Times New Roman" w:hAnsi="Times New Roman" w:cs="Times New Roman"/>
          <w:color w:val="000000"/>
          <w:sz w:val="24"/>
          <w:szCs w:val="24"/>
          <w:shd w:val="clear" w:color="auto" w:fill="FFFFFF"/>
        </w:rPr>
        <w:t>;</w:t>
      </w:r>
    </w:p>
    <w:p w14:paraId="2484030B" w14:textId="73E336B8" w:rsidR="006B71F4" w:rsidRPr="000431F7" w:rsidRDefault="006B71F4" w:rsidP="004742CC">
      <w:pPr>
        <w:spacing w:before="120" w:after="0" w:line="360" w:lineRule="auto"/>
        <w:ind w:left="993" w:hanging="567"/>
        <w:jc w:val="both"/>
        <w:rPr>
          <w:rFonts w:ascii="Times New Roman" w:hAnsi="Times New Roman" w:cs="Times New Roman"/>
          <w:color w:val="000000"/>
          <w:sz w:val="24"/>
          <w:szCs w:val="24"/>
          <w:shd w:val="clear" w:color="auto" w:fill="FFFFFF"/>
        </w:rPr>
      </w:pPr>
      <w:r w:rsidRPr="000431F7">
        <w:rPr>
          <w:rFonts w:ascii="Times New Roman" w:hAnsi="Times New Roman" w:cs="Times New Roman"/>
          <w:color w:val="000000"/>
          <w:sz w:val="24"/>
          <w:szCs w:val="24"/>
          <w:shd w:val="clear" w:color="auto" w:fill="FFFFFF"/>
        </w:rPr>
        <w:lastRenderedPageBreak/>
        <w:t>(iii)</w:t>
      </w:r>
      <w:r w:rsidR="000431F7">
        <w:rPr>
          <w:rFonts w:ascii="Times New Roman" w:hAnsi="Times New Roman" w:cs="Times New Roman"/>
          <w:color w:val="000000"/>
          <w:sz w:val="24"/>
          <w:szCs w:val="24"/>
          <w:shd w:val="clear" w:color="auto" w:fill="FFFFFF"/>
        </w:rPr>
        <w:tab/>
      </w:r>
      <w:r w:rsidRPr="000431F7">
        <w:rPr>
          <w:rFonts w:ascii="Times New Roman" w:hAnsi="Times New Roman" w:cs="Times New Roman"/>
          <w:color w:val="000000"/>
          <w:sz w:val="24"/>
          <w:szCs w:val="24"/>
          <w:shd w:val="clear" w:color="auto" w:fill="FFFFFF"/>
        </w:rPr>
        <w:t>zgłaszania właściwym organom przez podmioty finansowe, o których mowa w art. 2 ust. 1 lit. a</w:t>
      </w:r>
      <w:r w:rsidR="000431F7">
        <w:rPr>
          <w:rFonts w:ascii="Times New Roman" w:hAnsi="Times New Roman" w:cs="Times New Roman"/>
          <w:color w:val="000000"/>
          <w:sz w:val="24"/>
          <w:szCs w:val="24"/>
          <w:shd w:val="clear" w:color="auto" w:fill="FFFFFF"/>
        </w:rPr>
        <w:t>–</w:t>
      </w:r>
      <w:r w:rsidRPr="000431F7">
        <w:rPr>
          <w:rFonts w:ascii="Times New Roman" w:hAnsi="Times New Roman" w:cs="Times New Roman"/>
          <w:color w:val="000000"/>
          <w:sz w:val="24"/>
          <w:szCs w:val="24"/>
          <w:shd w:val="clear" w:color="auto" w:fill="FFFFFF"/>
        </w:rPr>
        <w:t>d, poważnych incydentów operacyjnych lub poważnych incydentów bezpieczeństwa związanych z płatnościami;</w:t>
      </w:r>
    </w:p>
    <w:p w14:paraId="4501E4E1" w14:textId="6EB72774" w:rsidR="006B71F4" w:rsidRPr="000431F7" w:rsidRDefault="006B71F4" w:rsidP="004742CC">
      <w:pPr>
        <w:spacing w:before="120" w:after="0" w:line="360" w:lineRule="auto"/>
        <w:ind w:left="993" w:hanging="567"/>
        <w:jc w:val="both"/>
        <w:rPr>
          <w:rFonts w:ascii="Times New Roman" w:hAnsi="Times New Roman" w:cs="Times New Roman"/>
          <w:color w:val="000000"/>
          <w:sz w:val="24"/>
          <w:szCs w:val="24"/>
          <w:shd w:val="clear" w:color="auto" w:fill="FFFFFF"/>
        </w:rPr>
      </w:pPr>
      <w:r w:rsidRPr="000431F7">
        <w:rPr>
          <w:rFonts w:ascii="Times New Roman" w:hAnsi="Times New Roman" w:cs="Times New Roman"/>
          <w:color w:val="000000"/>
          <w:sz w:val="24"/>
          <w:szCs w:val="24"/>
          <w:shd w:val="clear" w:color="auto" w:fill="FFFFFF"/>
        </w:rPr>
        <w:t>(iv)</w:t>
      </w:r>
      <w:r w:rsidR="000431F7">
        <w:rPr>
          <w:rFonts w:ascii="Times New Roman" w:hAnsi="Times New Roman" w:cs="Times New Roman"/>
          <w:color w:val="000000"/>
          <w:sz w:val="24"/>
          <w:szCs w:val="24"/>
          <w:shd w:val="clear" w:color="auto" w:fill="FFFFFF"/>
        </w:rPr>
        <w:tab/>
      </w:r>
      <w:r w:rsidRPr="000431F7">
        <w:rPr>
          <w:rFonts w:ascii="Times New Roman" w:hAnsi="Times New Roman" w:cs="Times New Roman"/>
          <w:color w:val="000000"/>
          <w:sz w:val="24"/>
          <w:szCs w:val="24"/>
          <w:shd w:val="clear" w:color="auto" w:fill="FFFFFF"/>
        </w:rPr>
        <w:t>testowania operacyjnej odporności cyfrowej;</w:t>
      </w:r>
    </w:p>
    <w:p w14:paraId="71561B66" w14:textId="03717BAA" w:rsidR="006B71F4" w:rsidRPr="000431F7" w:rsidRDefault="006B71F4" w:rsidP="004742CC">
      <w:pPr>
        <w:spacing w:before="120" w:after="0" w:line="360" w:lineRule="auto"/>
        <w:ind w:left="993" w:hanging="567"/>
        <w:jc w:val="both"/>
        <w:rPr>
          <w:rFonts w:ascii="Times New Roman" w:hAnsi="Times New Roman" w:cs="Times New Roman"/>
          <w:color w:val="000000"/>
          <w:sz w:val="24"/>
          <w:szCs w:val="24"/>
          <w:shd w:val="clear" w:color="auto" w:fill="FFFFFF"/>
        </w:rPr>
      </w:pPr>
      <w:r w:rsidRPr="000431F7">
        <w:rPr>
          <w:rFonts w:ascii="Times New Roman" w:hAnsi="Times New Roman" w:cs="Times New Roman"/>
          <w:color w:val="000000"/>
          <w:sz w:val="24"/>
          <w:szCs w:val="24"/>
          <w:shd w:val="clear" w:color="auto" w:fill="FFFFFF"/>
        </w:rPr>
        <w:t>(v)</w:t>
      </w:r>
      <w:r w:rsidR="000431F7">
        <w:rPr>
          <w:rFonts w:ascii="Times New Roman" w:hAnsi="Times New Roman" w:cs="Times New Roman"/>
          <w:color w:val="000000"/>
          <w:sz w:val="24"/>
          <w:szCs w:val="24"/>
          <w:shd w:val="clear" w:color="auto" w:fill="FFFFFF"/>
        </w:rPr>
        <w:tab/>
      </w:r>
      <w:r w:rsidRPr="000431F7">
        <w:rPr>
          <w:rFonts w:ascii="Times New Roman" w:hAnsi="Times New Roman" w:cs="Times New Roman"/>
          <w:color w:val="000000"/>
          <w:sz w:val="24"/>
          <w:szCs w:val="24"/>
          <w:shd w:val="clear" w:color="auto" w:fill="FFFFFF"/>
        </w:rPr>
        <w:t>wymiany informacji i analiz w związku z </w:t>
      </w:r>
      <w:proofErr w:type="spellStart"/>
      <w:r w:rsidRPr="000431F7">
        <w:rPr>
          <w:rFonts w:ascii="Times New Roman" w:hAnsi="Times New Roman" w:cs="Times New Roman"/>
          <w:color w:val="000000"/>
          <w:sz w:val="24"/>
          <w:szCs w:val="24"/>
          <w:shd w:val="clear" w:color="auto" w:fill="FFFFFF"/>
        </w:rPr>
        <w:t>cyberzagrożeniami</w:t>
      </w:r>
      <w:proofErr w:type="spellEnd"/>
      <w:r w:rsidRPr="000431F7">
        <w:rPr>
          <w:rFonts w:ascii="Times New Roman" w:hAnsi="Times New Roman" w:cs="Times New Roman"/>
          <w:color w:val="000000"/>
          <w:sz w:val="24"/>
          <w:szCs w:val="24"/>
          <w:shd w:val="clear" w:color="auto" w:fill="FFFFFF"/>
        </w:rPr>
        <w:t xml:space="preserve"> i podatnościami w tym obszarze;</w:t>
      </w:r>
    </w:p>
    <w:p w14:paraId="320E7862" w14:textId="33A1D93D" w:rsidR="006B71F4" w:rsidRPr="000431F7" w:rsidRDefault="006B71F4" w:rsidP="004742CC">
      <w:pPr>
        <w:spacing w:before="120" w:after="0" w:line="360" w:lineRule="auto"/>
        <w:ind w:left="993" w:hanging="567"/>
        <w:jc w:val="both"/>
        <w:rPr>
          <w:rFonts w:ascii="Times New Roman" w:hAnsi="Times New Roman" w:cs="Times New Roman"/>
          <w:color w:val="000000"/>
          <w:sz w:val="24"/>
          <w:szCs w:val="24"/>
          <w:shd w:val="clear" w:color="auto" w:fill="FFFFFF"/>
        </w:rPr>
      </w:pPr>
      <w:r w:rsidRPr="000431F7">
        <w:rPr>
          <w:rFonts w:ascii="Times New Roman" w:hAnsi="Times New Roman" w:cs="Times New Roman"/>
          <w:color w:val="000000"/>
          <w:sz w:val="24"/>
          <w:szCs w:val="24"/>
          <w:shd w:val="clear" w:color="auto" w:fill="FFFFFF"/>
        </w:rPr>
        <w:t>(vi)</w:t>
      </w:r>
      <w:r w:rsidR="000431F7">
        <w:rPr>
          <w:rFonts w:ascii="Times New Roman" w:hAnsi="Times New Roman" w:cs="Times New Roman"/>
          <w:color w:val="000000"/>
          <w:sz w:val="24"/>
          <w:szCs w:val="24"/>
          <w:shd w:val="clear" w:color="auto" w:fill="FFFFFF"/>
        </w:rPr>
        <w:tab/>
      </w:r>
      <w:r w:rsidRPr="000431F7">
        <w:rPr>
          <w:rFonts w:ascii="Times New Roman" w:hAnsi="Times New Roman" w:cs="Times New Roman"/>
          <w:color w:val="000000"/>
          <w:sz w:val="24"/>
          <w:szCs w:val="24"/>
          <w:shd w:val="clear" w:color="auto" w:fill="FFFFFF"/>
        </w:rPr>
        <w:t>środków na rzecz należytego zarządzania ryzykiem ze strony zewnętrznych dostawców usług ICT;</w:t>
      </w:r>
    </w:p>
    <w:p w14:paraId="0060E901" w14:textId="6317C0A4" w:rsidR="006B71F4" w:rsidRPr="000431F7" w:rsidRDefault="006B71F4" w:rsidP="004742CC">
      <w:pPr>
        <w:spacing w:before="120" w:after="0" w:line="360" w:lineRule="auto"/>
        <w:ind w:left="426" w:hanging="426"/>
        <w:jc w:val="both"/>
        <w:rPr>
          <w:rFonts w:ascii="Times New Roman" w:hAnsi="Times New Roman" w:cs="Times New Roman"/>
          <w:color w:val="000000"/>
          <w:sz w:val="24"/>
          <w:szCs w:val="24"/>
          <w:shd w:val="clear" w:color="auto" w:fill="FFFFFF"/>
        </w:rPr>
      </w:pPr>
      <w:r w:rsidRPr="000431F7">
        <w:rPr>
          <w:rFonts w:ascii="Times New Roman" w:hAnsi="Times New Roman" w:cs="Times New Roman"/>
          <w:color w:val="000000"/>
          <w:sz w:val="24"/>
          <w:szCs w:val="24"/>
          <w:shd w:val="clear" w:color="auto" w:fill="FFFFFF"/>
        </w:rPr>
        <w:t>b)</w:t>
      </w:r>
      <w:r w:rsidR="000431F7">
        <w:rPr>
          <w:rFonts w:ascii="Times New Roman" w:hAnsi="Times New Roman" w:cs="Times New Roman"/>
          <w:color w:val="000000"/>
          <w:sz w:val="24"/>
          <w:szCs w:val="24"/>
          <w:shd w:val="clear" w:color="auto" w:fill="FFFFFF"/>
        </w:rPr>
        <w:tab/>
      </w:r>
      <w:r w:rsidRPr="000431F7">
        <w:rPr>
          <w:rFonts w:ascii="Times New Roman" w:hAnsi="Times New Roman" w:cs="Times New Roman"/>
          <w:color w:val="000000"/>
          <w:sz w:val="24"/>
          <w:szCs w:val="24"/>
          <w:shd w:val="clear" w:color="auto" w:fill="FFFFFF"/>
        </w:rPr>
        <w:t>wymogi w odniesieniu do ustaleń umownych zawartych między zewnętrznymi dostawcami usług ICT a podmiotami finansowymi.</w:t>
      </w:r>
    </w:p>
    <w:p w14:paraId="39C9C9E8" w14:textId="6202B0EC" w:rsidR="006B71F4" w:rsidRPr="000431F7" w:rsidRDefault="00B95953" w:rsidP="004742CC">
      <w:pPr>
        <w:spacing w:before="120" w:after="0" w:line="360" w:lineRule="auto"/>
        <w:jc w:val="both"/>
        <w:rPr>
          <w:rFonts w:ascii="Times New Roman" w:eastAsia="Times New Roman" w:hAnsi="Times New Roman" w:cs="Times New Roman"/>
          <w:color w:val="000000"/>
          <w:sz w:val="24"/>
          <w:szCs w:val="24"/>
          <w:lang w:eastAsia="pl-PL"/>
        </w:rPr>
      </w:pPr>
      <w:r w:rsidRPr="000431F7">
        <w:rPr>
          <w:rFonts w:ascii="Times New Roman" w:eastAsia="Times New Roman" w:hAnsi="Times New Roman" w:cs="Times New Roman"/>
          <w:color w:val="000000"/>
          <w:sz w:val="24"/>
          <w:szCs w:val="24"/>
          <w:lang w:eastAsia="pl-PL"/>
        </w:rPr>
        <w:t xml:space="preserve">Należy podkreślić, że obowiązki określone w </w:t>
      </w:r>
      <w:r w:rsidRPr="000431F7">
        <w:rPr>
          <w:rFonts w:ascii="Times New Roman" w:hAnsi="Times New Roman" w:cs="Times New Roman"/>
          <w:color w:val="000000"/>
          <w:sz w:val="24"/>
          <w:szCs w:val="24"/>
        </w:rPr>
        <w:t xml:space="preserve">rozporządzeniu </w:t>
      </w:r>
      <w:r w:rsidRPr="000431F7">
        <w:rPr>
          <w:rFonts w:ascii="Times New Roman" w:hAnsi="Times New Roman" w:cs="Times New Roman"/>
          <w:sz w:val="24"/>
          <w:szCs w:val="24"/>
        </w:rPr>
        <w:t xml:space="preserve">2022/2554, co do zasady, </w:t>
      </w:r>
      <w:r w:rsidR="001B6710" w:rsidRPr="000431F7">
        <w:rPr>
          <w:rFonts w:ascii="Times New Roman" w:hAnsi="Times New Roman" w:cs="Times New Roman"/>
          <w:sz w:val="24"/>
          <w:szCs w:val="24"/>
        </w:rPr>
        <w:t xml:space="preserve">będą </w:t>
      </w:r>
      <w:r w:rsidRPr="000431F7">
        <w:rPr>
          <w:rFonts w:ascii="Times New Roman" w:hAnsi="Times New Roman" w:cs="Times New Roman"/>
          <w:sz w:val="24"/>
          <w:szCs w:val="24"/>
        </w:rPr>
        <w:t xml:space="preserve">stosowane przez podmioty finansowe bezpośrednio. </w:t>
      </w:r>
    </w:p>
    <w:p w14:paraId="59AA8EE3" w14:textId="1DECE0AA" w:rsidR="006B71F4" w:rsidRPr="000431F7" w:rsidRDefault="006B71F4" w:rsidP="004742CC">
      <w:pPr>
        <w:pStyle w:val="oj-normal"/>
        <w:shd w:val="clear" w:color="auto" w:fill="FFFFFF"/>
        <w:spacing w:before="120" w:beforeAutospacing="0" w:after="0" w:afterAutospacing="0" w:line="360" w:lineRule="auto"/>
        <w:jc w:val="both"/>
      </w:pPr>
      <w:r w:rsidRPr="000431F7">
        <w:t xml:space="preserve">Niektóre przepisy rozporządzenia 2022/2554, </w:t>
      </w:r>
      <w:r w:rsidR="00B95953" w:rsidRPr="000431F7">
        <w:t>w celu zapewnienia</w:t>
      </w:r>
      <w:r w:rsidRPr="000431F7">
        <w:t xml:space="preserve"> ich stosowania, wymagają wdrożenia do prawa krajowego. Przede wszystkim</w:t>
      </w:r>
      <w:r w:rsidR="00B95953" w:rsidRPr="000431F7">
        <w:t xml:space="preserve"> </w:t>
      </w:r>
      <w:r w:rsidRPr="000431F7">
        <w:t xml:space="preserve">dotyczy to przepisów wyposażających </w:t>
      </w:r>
      <w:r w:rsidR="008D6BE5" w:rsidRPr="000431F7">
        <w:t xml:space="preserve">krajowe </w:t>
      </w:r>
      <w:r w:rsidRPr="000431F7">
        <w:t>organy właściwe w rozumieniu art. 46 rozporządzenia 2022/2554 w kompetencje zapewniające skuteczny nadzór nad spełnianiem wymogów i obowiązków nakładanych na podmioty finansowe, w szczególności</w:t>
      </w:r>
      <w:r w:rsidR="001F6176" w:rsidRPr="000431F7">
        <w:t xml:space="preserve"> </w:t>
      </w:r>
      <w:r w:rsidRPr="000431F7">
        <w:t>dotyczy to minimalnych uprawnień, o których mowa w</w:t>
      </w:r>
      <w:r w:rsidR="002562D9" w:rsidRPr="000431F7">
        <w:t> </w:t>
      </w:r>
      <w:r w:rsidRPr="000431F7">
        <w:t>art. 50</w:t>
      </w:r>
      <w:r w:rsidR="00050970" w:rsidRPr="000431F7">
        <w:t xml:space="preserve"> tego rozporządzenia</w:t>
      </w:r>
      <w:r w:rsidRPr="000431F7">
        <w:t xml:space="preserve">. </w:t>
      </w:r>
      <w:r w:rsidR="0055776E" w:rsidRPr="000431F7">
        <w:t>W krajowym porządku prawnym ww. kompetencje zostaną nadane Komisji Nadzoru Finansowego</w:t>
      </w:r>
      <w:r w:rsidR="00050970" w:rsidRPr="000431F7">
        <w:t xml:space="preserve">, </w:t>
      </w:r>
      <w:r w:rsidR="00CF762B" w:rsidRPr="000431F7">
        <w:t xml:space="preserve">zwanej dalej </w:t>
      </w:r>
      <w:r w:rsidR="00987740">
        <w:t>„</w:t>
      </w:r>
      <w:r w:rsidR="00CF762B" w:rsidRPr="000431F7">
        <w:t>KNF</w:t>
      </w:r>
      <w:r w:rsidR="00050970" w:rsidRPr="000431F7">
        <w:t>”</w:t>
      </w:r>
      <w:r w:rsidR="0055776E" w:rsidRPr="000431F7">
        <w:t>, w drodze zmian ustawy z dnia 21</w:t>
      </w:r>
      <w:r w:rsidR="00F82895">
        <w:t> </w:t>
      </w:r>
      <w:r w:rsidR="0055776E" w:rsidRPr="000431F7">
        <w:t>lipca 2006 r. o nadzorze nad rynkiem finansowym</w:t>
      </w:r>
      <w:r w:rsidR="00050970" w:rsidRPr="000431F7">
        <w:t xml:space="preserve">, </w:t>
      </w:r>
      <w:r w:rsidR="008D6BE5" w:rsidRPr="000431F7">
        <w:t>zwanej dalej „ustawą o nadzorze nad rynkiem finansowym”</w:t>
      </w:r>
      <w:r w:rsidR="0055776E" w:rsidRPr="000431F7">
        <w:t xml:space="preserve">. </w:t>
      </w:r>
    </w:p>
    <w:p w14:paraId="681A3AB1" w14:textId="6FF34489" w:rsidR="00046AAE" w:rsidRPr="000431F7" w:rsidRDefault="001F6176" w:rsidP="004742CC">
      <w:pPr>
        <w:spacing w:before="120" w:after="0" w:line="360" w:lineRule="auto"/>
        <w:jc w:val="both"/>
        <w:rPr>
          <w:rFonts w:ascii="Times New Roman" w:hAnsi="Times New Roman" w:cs="Times New Roman"/>
          <w:color w:val="000000"/>
          <w:sz w:val="24"/>
          <w:szCs w:val="24"/>
          <w:shd w:val="clear" w:color="auto" w:fill="FFFFFF"/>
        </w:rPr>
      </w:pPr>
      <w:r w:rsidRPr="000431F7">
        <w:rPr>
          <w:rFonts w:ascii="Times New Roman" w:eastAsia="Times New Roman" w:hAnsi="Times New Roman" w:cs="Times New Roman"/>
          <w:color w:val="000000"/>
          <w:sz w:val="24"/>
          <w:szCs w:val="24"/>
          <w:lang w:eastAsia="pl-PL"/>
        </w:rPr>
        <w:t>Z</w:t>
      </w:r>
      <w:r w:rsidR="00046AAE" w:rsidRPr="000431F7">
        <w:rPr>
          <w:rFonts w:ascii="Times New Roman" w:eastAsia="Times New Roman" w:hAnsi="Times New Roman" w:cs="Times New Roman"/>
          <w:color w:val="000000"/>
          <w:sz w:val="24"/>
          <w:szCs w:val="24"/>
          <w:lang w:eastAsia="pl-PL"/>
        </w:rPr>
        <w:t xml:space="preserve">miany wprowadzone </w:t>
      </w:r>
      <w:r w:rsidR="00046AAE" w:rsidRPr="000431F7">
        <w:rPr>
          <w:rFonts w:ascii="Times New Roman" w:hAnsi="Times New Roman" w:cs="Times New Roman"/>
          <w:sz w:val="24"/>
          <w:szCs w:val="24"/>
        </w:rPr>
        <w:t>dyrektywą 2022/2556</w:t>
      </w:r>
      <w:r w:rsidR="00046AAE" w:rsidRPr="000431F7">
        <w:rPr>
          <w:rFonts w:ascii="Times New Roman" w:eastAsia="Times New Roman" w:hAnsi="Times New Roman" w:cs="Times New Roman"/>
          <w:color w:val="000000"/>
          <w:sz w:val="24"/>
          <w:szCs w:val="24"/>
          <w:lang w:eastAsia="pl-PL"/>
        </w:rPr>
        <w:t xml:space="preserve">, która dokonuje zmian w </w:t>
      </w:r>
      <w:r w:rsidR="00046AAE" w:rsidRPr="000431F7">
        <w:rPr>
          <w:rFonts w:ascii="Times New Roman" w:hAnsi="Times New Roman" w:cs="Times New Roman"/>
          <w:sz w:val="24"/>
          <w:szCs w:val="24"/>
        </w:rPr>
        <w:t>dyrektywach: 2009/65/WE, 2009/138/WE, 2011/61/UE, 2013/36/UE, 2014/59/UE, 2014/65/UE, (UE) 2015/2366 oraz (UE) 2016/2341</w:t>
      </w:r>
      <w:r w:rsidR="008D6BE5" w:rsidRPr="000431F7">
        <w:rPr>
          <w:rFonts w:ascii="Times New Roman" w:hAnsi="Times New Roman" w:cs="Times New Roman"/>
          <w:sz w:val="24"/>
          <w:szCs w:val="24"/>
        </w:rPr>
        <w:t>,</w:t>
      </w:r>
      <w:r w:rsidRPr="000431F7">
        <w:rPr>
          <w:rFonts w:ascii="Times New Roman" w:hAnsi="Times New Roman" w:cs="Times New Roman"/>
          <w:sz w:val="24"/>
          <w:szCs w:val="24"/>
        </w:rPr>
        <w:t xml:space="preserve"> mają </w:t>
      </w:r>
      <w:r w:rsidR="004A75AD" w:rsidRPr="000431F7">
        <w:rPr>
          <w:rFonts w:ascii="Times New Roman" w:hAnsi="Times New Roman" w:cs="Times New Roman"/>
          <w:sz w:val="24"/>
          <w:szCs w:val="24"/>
        </w:rPr>
        <w:t>na</w:t>
      </w:r>
      <w:r w:rsidRPr="000431F7">
        <w:rPr>
          <w:rFonts w:ascii="Times New Roman" w:hAnsi="Times New Roman" w:cs="Times New Roman"/>
          <w:sz w:val="24"/>
          <w:szCs w:val="24"/>
        </w:rPr>
        <w:t xml:space="preserve"> celu zapewnieni</w:t>
      </w:r>
      <w:r w:rsidR="004A75AD" w:rsidRPr="000431F7">
        <w:rPr>
          <w:rFonts w:ascii="Times New Roman" w:hAnsi="Times New Roman" w:cs="Times New Roman"/>
          <w:sz w:val="24"/>
          <w:szCs w:val="24"/>
        </w:rPr>
        <w:t>e</w:t>
      </w:r>
      <w:r w:rsidRPr="000431F7">
        <w:rPr>
          <w:rFonts w:ascii="Times New Roman" w:hAnsi="Times New Roman" w:cs="Times New Roman"/>
          <w:sz w:val="24"/>
          <w:szCs w:val="24"/>
        </w:rPr>
        <w:t xml:space="preserve"> spójności z rozwiązaniami wprowadzanymi rozporządzeniem 2022/2554</w:t>
      </w:r>
      <w:r w:rsidR="00046AAE" w:rsidRPr="000431F7">
        <w:rPr>
          <w:rFonts w:ascii="Times New Roman" w:hAnsi="Times New Roman" w:cs="Times New Roman"/>
          <w:sz w:val="24"/>
          <w:szCs w:val="24"/>
        </w:rPr>
        <w:t>. Zmiany ww. dyrektyw, odnoszące się do operacyjnej odporności cyfrowej sektora finansowego, wprowadzają od</w:t>
      </w:r>
      <w:r w:rsidR="00050970" w:rsidRPr="000431F7">
        <w:rPr>
          <w:rFonts w:ascii="Times New Roman" w:hAnsi="Times New Roman" w:cs="Times New Roman"/>
          <w:sz w:val="24"/>
          <w:szCs w:val="24"/>
        </w:rPr>
        <w:t>esłania</w:t>
      </w:r>
      <w:r w:rsidR="00046AAE" w:rsidRPr="000431F7">
        <w:rPr>
          <w:rFonts w:ascii="Times New Roman" w:hAnsi="Times New Roman" w:cs="Times New Roman"/>
          <w:sz w:val="24"/>
          <w:szCs w:val="24"/>
        </w:rPr>
        <w:t xml:space="preserve"> do rozporządzen</w:t>
      </w:r>
      <w:r w:rsidR="0056664E" w:rsidRPr="000431F7">
        <w:rPr>
          <w:rFonts w:ascii="Times New Roman" w:hAnsi="Times New Roman" w:cs="Times New Roman"/>
          <w:sz w:val="24"/>
          <w:szCs w:val="24"/>
        </w:rPr>
        <w:t>ia</w:t>
      </w:r>
      <w:r w:rsidR="00046AAE" w:rsidRPr="000431F7">
        <w:rPr>
          <w:rFonts w:ascii="Times New Roman" w:hAnsi="Times New Roman" w:cs="Times New Roman"/>
          <w:sz w:val="24"/>
          <w:szCs w:val="24"/>
        </w:rPr>
        <w:t xml:space="preserve"> 2022/2554, co zapewnia spójność regulacji na poziomie U</w:t>
      </w:r>
      <w:r w:rsidR="00553210" w:rsidRPr="000431F7">
        <w:rPr>
          <w:rFonts w:ascii="Times New Roman" w:hAnsi="Times New Roman" w:cs="Times New Roman"/>
          <w:sz w:val="24"/>
          <w:szCs w:val="24"/>
        </w:rPr>
        <w:t xml:space="preserve">nii </w:t>
      </w:r>
      <w:r w:rsidR="00046AAE" w:rsidRPr="000431F7">
        <w:rPr>
          <w:rFonts w:ascii="Times New Roman" w:hAnsi="Times New Roman" w:cs="Times New Roman"/>
          <w:sz w:val="24"/>
          <w:szCs w:val="24"/>
        </w:rPr>
        <w:t>E</w:t>
      </w:r>
      <w:r w:rsidR="00553210" w:rsidRPr="000431F7">
        <w:rPr>
          <w:rFonts w:ascii="Times New Roman" w:hAnsi="Times New Roman" w:cs="Times New Roman"/>
          <w:sz w:val="24"/>
          <w:szCs w:val="24"/>
        </w:rPr>
        <w:t>uropejskiej (UE)</w:t>
      </w:r>
      <w:r w:rsidR="00046AAE" w:rsidRPr="000431F7">
        <w:rPr>
          <w:rFonts w:ascii="Times New Roman" w:hAnsi="Times New Roman" w:cs="Times New Roman"/>
          <w:sz w:val="24"/>
          <w:szCs w:val="24"/>
        </w:rPr>
        <w:t xml:space="preserve">. Z uwagi na konieczność implementacji postanowień ww. dyrektyw, konieczne jest wprowadzenie odpowiednich zmian, </w:t>
      </w:r>
      <w:r w:rsidR="00046AAE" w:rsidRPr="000431F7">
        <w:rPr>
          <w:rFonts w:ascii="Times New Roman" w:hAnsi="Times New Roman" w:cs="Times New Roman"/>
          <w:color w:val="000000"/>
          <w:sz w:val="24"/>
          <w:szCs w:val="24"/>
          <w:shd w:val="clear" w:color="auto" w:fill="FFFFFF"/>
        </w:rPr>
        <w:t>w tym zmian o charakterze wynikowym,</w:t>
      </w:r>
      <w:r w:rsidR="00046AAE" w:rsidRPr="000431F7">
        <w:rPr>
          <w:rFonts w:ascii="Times New Roman" w:hAnsi="Times New Roman" w:cs="Times New Roman"/>
          <w:sz w:val="24"/>
          <w:szCs w:val="24"/>
        </w:rPr>
        <w:t xml:space="preserve"> </w:t>
      </w:r>
      <w:r w:rsidR="00046AAE" w:rsidRPr="000431F7">
        <w:rPr>
          <w:rFonts w:ascii="Times New Roman" w:hAnsi="Times New Roman" w:cs="Times New Roman"/>
          <w:color w:val="000000"/>
          <w:sz w:val="24"/>
          <w:szCs w:val="24"/>
          <w:shd w:val="clear" w:color="auto" w:fill="FFFFFF"/>
        </w:rPr>
        <w:t>w następujących ustawach:</w:t>
      </w:r>
    </w:p>
    <w:p w14:paraId="62993022" w14:textId="237398ED" w:rsidR="002A1A78" w:rsidRPr="004742CC" w:rsidRDefault="002A1A78" w:rsidP="004742CC">
      <w:pPr>
        <w:pStyle w:val="Akapitzlist"/>
        <w:numPr>
          <w:ilvl w:val="0"/>
          <w:numId w:val="2"/>
        </w:numPr>
        <w:spacing w:before="120" w:after="0" w:line="360" w:lineRule="auto"/>
        <w:ind w:left="426" w:hanging="426"/>
        <w:jc w:val="both"/>
        <w:rPr>
          <w:rFonts w:ascii="Times New Roman" w:eastAsia="Times New Roman" w:hAnsi="Times New Roman" w:cs="Times New Roman"/>
          <w:sz w:val="24"/>
          <w:szCs w:val="24"/>
          <w:lang w:eastAsia="pl-PL"/>
        </w:rPr>
      </w:pPr>
      <w:r w:rsidRPr="004742CC">
        <w:rPr>
          <w:rFonts w:ascii="Times New Roman" w:hAnsi="Times New Roman" w:cs="Times New Roman"/>
          <w:sz w:val="24"/>
          <w:szCs w:val="24"/>
        </w:rPr>
        <w:t>ustawie z dnia 7 lipca 1994 r. o ubezpieczeniach gwarantowanych przez Skarb Państwa</w:t>
      </w:r>
      <w:r w:rsidR="00FA033E">
        <w:rPr>
          <w:rFonts w:ascii="Times New Roman" w:hAnsi="Times New Roman" w:cs="Times New Roman"/>
          <w:sz w:val="24"/>
          <w:szCs w:val="24"/>
        </w:rPr>
        <w:t>;</w:t>
      </w:r>
    </w:p>
    <w:p w14:paraId="514A992D" w14:textId="24BE744C" w:rsidR="00046AAE" w:rsidRPr="000431F7" w:rsidRDefault="00046AAE" w:rsidP="004742CC">
      <w:pPr>
        <w:pStyle w:val="Akapitzlist"/>
        <w:numPr>
          <w:ilvl w:val="0"/>
          <w:numId w:val="2"/>
        </w:numPr>
        <w:spacing w:before="120" w:after="0" w:line="360" w:lineRule="auto"/>
        <w:ind w:left="426" w:hanging="426"/>
        <w:jc w:val="both"/>
        <w:rPr>
          <w:rFonts w:ascii="Times New Roman" w:hAnsi="Times New Roman" w:cs="Times New Roman"/>
          <w:sz w:val="24"/>
          <w:szCs w:val="24"/>
        </w:rPr>
      </w:pPr>
      <w:r w:rsidRPr="000431F7">
        <w:rPr>
          <w:rFonts w:ascii="Times New Roman" w:hAnsi="Times New Roman" w:cs="Times New Roman"/>
          <w:sz w:val="24"/>
          <w:szCs w:val="24"/>
        </w:rPr>
        <w:lastRenderedPageBreak/>
        <w:t>ustawie z dnia 28 sierpnia 1997 r. o organizacji i funkcjonowaniu funduszy emerytalnych</w:t>
      </w:r>
      <w:r w:rsidR="00FA033E">
        <w:rPr>
          <w:rFonts w:ascii="Times New Roman" w:hAnsi="Times New Roman" w:cs="Times New Roman"/>
          <w:sz w:val="24"/>
          <w:szCs w:val="24"/>
        </w:rPr>
        <w:t>;</w:t>
      </w:r>
    </w:p>
    <w:p w14:paraId="35E33D5F" w14:textId="398043ED" w:rsidR="00046AAE" w:rsidRPr="000431F7" w:rsidRDefault="00046AAE" w:rsidP="004742CC">
      <w:pPr>
        <w:pStyle w:val="Akapitzlist"/>
        <w:numPr>
          <w:ilvl w:val="0"/>
          <w:numId w:val="2"/>
        </w:numPr>
        <w:spacing w:before="120" w:after="0" w:line="360" w:lineRule="auto"/>
        <w:ind w:left="426" w:hanging="426"/>
        <w:jc w:val="both"/>
        <w:rPr>
          <w:rFonts w:ascii="Times New Roman" w:eastAsia="Times New Roman" w:hAnsi="Times New Roman" w:cs="Times New Roman"/>
          <w:sz w:val="24"/>
          <w:szCs w:val="24"/>
          <w:lang w:eastAsia="pl-PL"/>
        </w:rPr>
      </w:pPr>
      <w:r w:rsidRPr="000431F7">
        <w:rPr>
          <w:rFonts w:ascii="Times New Roman" w:hAnsi="Times New Roman" w:cs="Times New Roman"/>
          <w:sz w:val="24"/>
          <w:szCs w:val="24"/>
        </w:rPr>
        <w:t>ustawie z dnia 29 sierpnia 1997 r. – Prawo bankowe</w:t>
      </w:r>
      <w:r w:rsidR="00FA033E">
        <w:rPr>
          <w:rFonts w:ascii="Times New Roman" w:hAnsi="Times New Roman" w:cs="Times New Roman"/>
          <w:sz w:val="24"/>
          <w:szCs w:val="24"/>
        </w:rPr>
        <w:t>;</w:t>
      </w:r>
    </w:p>
    <w:p w14:paraId="69B6402C" w14:textId="08BABD68" w:rsidR="00046AAE" w:rsidRPr="000431F7" w:rsidRDefault="00046AAE" w:rsidP="004742CC">
      <w:pPr>
        <w:pStyle w:val="Akapitzlist"/>
        <w:numPr>
          <w:ilvl w:val="0"/>
          <w:numId w:val="2"/>
        </w:numPr>
        <w:spacing w:before="120" w:after="0" w:line="360" w:lineRule="auto"/>
        <w:ind w:left="426" w:hanging="426"/>
        <w:jc w:val="both"/>
        <w:rPr>
          <w:rFonts w:ascii="Times New Roman" w:eastAsia="Times New Roman" w:hAnsi="Times New Roman" w:cs="Times New Roman"/>
          <w:sz w:val="24"/>
          <w:szCs w:val="24"/>
          <w:lang w:eastAsia="pl-PL"/>
        </w:rPr>
      </w:pPr>
      <w:r w:rsidRPr="000431F7">
        <w:rPr>
          <w:rFonts w:ascii="Times New Roman" w:hAnsi="Times New Roman" w:cs="Times New Roman"/>
          <w:sz w:val="24"/>
          <w:szCs w:val="24"/>
        </w:rPr>
        <w:t>ustawie z dnia 27 maja 2004 r. o funduszach inwestycyjnych i zarządzaniu alternatywnymi funduszami inwestycyjnymi</w:t>
      </w:r>
      <w:r w:rsidR="00FA033E">
        <w:rPr>
          <w:rFonts w:ascii="Times New Roman" w:hAnsi="Times New Roman" w:cs="Times New Roman"/>
          <w:sz w:val="24"/>
          <w:szCs w:val="24"/>
        </w:rPr>
        <w:t>;</w:t>
      </w:r>
    </w:p>
    <w:p w14:paraId="0FC8CFF3" w14:textId="7F00FE3E" w:rsidR="00046AAE" w:rsidRPr="000431F7" w:rsidRDefault="00046AAE" w:rsidP="004742CC">
      <w:pPr>
        <w:pStyle w:val="Akapitzlist"/>
        <w:numPr>
          <w:ilvl w:val="0"/>
          <w:numId w:val="2"/>
        </w:numPr>
        <w:spacing w:before="120" w:after="0" w:line="360" w:lineRule="auto"/>
        <w:ind w:left="426" w:hanging="426"/>
        <w:jc w:val="both"/>
        <w:rPr>
          <w:rFonts w:ascii="Times New Roman" w:eastAsia="Times New Roman" w:hAnsi="Times New Roman" w:cs="Times New Roman"/>
          <w:sz w:val="24"/>
          <w:szCs w:val="24"/>
          <w:lang w:eastAsia="pl-PL"/>
        </w:rPr>
      </w:pPr>
      <w:r w:rsidRPr="000431F7">
        <w:rPr>
          <w:rFonts w:ascii="Times New Roman" w:hAnsi="Times New Roman" w:cs="Times New Roman"/>
          <w:sz w:val="24"/>
          <w:szCs w:val="24"/>
        </w:rPr>
        <w:t>ustawie z dnia 29 lipca 2005 r. o obrocie instrumentami finansowymi</w:t>
      </w:r>
      <w:r w:rsidR="00FA033E">
        <w:rPr>
          <w:rFonts w:ascii="Times New Roman" w:hAnsi="Times New Roman" w:cs="Times New Roman"/>
          <w:sz w:val="24"/>
          <w:szCs w:val="24"/>
        </w:rPr>
        <w:t>;</w:t>
      </w:r>
    </w:p>
    <w:p w14:paraId="25DE4956" w14:textId="64268AF4" w:rsidR="00046AAE" w:rsidRPr="000431F7" w:rsidRDefault="00046AAE" w:rsidP="004742CC">
      <w:pPr>
        <w:pStyle w:val="Akapitzlist"/>
        <w:numPr>
          <w:ilvl w:val="0"/>
          <w:numId w:val="2"/>
        </w:numPr>
        <w:spacing w:before="120" w:after="0" w:line="360" w:lineRule="auto"/>
        <w:ind w:left="426" w:hanging="426"/>
        <w:jc w:val="both"/>
        <w:rPr>
          <w:rFonts w:ascii="Times New Roman" w:eastAsia="Times New Roman" w:hAnsi="Times New Roman" w:cs="Times New Roman"/>
          <w:sz w:val="24"/>
          <w:szCs w:val="24"/>
          <w:lang w:eastAsia="pl-PL"/>
        </w:rPr>
      </w:pPr>
      <w:r w:rsidRPr="000431F7">
        <w:rPr>
          <w:rFonts w:ascii="Times New Roman" w:hAnsi="Times New Roman" w:cs="Times New Roman"/>
          <w:sz w:val="24"/>
          <w:szCs w:val="24"/>
        </w:rPr>
        <w:t xml:space="preserve">ustawie z dnia 19 sierpnia 2011 </w:t>
      </w:r>
      <w:r w:rsidR="001B6710" w:rsidRPr="000431F7">
        <w:rPr>
          <w:rFonts w:ascii="Times New Roman" w:hAnsi="Times New Roman" w:cs="Times New Roman"/>
          <w:sz w:val="24"/>
          <w:szCs w:val="24"/>
        </w:rPr>
        <w:t xml:space="preserve">r. </w:t>
      </w:r>
      <w:r w:rsidRPr="000431F7">
        <w:rPr>
          <w:rFonts w:ascii="Times New Roman" w:hAnsi="Times New Roman" w:cs="Times New Roman"/>
          <w:sz w:val="24"/>
          <w:szCs w:val="24"/>
        </w:rPr>
        <w:t>o usługach płatniczych</w:t>
      </w:r>
      <w:r w:rsidR="00FA033E">
        <w:rPr>
          <w:rFonts w:ascii="Times New Roman" w:hAnsi="Times New Roman" w:cs="Times New Roman"/>
          <w:sz w:val="24"/>
          <w:szCs w:val="24"/>
        </w:rPr>
        <w:t>;</w:t>
      </w:r>
    </w:p>
    <w:p w14:paraId="5BB03A96" w14:textId="35ADAB5A" w:rsidR="00046AAE" w:rsidRPr="000431F7" w:rsidRDefault="00046AAE" w:rsidP="004742CC">
      <w:pPr>
        <w:pStyle w:val="Akapitzlist"/>
        <w:numPr>
          <w:ilvl w:val="0"/>
          <w:numId w:val="2"/>
        </w:numPr>
        <w:spacing w:before="120" w:after="0" w:line="360" w:lineRule="auto"/>
        <w:ind w:left="426" w:hanging="426"/>
        <w:jc w:val="both"/>
        <w:rPr>
          <w:rFonts w:ascii="Times New Roman" w:eastAsia="Times New Roman" w:hAnsi="Times New Roman" w:cs="Times New Roman"/>
          <w:sz w:val="24"/>
          <w:szCs w:val="24"/>
          <w:lang w:eastAsia="pl-PL"/>
        </w:rPr>
      </w:pPr>
      <w:r w:rsidRPr="000431F7">
        <w:rPr>
          <w:rFonts w:ascii="Times New Roman" w:hAnsi="Times New Roman" w:cs="Times New Roman"/>
          <w:sz w:val="24"/>
          <w:szCs w:val="24"/>
        </w:rPr>
        <w:t>ustawie z dnia 5 sierpnia 2015 r. o rozpatrywaniu reklamacji przez podmioty rynku finansowego, o Rzeczniku Finansowym i o Funduszu Edukacji Finansowej</w:t>
      </w:r>
      <w:r w:rsidR="00FA033E">
        <w:rPr>
          <w:rFonts w:ascii="Times New Roman" w:hAnsi="Times New Roman" w:cs="Times New Roman"/>
          <w:sz w:val="24"/>
          <w:szCs w:val="24"/>
        </w:rPr>
        <w:t>;</w:t>
      </w:r>
    </w:p>
    <w:p w14:paraId="1E51F85F" w14:textId="62936712" w:rsidR="001F6176" w:rsidRPr="000431F7" w:rsidRDefault="00046AAE" w:rsidP="004742CC">
      <w:pPr>
        <w:pStyle w:val="Akapitzlist"/>
        <w:numPr>
          <w:ilvl w:val="0"/>
          <w:numId w:val="2"/>
        </w:numPr>
        <w:spacing w:before="120" w:after="0" w:line="360" w:lineRule="auto"/>
        <w:ind w:left="426" w:hanging="426"/>
        <w:jc w:val="both"/>
        <w:rPr>
          <w:rFonts w:ascii="Times New Roman" w:eastAsia="Times New Roman" w:hAnsi="Times New Roman" w:cs="Times New Roman"/>
          <w:sz w:val="24"/>
          <w:szCs w:val="24"/>
          <w:lang w:eastAsia="pl-PL"/>
        </w:rPr>
      </w:pPr>
      <w:r w:rsidRPr="000431F7">
        <w:rPr>
          <w:rFonts w:ascii="Times New Roman" w:hAnsi="Times New Roman" w:cs="Times New Roman"/>
          <w:sz w:val="24"/>
          <w:szCs w:val="24"/>
        </w:rPr>
        <w:t>ustawie z dnia 11 września 2015 r. o działalności ubezpieczeniowej i reasekuracyjnej</w:t>
      </w:r>
      <w:r w:rsidR="00FA033E">
        <w:rPr>
          <w:rFonts w:ascii="Times New Roman" w:hAnsi="Times New Roman" w:cs="Times New Roman"/>
          <w:sz w:val="24"/>
          <w:szCs w:val="24"/>
        </w:rPr>
        <w:t>;</w:t>
      </w:r>
    </w:p>
    <w:p w14:paraId="21D414DE" w14:textId="4B39FD32" w:rsidR="002A1A78" w:rsidRPr="000431F7" w:rsidRDefault="00046AAE" w:rsidP="004742CC">
      <w:pPr>
        <w:pStyle w:val="Akapitzlist"/>
        <w:numPr>
          <w:ilvl w:val="0"/>
          <w:numId w:val="2"/>
        </w:numPr>
        <w:spacing w:before="120" w:after="0" w:line="360" w:lineRule="auto"/>
        <w:ind w:left="426" w:hanging="426"/>
        <w:jc w:val="both"/>
        <w:rPr>
          <w:rFonts w:ascii="Times New Roman" w:eastAsia="Times New Roman" w:hAnsi="Times New Roman" w:cs="Times New Roman"/>
          <w:sz w:val="24"/>
          <w:szCs w:val="24"/>
          <w:lang w:eastAsia="pl-PL"/>
        </w:rPr>
      </w:pPr>
      <w:r w:rsidRPr="000431F7">
        <w:rPr>
          <w:rFonts w:ascii="Times New Roman" w:hAnsi="Times New Roman" w:cs="Times New Roman"/>
          <w:sz w:val="24"/>
          <w:szCs w:val="24"/>
        </w:rPr>
        <w:t>ustawie z dnia 10 czerwca 2016 r. o Bankowym Funduszu Gwarancyjnym, systemie gwarantowania depozytów oraz przymusowej restrukturyzacji</w:t>
      </w:r>
      <w:r w:rsidR="00EC7DA7">
        <w:rPr>
          <w:rFonts w:ascii="Times New Roman" w:hAnsi="Times New Roman" w:cs="Times New Roman"/>
          <w:sz w:val="24"/>
          <w:szCs w:val="24"/>
        </w:rPr>
        <w:t>.</w:t>
      </w:r>
    </w:p>
    <w:p w14:paraId="3877D884" w14:textId="4A7B84CC" w:rsidR="00326D44" w:rsidRPr="000431F7" w:rsidRDefault="00326D44" w:rsidP="004742CC">
      <w:pPr>
        <w:spacing w:before="120" w:after="0" w:line="360" w:lineRule="auto"/>
        <w:jc w:val="both"/>
        <w:rPr>
          <w:rFonts w:ascii="Times New Roman" w:hAnsi="Times New Roman" w:cs="Times New Roman"/>
          <w:sz w:val="24"/>
          <w:szCs w:val="24"/>
        </w:rPr>
      </w:pPr>
      <w:r w:rsidRPr="000431F7">
        <w:rPr>
          <w:rFonts w:ascii="Times New Roman" w:eastAsia="Times New Roman" w:hAnsi="Times New Roman" w:cs="Times New Roman"/>
          <w:sz w:val="24"/>
          <w:szCs w:val="24"/>
          <w:lang w:eastAsia="pl-PL"/>
        </w:rPr>
        <w:t xml:space="preserve">Ponadto projekt ustawy </w:t>
      </w:r>
      <w:r w:rsidRPr="000431F7">
        <w:rPr>
          <w:rFonts w:ascii="Times New Roman" w:hAnsi="Times New Roman" w:cs="Times New Roman"/>
          <w:sz w:val="24"/>
          <w:szCs w:val="24"/>
        </w:rPr>
        <w:t>o zmianie niektórych ustaw w związku z zapewnieniem operacyjnej odporności cyfrowej sektora finansowego</w:t>
      </w:r>
      <w:r w:rsidR="00600067" w:rsidRPr="000431F7">
        <w:rPr>
          <w:rFonts w:ascii="Times New Roman" w:hAnsi="Times New Roman" w:cs="Times New Roman"/>
          <w:sz w:val="24"/>
          <w:szCs w:val="24"/>
        </w:rPr>
        <w:t xml:space="preserve"> oraz emitowaniem europejskich zielonych obligacji</w:t>
      </w:r>
      <w:r w:rsidRPr="000431F7">
        <w:rPr>
          <w:rFonts w:ascii="Times New Roman" w:hAnsi="Times New Roman" w:cs="Times New Roman"/>
          <w:sz w:val="24"/>
          <w:szCs w:val="24"/>
        </w:rPr>
        <w:t xml:space="preserve"> służy </w:t>
      </w:r>
      <w:r w:rsidR="003B599A" w:rsidRPr="000431F7">
        <w:rPr>
          <w:rFonts w:ascii="Times New Roman" w:hAnsi="Times New Roman" w:cs="Times New Roman"/>
          <w:sz w:val="24"/>
          <w:szCs w:val="24"/>
        </w:rPr>
        <w:t xml:space="preserve">zapewnieniu </w:t>
      </w:r>
      <w:r w:rsidR="00AE13A6" w:rsidRPr="000431F7">
        <w:rPr>
          <w:rFonts w:ascii="Times New Roman" w:hAnsi="Times New Roman" w:cs="Times New Roman"/>
          <w:sz w:val="24"/>
          <w:szCs w:val="24"/>
        </w:rPr>
        <w:t xml:space="preserve">stosowania </w:t>
      </w:r>
      <w:r w:rsidRPr="000431F7">
        <w:rPr>
          <w:rFonts w:ascii="Times New Roman" w:hAnsi="Times New Roman" w:cs="Times New Roman"/>
          <w:sz w:val="24"/>
          <w:szCs w:val="24"/>
        </w:rPr>
        <w:t>rozporządzenia 2023/2631.</w:t>
      </w:r>
    </w:p>
    <w:p w14:paraId="68B9FFF1" w14:textId="563C522C" w:rsidR="00326D44" w:rsidRPr="000431F7" w:rsidRDefault="00326D44" w:rsidP="004742CC">
      <w:pPr>
        <w:spacing w:before="120" w:after="0" w:line="360" w:lineRule="auto"/>
        <w:jc w:val="both"/>
        <w:rPr>
          <w:rFonts w:ascii="Times New Roman" w:hAnsi="Times New Roman" w:cs="Times New Roman"/>
          <w:sz w:val="24"/>
          <w:szCs w:val="24"/>
        </w:rPr>
      </w:pPr>
      <w:r w:rsidRPr="000431F7">
        <w:rPr>
          <w:rFonts w:ascii="Times New Roman" w:hAnsi="Times New Roman" w:cs="Times New Roman"/>
          <w:sz w:val="24"/>
          <w:szCs w:val="24"/>
        </w:rPr>
        <w:t>Rozporządzenie 2023/2631 jest częścią szerszego planu działań K</w:t>
      </w:r>
      <w:r w:rsidR="001B6710" w:rsidRPr="000431F7">
        <w:rPr>
          <w:rFonts w:ascii="Times New Roman" w:hAnsi="Times New Roman" w:cs="Times New Roman"/>
          <w:sz w:val="24"/>
          <w:szCs w:val="24"/>
        </w:rPr>
        <w:t xml:space="preserve">omisji </w:t>
      </w:r>
      <w:r w:rsidRPr="000431F7">
        <w:rPr>
          <w:rFonts w:ascii="Times New Roman" w:hAnsi="Times New Roman" w:cs="Times New Roman"/>
          <w:sz w:val="24"/>
          <w:szCs w:val="24"/>
        </w:rPr>
        <w:t>E</w:t>
      </w:r>
      <w:r w:rsidR="001B6710" w:rsidRPr="000431F7">
        <w:rPr>
          <w:rFonts w:ascii="Times New Roman" w:hAnsi="Times New Roman" w:cs="Times New Roman"/>
          <w:sz w:val="24"/>
          <w:szCs w:val="24"/>
        </w:rPr>
        <w:t>uropejskiej</w:t>
      </w:r>
      <w:r w:rsidRPr="000431F7">
        <w:rPr>
          <w:rFonts w:ascii="Times New Roman" w:hAnsi="Times New Roman" w:cs="Times New Roman"/>
          <w:sz w:val="24"/>
          <w:szCs w:val="24"/>
        </w:rPr>
        <w:t xml:space="preserve"> na rzecz zrównoważonego finansowania. Ustanowiono w nim podstawy wspólnych zasad dotyczących stosowania oznakowania „europejska zielona obligacja” lub „</w:t>
      </w:r>
      <w:proofErr w:type="spellStart"/>
      <w:r w:rsidRPr="000431F7">
        <w:rPr>
          <w:rFonts w:ascii="Times New Roman" w:hAnsi="Times New Roman" w:cs="Times New Roman"/>
          <w:sz w:val="24"/>
          <w:szCs w:val="24"/>
        </w:rPr>
        <w:t>EuGB</w:t>
      </w:r>
      <w:proofErr w:type="spellEnd"/>
      <w:r w:rsidRPr="000431F7">
        <w:rPr>
          <w:rFonts w:ascii="Times New Roman" w:hAnsi="Times New Roman" w:cs="Times New Roman"/>
          <w:sz w:val="24"/>
          <w:szCs w:val="24"/>
        </w:rPr>
        <w:t>” w odniesieniu do obligacji służących realizacji celów zrównoważonych środowiskowo. Celem jest lepsze wykorzystanie potencjału jednolitego rynku oraz unii rynków kapitałowych, a także osiągnięcie unijnych założeń klimatycznych i środowiskowych.</w:t>
      </w:r>
    </w:p>
    <w:p w14:paraId="52A62FE8" w14:textId="77777777" w:rsidR="00F90311" w:rsidRPr="000431F7" w:rsidRDefault="00326D44" w:rsidP="004742CC">
      <w:pPr>
        <w:spacing w:before="120" w:after="0" w:line="360" w:lineRule="auto"/>
        <w:jc w:val="both"/>
        <w:rPr>
          <w:rFonts w:ascii="Times New Roman" w:hAnsi="Times New Roman" w:cs="Times New Roman"/>
          <w:sz w:val="24"/>
          <w:szCs w:val="24"/>
        </w:rPr>
      </w:pPr>
      <w:r w:rsidRPr="000431F7">
        <w:rPr>
          <w:rFonts w:ascii="Times New Roman" w:hAnsi="Times New Roman" w:cs="Times New Roman"/>
          <w:sz w:val="24"/>
          <w:szCs w:val="24"/>
        </w:rPr>
        <w:t xml:space="preserve">Rozporządzenie 2023/2631 zakłada realizację trzech celów: </w:t>
      </w:r>
    </w:p>
    <w:p w14:paraId="368EFAF0" w14:textId="4BE61367" w:rsidR="00F90311" w:rsidRPr="000431F7" w:rsidRDefault="00326D44" w:rsidP="004742CC">
      <w:pPr>
        <w:pStyle w:val="Akapitzlist"/>
        <w:numPr>
          <w:ilvl w:val="0"/>
          <w:numId w:val="22"/>
        </w:numPr>
        <w:spacing w:before="120" w:after="0" w:line="360" w:lineRule="auto"/>
        <w:ind w:left="426" w:hanging="426"/>
        <w:jc w:val="both"/>
        <w:rPr>
          <w:rFonts w:ascii="Times New Roman" w:hAnsi="Times New Roman" w:cs="Times New Roman"/>
          <w:sz w:val="24"/>
          <w:szCs w:val="24"/>
        </w:rPr>
      </w:pPr>
      <w:r w:rsidRPr="000431F7">
        <w:rPr>
          <w:rFonts w:ascii="Times New Roman" w:hAnsi="Times New Roman" w:cs="Times New Roman"/>
          <w:sz w:val="24"/>
          <w:szCs w:val="24"/>
        </w:rPr>
        <w:t xml:space="preserve">poprawę zdolności inwestorów do identyfikowania wysokiej jakości i wiarygodnych obligacji </w:t>
      </w:r>
      <w:proofErr w:type="spellStart"/>
      <w:r w:rsidRPr="000431F7">
        <w:rPr>
          <w:rFonts w:ascii="Times New Roman" w:hAnsi="Times New Roman" w:cs="Times New Roman"/>
          <w:sz w:val="24"/>
          <w:szCs w:val="24"/>
        </w:rPr>
        <w:t>EuGB</w:t>
      </w:r>
      <w:proofErr w:type="spellEnd"/>
      <w:r w:rsidR="00FA033E">
        <w:rPr>
          <w:rFonts w:ascii="Times New Roman" w:hAnsi="Times New Roman" w:cs="Times New Roman"/>
          <w:sz w:val="24"/>
          <w:szCs w:val="24"/>
        </w:rPr>
        <w:t>,</w:t>
      </w:r>
    </w:p>
    <w:p w14:paraId="6BBB11FA" w14:textId="5483258B" w:rsidR="00F90311" w:rsidRPr="000431F7" w:rsidRDefault="00326D44" w:rsidP="004742CC">
      <w:pPr>
        <w:pStyle w:val="Akapitzlist"/>
        <w:numPr>
          <w:ilvl w:val="0"/>
          <w:numId w:val="22"/>
        </w:numPr>
        <w:spacing w:before="120" w:after="0" w:line="360" w:lineRule="auto"/>
        <w:ind w:left="426" w:hanging="426"/>
        <w:jc w:val="both"/>
        <w:rPr>
          <w:rFonts w:ascii="Times New Roman" w:hAnsi="Times New Roman" w:cs="Times New Roman"/>
          <w:sz w:val="24"/>
          <w:szCs w:val="24"/>
        </w:rPr>
      </w:pPr>
      <w:r w:rsidRPr="000431F7">
        <w:rPr>
          <w:rFonts w:ascii="Times New Roman" w:hAnsi="Times New Roman" w:cs="Times New Roman"/>
          <w:sz w:val="24"/>
          <w:szCs w:val="24"/>
        </w:rPr>
        <w:t xml:space="preserve">ułatwienie emisji wysokiej jakości </w:t>
      </w:r>
      <w:proofErr w:type="spellStart"/>
      <w:r w:rsidRPr="000431F7">
        <w:rPr>
          <w:rFonts w:ascii="Times New Roman" w:hAnsi="Times New Roman" w:cs="Times New Roman"/>
          <w:sz w:val="24"/>
          <w:szCs w:val="24"/>
        </w:rPr>
        <w:t>EuGB</w:t>
      </w:r>
      <w:proofErr w:type="spellEnd"/>
      <w:r w:rsidRPr="000431F7">
        <w:rPr>
          <w:rFonts w:ascii="Times New Roman" w:hAnsi="Times New Roman" w:cs="Times New Roman"/>
          <w:sz w:val="24"/>
          <w:szCs w:val="24"/>
        </w:rPr>
        <w:t xml:space="preserve"> </w:t>
      </w:r>
      <w:r w:rsidR="003B599A" w:rsidRPr="000431F7">
        <w:rPr>
          <w:rFonts w:ascii="Times New Roman" w:hAnsi="Times New Roman" w:cs="Times New Roman"/>
          <w:sz w:val="24"/>
          <w:szCs w:val="24"/>
        </w:rPr>
        <w:t>przez</w:t>
      </w:r>
      <w:r w:rsidRPr="000431F7">
        <w:rPr>
          <w:rFonts w:ascii="Times New Roman" w:hAnsi="Times New Roman" w:cs="Times New Roman"/>
          <w:sz w:val="24"/>
          <w:szCs w:val="24"/>
        </w:rPr>
        <w:t xml:space="preserve"> wyjaśnienie podstawowych terminów oraz ograniczanie ryzyka utraty reputacji przez emitentów działających w tzw. sektorach przejściowych</w:t>
      </w:r>
      <w:r w:rsidR="00FA033E">
        <w:rPr>
          <w:rFonts w:ascii="Times New Roman" w:hAnsi="Times New Roman" w:cs="Times New Roman"/>
          <w:sz w:val="24"/>
          <w:szCs w:val="24"/>
        </w:rPr>
        <w:t>,</w:t>
      </w:r>
      <w:r w:rsidRPr="000431F7">
        <w:rPr>
          <w:rFonts w:ascii="Times New Roman" w:hAnsi="Times New Roman" w:cs="Times New Roman"/>
          <w:sz w:val="24"/>
          <w:szCs w:val="24"/>
        </w:rPr>
        <w:t xml:space="preserve"> </w:t>
      </w:r>
    </w:p>
    <w:p w14:paraId="54173AD3" w14:textId="3D5F0454" w:rsidR="000431F7" w:rsidRDefault="00326D44" w:rsidP="00C41BA3">
      <w:pPr>
        <w:pStyle w:val="Akapitzlist"/>
        <w:numPr>
          <w:ilvl w:val="0"/>
          <w:numId w:val="22"/>
        </w:numPr>
        <w:spacing w:before="120" w:after="0" w:line="360" w:lineRule="auto"/>
        <w:ind w:left="426" w:hanging="426"/>
        <w:jc w:val="both"/>
        <w:rPr>
          <w:rFonts w:ascii="Times New Roman" w:hAnsi="Times New Roman" w:cs="Times New Roman"/>
          <w:sz w:val="24"/>
          <w:szCs w:val="24"/>
        </w:rPr>
      </w:pPr>
      <w:r w:rsidRPr="000431F7">
        <w:rPr>
          <w:rFonts w:ascii="Times New Roman" w:hAnsi="Times New Roman" w:cs="Times New Roman"/>
          <w:sz w:val="24"/>
          <w:szCs w:val="24"/>
        </w:rPr>
        <w:t xml:space="preserve">ujednolicenie praktyki kontroli zewnętrznej i poprawę zaufania do kontrolerów zewnętrznych </w:t>
      </w:r>
      <w:r w:rsidR="003B599A" w:rsidRPr="000431F7">
        <w:rPr>
          <w:rFonts w:ascii="Times New Roman" w:hAnsi="Times New Roman" w:cs="Times New Roman"/>
          <w:sz w:val="24"/>
          <w:szCs w:val="24"/>
        </w:rPr>
        <w:t>przez</w:t>
      </w:r>
      <w:r w:rsidRPr="000431F7">
        <w:rPr>
          <w:rFonts w:ascii="Times New Roman" w:hAnsi="Times New Roman" w:cs="Times New Roman"/>
          <w:sz w:val="24"/>
          <w:szCs w:val="24"/>
        </w:rPr>
        <w:t xml:space="preserve"> wprowadzenie dobrowolnego reżimu rejestracji i nadzoru.</w:t>
      </w:r>
    </w:p>
    <w:p w14:paraId="429C9F09" w14:textId="214E4E1C" w:rsidR="00326D44" w:rsidRPr="004742CC" w:rsidRDefault="00326D44" w:rsidP="004742CC">
      <w:pPr>
        <w:spacing w:before="120" w:after="0" w:line="360" w:lineRule="auto"/>
        <w:jc w:val="both"/>
        <w:rPr>
          <w:rFonts w:ascii="Times New Roman" w:hAnsi="Times New Roman" w:cs="Times New Roman"/>
          <w:sz w:val="24"/>
          <w:szCs w:val="24"/>
        </w:rPr>
      </w:pPr>
      <w:r w:rsidRPr="004742CC">
        <w:rPr>
          <w:rFonts w:ascii="Times New Roman" w:hAnsi="Times New Roman" w:cs="Times New Roman"/>
          <w:sz w:val="24"/>
          <w:szCs w:val="24"/>
        </w:rPr>
        <w:t>Ponadto rozporządzenie 2023/2631 zakłada stworzenie podstaw oznakowania „europejskich zielonych obligacji” (</w:t>
      </w:r>
      <w:proofErr w:type="spellStart"/>
      <w:r w:rsidRPr="004742CC">
        <w:rPr>
          <w:rFonts w:ascii="Times New Roman" w:hAnsi="Times New Roman" w:cs="Times New Roman"/>
          <w:sz w:val="24"/>
          <w:szCs w:val="24"/>
        </w:rPr>
        <w:t>European</w:t>
      </w:r>
      <w:proofErr w:type="spellEnd"/>
      <w:r w:rsidRPr="004742CC">
        <w:rPr>
          <w:rFonts w:ascii="Times New Roman" w:hAnsi="Times New Roman" w:cs="Times New Roman"/>
          <w:sz w:val="24"/>
          <w:szCs w:val="24"/>
        </w:rPr>
        <w:t xml:space="preserve"> Green Bond, </w:t>
      </w:r>
      <w:proofErr w:type="spellStart"/>
      <w:r w:rsidRPr="004742CC">
        <w:rPr>
          <w:rFonts w:ascii="Times New Roman" w:hAnsi="Times New Roman" w:cs="Times New Roman"/>
          <w:sz w:val="24"/>
          <w:szCs w:val="24"/>
        </w:rPr>
        <w:t>EuGB</w:t>
      </w:r>
      <w:proofErr w:type="spellEnd"/>
      <w:r w:rsidRPr="004742CC">
        <w:rPr>
          <w:rFonts w:ascii="Times New Roman" w:hAnsi="Times New Roman" w:cs="Times New Roman"/>
          <w:sz w:val="24"/>
          <w:szCs w:val="24"/>
        </w:rPr>
        <w:t>), tj. obligacji przyjaznych dla środowiska w świetle rozporządzenia (UE) 2020/825 (unijnej taksonomii), w tym najlepszych praktyk rynkowych, oraz stworzenie systemu rejestracji i nadzoru w stosowaniu „</w:t>
      </w:r>
      <w:proofErr w:type="spellStart"/>
      <w:r w:rsidRPr="004742CC">
        <w:rPr>
          <w:rFonts w:ascii="Times New Roman" w:hAnsi="Times New Roman" w:cs="Times New Roman"/>
          <w:sz w:val="24"/>
          <w:szCs w:val="24"/>
        </w:rPr>
        <w:t>EuGB</w:t>
      </w:r>
      <w:proofErr w:type="spellEnd"/>
      <w:r w:rsidRPr="004742CC">
        <w:rPr>
          <w:rFonts w:ascii="Times New Roman" w:hAnsi="Times New Roman" w:cs="Times New Roman"/>
          <w:sz w:val="24"/>
          <w:szCs w:val="24"/>
        </w:rPr>
        <w:t xml:space="preserve">” przez </w:t>
      </w:r>
      <w:r w:rsidRPr="004742CC">
        <w:rPr>
          <w:rFonts w:ascii="Times New Roman" w:hAnsi="Times New Roman" w:cs="Times New Roman"/>
          <w:sz w:val="24"/>
          <w:szCs w:val="24"/>
        </w:rPr>
        <w:lastRenderedPageBreak/>
        <w:t>kontrolerów zewnętrznych. Rozporządzenie to ma ułatwić dalszy rozwój rynku zielonych obligacji w UE i zminimalizować potencjalne zakłócenia rynkowe, zwiększyć przepływ środków pieniężnych na finansowanie zielonych i zrównoważonych inwestycji (zgodnych z zapisami unijnej taksonomii) oraz zmniejszyć ryzyko „</w:t>
      </w:r>
      <w:proofErr w:type="spellStart"/>
      <w:r w:rsidRPr="004742CC">
        <w:rPr>
          <w:rFonts w:ascii="Times New Roman" w:hAnsi="Times New Roman" w:cs="Times New Roman"/>
          <w:sz w:val="24"/>
          <w:szCs w:val="24"/>
        </w:rPr>
        <w:t>greenwashingu</w:t>
      </w:r>
      <w:proofErr w:type="spellEnd"/>
      <w:r w:rsidRPr="004742CC">
        <w:rPr>
          <w:rFonts w:ascii="Times New Roman" w:hAnsi="Times New Roman" w:cs="Times New Roman"/>
          <w:sz w:val="24"/>
          <w:szCs w:val="24"/>
        </w:rPr>
        <w:t>”. Stosowanie oznakowania „</w:t>
      </w:r>
      <w:proofErr w:type="spellStart"/>
      <w:r w:rsidRPr="004742CC">
        <w:rPr>
          <w:rFonts w:ascii="Times New Roman" w:hAnsi="Times New Roman" w:cs="Times New Roman"/>
          <w:sz w:val="24"/>
          <w:szCs w:val="24"/>
        </w:rPr>
        <w:t>EuGB</w:t>
      </w:r>
      <w:proofErr w:type="spellEnd"/>
      <w:r w:rsidRPr="004742CC">
        <w:rPr>
          <w:rFonts w:ascii="Times New Roman" w:hAnsi="Times New Roman" w:cs="Times New Roman"/>
          <w:sz w:val="24"/>
          <w:szCs w:val="24"/>
        </w:rPr>
        <w:t xml:space="preserve">” ma być dostępne dla wszystkich emitentów obligacji </w:t>
      </w:r>
      <w:proofErr w:type="spellStart"/>
      <w:r w:rsidRPr="004742CC">
        <w:rPr>
          <w:rFonts w:ascii="Times New Roman" w:hAnsi="Times New Roman" w:cs="Times New Roman"/>
          <w:sz w:val="24"/>
          <w:szCs w:val="24"/>
        </w:rPr>
        <w:t>EuGB</w:t>
      </w:r>
      <w:proofErr w:type="spellEnd"/>
      <w:r w:rsidRPr="004742CC">
        <w:rPr>
          <w:rFonts w:ascii="Times New Roman" w:hAnsi="Times New Roman" w:cs="Times New Roman"/>
          <w:sz w:val="24"/>
          <w:szCs w:val="24"/>
        </w:rPr>
        <w:t>, również tych emitentów spoza UE, jeżeli będą oni spełniać wymagania wskazane w rozporządzeniu</w:t>
      </w:r>
      <w:r w:rsidR="00524329" w:rsidRPr="004742CC">
        <w:rPr>
          <w:rFonts w:ascii="Times New Roman" w:hAnsi="Times New Roman" w:cs="Times New Roman"/>
          <w:sz w:val="24"/>
          <w:szCs w:val="24"/>
        </w:rPr>
        <w:t xml:space="preserve"> (UE) 2020/825</w:t>
      </w:r>
      <w:r w:rsidRPr="004742CC">
        <w:rPr>
          <w:rFonts w:ascii="Times New Roman" w:hAnsi="Times New Roman" w:cs="Times New Roman"/>
          <w:sz w:val="24"/>
          <w:szCs w:val="24"/>
        </w:rPr>
        <w:t>.</w:t>
      </w:r>
    </w:p>
    <w:p w14:paraId="5E992DE5" w14:textId="0135EFE6" w:rsidR="00CF762B" w:rsidRPr="000431F7" w:rsidRDefault="009409C1" w:rsidP="004742CC">
      <w:pPr>
        <w:spacing w:before="120" w:after="0" w:line="360" w:lineRule="auto"/>
        <w:jc w:val="both"/>
        <w:rPr>
          <w:rFonts w:ascii="Times New Roman" w:hAnsi="Times New Roman" w:cs="Times New Roman"/>
          <w:sz w:val="24"/>
          <w:szCs w:val="24"/>
        </w:rPr>
      </w:pPr>
      <w:r w:rsidRPr="000431F7">
        <w:rPr>
          <w:rFonts w:ascii="Times New Roman" w:hAnsi="Times New Roman" w:cs="Times New Roman"/>
          <w:sz w:val="24"/>
          <w:szCs w:val="24"/>
        </w:rPr>
        <w:t>W celu zapewnienia stosowania rozporządzenia 2023/2631 projektowana regulacja wprowadzi zmiany w ustawie z dnia 29 lipca 2005 r. o nadzorze nad rynkiem kapitałowym oraz ustawie z dnia 15 stycznia 2015 r. o obligacjach, przy czym zasadnicze wdrożenie nastąpi poprzez zmianę przepisów ustawy z dnia 21 lipca 2006 r. o nadzorze nad rynkiem finansowym (dodanie rozdziału 2d Nadzór nad emitentami europejskich zielonych obligacji</w:t>
      </w:r>
      <w:r w:rsidR="00523858" w:rsidRPr="000431F7">
        <w:rPr>
          <w:rFonts w:ascii="Times New Roman" w:hAnsi="Times New Roman" w:cs="Times New Roman"/>
          <w:sz w:val="24"/>
          <w:szCs w:val="24"/>
        </w:rPr>
        <w:t>)</w:t>
      </w:r>
      <w:r w:rsidRPr="000431F7">
        <w:rPr>
          <w:rFonts w:ascii="Times New Roman" w:hAnsi="Times New Roman" w:cs="Times New Roman"/>
          <w:sz w:val="24"/>
          <w:szCs w:val="24"/>
        </w:rPr>
        <w:t xml:space="preserve">. W kontekście umiejscowienia przepisów mających na celu zapewnienie stosowania rozporządzenia 2023/2631 należy zauważyć, że rozporządzenie to nie reguluje zasad emisji samych obligacji, a jedynie określa jednolite wymogi dla emitentów obligacji, którzy chcą stosować oznakowanie europejska zielona obligacja. Obligacje będą zatem emitowane na podstawie przepisów krajowych (w Polsce, co do zasady, na podstawie ustawy z dnia 15 stycznia 2015 r. o obligacjach), natomiast w sytuacji gdy emitent będzie chciał oznakować swoje obligacje jako </w:t>
      </w:r>
      <w:proofErr w:type="spellStart"/>
      <w:r w:rsidRPr="000431F7">
        <w:rPr>
          <w:rFonts w:ascii="Times New Roman" w:hAnsi="Times New Roman" w:cs="Times New Roman"/>
          <w:sz w:val="24"/>
          <w:szCs w:val="24"/>
        </w:rPr>
        <w:t>EuGB</w:t>
      </w:r>
      <w:proofErr w:type="spellEnd"/>
      <w:r w:rsidR="00523858" w:rsidRPr="000431F7">
        <w:rPr>
          <w:rFonts w:ascii="Times New Roman" w:hAnsi="Times New Roman" w:cs="Times New Roman"/>
          <w:sz w:val="24"/>
          <w:szCs w:val="24"/>
        </w:rPr>
        <w:t>,</w:t>
      </w:r>
      <w:r w:rsidRPr="000431F7">
        <w:rPr>
          <w:rFonts w:ascii="Times New Roman" w:hAnsi="Times New Roman" w:cs="Times New Roman"/>
          <w:sz w:val="24"/>
          <w:szCs w:val="24"/>
        </w:rPr>
        <w:t xml:space="preserve"> będzie dodatkowo obowiązany spełniać wymagania przewidziane rozporządzeniem 2023/2631. Mając na uwadze, że sama emisja obligacji nie podlega nadzorowi KNF, natomiast nadzór tego organu w przypadku obligacji oznakowanych jako </w:t>
      </w:r>
      <w:proofErr w:type="spellStart"/>
      <w:r w:rsidRPr="000431F7">
        <w:rPr>
          <w:rFonts w:ascii="Times New Roman" w:hAnsi="Times New Roman" w:cs="Times New Roman"/>
          <w:sz w:val="24"/>
          <w:szCs w:val="24"/>
        </w:rPr>
        <w:t>EuGB</w:t>
      </w:r>
      <w:proofErr w:type="spellEnd"/>
      <w:r w:rsidRPr="000431F7">
        <w:rPr>
          <w:rFonts w:ascii="Times New Roman" w:hAnsi="Times New Roman" w:cs="Times New Roman"/>
          <w:sz w:val="24"/>
          <w:szCs w:val="24"/>
        </w:rPr>
        <w:t xml:space="preserve"> sprowadza się wyłącznie do kontroli spełniania przez emitenta takich obligacji wymogów informacyjnych wynikających wprost z rozporządzenia 2023/2631, odstąpiono od wprowadzania projektowanych regulacji w ustawie z dnia 15 stycznia 2015 r. o obligacjach i zdecydowano się na ich wdrożenie w ustawie o nadzorze nad rynkiem finansowym. Tym bardziej, że wdrażane przepisy nie generują żadnych obowiązków względem emitenta</w:t>
      </w:r>
      <w:r w:rsidR="00FA033E">
        <w:rPr>
          <w:rFonts w:ascii="Times New Roman" w:hAnsi="Times New Roman" w:cs="Times New Roman"/>
          <w:sz w:val="24"/>
          <w:szCs w:val="24"/>
        </w:rPr>
        <w:t>,</w:t>
      </w:r>
      <w:r w:rsidRPr="000431F7">
        <w:rPr>
          <w:rFonts w:ascii="Times New Roman" w:hAnsi="Times New Roman" w:cs="Times New Roman"/>
          <w:sz w:val="24"/>
          <w:szCs w:val="24"/>
        </w:rPr>
        <w:t xml:space="preserve"> a jedynie uprawnienia nadzorcze dla organu nadzoru względem tych podmiotów. </w:t>
      </w:r>
    </w:p>
    <w:p w14:paraId="3B5636F3" w14:textId="0D40F4D1" w:rsidR="000A2814" w:rsidRPr="000431F7" w:rsidRDefault="009C66E7" w:rsidP="004742CC">
      <w:pPr>
        <w:tabs>
          <w:tab w:val="left" w:pos="426"/>
        </w:tabs>
        <w:spacing w:before="120" w:after="0" w:line="360" w:lineRule="auto"/>
        <w:jc w:val="both"/>
        <w:rPr>
          <w:rFonts w:ascii="Times New Roman" w:hAnsi="Times New Roman" w:cs="Times New Roman"/>
          <w:b/>
          <w:bCs/>
          <w:sz w:val="24"/>
          <w:szCs w:val="24"/>
        </w:rPr>
      </w:pPr>
      <w:r w:rsidRPr="000431F7">
        <w:rPr>
          <w:rFonts w:ascii="Times New Roman" w:hAnsi="Times New Roman" w:cs="Times New Roman"/>
          <w:b/>
          <w:bCs/>
          <w:sz w:val="24"/>
          <w:szCs w:val="24"/>
        </w:rPr>
        <w:t>2.</w:t>
      </w:r>
      <w:r w:rsidR="000431F7">
        <w:rPr>
          <w:rFonts w:ascii="Times New Roman" w:hAnsi="Times New Roman" w:cs="Times New Roman"/>
          <w:b/>
          <w:bCs/>
          <w:sz w:val="24"/>
          <w:szCs w:val="24"/>
        </w:rPr>
        <w:tab/>
      </w:r>
      <w:r w:rsidR="00ED7946" w:rsidRPr="000431F7">
        <w:rPr>
          <w:rFonts w:ascii="Times New Roman" w:hAnsi="Times New Roman" w:cs="Times New Roman"/>
          <w:b/>
          <w:bCs/>
          <w:sz w:val="24"/>
          <w:szCs w:val="24"/>
        </w:rPr>
        <w:t xml:space="preserve">Dotychczasowy stan prawny </w:t>
      </w:r>
      <w:r w:rsidR="008A0D50" w:rsidRPr="000431F7">
        <w:rPr>
          <w:rFonts w:ascii="Times New Roman" w:hAnsi="Times New Roman" w:cs="Times New Roman"/>
          <w:b/>
          <w:bCs/>
          <w:sz w:val="24"/>
          <w:szCs w:val="24"/>
        </w:rPr>
        <w:t>w zakresie rozporządzenia 2022/2554</w:t>
      </w:r>
    </w:p>
    <w:p w14:paraId="1BB4AA08" w14:textId="79DEAB3A" w:rsidR="000A2814" w:rsidRPr="000431F7" w:rsidRDefault="000A2814" w:rsidP="004742CC">
      <w:pPr>
        <w:spacing w:before="120" w:after="0" w:line="360" w:lineRule="auto"/>
        <w:jc w:val="both"/>
        <w:rPr>
          <w:rFonts w:ascii="Times New Roman" w:hAnsi="Times New Roman" w:cs="Times New Roman"/>
          <w:sz w:val="24"/>
          <w:szCs w:val="24"/>
        </w:rPr>
      </w:pPr>
      <w:r w:rsidRPr="000431F7">
        <w:rPr>
          <w:rFonts w:ascii="Times New Roman" w:hAnsi="Times New Roman" w:cs="Times New Roman"/>
          <w:sz w:val="24"/>
          <w:szCs w:val="24"/>
        </w:rPr>
        <w:t xml:space="preserve">Unijny sektor finansowy charakteryzuje się wysokim poziomem harmonizacji regulacji za pomocą jednolitego zbioru przepisów i podlega Europejskiemu Systemowi Nadzoru Finansowego. Jednak przepisy dotyczące operacyjnej odporności cyfrowej i bezpieczeństwa ICT </w:t>
      </w:r>
      <w:r w:rsidR="007568EC" w:rsidRPr="000431F7">
        <w:rPr>
          <w:rFonts w:ascii="Times New Roman" w:hAnsi="Times New Roman" w:cs="Times New Roman"/>
          <w:sz w:val="24"/>
          <w:szCs w:val="24"/>
        </w:rPr>
        <w:t xml:space="preserve">w sektorze finansowym </w:t>
      </w:r>
      <w:r w:rsidRPr="000431F7">
        <w:rPr>
          <w:rFonts w:ascii="Times New Roman" w:hAnsi="Times New Roman" w:cs="Times New Roman"/>
          <w:sz w:val="24"/>
          <w:szCs w:val="24"/>
        </w:rPr>
        <w:t>nie zostały jeszcze w pełni zharmonizowane. W niektórych obszarach</w:t>
      </w:r>
      <w:r w:rsidR="00D23897">
        <w:rPr>
          <w:rFonts w:ascii="Times New Roman" w:hAnsi="Times New Roman" w:cs="Times New Roman"/>
          <w:sz w:val="24"/>
          <w:szCs w:val="24"/>
        </w:rPr>
        <w:t>,</w:t>
      </w:r>
      <w:r w:rsidRPr="000431F7">
        <w:rPr>
          <w:rFonts w:ascii="Times New Roman" w:hAnsi="Times New Roman" w:cs="Times New Roman"/>
          <w:sz w:val="24"/>
          <w:szCs w:val="24"/>
        </w:rPr>
        <w:t xml:space="preserve"> takich jak testowanie operacyjnej </w:t>
      </w:r>
      <w:r w:rsidR="00323DEB" w:rsidRPr="000431F7">
        <w:rPr>
          <w:rFonts w:ascii="Times New Roman" w:hAnsi="Times New Roman" w:cs="Times New Roman"/>
          <w:sz w:val="24"/>
          <w:szCs w:val="24"/>
        </w:rPr>
        <w:t>odporności</w:t>
      </w:r>
      <w:r w:rsidRPr="000431F7">
        <w:rPr>
          <w:rFonts w:ascii="Times New Roman" w:hAnsi="Times New Roman" w:cs="Times New Roman"/>
          <w:sz w:val="24"/>
          <w:szCs w:val="24"/>
        </w:rPr>
        <w:t xml:space="preserve"> cyfrowej</w:t>
      </w:r>
      <w:r w:rsidR="001F6176" w:rsidRPr="000431F7">
        <w:rPr>
          <w:rFonts w:ascii="Times New Roman" w:hAnsi="Times New Roman" w:cs="Times New Roman"/>
          <w:sz w:val="24"/>
          <w:szCs w:val="24"/>
        </w:rPr>
        <w:t>,</w:t>
      </w:r>
      <w:r w:rsidR="007568EC" w:rsidRPr="000431F7">
        <w:rPr>
          <w:rFonts w:ascii="Times New Roman" w:hAnsi="Times New Roman" w:cs="Times New Roman"/>
          <w:sz w:val="24"/>
          <w:szCs w:val="24"/>
        </w:rPr>
        <w:t xml:space="preserve"> harmonizacja</w:t>
      </w:r>
      <w:r w:rsidRPr="000431F7">
        <w:rPr>
          <w:rFonts w:ascii="Times New Roman" w:hAnsi="Times New Roman" w:cs="Times New Roman"/>
          <w:sz w:val="24"/>
          <w:szCs w:val="24"/>
        </w:rPr>
        <w:t xml:space="preserve"> jest </w:t>
      </w:r>
      <w:r w:rsidRPr="000431F7">
        <w:rPr>
          <w:rFonts w:ascii="Times New Roman" w:hAnsi="Times New Roman" w:cs="Times New Roman"/>
          <w:sz w:val="24"/>
          <w:szCs w:val="24"/>
        </w:rPr>
        <w:lastRenderedPageBreak/>
        <w:t xml:space="preserve">ograniczona, </w:t>
      </w:r>
      <w:r w:rsidR="00CC48F7" w:rsidRPr="000431F7">
        <w:rPr>
          <w:rFonts w:ascii="Times New Roman" w:hAnsi="Times New Roman" w:cs="Times New Roman"/>
          <w:sz w:val="24"/>
          <w:szCs w:val="24"/>
        </w:rPr>
        <w:t>w innych obszarach</w:t>
      </w:r>
      <w:r w:rsidR="00D23897">
        <w:rPr>
          <w:rFonts w:ascii="Times New Roman" w:hAnsi="Times New Roman" w:cs="Times New Roman"/>
          <w:sz w:val="24"/>
          <w:szCs w:val="24"/>
        </w:rPr>
        <w:t>,</w:t>
      </w:r>
      <w:r w:rsidR="00CC48F7" w:rsidRPr="000431F7">
        <w:rPr>
          <w:rFonts w:ascii="Times New Roman" w:hAnsi="Times New Roman" w:cs="Times New Roman"/>
          <w:sz w:val="24"/>
          <w:szCs w:val="24"/>
        </w:rPr>
        <w:t xml:space="preserve"> np. </w:t>
      </w:r>
      <w:r w:rsidRPr="000431F7">
        <w:rPr>
          <w:rFonts w:ascii="Times New Roman" w:hAnsi="Times New Roman" w:cs="Times New Roman"/>
          <w:sz w:val="24"/>
          <w:szCs w:val="24"/>
        </w:rPr>
        <w:t>w zakresie monitorowania ryzyka ze strony zewnętrznych dostawców usług ICT,</w:t>
      </w:r>
      <w:r w:rsidR="004F5EAF" w:rsidRPr="000431F7">
        <w:rPr>
          <w:rFonts w:ascii="Times New Roman" w:hAnsi="Times New Roman" w:cs="Times New Roman"/>
          <w:sz w:val="24"/>
          <w:szCs w:val="24"/>
        </w:rPr>
        <w:t xml:space="preserve"> </w:t>
      </w:r>
      <w:r w:rsidR="00323DEB" w:rsidRPr="000431F7">
        <w:rPr>
          <w:rFonts w:ascii="Times New Roman" w:hAnsi="Times New Roman" w:cs="Times New Roman"/>
          <w:sz w:val="24"/>
          <w:szCs w:val="24"/>
        </w:rPr>
        <w:t>brak jest odpowiednich regulacji</w:t>
      </w:r>
      <w:r w:rsidRPr="000431F7">
        <w:rPr>
          <w:rFonts w:ascii="Times New Roman" w:hAnsi="Times New Roman" w:cs="Times New Roman"/>
          <w:sz w:val="24"/>
          <w:szCs w:val="24"/>
        </w:rPr>
        <w:t xml:space="preserve">. </w:t>
      </w:r>
      <w:r w:rsidR="00323DEB" w:rsidRPr="000431F7">
        <w:rPr>
          <w:rFonts w:ascii="Times New Roman" w:hAnsi="Times New Roman" w:cs="Times New Roman"/>
          <w:sz w:val="24"/>
          <w:szCs w:val="24"/>
        </w:rPr>
        <w:t>Z uwagi na powyższe</w:t>
      </w:r>
      <w:r w:rsidRPr="000431F7">
        <w:rPr>
          <w:rFonts w:ascii="Times New Roman" w:hAnsi="Times New Roman" w:cs="Times New Roman"/>
          <w:sz w:val="24"/>
          <w:szCs w:val="24"/>
        </w:rPr>
        <w:t xml:space="preserve"> </w:t>
      </w:r>
      <w:r w:rsidR="00323DEB" w:rsidRPr="000431F7">
        <w:rPr>
          <w:rFonts w:ascii="Times New Roman" w:hAnsi="Times New Roman" w:cs="Times New Roman"/>
          <w:sz w:val="24"/>
          <w:szCs w:val="24"/>
        </w:rPr>
        <w:t>zdecydowano o przyjęciu</w:t>
      </w:r>
      <w:r w:rsidRPr="000431F7">
        <w:rPr>
          <w:rFonts w:ascii="Times New Roman" w:hAnsi="Times New Roman" w:cs="Times New Roman"/>
          <w:sz w:val="24"/>
          <w:szCs w:val="24"/>
        </w:rPr>
        <w:t xml:space="preserve"> jednej, czytelnej regulacji UE</w:t>
      </w:r>
      <w:r w:rsidR="00323DEB" w:rsidRPr="000431F7">
        <w:rPr>
          <w:rFonts w:ascii="Times New Roman" w:hAnsi="Times New Roman" w:cs="Times New Roman"/>
          <w:sz w:val="24"/>
          <w:szCs w:val="24"/>
        </w:rPr>
        <w:t>, która</w:t>
      </w:r>
      <w:r w:rsidRPr="000431F7">
        <w:rPr>
          <w:rFonts w:ascii="Times New Roman" w:hAnsi="Times New Roman" w:cs="Times New Roman"/>
          <w:sz w:val="24"/>
          <w:szCs w:val="24"/>
        </w:rPr>
        <w:t xml:space="preserve"> </w:t>
      </w:r>
      <w:r w:rsidR="007568EC" w:rsidRPr="000431F7">
        <w:rPr>
          <w:rFonts w:ascii="Times New Roman" w:hAnsi="Times New Roman" w:cs="Times New Roman"/>
          <w:sz w:val="24"/>
          <w:szCs w:val="24"/>
        </w:rPr>
        <w:t xml:space="preserve">ma na celu uporządkowanie przepisów odnoszących się do operacyjnej odporności cyfrowej i ich uzupełnienie. </w:t>
      </w:r>
    </w:p>
    <w:p w14:paraId="23C642D0" w14:textId="0FFCBA7D" w:rsidR="00532ECD" w:rsidRPr="000431F7" w:rsidRDefault="00323DEB" w:rsidP="004742CC">
      <w:pPr>
        <w:spacing w:before="120" w:after="0" w:line="360" w:lineRule="auto"/>
        <w:jc w:val="both"/>
        <w:rPr>
          <w:rFonts w:ascii="Times New Roman" w:hAnsi="Times New Roman" w:cs="Times New Roman"/>
          <w:sz w:val="24"/>
          <w:szCs w:val="24"/>
        </w:rPr>
      </w:pPr>
      <w:r w:rsidRPr="000431F7">
        <w:rPr>
          <w:rFonts w:ascii="Times New Roman" w:hAnsi="Times New Roman" w:cs="Times New Roman"/>
          <w:sz w:val="24"/>
          <w:szCs w:val="24"/>
        </w:rPr>
        <w:t xml:space="preserve">W obowiązującym porządku prawnym </w:t>
      </w:r>
      <w:r w:rsidR="00532ECD" w:rsidRPr="000431F7">
        <w:rPr>
          <w:rFonts w:ascii="Times New Roman" w:hAnsi="Times New Roman" w:cs="Times New Roman"/>
          <w:sz w:val="24"/>
          <w:szCs w:val="24"/>
        </w:rPr>
        <w:t xml:space="preserve">fragmentaryczne regulacje dotyczące operacyjnej </w:t>
      </w:r>
      <w:r w:rsidRPr="000431F7">
        <w:rPr>
          <w:rFonts w:ascii="Times New Roman" w:hAnsi="Times New Roman" w:cs="Times New Roman"/>
          <w:sz w:val="24"/>
          <w:szCs w:val="24"/>
        </w:rPr>
        <w:t>odporności</w:t>
      </w:r>
      <w:r w:rsidR="00532ECD" w:rsidRPr="000431F7">
        <w:rPr>
          <w:rFonts w:ascii="Times New Roman" w:hAnsi="Times New Roman" w:cs="Times New Roman"/>
          <w:sz w:val="24"/>
          <w:szCs w:val="24"/>
        </w:rPr>
        <w:t xml:space="preserve"> cyfrowej znajdują się w aktach prawnych regulujących poszczególne rodzaje usług finansowych</w:t>
      </w:r>
      <w:r w:rsidR="00D23897">
        <w:rPr>
          <w:rFonts w:ascii="Times New Roman" w:hAnsi="Times New Roman" w:cs="Times New Roman"/>
          <w:sz w:val="24"/>
          <w:szCs w:val="24"/>
        </w:rPr>
        <w:t>,</w:t>
      </w:r>
      <w:r w:rsidR="00532ECD" w:rsidRPr="000431F7">
        <w:rPr>
          <w:rFonts w:ascii="Times New Roman" w:hAnsi="Times New Roman" w:cs="Times New Roman"/>
          <w:sz w:val="24"/>
          <w:szCs w:val="24"/>
        </w:rPr>
        <w:t xml:space="preserve"> </w:t>
      </w:r>
      <w:r w:rsidR="00043BBE" w:rsidRPr="000431F7">
        <w:rPr>
          <w:rFonts w:ascii="Times New Roman" w:hAnsi="Times New Roman" w:cs="Times New Roman"/>
          <w:sz w:val="24"/>
          <w:szCs w:val="24"/>
        </w:rPr>
        <w:t xml:space="preserve">takich </w:t>
      </w:r>
      <w:r w:rsidR="00532ECD" w:rsidRPr="000431F7">
        <w:rPr>
          <w:rFonts w:ascii="Times New Roman" w:hAnsi="Times New Roman" w:cs="Times New Roman"/>
          <w:sz w:val="24"/>
          <w:szCs w:val="24"/>
        </w:rPr>
        <w:t>jak usługi bankowe</w:t>
      </w:r>
      <w:r w:rsidRPr="000431F7">
        <w:rPr>
          <w:rFonts w:ascii="Times New Roman" w:hAnsi="Times New Roman" w:cs="Times New Roman"/>
          <w:sz w:val="24"/>
          <w:szCs w:val="24"/>
        </w:rPr>
        <w:t xml:space="preserve">, </w:t>
      </w:r>
      <w:r w:rsidR="00532ECD" w:rsidRPr="000431F7">
        <w:rPr>
          <w:rFonts w:ascii="Times New Roman" w:hAnsi="Times New Roman" w:cs="Times New Roman"/>
          <w:sz w:val="24"/>
          <w:szCs w:val="24"/>
        </w:rPr>
        <w:t>usługi płatnicze,</w:t>
      </w:r>
      <w:r w:rsidRPr="000431F7">
        <w:rPr>
          <w:rFonts w:ascii="Times New Roman" w:hAnsi="Times New Roman" w:cs="Times New Roman"/>
          <w:sz w:val="24"/>
          <w:szCs w:val="24"/>
        </w:rPr>
        <w:t xml:space="preserve"> sektor funduszy emerytalnych, sektor funduszy inwestycyjnych czy działalność ubezpieczeniowa i reasekuracyjna. </w:t>
      </w:r>
    </w:p>
    <w:p w14:paraId="546D54EA" w14:textId="6D8B141A" w:rsidR="000A2814" w:rsidRPr="000431F7" w:rsidRDefault="007568EC" w:rsidP="004742CC">
      <w:pPr>
        <w:spacing w:before="120" w:after="0" w:line="360" w:lineRule="auto"/>
        <w:jc w:val="both"/>
        <w:rPr>
          <w:rFonts w:ascii="Times New Roman" w:hAnsi="Times New Roman" w:cs="Times New Roman"/>
          <w:color w:val="000000"/>
          <w:sz w:val="24"/>
          <w:szCs w:val="24"/>
          <w:shd w:val="clear" w:color="auto" w:fill="FFFFFF"/>
        </w:rPr>
      </w:pPr>
      <w:r w:rsidRPr="000431F7">
        <w:rPr>
          <w:rFonts w:ascii="Times New Roman" w:hAnsi="Times New Roman" w:cs="Times New Roman"/>
          <w:color w:val="000000"/>
          <w:sz w:val="24"/>
          <w:szCs w:val="24"/>
          <w:shd w:val="clear" w:color="auto" w:fill="FFFFFF"/>
        </w:rPr>
        <w:t xml:space="preserve">Kluczowym </w:t>
      </w:r>
      <w:r w:rsidR="00323DEB" w:rsidRPr="000431F7">
        <w:rPr>
          <w:rFonts w:ascii="Times New Roman" w:hAnsi="Times New Roman" w:cs="Times New Roman"/>
          <w:color w:val="000000"/>
          <w:sz w:val="24"/>
          <w:szCs w:val="24"/>
          <w:shd w:val="clear" w:color="auto" w:fill="FFFFFF"/>
        </w:rPr>
        <w:t xml:space="preserve">i pierwszym kompleksowym </w:t>
      </w:r>
      <w:r w:rsidRPr="000431F7">
        <w:rPr>
          <w:rFonts w:ascii="Times New Roman" w:hAnsi="Times New Roman" w:cs="Times New Roman"/>
          <w:color w:val="000000"/>
          <w:sz w:val="24"/>
          <w:szCs w:val="24"/>
          <w:shd w:val="clear" w:color="auto" w:fill="FFFFFF"/>
        </w:rPr>
        <w:t>aktem prawnym na poziomie</w:t>
      </w:r>
      <w:r w:rsidR="00323DEB" w:rsidRPr="000431F7">
        <w:rPr>
          <w:rFonts w:ascii="Times New Roman" w:hAnsi="Times New Roman" w:cs="Times New Roman"/>
          <w:color w:val="000000"/>
          <w:sz w:val="24"/>
          <w:szCs w:val="24"/>
          <w:shd w:val="clear" w:color="auto" w:fill="FFFFFF"/>
        </w:rPr>
        <w:t xml:space="preserve"> </w:t>
      </w:r>
      <w:r w:rsidRPr="000431F7">
        <w:rPr>
          <w:rFonts w:ascii="Times New Roman" w:hAnsi="Times New Roman" w:cs="Times New Roman"/>
          <w:color w:val="000000"/>
          <w:sz w:val="24"/>
          <w:szCs w:val="24"/>
          <w:shd w:val="clear" w:color="auto" w:fill="FFFFFF"/>
        </w:rPr>
        <w:t xml:space="preserve">UE, regulującym </w:t>
      </w:r>
      <w:r w:rsidR="00532ECD" w:rsidRPr="000431F7">
        <w:rPr>
          <w:rFonts w:ascii="Times New Roman" w:hAnsi="Times New Roman" w:cs="Times New Roman"/>
          <w:color w:val="000000"/>
          <w:sz w:val="24"/>
          <w:szCs w:val="24"/>
          <w:shd w:val="clear" w:color="auto" w:fill="FFFFFF"/>
        </w:rPr>
        <w:t xml:space="preserve">kwestie związane z </w:t>
      </w:r>
      <w:proofErr w:type="spellStart"/>
      <w:r w:rsidR="00532ECD" w:rsidRPr="000431F7">
        <w:rPr>
          <w:rFonts w:ascii="Times New Roman" w:hAnsi="Times New Roman" w:cs="Times New Roman"/>
          <w:color w:val="000000"/>
          <w:sz w:val="24"/>
          <w:szCs w:val="24"/>
          <w:shd w:val="clear" w:color="auto" w:fill="FFFFFF"/>
        </w:rPr>
        <w:t>cyb</w:t>
      </w:r>
      <w:r w:rsidR="00553210" w:rsidRPr="000431F7">
        <w:rPr>
          <w:rFonts w:ascii="Times New Roman" w:hAnsi="Times New Roman" w:cs="Times New Roman"/>
          <w:color w:val="000000"/>
          <w:sz w:val="24"/>
          <w:szCs w:val="24"/>
          <w:shd w:val="clear" w:color="auto" w:fill="FFFFFF"/>
        </w:rPr>
        <w:t>er</w:t>
      </w:r>
      <w:r w:rsidR="00532ECD" w:rsidRPr="000431F7">
        <w:rPr>
          <w:rFonts w:ascii="Times New Roman" w:hAnsi="Times New Roman" w:cs="Times New Roman"/>
          <w:color w:val="000000"/>
          <w:sz w:val="24"/>
          <w:szCs w:val="24"/>
          <w:shd w:val="clear" w:color="auto" w:fill="FFFFFF"/>
        </w:rPr>
        <w:t>bezpieczeństwem</w:t>
      </w:r>
      <w:proofErr w:type="spellEnd"/>
      <w:r w:rsidR="00532ECD" w:rsidRPr="000431F7">
        <w:rPr>
          <w:rFonts w:ascii="Times New Roman" w:hAnsi="Times New Roman" w:cs="Times New Roman"/>
          <w:color w:val="000000"/>
          <w:sz w:val="24"/>
          <w:szCs w:val="24"/>
          <w:shd w:val="clear" w:color="auto" w:fill="FFFFFF"/>
        </w:rPr>
        <w:t xml:space="preserve"> była</w:t>
      </w:r>
      <w:r w:rsidR="00C15C6C" w:rsidRPr="000431F7">
        <w:rPr>
          <w:rFonts w:ascii="Times New Roman" w:hAnsi="Times New Roman" w:cs="Times New Roman"/>
          <w:color w:val="000000"/>
          <w:sz w:val="24"/>
          <w:szCs w:val="24"/>
          <w:shd w:val="clear" w:color="auto" w:fill="FFFFFF"/>
        </w:rPr>
        <w:t xml:space="preserve"> </w:t>
      </w:r>
      <w:r w:rsidR="00C15C6C" w:rsidRPr="000431F7">
        <w:rPr>
          <w:rFonts w:ascii="Times New Roman" w:hAnsi="Times New Roman" w:cs="Times New Roman"/>
          <w:sz w:val="24"/>
          <w:szCs w:val="24"/>
        </w:rPr>
        <w:t>dyrektywa Parlamentu Europejskiego i Rady 2016/1148 z dnia 6 lipca 2016 r. w sprawie środków na rzecz wysokiego wspólnego poziomu bezpieczeństwa sieci i systemów informatycznych na terytorium Unii</w:t>
      </w:r>
      <w:r w:rsidR="00524329" w:rsidRPr="000431F7">
        <w:rPr>
          <w:rFonts w:ascii="Times New Roman" w:hAnsi="Times New Roman" w:cs="Times New Roman"/>
          <w:sz w:val="24"/>
          <w:szCs w:val="24"/>
        </w:rPr>
        <w:t xml:space="preserve">, </w:t>
      </w:r>
      <w:r w:rsidR="00B74AEA" w:rsidRPr="000431F7">
        <w:rPr>
          <w:rFonts w:ascii="Times New Roman" w:hAnsi="Times New Roman" w:cs="Times New Roman"/>
          <w:color w:val="000000"/>
          <w:sz w:val="24"/>
          <w:szCs w:val="24"/>
          <w:shd w:val="clear" w:color="auto" w:fill="FFFFFF"/>
        </w:rPr>
        <w:t>zwan</w:t>
      </w:r>
      <w:r w:rsidR="00A73012" w:rsidRPr="000431F7">
        <w:rPr>
          <w:rFonts w:ascii="Times New Roman" w:hAnsi="Times New Roman" w:cs="Times New Roman"/>
          <w:color w:val="000000"/>
          <w:sz w:val="24"/>
          <w:szCs w:val="24"/>
          <w:shd w:val="clear" w:color="auto" w:fill="FFFFFF"/>
        </w:rPr>
        <w:t>a</w:t>
      </w:r>
      <w:r w:rsidR="00B74AEA" w:rsidRPr="000431F7">
        <w:rPr>
          <w:rFonts w:ascii="Times New Roman" w:hAnsi="Times New Roman" w:cs="Times New Roman"/>
          <w:color w:val="000000"/>
          <w:sz w:val="24"/>
          <w:szCs w:val="24"/>
          <w:shd w:val="clear" w:color="auto" w:fill="FFFFFF"/>
        </w:rPr>
        <w:t xml:space="preserve"> dalej </w:t>
      </w:r>
      <w:r w:rsidR="00987740">
        <w:rPr>
          <w:rFonts w:ascii="Times New Roman" w:hAnsi="Times New Roman" w:cs="Times New Roman"/>
          <w:color w:val="000000"/>
          <w:sz w:val="24"/>
          <w:szCs w:val="24"/>
          <w:shd w:val="clear" w:color="auto" w:fill="FFFFFF"/>
        </w:rPr>
        <w:t>„</w:t>
      </w:r>
      <w:r w:rsidR="00C15C6C" w:rsidRPr="000431F7">
        <w:rPr>
          <w:rFonts w:ascii="Times New Roman" w:hAnsi="Times New Roman" w:cs="Times New Roman"/>
          <w:color w:val="000000"/>
          <w:sz w:val="24"/>
          <w:szCs w:val="24"/>
          <w:shd w:val="clear" w:color="auto" w:fill="FFFFFF"/>
        </w:rPr>
        <w:t>dyrektyw</w:t>
      </w:r>
      <w:r w:rsidR="00E60943" w:rsidRPr="000431F7">
        <w:rPr>
          <w:rFonts w:ascii="Times New Roman" w:hAnsi="Times New Roman" w:cs="Times New Roman"/>
          <w:color w:val="000000"/>
          <w:sz w:val="24"/>
          <w:szCs w:val="24"/>
          <w:shd w:val="clear" w:color="auto" w:fill="FFFFFF"/>
        </w:rPr>
        <w:t>ą</w:t>
      </w:r>
      <w:r w:rsidR="00C15C6C" w:rsidRPr="000431F7">
        <w:rPr>
          <w:rFonts w:ascii="Times New Roman" w:hAnsi="Times New Roman" w:cs="Times New Roman"/>
          <w:color w:val="000000"/>
          <w:sz w:val="24"/>
          <w:szCs w:val="24"/>
          <w:shd w:val="clear" w:color="auto" w:fill="FFFFFF"/>
        </w:rPr>
        <w:t xml:space="preserve"> </w:t>
      </w:r>
      <w:r w:rsidR="00C15C6C" w:rsidRPr="000431F7">
        <w:rPr>
          <w:rFonts w:ascii="Times New Roman" w:hAnsi="Times New Roman" w:cs="Times New Roman"/>
          <w:sz w:val="24"/>
          <w:szCs w:val="24"/>
        </w:rPr>
        <w:t>2016/1148</w:t>
      </w:r>
      <w:r w:rsidR="00B74AEA" w:rsidRPr="000431F7">
        <w:rPr>
          <w:rFonts w:ascii="Times New Roman" w:hAnsi="Times New Roman" w:cs="Times New Roman"/>
          <w:color w:val="000000"/>
          <w:sz w:val="24"/>
          <w:szCs w:val="24"/>
          <w:shd w:val="clear" w:color="auto" w:fill="FFFFFF"/>
        </w:rPr>
        <w:t>”</w:t>
      </w:r>
      <w:r w:rsidR="00532ECD" w:rsidRPr="000431F7">
        <w:rPr>
          <w:rFonts w:ascii="Times New Roman" w:hAnsi="Times New Roman" w:cs="Times New Roman"/>
          <w:color w:val="000000"/>
          <w:sz w:val="24"/>
          <w:szCs w:val="24"/>
          <w:shd w:val="clear" w:color="auto" w:fill="FFFFFF"/>
        </w:rPr>
        <w:t xml:space="preserve">, która stanowiła pierwsze horyzontalne ramy w zakresie </w:t>
      </w:r>
      <w:proofErr w:type="spellStart"/>
      <w:r w:rsidR="00532ECD" w:rsidRPr="000431F7">
        <w:rPr>
          <w:rFonts w:ascii="Times New Roman" w:hAnsi="Times New Roman" w:cs="Times New Roman"/>
          <w:color w:val="000000"/>
          <w:sz w:val="24"/>
          <w:szCs w:val="24"/>
          <w:shd w:val="clear" w:color="auto" w:fill="FFFFFF"/>
        </w:rPr>
        <w:t>cyberbezpieczeństwa</w:t>
      </w:r>
      <w:proofErr w:type="spellEnd"/>
      <w:r w:rsidR="00532ECD" w:rsidRPr="000431F7">
        <w:rPr>
          <w:rFonts w:ascii="Times New Roman" w:hAnsi="Times New Roman" w:cs="Times New Roman"/>
          <w:color w:val="000000"/>
          <w:sz w:val="24"/>
          <w:szCs w:val="24"/>
          <w:shd w:val="clear" w:color="auto" w:fill="FFFFFF"/>
        </w:rPr>
        <w:t xml:space="preserve">, mające też zastosowanie do trzech rodzajów podmiotów finansowych, a mianowicie instytucji kredytowych, systemów obrotu i kontrahentów centralnych. Jednak biorąc pod uwagę, że w dyrektywie </w:t>
      </w:r>
      <w:r w:rsidR="00C15C6C" w:rsidRPr="000431F7">
        <w:rPr>
          <w:rFonts w:ascii="Times New Roman" w:hAnsi="Times New Roman" w:cs="Times New Roman"/>
          <w:color w:val="000000"/>
          <w:sz w:val="24"/>
          <w:szCs w:val="24"/>
          <w:shd w:val="clear" w:color="auto" w:fill="FFFFFF"/>
        </w:rPr>
        <w:t xml:space="preserve">2016/1148 </w:t>
      </w:r>
      <w:r w:rsidR="00532ECD" w:rsidRPr="000431F7">
        <w:rPr>
          <w:rFonts w:ascii="Times New Roman" w:hAnsi="Times New Roman" w:cs="Times New Roman"/>
          <w:color w:val="000000"/>
          <w:sz w:val="24"/>
          <w:szCs w:val="24"/>
          <w:shd w:val="clear" w:color="auto" w:fill="FFFFFF"/>
        </w:rPr>
        <w:t xml:space="preserve">określono mechanizm identyfikacji na szczeblu krajowym operatorów usług kluczowych, jedynie niektóre </w:t>
      </w:r>
      <w:r w:rsidR="00463811" w:rsidRPr="000431F7">
        <w:rPr>
          <w:rFonts w:ascii="Times New Roman" w:hAnsi="Times New Roman" w:cs="Times New Roman"/>
          <w:color w:val="000000"/>
          <w:sz w:val="24"/>
          <w:szCs w:val="24"/>
          <w:shd w:val="clear" w:color="auto" w:fill="FFFFFF"/>
        </w:rPr>
        <w:t xml:space="preserve">podmioty finansowe zostały objęte </w:t>
      </w:r>
      <w:r w:rsidR="00532ECD" w:rsidRPr="000431F7">
        <w:rPr>
          <w:rFonts w:ascii="Times New Roman" w:hAnsi="Times New Roman" w:cs="Times New Roman"/>
          <w:color w:val="000000"/>
          <w:sz w:val="24"/>
          <w:szCs w:val="24"/>
          <w:shd w:val="clear" w:color="auto" w:fill="FFFFFF"/>
        </w:rPr>
        <w:t>jej zakresem stosowania</w:t>
      </w:r>
      <w:r w:rsidR="002C6419" w:rsidRPr="000431F7">
        <w:rPr>
          <w:rFonts w:ascii="Times New Roman" w:hAnsi="Times New Roman" w:cs="Times New Roman"/>
          <w:color w:val="000000"/>
          <w:sz w:val="24"/>
          <w:szCs w:val="24"/>
          <w:shd w:val="clear" w:color="auto" w:fill="FFFFFF"/>
        </w:rPr>
        <w:t xml:space="preserve"> i </w:t>
      </w:r>
      <w:r w:rsidR="00532ECD" w:rsidRPr="000431F7">
        <w:rPr>
          <w:rFonts w:ascii="Times New Roman" w:hAnsi="Times New Roman" w:cs="Times New Roman"/>
          <w:color w:val="000000"/>
          <w:sz w:val="24"/>
          <w:szCs w:val="24"/>
          <w:shd w:val="clear" w:color="auto" w:fill="FFFFFF"/>
        </w:rPr>
        <w:t>obowiąz</w:t>
      </w:r>
      <w:r w:rsidR="002C6419" w:rsidRPr="000431F7">
        <w:rPr>
          <w:rFonts w:ascii="Times New Roman" w:hAnsi="Times New Roman" w:cs="Times New Roman"/>
          <w:color w:val="000000"/>
          <w:sz w:val="24"/>
          <w:szCs w:val="24"/>
          <w:shd w:val="clear" w:color="auto" w:fill="FFFFFF"/>
        </w:rPr>
        <w:t>kiem</w:t>
      </w:r>
      <w:r w:rsidR="00532ECD" w:rsidRPr="000431F7">
        <w:rPr>
          <w:rFonts w:ascii="Times New Roman" w:hAnsi="Times New Roman" w:cs="Times New Roman"/>
          <w:color w:val="000000"/>
          <w:sz w:val="24"/>
          <w:szCs w:val="24"/>
          <w:shd w:val="clear" w:color="auto" w:fill="FFFFFF"/>
        </w:rPr>
        <w:t xml:space="preserve"> spełnia</w:t>
      </w:r>
      <w:r w:rsidR="002C6419" w:rsidRPr="000431F7">
        <w:rPr>
          <w:rFonts w:ascii="Times New Roman" w:hAnsi="Times New Roman" w:cs="Times New Roman"/>
          <w:color w:val="000000"/>
          <w:sz w:val="24"/>
          <w:szCs w:val="24"/>
          <w:shd w:val="clear" w:color="auto" w:fill="FFFFFF"/>
        </w:rPr>
        <w:t>nia</w:t>
      </w:r>
      <w:r w:rsidR="00532ECD" w:rsidRPr="000431F7">
        <w:rPr>
          <w:rFonts w:ascii="Times New Roman" w:hAnsi="Times New Roman" w:cs="Times New Roman"/>
          <w:color w:val="000000"/>
          <w:sz w:val="24"/>
          <w:szCs w:val="24"/>
          <w:shd w:val="clear" w:color="auto" w:fill="FFFFFF"/>
        </w:rPr>
        <w:t xml:space="preserve"> określon</w:t>
      </w:r>
      <w:r w:rsidR="002C6419" w:rsidRPr="000431F7">
        <w:rPr>
          <w:rFonts w:ascii="Times New Roman" w:hAnsi="Times New Roman" w:cs="Times New Roman"/>
          <w:color w:val="000000"/>
          <w:sz w:val="24"/>
          <w:szCs w:val="24"/>
          <w:shd w:val="clear" w:color="auto" w:fill="FFFFFF"/>
        </w:rPr>
        <w:t>ych</w:t>
      </w:r>
      <w:r w:rsidR="00532ECD" w:rsidRPr="000431F7">
        <w:rPr>
          <w:rFonts w:ascii="Times New Roman" w:hAnsi="Times New Roman" w:cs="Times New Roman"/>
          <w:color w:val="000000"/>
          <w:sz w:val="24"/>
          <w:szCs w:val="24"/>
          <w:shd w:val="clear" w:color="auto" w:fill="FFFFFF"/>
        </w:rPr>
        <w:t xml:space="preserve"> w niej wymog</w:t>
      </w:r>
      <w:r w:rsidR="002C6419" w:rsidRPr="000431F7">
        <w:rPr>
          <w:rFonts w:ascii="Times New Roman" w:hAnsi="Times New Roman" w:cs="Times New Roman"/>
          <w:color w:val="000000"/>
          <w:sz w:val="24"/>
          <w:szCs w:val="24"/>
          <w:shd w:val="clear" w:color="auto" w:fill="FFFFFF"/>
        </w:rPr>
        <w:t>ów</w:t>
      </w:r>
      <w:r w:rsidR="00532ECD" w:rsidRPr="000431F7">
        <w:rPr>
          <w:rFonts w:ascii="Times New Roman" w:hAnsi="Times New Roman" w:cs="Times New Roman"/>
          <w:color w:val="000000"/>
          <w:sz w:val="24"/>
          <w:szCs w:val="24"/>
          <w:shd w:val="clear" w:color="auto" w:fill="FFFFFF"/>
        </w:rPr>
        <w:t xml:space="preserve"> w zakresie bezpieczeństwa ICT i zgłaszania incydentów. Nowa </w:t>
      </w:r>
      <w:r w:rsidR="00CF61F4" w:rsidRPr="000431F7">
        <w:rPr>
          <w:rFonts w:ascii="Times New Roman" w:hAnsi="Times New Roman" w:cs="Times New Roman"/>
          <w:color w:val="000000"/>
          <w:sz w:val="24"/>
          <w:szCs w:val="24"/>
          <w:shd w:val="clear" w:color="auto" w:fill="FFFFFF"/>
        </w:rPr>
        <w:t>d</w:t>
      </w:r>
      <w:r w:rsidR="00532ECD" w:rsidRPr="000431F7">
        <w:rPr>
          <w:rFonts w:ascii="Times New Roman" w:hAnsi="Times New Roman" w:cs="Times New Roman"/>
          <w:color w:val="000000"/>
          <w:sz w:val="24"/>
          <w:szCs w:val="24"/>
          <w:shd w:val="clear" w:color="auto" w:fill="FFFFFF"/>
        </w:rPr>
        <w:t>yrektywa</w:t>
      </w:r>
      <w:r w:rsidR="007F6CDA" w:rsidRPr="000431F7">
        <w:rPr>
          <w:rFonts w:ascii="Times New Roman" w:hAnsi="Times New Roman" w:cs="Times New Roman"/>
          <w:color w:val="000000"/>
          <w:sz w:val="24"/>
          <w:szCs w:val="24"/>
          <w:shd w:val="clear" w:color="auto" w:fill="FFFFFF"/>
        </w:rPr>
        <w:t xml:space="preserve"> </w:t>
      </w:r>
      <w:r w:rsidR="007F6CDA" w:rsidRPr="000431F7">
        <w:rPr>
          <w:rFonts w:ascii="Times New Roman" w:hAnsi="Times New Roman" w:cs="Times New Roman"/>
          <w:sz w:val="24"/>
          <w:szCs w:val="24"/>
          <w:shd w:val="clear" w:color="auto" w:fill="FFFFFF"/>
        </w:rPr>
        <w:t xml:space="preserve">Parlamentu Europejskiego i Rady 2022/2555 z dnia 14 grudnia 2022 r. w sprawie środków na rzecz wysokiego wspólnego poziomu </w:t>
      </w:r>
      <w:proofErr w:type="spellStart"/>
      <w:r w:rsidR="007F6CDA" w:rsidRPr="000431F7">
        <w:rPr>
          <w:rFonts w:ascii="Times New Roman" w:hAnsi="Times New Roman" w:cs="Times New Roman"/>
          <w:sz w:val="24"/>
          <w:szCs w:val="24"/>
          <w:shd w:val="clear" w:color="auto" w:fill="FFFFFF"/>
        </w:rPr>
        <w:t>cyberbezpieczeństwa</w:t>
      </w:r>
      <w:proofErr w:type="spellEnd"/>
      <w:r w:rsidR="007F6CDA" w:rsidRPr="000431F7">
        <w:rPr>
          <w:rFonts w:ascii="Times New Roman" w:hAnsi="Times New Roman" w:cs="Times New Roman"/>
          <w:sz w:val="24"/>
          <w:szCs w:val="24"/>
          <w:shd w:val="clear" w:color="auto" w:fill="FFFFFF"/>
        </w:rPr>
        <w:t xml:space="preserve"> na terytorium Unii, zmieniająca rozporządzenie (UE) nr 910/2014 i dyrektywę (UE) 2018/1972 oraz uchylająca dyrektywę (UE) 2016/1148</w:t>
      </w:r>
      <w:r w:rsidR="00524329" w:rsidRPr="000431F7">
        <w:rPr>
          <w:rFonts w:ascii="Times New Roman" w:hAnsi="Times New Roman" w:cs="Times New Roman"/>
          <w:sz w:val="24"/>
          <w:szCs w:val="24"/>
          <w:shd w:val="clear" w:color="auto" w:fill="FFFFFF"/>
        </w:rPr>
        <w:t xml:space="preserve">, </w:t>
      </w:r>
      <w:r w:rsidR="00C15C6C" w:rsidRPr="000431F7">
        <w:rPr>
          <w:rFonts w:ascii="Times New Roman" w:hAnsi="Times New Roman" w:cs="Times New Roman"/>
          <w:sz w:val="24"/>
          <w:szCs w:val="24"/>
        </w:rPr>
        <w:t>zwan</w:t>
      </w:r>
      <w:r w:rsidR="00A73012" w:rsidRPr="000431F7">
        <w:rPr>
          <w:rFonts w:ascii="Times New Roman" w:hAnsi="Times New Roman" w:cs="Times New Roman"/>
          <w:sz w:val="24"/>
          <w:szCs w:val="24"/>
        </w:rPr>
        <w:t>a</w:t>
      </w:r>
      <w:r w:rsidR="00C15C6C" w:rsidRPr="000431F7">
        <w:rPr>
          <w:rFonts w:ascii="Times New Roman" w:hAnsi="Times New Roman" w:cs="Times New Roman"/>
          <w:sz w:val="24"/>
          <w:szCs w:val="24"/>
        </w:rPr>
        <w:t xml:space="preserve"> dalej „dyrektywą </w:t>
      </w:r>
      <w:r w:rsidR="00C15C6C" w:rsidRPr="000431F7">
        <w:rPr>
          <w:rFonts w:ascii="Times New Roman" w:hAnsi="Times New Roman" w:cs="Times New Roman"/>
          <w:sz w:val="24"/>
          <w:szCs w:val="24"/>
          <w:shd w:val="clear" w:color="auto" w:fill="FFFFFF"/>
        </w:rPr>
        <w:t>2022/2555</w:t>
      </w:r>
      <w:r w:rsidR="00C15C6C" w:rsidRPr="000431F7">
        <w:rPr>
          <w:rFonts w:ascii="Times New Roman" w:hAnsi="Times New Roman" w:cs="Times New Roman"/>
          <w:sz w:val="24"/>
          <w:szCs w:val="24"/>
        </w:rPr>
        <w:t>”</w:t>
      </w:r>
      <w:r w:rsidR="002C6419" w:rsidRPr="000431F7">
        <w:rPr>
          <w:rFonts w:ascii="Times New Roman" w:hAnsi="Times New Roman" w:cs="Times New Roman"/>
          <w:sz w:val="24"/>
          <w:szCs w:val="24"/>
        </w:rPr>
        <w:t xml:space="preserve">, regulująca zagadnienia z zakresu </w:t>
      </w:r>
      <w:proofErr w:type="spellStart"/>
      <w:r w:rsidR="002C6419" w:rsidRPr="000431F7">
        <w:rPr>
          <w:rFonts w:ascii="Times New Roman" w:hAnsi="Times New Roman" w:cs="Times New Roman"/>
          <w:sz w:val="24"/>
          <w:szCs w:val="24"/>
        </w:rPr>
        <w:t>cyberbezpieczeństwa</w:t>
      </w:r>
      <w:proofErr w:type="spellEnd"/>
      <w:r w:rsidR="002C6419" w:rsidRPr="000431F7">
        <w:rPr>
          <w:rFonts w:ascii="Times New Roman" w:hAnsi="Times New Roman" w:cs="Times New Roman"/>
          <w:sz w:val="24"/>
          <w:szCs w:val="24"/>
        </w:rPr>
        <w:t>,</w:t>
      </w:r>
      <w:r w:rsidR="00532ECD" w:rsidRPr="000431F7">
        <w:rPr>
          <w:rFonts w:ascii="Times New Roman" w:hAnsi="Times New Roman" w:cs="Times New Roman"/>
          <w:sz w:val="24"/>
          <w:szCs w:val="24"/>
        </w:rPr>
        <w:t xml:space="preserve"> </w:t>
      </w:r>
      <w:r w:rsidR="00532ECD" w:rsidRPr="000431F7">
        <w:rPr>
          <w:rFonts w:ascii="Times New Roman" w:hAnsi="Times New Roman" w:cs="Times New Roman"/>
          <w:color w:val="000000"/>
          <w:sz w:val="24"/>
          <w:szCs w:val="24"/>
          <w:shd w:val="clear" w:color="auto" w:fill="FFFFFF"/>
        </w:rPr>
        <w:t>ustanawia jednolite kryterium określania podmiotów objętych jej zakresem stosowania (zasada limitu wielkości), przy czym obejmuje nim też wspomniane trzy rodzaje podmiotów finansowych.</w:t>
      </w:r>
    </w:p>
    <w:p w14:paraId="605D359A" w14:textId="0B8F24F8" w:rsidR="00532ECD" w:rsidRPr="000431F7" w:rsidRDefault="00532ECD" w:rsidP="004742CC">
      <w:pPr>
        <w:spacing w:before="120" w:after="0" w:line="360" w:lineRule="auto"/>
        <w:jc w:val="both"/>
        <w:rPr>
          <w:rFonts w:ascii="Times New Roman" w:hAnsi="Times New Roman" w:cs="Times New Roman"/>
          <w:sz w:val="24"/>
          <w:szCs w:val="24"/>
        </w:rPr>
      </w:pPr>
      <w:r w:rsidRPr="000431F7">
        <w:rPr>
          <w:rFonts w:ascii="Times New Roman" w:hAnsi="Times New Roman" w:cs="Times New Roman"/>
          <w:color w:val="000000"/>
          <w:sz w:val="24"/>
          <w:szCs w:val="24"/>
          <w:shd w:val="clear" w:color="auto" w:fill="FFFFFF"/>
        </w:rPr>
        <w:t xml:space="preserve">Regulacja dyrektywy </w:t>
      </w:r>
      <w:r w:rsidR="00C15C6C" w:rsidRPr="000431F7">
        <w:rPr>
          <w:rFonts w:ascii="Times New Roman" w:hAnsi="Times New Roman" w:cs="Times New Roman"/>
          <w:sz w:val="24"/>
          <w:szCs w:val="24"/>
        </w:rPr>
        <w:t xml:space="preserve">2016/1148 </w:t>
      </w:r>
      <w:r w:rsidRPr="000431F7">
        <w:rPr>
          <w:rFonts w:ascii="Times New Roman" w:hAnsi="Times New Roman" w:cs="Times New Roman"/>
          <w:color w:val="000000"/>
          <w:sz w:val="24"/>
          <w:szCs w:val="24"/>
          <w:shd w:val="clear" w:color="auto" w:fill="FFFFFF"/>
        </w:rPr>
        <w:t xml:space="preserve">została </w:t>
      </w:r>
      <w:r w:rsidR="002C6419" w:rsidRPr="000431F7">
        <w:rPr>
          <w:rFonts w:ascii="Times New Roman" w:hAnsi="Times New Roman" w:cs="Times New Roman"/>
          <w:color w:val="000000"/>
          <w:sz w:val="24"/>
          <w:szCs w:val="24"/>
          <w:shd w:val="clear" w:color="auto" w:fill="FFFFFF"/>
        </w:rPr>
        <w:t>implementowana</w:t>
      </w:r>
      <w:r w:rsidRPr="000431F7">
        <w:rPr>
          <w:rFonts w:ascii="Times New Roman" w:hAnsi="Times New Roman" w:cs="Times New Roman"/>
          <w:color w:val="000000"/>
          <w:sz w:val="24"/>
          <w:szCs w:val="24"/>
          <w:shd w:val="clear" w:color="auto" w:fill="FFFFFF"/>
        </w:rPr>
        <w:t xml:space="preserve"> do polskiego systemu prawnego ustawą z dnia </w:t>
      </w:r>
      <w:r w:rsidR="002C6419" w:rsidRPr="000431F7">
        <w:rPr>
          <w:rFonts w:ascii="Times New Roman" w:hAnsi="Times New Roman" w:cs="Times New Roman"/>
          <w:color w:val="000000"/>
          <w:sz w:val="24"/>
          <w:szCs w:val="24"/>
          <w:shd w:val="clear" w:color="auto" w:fill="FFFFFF"/>
        </w:rPr>
        <w:t xml:space="preserve">5 lipca 2018 r. </w:t>
      </w:r>
      <w:r w:rsidRPr="000431F7">
        <w:rPr>
          <w:rFonts w:ascii="Times New Roman" w:hAnsi="Times New Roman" w:cs="Times New Roman"/>
          <w:color w:val="000000"/>
          <w:sz w:val="24"/>
          <w:szCs w:val="24"/>
          <w:shd w:val="clear" w:color="auto" w:fill="FFFFFF"/>
        </w:rPr>
        <w:t xml:space="preserve">o krajowym systemie </w:t>
      </w:r>
      <w:proofErr w:type="spellStart"/>
      <w:r w:rsidRPr="000431F7">
        <w:rPr>
          <w:rFonts w:ascii="Times New Roman" w:hAnsi="Times New Roman" w:cs="Times New Roman"/>
          <w:color w:val="000000"/>
          <w:sz w:val="24"/>
          <w:szCs w:val="24"/>
          <w:shd w:val="clear" w:color="auto" w:fill="FFFFFF"/>
        </w:rPr>
        <w:t>cyberbezpieczeństwa</w:t>
      </w:r>
      <w:proofErr w:type="spellEnd"/>
      <w:r w:rsidR="00524329" w:rsidRPr="000431F7">
        <w:rPr>
          <w:rFonts w:ascii="Times New Roman" w:hAnsi="Times New Roman" w:cs="Times New Roman"/>
          <w:color w:val="000000"/>
          <w:sz w:val="24"/>
          <w:szCs w:val="24"/>
          <w:shd w:val="clear" w:color="auto" w:fill="FFFFFF"/>
        </w:rPr>
        <w:t xml:space="preserve">, </w:t>
      </w:r>
      <w:r w:rsidR="00601B96" w:rsidRPr="000431F7">
        <w:rPr>
          <w:rFonts w:ascii="Times New Roman" w:hAnsi="Times New Roman" w:cs="Times New Roman"/>
          <w:color w:val="000000"/>
          <w:sz w:val="24"/>
          <w:szCs w:val="24"/>
          <w:shd w:val="clear" w:color="auto" w:fill="FFFFFF"/>
        </w:rPr>
        <w:t>zwan</w:t>
      </w:r>
      <w:r w:rsidR="00524329" w:rsidRPr="000431F7">
        <w:rPr>
          <w:rFonts w:ascii="Times New Roman" w:hAnsi="Times New Roman" w:cs="Times New Roman"/>
          <w:color w:val="000000"/>
          <w:sz w:val="24"/>
          <w:szCs w:val="24"/>
          <w:shd w:val="clear" w:color="auto" w:fill="FFFFFF"/>
        </w:rPr>
        <w:t>ą</w:t>
      </w:r>
      <w:r w:rsidR="00601B96" w:rsidRPr="000431F7">
        <w:rPr>
          <w:rFonts w:ascii="Times New Roman" w:hAnsi="Times New Roman" w:cs="Times New Roman"/>
          <w:color w:val="000000"/>
          <w:sz w:val="24"/>
          <w:szCs w:val="24"/>
          <w:shd w:val="clear" w:color="auto" w:fill="FFFFFF"/>
        </w:rPr>
        <w:t xml:space="preserve"> dalej </w:t>
      </w:r>
      <w:r w:rsidR="00987740">
        <w:rPr>
          <w:rFonts w:ascii="Times New Roman" w:hAnsi="Times New Roman" w:cs="Times New Roman"/>
          <w:color w:val="000000"/>
          <w:sz w:val="24"/>
          <w:szCs w:val="24"/>
          <w:shd w:val="clear" w:color="auto" w:fill="FFFFFF"/>
        </w:rPr>
        <w:t>„</w:t>
      </w:r>
      <w:r w:rsidR="00601B96" w:rsidRPr="000431F7">
        <w:rPr>
          <w:rFonts w:ascii="Times New Roman" w:hAnsi="Times New Roman" w:cs="Times New Roman"/>
          <w:color w:val="000000"/>
          <w:sz w:val="24"/>
          <w:szCs w:val="24"/>
          <w:shd w:val="clear" w:color="auto" w:fill="FFFFFF"/>
        </w:rPr>
        <w:t xml:space="preserve">ustawą o krajowym systemie </w:t>
      </w:r>
      <w:proofErr w:type="spellStart"/>
      <w:r w:rsidR="00601B96" w:rsidRPr="000431F7">
        <w:rPr>
          <w:rFonts w:ascii="Times New Roman" w:hAnsi="Times New Roman" w:cs="Times New Roman"/>
          <w:color w:val="000000"/>
          <w:sz w:val="24"/>
          <w:szCs w:val="24"/>
          <w:shd w:val="clear" w:color="auto" w:fill="FFFFFF"/>
        </w:rPr>
        <w:t>cyberbezpieczeństwa</w:t>
      </w:r>
      <w:proofErr w:type="spellEnd"/>
      <w:r w:rsidR="00601B96" w:rsidRPr="000431F7">
        <w:rPr>
          <w:rFonts w:ascii="Times New Roman" w:hAnsi="Times New Roman" w:cs="Times New Roman"/>
          <w:color w:val="000000"/>
          <w:sz w:val="24"/>
          <w:szCs w:val="24"/>
          <w:shd w:val="clear" w:color="auto" w:fill="FFFFFF"/>
        </w:rPr>
        <w:t>”</w:t>
      </w:r>
      <w:r w:rsidRPr="000431F7">
        <w:rPr>
          <w:rFonts w:ascii="Times New Roman" w:hAnsi="Times New Roman" w:cs="Times New Roman"/>
          <w:color w:val="000000"/>
          <w:sz w:val="24"/>
          <w:szCs w:val="24"/>
          <w:shd w:val="clear" w:color="auto" w:fill="FFFFFF"/>
        </w:rPr>
        <w:t xml:space="preserve">, </w:t>
      </w:r>
      <w:r w:rsidR="00C15C6C" w:rsidRPr="000431F7">
        <w:rPr>
          <w:rFonts w:ascii="Times New Roman" w:hAnsi="Times New Roman" w:cs="Times New Roman"/>
          <w:color w:val="000000"/>
          <w:sz w:val="24"/>
          <w:szCs w:val="24"/>
          <w:shd w:val="clear" w:color="auto" w:fill="FFFFFF"/>
        </w:rPr>
        <w:t xml:space="preserve">która jest </w:t>
      </w:r>
      <w:r w:rsidRPr="000431F7">
        <w:rPr>
          <w:rFonts w:ascii="Times New Roman" w:hAnsi="Times New Roman" w:cs="Times New Roman"/>
          <w:color w:val="000000"/>
          <w:sz w:val="24"/>
          <w:szCs w:val="24"/>
          <w:shd w:val="clear" w:color="auto" w:fill="FFFFFF"/>
        </w:rPr>
        <w:t>ustawą horyzontaln</w:t>
      </w:r>
      <w:r w:rsidR="0055776E" w:rsidRPr="000431F7">
        <w:rPr>
          <w:rFonts w:ascii="Times New Roman" w:hAnsi="Times New Roman" w:cs="Times New Roman"/>
          <w:color w:val="000000"/>
          <w:sz w:val="24"/>
          <w:szCs w:val="24"/>
          <w:shd w:val="clear" w:color="auto" w:fill="FFFFFF"/>
        </w:rPr>
        <w:t>ą</w:t>
      </w:r>
      <w:r w:rsidRPr="000431F7">
        <w:rPr>
          <w:rFonts w:ascii="Times New Roman" w:hAnsi="Times New Roman" w:cs="Times New Roman"/>
          <w:color w:val="000000"/>
          <w:sz w:val="24"/>
          <w:szCs w:val="24"/>
          <w:shd w:val="clear" w:color="auto" w:fill="FFFFFF"/>
        </w:rPr>
        <w:t xml:space="preserve">, wprowadzającą </w:t>
      </w:r>
      <w:r w:rsidR="002C6419" w:rsidRPr="000431F7">
        <w:rPr>
          <w:rFonts w:ascii="Times New Roman" w:hAnsi="Times New Roman" w:cs="Times New Roman"/>
          <w:color w:val="000000"/>
          <w:sz w:val="24"/>
          <w:szCs w:val="24"/>
          <w:shd w:val="clear" w:color="auto" w:fill="FFFFFF"/>
        </w:rPr>
        <w:t>rozwiązania</w:t>
      </w:r>
      <w:r w:rsidRPr="000431F7">
        <w:rPr>
          <w:rFonts w:ascii="Times New Roman" w:hAnsi="Times New Roman" w:cs="Times New Roman"/>
          <w:color w:val="000000"/>
          <w:sz w:val="24"/>
          <w:szCs w:val="24"/>
          <w:shd w:val="clear" w:color="auto" w:fill="FFFFFF"/>
        </w:rPr>
        <w:t xml:space="preserve"> o </w:t>
      </w:r>
      <w:r w:rsidR="002C6419" w:rsidRPr="000431F7">
        <w:rPr>
          <w:rFonts w:ascii="Times New Roman" w:hAnsi="Times New Roman" w:cs="Times New Roman"/>
          <w:color w:val="000000"/>
          <w:sz w:val="24"/>
          <w:szCs w:val="24"/>
          <w:shd w:val="clear" w:color="auto" w:fill="FFFFFF"/>
        </w:rPr>
        <w:t>charakterze</w:t>
      </w:r>
      <w:r w:rsidRPr="000431F7">
        <w:rPr>
          <w:rFonts w:ascii="Times New Roman" w:hAnsi="Times New Roman" w:cs="Times New Roman"/>
          <w:color w:val="000000"/>
          <w:sz w:val="24"/>
          <w:szCs w:val="24"/>
          <w:shd w:val="clear" w:color="auto" w:fill="FFFFFF"/>
        </w:rPr>
        <w:t xml:space="preserve"> systemowym, w tym dotyczące </w:t>
      </w:r>
      <w:r w:rsidR="002C6419" w:rsidRPr="000431F7">
        <w:rPr>
          <w:rFonts w:ascii="Times New Roman" w:hAnsi="Times New Roman" w:cs="Times New Roman"/>
          <w:sz w:val="24"/>
          <w:szCs w:val="24"/>
        </w:rPr>
        <w:t xml:space="preserve">organizacji krajowego systemu </w:t>
      </w:r>
      <w:proofErr w:type="spellStart"/>
      <w:r w:rsidR="002C6419" w:rsidRPr="000431F7">
        <w:rPr>
          <w:rFonts w:ascii="Times New Roman" w:hAnsi="Times New Roman" w:cs="Times New Roman"/>
          <w:sz w:val="24"/>
          <w:szCs w:val="24"/>
        </w:rPr>
        <w:t>cyberbezpieczeństwa</w:t>
      </w:r>
      <w:proofErr w:type="spellEnd"/>
      <w:r w:rsidR="009645FB">
        <w:rPr>
          <w:rFonts w:ascii="Times New Roman" w:hAnsi="Times New Roman" w:cs="Times New Roman"/>
          <w:sz w:val="24"/>
          <w:szCs w:val="24"/>
        </w:rPr>
        <w:t>,</w:t>
      </w:r>
      <w:r w:rsidR="002C6419" w:rsidRPr="000431F7">
        <w:rPr>
          <w:rFonts w:ascii="Times New Roman" w:hAnsi="Times New Roman" w:cs="Times New Roman"/>
          <w:sz w:val="24"/>
          <w:szCs w:val="24"/>
        </w:rPr>
        <w:t xml:space="preserve"> </w:t>
      </w:r>
      <w:r w:rsidR="004D6A42" w:rsidRPr="000431F7">
        <w:rPr>
          <w:rFonts w:ascii="Times New Roman" w:hAnsi="Times New Roman" w:cs="Times New Roman"/>
          <w:sz w:val="24"/>
          <w:szCs w:val="24"/>
        </w:rPr>
        <w:t xml:space="preserve">tj. </w:t>
      </w:r>
      <w:r w:rsidR="002C6419" w:rsidRPr="000431F7">
        <w:rPr>
          <w:rFonts w:ascii="Times New Roman" w:hAnsi="Times New Roman" w:cs="Times New Roman"/>
          <w:sz w:val="24"/>
          <w:szCs w:val="24"/>
        </w:rPr>
        <w:t>zadania i obowiązki podmiotów wchodzących w skład tego systemu</w:t>
      </w:r>
      <w:r w:rsidR="00CF61F4" w:rsidRPr="000431F7">
        <w:rPr>
          <w:rFonts w:ascii="Times New Roman" w:hAnsi="Times New Roman" w:cs="Times New Roman"/>
          <w:sz w:val="24"/>
          <w:szCs w:val="24"/>
        </w:rPr>
        <w:t xml:space="preserve">, </w:t>
      </w:r>
      <w:r w:rsidR="00775DF7" w:rsidRPr="000431F7">
        <w:rPr>
          <w:rFonts w:ascii="Times New Roman" w:hAnsi="Times New Roman" w:cs="Times New Roman"/>
          <w:sz w:val="24"/>
          <w:szCs w:val="24"/>
        </w:rPr>
        <w:t>określa</w:t>
      </w:r>
      <w:r w:rsidR="00C15C6C" w:rsidRPr="000431F7">
        <w:rPr>
          <w:rFonts w:ascii="Times New Roman" w:hAnsi="Times New Roman" w:cs="Times New Roman"/>
          <w:sz w:val="24"/>
          <w:szCs w:val="24"/>
        </w:rPr>
        <w:t xml:space="preserve"> także</w:t>
      </w:r>
      <w:r w:rsidR="00775DF7" w:rsidRPr="000431F7">
        <w:rPr>
          <w:rFonts w:ascii="Times New Roman" w:hAnsi="Times New Roman" w:cs="Times New Roman"/>
          <w:sz w:val="24"/>
          <w:szCs w:val="24"/>
        </w:rPr>
        <w:t xml:space="preserve"> </w:t>
      </w:r>
      <w:r w:rsidR="002C6419" w:rsidRPr="000431F7">
        <w:rPr>
          <w:rFonts w:ascii="Times New Roman" w:hAnsi="Times New Roman" w:cs="Times New Roman"/>
          <w:sz w:val="24"/>
          <w:szCs w:val="24"/>
        </w:rPr>
        <w:t xml:space="preserve">sposób sprawowania nadzoru i kontroli w zakresie stosowania przepisów ustawy. </w:t>
      </w:r>
    </w:p>
    <w:p w14:paraId="74EC7CB3" w14:textId="57784636" w:rsidR="00F32A44" w:rsidRPr="000431F7" w:rsidRDefault="00C6092E" w:rsidP="004742CC">
      <w:pPr>
        <w:spacing w:before="120" w:after="0" w:line="360" w:lineRule="auto"/>
        <w:jc w:val="both"/>
        <w:rPr>
          <w:rFonts w:ascii="Times New Roman" w:hAnsi="Times New Roman" w:cs="Times New Roman"/>
          <w:sz w:val="24"/>
          <w:szCs w:val="24"/>
          <w:lang w:bidi="pl-PL"/>
        </w:rPr>
      </w:pPr>
      <w:r w:rsidRPr="000431F7">
        <w:rPr>
          <w:rFonts w:ascii="Times New Roman" w:hAnsi="Times New Roman" w:cs="Times New Roman"/>
          <w:sz w:val="24"/>
          <w:szCs w:val="24"/>
        </w:rPr>
        <w:lastRenderedPageBreak/>
        <w:t>W zakresie sektora finansowego regulacja ustawy</w:t>
      </w:r>
      <w:r w:rsidR="00F32A44" w:rsidRPr="000431F7">
        <w:rPr>
          <w:rFonts w:ascii="Times New Roman" w:hAnsi="Times New Roman" w:cs="Times New Roman"/>
          <w:sz w:val="24"/>
          <w:szCs w:val="24"/>
        </w:rPr>
        <w:t xml:space="preserve"> </w:t>
      </w:r>
      <w:r w:rsidRPr="000431F7">
        <w:rPr>
          <w:rFonts w:ascii="Times New Roman" w:hAnsi="Times New Roman" w:cs="Times New Roman"/>
          <w:color w:val="000000"/>
          <w:sz w:val="24"/>
          <w:szCs w:val="24"/>
          <w:shd w:val="clear" w:color="auto" w:fill="FFFFFF"/>
        </w:rPr>
        <w:t xml:space="preserve">o krajowym systemie </w:t>
      </w:r>
      <w:proofErr w:type="spellStart"/>
      <w:r w:rsidRPr="000431F7">
        <w:rPr>
          <w:rFonts w:ascii="Times New Roman" w:hAnsi="Times New Roman" w:cs="Times New Roman"/>
          <w:color w:val="000000"/>
          <w:sz w:val="24"/>
          <w:szCs w:val="24"/>
          <w:shd w:val="clear" w:color="auto" w:fill="FFFFFF"/>
        </w:rPr>
        <w:t>cyberbezpieczeństwa</w:t>
      </w:r>
      <w:proofErr w:type="spellEnd"/>
      <w:r w:rsidRPr="000431F7">
        <w:rPr>
          <w:rFonts w:ascii="Times New Roman" w:hAnsi="Times New Roman" w:cs="Times New Roman"/>
          <w:color w:val="000000"/>
          <w:sz w:val="24"/>
          <w:szCs w:val="24"/>
          <w:shd w:val="clear" w:color="auto" w:fill="FFFFFF"/>
        </w:rPr>
        <w:t>,</w:t>
      </w:r>
      <w:r w:rsidRPr="000431F7">
        <w:rPr>
          <w:rFonts w:ascii="Times New Roman" w:hAnsi="Times New Roman" w:cs="Times New Roman"/>
          <w:sz w:val="24"/>
          <w:szCs w:val="24"/>
        </w:rPr>
        <w:t xml:space="preserve"> </w:t>
      </w:r>
      <w:r w:rsidRPr="000431F7">
        <w:rPr>
          <w:rFonts w:ascii="Times New Roman" w:hAnsi="Times New Roman" w:cs="Times New Roman"/>
          <w:sz w:val="24"/>
          <w:szCs w:val="24"/>
          <w:lang w:bidi="pl-PL"/>
        </w:rPr>
        <w:t xml:space="preserve">zgodnie z </w:t>
      </w:r>
      <w:r w:rsidR="00524329" w:rsidRPr="000431F7">
        <w:rPr>
          <w:rFonts w:ascii="Times New Roman" w:hAnsi="Times New Roman" w:cs="Times New Roman"/>
          <w:sz w:val="24"/>
          <w:szCs w:val="24"/>
          <w:lang w:bidi="pl-PL"/>
        </w:rPr>
        <w:t xml:space="preserve">przepisami </w:t>
      </w:r>
      <w:r w:rsidRPr="000431F7">
        <w:rPr>
          <w:rFonts w:ascii="Times New Roman" w:hAnsi="Times New Roman" w:cs="Times New Roman"/>
          <w:sz w:val="24"/>
          <w:szCs w:val="24"/>
          <w:lang w:bidi="pl-PL"/>
        </w:rPr>
        <w:t xml:space="preserve">dyrektywy </w:t>
      </w:r>
      <w:r w:rsidR="00C15C6C" w:rsidRPr="000431F7">
        <w:rPr>
          <w:rFonts w:ascii="Times New Roman" w:hAnsi="Times New Roman" w:cs="Times New Roman"/>
          <w:sz w:val="24"/>
          <w:szCs w:val="24"/>
        </w:rPr>
        <w:t>2016/1148</w:t>
      </w:r>
      <w:r w:rsidRPr="000431F7">
        <w:rPr>
          <w:rFonts w:ascii="Times New Roman" w:hAnsi="Times New Roman" w:cs="Times New Roman"/>
          <w:sz w:val="24"/>
          <w:szCs w:val="24"/>
          <w:lang w:bidi="pl-PL"/>
        </w:rPr>
        <w:t xml:space="preserve"> </w:t>
      </w:r>
      <w:r w:rsidR="00CF61F4" w:rsidRPr="000431F7">
        <w:rPr>
          <w:rFonts w:ascii="Times New Roman" w:hAnsi="Times New Roman" w:cs="Times New Roman"/>
          <w:sz w:val="24"/>
          <w:szCs w:val="24"/>
          <w:lang w:bidi="pl-PL"/>
        </w:rPr>
        <w:t>i</w:t>
      </w:r>
      <w:r w:rsidRPr="000431F7">
        <w:rPr>
          <w:rFonts w:ascii="Times New Roman" w:hAnsi="Times New Roman" w:cs="Times New Roman"/>
          <w:sz w:val="24"/>
          <w:szCs w:val="24"/>
          <w:lang w:bidi="pl-PL"/>
        </w:rPr>
        <w:t xml:space="preserve"> załącznik</w:t>
      </w:r>
      <w:r w:rsidR="00CF61F4" w:rsidRPr="000431F7">
        <w:rPr>
          <w:rFonts w:ascii="Times New Roman" w:hAnsi="Times New Roman" w:cs="Times New Roman"/>
          <w:sz w:val="24"/>
          <w:szCs w:val="24"/>
          <w:lang w:bidi="pl-PL"/>
        </w:rPr>
        <w:t>iem do ustawy,</w:t>
      </w:r>
      <w:r w:rsidRPr="000431F7">
        <w:rPr>
          <w:rFonts w:ascii="Times New Roman" w:hAnsi="Times New Roman" w:cs="Times New Roman"/>
          <w:sz w:val="24"/>
          <w:szCs w:val="24"/>
          <w:lang w:bidi="pl-PL"/>
        </w:rPr>
        <w:t xml:space="preserve"> obejmuje instytucje kredytowe objęte rozporządzeniem Parlamentu Europejskiego i Rady</w:t>
      </w:r>
      <w:r w:rsidR="0056664E" w:rsidRPr="000431F7">
        <w:rPr>
          <w:rFonts w:ascii="Times New Roman" w:hAnsi="Times New Roman" w:cs="Times New Roman"/>
          <w:sz w:val="24"/>
          <w:szCs w:val="24"/>
          <w:lang w:bidi="pl-PL"/>
        </w:rPr>
        <w:t xml:space="preserve"> </w:t>
      </w:r>
      <w:r w:rsidRPr="000431F7">
        <w:rPr>
          <w:rFonts w:ascii="Times New Roman" w:hAnsi="Times New Roman" w:cs="Times New Roman"/>
          <w:sz w:val="24"/>
          <w:szCs w:val="24"/>
          <w:lang w:bidi="pl-PL"/>
        </w:rPr>
        <w:t>nr 575/2013</w:t>
      </w:r>
      <w:r w:rsidRPr="000431F7">
        <w:rPr>
          <w:rFonts w:ascii="Times New Roman" w:hAnsi="Times New Roman" w:cs="Times New Roman"/>
          <w:sz w:val="24"/>
          <w:szCs w:val="24"/>
        </w:rPr>
        <w:t xml:space="preserve"> </w:t>
      </w:r>
      <w:r w:rsidR="00524329" w:rsidRPr="000431F7">
        <w:rPr>
          <w:rFonts w:ascii="Times New Roman" w:hAnsi="Times New Roman" w:cs="Times New Roman"/>
          <w:sz w:val="24"/>
          <w:szCs w:val="24"/>
        </w:rPr>
        <w:t>z dnia 26</w:t>
      </w:r>
      <w:r w:rsidR="00C75A4D">
        <w:rPr>
          <w:rFonts w:ascii="Times New Roman" w:hAnsi="Times New Roman" w:cs="Times New Roman"/>
          <w:sz w:val="24"/>
          <w:szCs w:val="24"/>
        </w:rPr>
        <w:t> </w:t>
      </w:r>
      <w:r w:rsidR="00524329" w:rsidRPr="000431F7">
        <w:rPr>
          <w:rFonts w:ascii="Times New Roman" w:hAnsi="Times New Roman" w:cs="Times New Roman"/>
          <w:sz w:val="24"/>
          <w:szCs w:val="24"/>
        </w:rPr>
        <w:t xml:space="preserve">czerwca 2013 r. </w:t>
      </w:r>
      <w:r w:rsidRPr="000431F7">
        <w:rPr>
          <w:rFonts w:ascii="Times New Roman" w:hAnsi="Times New Roman" w:cs="Times New Roman"/>
          <w:sz w:val="24"/>
          <w:szCs w:val="24"/>
          <w:lang w:bidi="pl-PL"/>
        </w:rPr>
        <w:t>w sprawie wymogów ostrożnościowych dla instytucji kredytowych i firm inwestycyjnych.</w:t>
      </w:r>
      <w:r w:rsidR="004D6A42" w:rsidRPr="000431F7">
        <w:rPr>
          <w:rFonts w:ascii="Times New Roman" w:hAnsi="Times New Roman" w:cs="Times New Roman"/>
          <w:sz w:val="24"/>
          <w:szCs w:val="24"/>
          <w:lang w:bidi="pl-PL"/>
        </w:rPr>
        <w:t xml:space="preserve"> </w:t>
      </w:r>
      <w:r w:rsidRPr="000431F7">
        <w:rPr>
          <w:rFonts w:ascii="Times New Roman" w:hAnsi="Times New Roman" w:cs="Times New Roman"/>
          <w:sz w:val="24"/>
          <w:szCs w:val="24"/>
          <w:lang w:bidi="pl-PL"/>
        </w:rPr>
        <w:t xml:space="preserve">W polskim systemie prawa regulacje dotyczące instytucji kredytowych znajdują się w ustawie </w:t>
      </w:r>
      <w:r w:rsidR="005E6494" w:rsidRPr="000431F7">
        <w:rPr>
          <w:rFonts w:ascii="Times New Roman" w:hAnsi="Times New Roman" w:cs="Times New Roman"/>
          <w:sz w:val="24"/>
          <w:szCs w:val="24"/>
          <w:lang w:bidi="pl-PL"/>
        </w:rPr>
        <w:t xml:space="preserve">z dnia </w:t>
      </w:r>
      <w:r w:rsidR="005E6494" w:rsidRPr="000431F7">
        <w:rPr>
          <w:rFonts w:ascii="Times New Roman" w:hAnsi="Times New Roman" w:cs="Times New Roman"/>
          <w:sz w:val="24"/>
          <w:szCs w:val="24"/>
        </w:rPr>
        <w:t>29 sierpnia 1997 r. – Prawo bankowe</w:t>
      </w:r>
      <w:r w:rsidR="00524329" w:rsidRPr="000431F7">
        <w:rPr>
          <w:rFonts w:ascii="Times New Roman" w:hAnsi="Times New Roman" w:cs="Times New Roman"/>
          <w:sz w:val="24"/>
          <w:szCs w:val="24"/>
        </w:rPr>
        <w:t xml:space="preserve">, </w:t>
      </w:r>
      <w:r w:rsidR="005E6494" w:rsidRPr="000431F7">
        <w:rPr>
          <w:rFonts w:ascii="Times New Roman" w:hAnsi="Times New Roman" w:cs="Times New Roman"/>
          <w:sz w:val="24"/>
          <w:szCs w:val="24"/>
        </w:rPr>
        <w:t xml:space="preserve">zwanej dalej „ustawą </w:t>
      </w:r>
      <w:r w:rsidR="00987740">
        <w:rPr>
          <w:rFonts w:ascii="Times New Roman" w:hAnsi="Times New Roman" w:cs="Times New Roman"/>
          <w:sz w:val="24"/>
          <w:szCs w:val="24"/>
        </w:rPr>
        <w:t>–</w:t>
      </w:r>
      <w:r w:rsidR="003B599A" w:rsidRPr="000431F7">
        <w:rPr>
          <w:rFonts w:ascii="Times New Roman" w:hAnsi="Times New Roman" w:cs="Times New Roman"/>
          <w:sz w:val="24"/>
          <w:szCs w:val="24"/>
        </w:rPr>
        <w:t xml:space="preserve"> </w:t>
      </w:r>
      <w:r w:rsidR="005E6494" w:rsidRPr="000431F7">
        <w:rPr>
          <w:rFonts w:ascii="Times New Roman" w:hAnsi="Times New Roman" w:cs="Times New Roman"/>
          <w:sz w:val="24"/>
          <w:szCs w:val="24"/>
          <w:lang w:bidi="pl-PL"/>
        </w:rPr>
        <w:t>Prawo bankowe</w:t>
      </w:r>
      <w:r w:rsidR="004D6A42" w:rsidRPr="000431F7">
        <w:rPr>
          <w:rFonts w:ascii="Times New Roman" w:hAnsi="Times New Roman" w:cs="Times New Roman"/>
          <w:sz w:val="24"/>
          <w:szCs w:val="24"/>
          <w:lang w:bidi="pl-PL"/>
        </w:rPr>
        <w:t>”</w:t>
      </w:r>
      <w:r w:rsidR="00524329" w:rsidRPr="000431F7">
        <w:rPr>
          <w:rFonts w:ascii="Times New Roman" w:hAnsi="Times New Roman" w:cs="Times New Roman"/>
          <w:sz w:val="24"/>
          <w:szCs w:val="24"/>
          <w:lang w:bidi="pl-PL"/>
        </w:rPr>
        <w:t>,</w:t>
      </w:r>
      <w:r w:rsidR="005E6494" w:rsidRPr="000431F7">
        <w:rPr>
          <w:rFonts w:ascii="Times New Roman" w:hAnsi="Times New Roman" w:cs="Times New Roman"/>
          <w:sz w:val="24"/>
          <w:szCs w:val="24"/>
          <w:lang w:bidi="pl-PL"/>
        </w:rPr>
        <w:t xml:space="preserve"> </w:t>
      </w:r>
      <w:r w:rsidRPr="000431F7">
        <w:rPr>
          <w:rFonts w:ascii="Times New Roman" w:hAnsi="Times New Roman" w:cs="Times New Roman"/>
          <w:sz w:val="24"/>
          <w:szCs w:val="24"/>
          <w:lang w:bidi="pl-PL"/>
        </w:rPr>
        <w:t xml:space="preserve">i ustawie z dnia 5 listopada 2009 r. o spółdzielczych kasach oszczędnościowo-kredytowych. Załącznik </w:t>
      </w:r>
      <w:r w:rsidR="00CC48F7" w:rsidRPr="000431F7">
        <w:rPr>
          <w:rFonts w:ascii="Times New Roman" w:hAnsi="Times New Roman" w:cs="Times New Roman"/>
          <w:sz w:val="24"/>
          <w:szCs w:val="24"/>
          <w:lang w:bidi="pl-PL"/>
        </w:rPr>
        <w:t xml:space="preserve">do ustawy </w:t>
      </w:r>
      <w:r w:rsidR="00CC48F7" w:rsidRPr="000431F7">
        <w:rPr>
          <w:rFonts w:ascii="Times New Roman" w:hAnsi="Times New Roman" w:cs="Times New Roman"/>
          <w:color w:val="000000"/>
          <w:sz w:val="24"/>
          <w:szCs w:val="24"/>
          <w:shd w:val="clear" w:color="auto" w:fill="FFFFFF"/>
        </w:rPr>
        <w:t xml:space="preserve">o krajowym systemie </w:t>
      </w:r>
      <w:proofErr w:type="spellStart"/>
      <w:r w:rsidR="00CC48F7" w:rsidRPr="000431F7">
        <w:rPr>
          <w:rFonts w:ascii="Times New Roman" w:hAnsi="Times New Roman" w:cs="Times New Roman"/>
          <w:color w:val="000000"/>
          <w:sz w:val="24"/>
          <w:szCs w:val="24"/>
          <w:shd w:val="clear" w:color="auto" w:fill="FFFFFF"/>
        </w:rPr>
        <w:t>cyberbezpieczeństwa</w:t>
      </w:r>
      <w:proofErr w:type="spellEnd"/>
      <w:r w:rsidR="00D32C4E" w:rsidRPr="000431F7">
        <w:rPr>
          <w:rFonts w:ascii="Times New Roman" w:hAnsi="Times New Roman" w:cs="Times New Roman"/>
          <w:sz w:val="24"/>
          <w:szCs w:val="24"/>
          <w:lang w:bidi="pl-PL"/>
        </w:rPr>
        <w:t xml:space="preserve"> </w:t>
      </w:r>
      <w:r w:rsidRPr="000431F7">
        <w:rPr>
          <w:rFonts w:ascii="Times New Roman" w:hAnsi="Times New Roman" w:cs="Times New Roman"/>
          <w:sz w:val="24"/>
          <w:szCs w:val="24"/>
          <w:lang w:bidi="pl-PL"/>
        </w:rPr>
        <w:t>odwołuje się tutaj do art. 4 ust. 1 pkt 17</w:t>
      </w:r>
      <w:r w:rsidR="005E6494" w:rsidRPr="000431F7">
        <w:rPr>
          <w:rFonts w:ascii="Times New Roman" w:hAnsi="Times New Roman" w:cs="Times New Roman"/>
          <w:sz w:val="24"/>
          <w:szCs w:val="24"/>
          <w:lang w:bidi="pl-PL"/>
        </w:rPr>
        <w:t xml:space="preserve"> ustawy </w:t>
      </w:r>
      <w:r w:rsidR="00AC35F5">
        <w:rPr>
          <w:rFonts w:ascii="Times New Roman" w:hAnsi="Times New Roman" w:cs="Times New Roman"/>
          <w:sz w:val="24"/>
          <w:szCs w:val="24"/>
          <w:lang w:bidi="pl-PL"/>
        </w:rPr>
        <w:t>–</w:t>
      </w:r>
      <w:r w:rsidR="003B599A" w:rsidRPr="000431F7">
        <w:rPr>
          <w:rFonts w:ascii="Times New Roman" w:hAnsi="Times New Roman" w:cs="Times New Roman"/>
          <w:sz w:val="24"/>
          <w:szCs w:val="24"/>
          <w:lang w:bidi="pl-PL"/>
        </w:rPr>
        <w:t xml:space="preserve"> </w:t>
      </w:r>
      <w:r w:rsidR="005E6494" w:rsidRPr="000431F7">
        <w:rPr>
          <w:rFonts w:ascii="Times New Roman" w:hAnsi="Times New Roman" w:cs="Times New Roman"/>
          <w:sz w:val="24"/>
          <w:szCs w:val="24"/>
        </w:rPr>
        <w:t>Prawo bankowe</w:t>
      </w:r>
      <w:r w:rsidRPr="000431F7">
        <w:rPr>
          <w:rFonts w:ascii="Times New Roman" w:hAnsi="Times New Roman" w:cs="Times New Roman"/>
          <w:sz w:val="24"/>
          <w:szCs w:val="24"/>
          <w:lang w:bidi="pl-PL"/>
        </w:rPr>
        <w:t xml:space="preserve">. Dodatkowo załącznik </w:t>
      </w:r>
      <w:r w:rsidR="00524329" w:rsidRPr="000431F7">
        <w:rPr>
          <w:rFonts w:ascii="Times New Roman" w:hAnsi="Times New Roman" w:cs="Times New Roman"/>
          <w:sz w:val="24"/>
          <w:szCs w:val="24"/>
          <w:lang w:bidi="pl-PL"/>
        </w:rPr>
        <w:t xml:space="preserve">do ustawy </w:t>
      </w:r>
      <w:r w:rsidRPr="000431F7">
        <w:rPr>
          <w:rFonts w:ascii="Times New Roman" w:hAnsi="Times New Roman" w:cs="Times New Roman"/>
          <w:sz w:val="24"/>
          <w:szCs w:val="24"/>
          <w:lang w:bidi="pl-PL"/>
        </w:rPr>
        <w:t xml:space="preserve">odwołuje się do definicji banku krajowego (art. 4 ust. 1 pkt 1 </w:t>
      </w:r>
      <w:r w:rsidR="003C0A1D" w:rsidRPr="000431F7">
        <w:rPr>
          <w:rFonts w:ascii="Times New Roman" w:hAnsi="Times New Roman" w:cs="Times New Roman"/>
          <w:sz w:val="24"/>
          <w:szCs w:val="24"/>
          <w:lang w:bidi="pl-PL"/>
        </w:rPr>
        <w:t xml:space="preserve">ustawy </w:t>
      </w:r>
      <w:r w:rsidR="00AC35F5">
        <w:rPr>
          <w:rFonts w:ascii="Times New Roman" w:hAnsi="Times New Roman" w:cs="Times New Roman"/>
          <w:sz w:val="24"/>
          <w:szCs w:val="24"/>
          <w:lang w:bidi="pl-PL"/>
        </w:rPr>
        <w:t>–</w:t>
      </w:r>
      <w:r w:rsidR="003C0A1D" w:rsidRPr="000431F7">
        <w:rPr>
          <w:rFonts w:ascii="Times New Roman" w:hAnsi="Times New Roman" w:cs="Times New Roman"/>
          <w:sz w:val="24"/>
          <w:szCs w:val="24"/>
          <w:lang w:bidi="pl-PL"/>
        </w:rPr>
        <w:t xml:space="preserve"> </w:t>
      </w:r>
      <w:r w:rsidRPr="000431F7">
        <w:rPr>
          <w:rFonts w:ascii="Times New Roman" w:hAnsi="Times New Roman" w:cs="Times New Roman"/>
          <w:sz w:val="24"/>
          <w:szCs w:val="24"/>
          <w:lang w:bidi="pl-PL"/>
        </w:rPr>
        <w:t>Praw</w:t>
      </w:r>
      <w:r w:rsidR="003C0A1D" w:rsidRPr="000431F7">
        <w:rPr>
          <w:rFonts w:ascii="Times New Roman" w:hAnsi="Times New Roman" w:cs="Times New Roman"/>
          <w:sz w:val="24"/>
          <w:szCs w:val="24"/>
          <w:lang w:bidi="pl-PL"/>
        </w:rPr>
        <w:t>o</w:t>
      </w:r>
      <w:r w:rsidRPr="000431F7">
        <w:rPr>
          <w:rFonts w:ascii="Times New Roman" w:hAnsi="Times New Roman" w:cs="Times New Roman"/>
          <w:sz w:val="24"/>
          <w:szCs w:val="24"/>
          <w:lang w:bidi="pl-PL"/>
        </w:rPr>
        <w:t xml:space="preserve"> bankowe), oddziału banku zagranicznego (art. 4 ust. 1 pkt 20 ustawy – Prawo bankowe), oddziału instytucji kredytowej (art. 4 ust. 1 pkt 18 ustawy – Prawo bankowe). Zakresem </w:t>
      </w:r>
      <w:r w:rsidR="00CC48F7" w:rsidRPr="000431F7">
        <w:rPr>
          <w:rFonts w:ascii="Times New Roman" w:hAnsi="Times New Roman" w:cs="Times New Roman"/>
          <w:sz w:val="24"/>
          <w:szCs w:val="24"/>
          <w:lang w:bidi="pl-PL"/>
        </w:rPr>
        <w:t xml:space="preserve">ww. </w:t>
      </w:r>
      <w:r w:rsidRPr="000431F7">
        <w:rPr>
          <w:rFonts w:ascii="Times New Roman" w:hAnsi="Times New Roman" w:cs="Times New Roman"/>
          <w:sz w:val="24"/>
          <w:szCs w:val="24"/>
          <w:lang w:bidi="pl-PL"/>
        </w:rPr>
        <w:t xml:space="preserve">załącznika </w:t>
      </w:r>
      <w:r w:rsidR="00CF61F4" w:rsidRPr="000431F7">
        <w:rPr>
          <w:rFonts w:ascii="Times New Roman" w:hAnsi="Times New Roman" w:cs="Times New Roman"/>
          <w:sz w:val="24"/>
          <w:szCs w:val="24"/>
          <w:lang w:bidi="pl-PL"/>
        </w:rPr>
        <w:t>został też</w:t>
      </w:r>
      <w:r w:rsidRPr="000431F7">
        <w:rPr>
          <w:rFonts w:ascii="Times New Roman" w:hAnsi="Times New Roman" w:cs="Times New Roman"/>
          <w:sz w:val="24"/>
          <w:szCs w:val="24"/>
          <w:lang w:bidi="pl-PL"/>
        </w:rPr>
        <w:t xml:space="preserve"> objęty sektor spółdzielczych kas oszczędnościowo</w:t>
      </w:r>
      <w:r w:rsidR="00CF3BD3">
        <w:noBreakHyphen/>
      </w:r>
      <w:r w:rsidRPr="000431F7">
        <w:rPr>
          <w:rFonts w:ascii="Times New Roman" w:hAnsi="Times New Roman" w:cs="Times New Roman"/>
          <w:sz w:val="24"/>
          <w:szCs w:val="24"/>
          <w:lang w:bidi="pl-PL"/>
        </w:rPr>
        <w:t xml:space="preserve">kredytowych, objęty ustawą </w:t>
      </w:r>
      <w:r w:rsidR="00CF61F4" w:rsidRPr="000431F7">
        <w:rPr>
          <w:rFonts w:ascii="Times New Roman" w:hAnsi="Times New Roman" w:cs="Times New Roman"/>
          <w:sz w:val="24"/>
          <w:szCs w:val="24"/>
          <w:lang w:bidi="pl-PL"/>
        </w:rPr>
        <w:t xml:space="preserve">z dnia </w:t>
      </w:r>
      <w:r w:rsidR="00680D6C" w:rsidRPr="000431F7">
        <w:rPr>
          <w:rFonts w:ascii="Times New Roman" w:hAnsi="Times New Roman" w:cs="Times New Roman"/>
          <w:sz w:val="24"/>
          <w:szCs w:val="24"/>
          <w:lang w:bidi="pl-PL"/>
        </w:rPr>
        <w:t>5 listopada 2009 r.</w:t>
      </w:r>
      <w:r w:rsidR="00BF7DCA" w:rsidRPr="000431F7">
        <w:rPr>
          <w:rFonts w:ascii="Times New Roman" w:hAnsi="Times New Roman" w:cs="Times New Roman"/>
          <w:sz w:val="24"/>
          <w:szCs w:val="24"/>
          <w:lang w:bidi="pl-PL"/>
        </w:rPr>
        <w:t xml:space="preserve"> </w:t>
      </w:r>
      <w:r w:rsidRPr="000431F7">
        <w:rPr>
          <w:rFonts w:ascii="Times New Roman" w:hAnsi="Times New Roman" w:cs="Times New Roman"/>
          <w:sz w:val="24"/>
          <w:szCs w:val="24"/>
          <w:lang w:bidi="pl-PL"/>
        </w:rPr>
        <w:t>o spółdzielczych kasach oszczędnościowo-kredytowych. W zakresie infrastruktury rynków finansowych załącznik do ustawy</w:t>
      </w:r>
      <w:r w:rsidR="005E6494" w:rsidRPr="000431F7">
        <w:rPr>
          <w:rFonts w:ascii="Times New Roman" w:hAnsi="Times New Roman" w:cs="Times New Roman"/>
          <w:sz w:val="24"/>
          <w:szCs w:val="24"/>
          <w:lang w:bidi="pl-PL"/>
        </w:rPr>
        <w:t>,</w:t>
      </w:r>
      <w:r w:rsidRPr="000431F7">
        <w:rPr>
          <w:rFonts w:ascii="Times New Roman" w:hAnsi="Times New Roman" w:cs="Times New Roman"/>
          <w:sz w:val="24"/>
          <w:szCs w:val="24"/>
          <w:lang w:bidi="pl-PL"/>
        </w:rPr>
        <w:t xml:space="preserve"> zgodnie z dyrektywą </w:t>
      </w:r>
      <w:r w:rsidR="005E6494" w:rsidRPr="000431F7">
        <w:rPr>
          <w:rFonts w:ascii="Times New Roman" w:hAnsi="Times New Roman" w:cs="Times New Roman"/>
          <w:sz w:val="24"/>
          <w:szCs w:val="24"/>
        </w:rPr>
        <w:t xml:space="preserve">2016/1148, </w:t>
      </w:r>
      <w:r w:rsidRPr="000431F7">
        <w:rPr>
          <w:rFonts w:ascii="Times New Roman" w:hAnsi="Times New Roman" w:cs="Times New Roman"/>
          <w:sz w:val="24"/>
          <w:szCs w:val="24"/>
          <w:lang w:bidi="pl-PL"/>
        </w:rPr>
        <w:t xml:space="preserve">odwołuje się do operatorów systemu obrotu i kontrahentów centralnych. </w:t>
      </w:r>
      <w:r w:rsidR="00350D86" w:rsidRPr="000431F7">
        <w:rPr>
          <w:rFonts w:ascii="Times New Roman" w:hAnsi="Times New Roman" w:cs="Times New Roman"/>
          <w:sz w:val="24"/>
          <w:szCs w:val="24"/>
          <w:lang w:bidi="pl-PL"/>
        </w:rPr>
        <w:t xml:space="preserve">Przedmiotowy </w:t>
      </w:r>
      <w:r w:rsidRPr="000431F7">
        <w:rPr>
          <w:rFonts w:ascii="Times New Roman" w:hAnsi="Times New Roman" w:cs="Times New Roman"/>
          <w:sz w:val="24"/>
          <w:szCs w:val="24"/>
          <w:lang w:bidi="pl-PL"/>
        </w:rPr>
        <w:t xml:space="preserve">sektor jest regulowany w polskim systemie prawa przez ustawę </w:t>
      </w:r>
      <w:r w:rsidR="00CF61F4" w:rsidRPr="000431F7">
        <w:rPr>
          <w:rFonts w:ascii="Times New Roman" w:hAnsi="Times New Roman" w:cs="Times New Roman"/>
          <w:sz w:val="24"/>
          <w:szCs w:val="24"/>
          <w:lang w:bidi="pl-PL"/>
        </w:rPr>
        <w:t xml:space="preserve">z dnia 29 lipca 2005 r. </w:t>
      </w:r>
      <w:r w:rsidRPr="000431F7">
        <w:rPr>
          <w:rFonts w:ascii="Times New Roman" w:hAnsi="Times New Roman" w:cs="Times New Roman"/>
          <w:sz w:val="24"/>
          <w:szCs w:val="24"/>
          <w:lang w:bidi="pl-PL"/>
        </w:rPr>
        <w:t>obrocie instrumentami finansowymi</w:t>
      </w:r>
      <w:r w:rsidR="00983B8A" w:rsidRPr="000431F7">
        <w:rPr>
          <w:rFonts w:ascii="Times New Roman" w:hAnsi="Times New Roman" w:cs="Times New Roman"/>
          <w:sz w:val="24"/>
          <w:szCs w:val="24"/>
          <w:lang w:bidi="pl-PL"/>
        </w:rPr>
        <w:t xml:space="preserve">, </w:t>
      </w:r>
      <w:r w:rsidR="003C0A1D" w:rsidRPr="000431F7">
        <w:rPr>
          <w:rFonts w:ascii="Times New Roman" w:hAnsi="Times New Roman" w:cs="Times New Roman"/>
          <w:sz w:val="24"/>
          <w:szCs w:val="24"/>
          <w:lang w:bidi="pl-PL"/>
        </w:rPr>
        <w:t xml:space="preserve">zwaną dalej </w:t>
      </w:r>
      <w:r w:rsidR="00987740">
        <w:rPr>
          <w:rFonts w:ascii="Times New Roman" w:hAnsi="Times New Roman" w:cs="Times New Roman"/>
          <w:sz w:val="24"/>
          <w:szCs w:val="24"/>
          <w:lang w:bidi="pl-PL"/>
        </w:rPr>
        <w:t>„</w:t>
      </w:r>
      <w:r w:rsidR="003C0A1D" w:rsidRPr="000431F7">
        <w:rPr>
          <w:rFonts w:ascii="Times New Roman" w:hAnsi="Times New Roman" w:cs="Times New Roman"/>
          <w:sz w:val="24"/>
          <w:szCs w:val="24"/>
          <w:lang w:bidi="pl-PL"/>
        </w:rPr>
        <w:t>ustawą o obrocie instrumentami finansowymi”</w:t>
      </w:r>
      <w:r w:rsidRPr="000431F7">
        <w:rPr>
          <w:rFonts w:ascii="Times New Roman" w:hAnsi="Times New Roman" w:cs="Times New Roman"/>
          <w:sz w:val="24"/>
          <w:szCs w:val="24"/>
          <w:lang w:bidi="pl-PL"/>
        </w:rPr>
        <w:t xml:space="preserve">. Załącznik do ustawy </w:t>
      </w:r>
      <w:r w:rsidR="00FE4D41" w:rsidRPr="000431F7">
        <w:rPr>
          <w:rFonts w:ascii="Times New Roman" w:hAnsi="Times New Roman" w:cs="Times New Roman"/>
          <w:sz w:val="24"/>
          <w:szCs w:val="24"/>
          <w:lang w:bidi="pl-PL"/>
        </w:rPr>
        <w:t xml:space="preserve">o krajowym systemie </w:t>
      </w:r>
      <w:proofErr w:type="spellStart"/>
      <w:r w:rsidR="00FE4D41" w:rsidRPr="000431F7">
        <w:rPr>
          <w:rFonts w:ascii="Times New Roman" w:hAnsi="Times New Roman" w:cs="Times New Roman"/>
          <w:sz w:val="24"/>
          <w:szCs w:val="24"/>
          <w:lang w:bidi="pl-PL"/>
        </w:rPr>
        <w:t>cyberbezpieczeństwa</w:t>
      </w:r>
      <w:proofErr w:type="spellEnd"/>
      <w:r w:rsidR="00FE4D41" w:rsidRPr="000431F7">
        <w:rPr>
          <w:rFonts w:ascii="Times New Roman" w:hAnsi="Times New Roman" w:cs="Times New Roman"/>
          <w:sz w:val="24"/>
          <w:szCs w:val="24"/>
          <w:lang w:bidi="pl-PL"/>
        </w:rPr>
        <w:t xml:space="preserve"> </w:t>
      </w:r>
      <w:r w:rsidRPr="000431F7">
        <w:rPr>
          <w:rFonts w:ascii="Times New Roman" w:hAnsi="Times New Roman" w:cs="Times New Roman"/>
          <w:sz w:val="24"/>
          <w:szCs w:val="24"/>
          <w:lang w:bidi="pl-PL"/>
        </w:rPr>
        <w:t>odwołuje się tutaj do podmiotu prowadzącego rynek regulowany, o</w:t>
      </w:r>
      <w:r w:rsidR="001D579C" w:rsidRPr="000431F7">
        <w:rPr>
          <w:rFonts w:ascii="Times New Roman" w:hAnsi="Times New Roman" w:cs="Times New Roman"/>
          <w:sz w:val="24"/>
          <w:szCs w:val="24"/>
          <w:lang w:bidi="pl-PL"/>
        </w:rPr>
        <w:t> </w:t>
      </w:r>
      <w:r w:rsidRPr="000431F7">
        <w:rPr>
          <w:rFonts w:ascii="Times New Roman" w:hAnsi="Times New Roman" w:cs="Times New Roman"/>
          <w:sz w:val="24"/>
          <w:szCs w:val="24"/>
          <w:lang w:bidi="pl-PL"/>
        </w:rPr>
        <w:t>którym mowa w art. 14 ust. 1 ustawy o obrocie instrumentami finansowymi</w:t>
      </w:r>
      <w:r w:rsidR="00AD46BB" w:rsidRPr="000431F7">
        <w:rPr>
          <w:rFonts w:ascii="Times New Roman" w:hAnsi="Times New Roman" w:cs="Times New Roman"/>
          <w:sz w:val="24"/>
          <w:szCs w:val="24"/>
          <w:lang w:bidi="pl-PL"/>
        </w:rPr>
        <w:t>. Należy przy tym zauważyć, że w skład systemów obrotu wchodzą również alternatywny system obrotu (ASO) oraz zorganizowana platforma obrotu (OTF), dlatego też w projekcie ustawy za podmioty finansowe będące podmiotami kluczowymi uznano również podmiot prowadzący ASO w rozumieniu art. 3 pkt 2 ustawy o obrocie instrumentami finansowymi oraz podmiot prowadzący OTF w rozumieniu art. 3 pkt 10b tej ustawy.</w:t>
      </w:r>
      <w:r w:rsidR="0083727C" w:rsidRPr="000431F7">
        <w:rPr>
          <w:rFonts w:ascii="Times New Roman" w:hAnsi="Times New Roman" w:cs="Times New Roman"/>
          <w:sz w:val="24"/>
          <w:szCs w:val="24"/>
          <w:lang w:bidi="pl-PL"/>
        </w:rPr>
        <w:t xml:space="preserve"> Załącznik do ustawy o krajowym systemie bezpieczeństwa wśród podmiotów wymienionych w części bankowość i infrastruktura rynków finansowych wymienia również podmiot, o którym mowa w art. 48 ust. 7 ustawy o obrocie instrumentami finansowymi. Podmiotem takim jest spółka akcyjna będąca podmiotem zależnym od Krajowego Depozytu Papierów Wartościowych S.A. (KDPW), której KDPW przekazał wykonywanie czynności z zakresu zadań przypisanych ustawą o obrocie instrumentami finansowymi KDPW. </w:t>
      </w:r>
      <w:r w:rsidR="00CF18F4" w:rsidRPr="000431F7">
        <w:rPr>
          <w:rFonts w:ascii="Times New Roman" w:hAnsi="Times New Roman" w:cs="Times New Roman"/>
          <w:sz w:val="24"/>
          <w:szCs w:val="24"/>
          <w:lang w:bidi="pl-PL"/>
        </w:rPr>
        <w:t>Właściwym zatem jest</w:t>
      </w:r>
      <w:r w:rsidR="00A44AC8" w:rsidRPr="000431F7">
        <w:rPr>
          <w:rFonts w:ascii="Times New Roman" w:hAnsi="Times New Roman" w:cs="Times New Roman"/>
          <w:sz w:val="24"/>
          <w:szCs w:val="24"/>
          <w:lang w:bidi="pl-PL"/>
        </w:rPr>
        <w:t>,</w:t>
      </w:r>
      <w:r w:rsidR="00CF18F4" w:rsidRPr="000431F7">
        <w:rPr>
          <w:rFonts w:ascii="Times New Roman" w:hAnsi="Times New Roman" w:cs="Times New Roman"/>
          <w:sz w:val="24"/>
          <w:szCs w:val="24"/>
          <w:lang w:bidi="pl-PL"/>
        </w:rPr>
        <w:t xml:space="preserve"> aby za podmiot finansowy będący podmiotem kluczowym uznać również KDPW, a nie tylko podmiot, któremu KDPW przekazał wykonywanie swoich zadań. Z kolei KDPW jest centralnym depozytem papierów </w:t>
      </w:r>
      <w:r w:rsidR="00CF18F4" w:rsidRPr="000431F7">
        <w:rPr>
          <w:rFonts w:ascii="Times New Roman" w:hAnsi="Times New Roman" w:cs="Times New Roman"/>
          <w:sz w:val="24"/>
          <w:szCs w:val="24"/>
          <w:lang w:bidi="pl-PL"/>
        </w:rPr>
        <w:lastRenderedPageBreak/>
        <w:t>wartościowych, o którym mowa w art. 3 pkt 21a ustawy o obrocie instrumentami finansowymi. Wzorem ustawy o krajowym systemie bezpieczeństwa za podmiot finansowy będący podmiotem kluczowym w projekcie ustawy uznano również centralnego kontrahenta (CCP), w rozumieniu</w:t>
      </w:r>
      <w:r w:rsidRPr="000431F7">
        <w:rPr>
          <w:rFonts w:ascii="Times New Roman" w:hAnsi="Times New Roman" w:cs="Times New Roman"/>
          <w:sz w:val="24"/>
          <w:szCs w:val="24"/>
          <w:lang w:bidi="pl-PL"/>
        </w:rPr>
        <w:t xml:space="preserve"> </w:t>
      </w:r>
      <w:bookmarkStart w:id="3" w:name="_Hlk161378887"/>
      <w:r w:rsidRPr="000431F7">
        <w:rPr>
          <w:rFonts w:ascii="Times New Roman" w:hAnsi="Times New Roman" w:cs="Times New Roman"/>
          <w:sz w:val="24"/>
          <w:szCs w:val="24"/>
          <w:lang w:bidi="pl-PL"/>
        </w:rPr>
        <w:t xml:space="preserve">art. 3 pkt 49 </w:t>
      </w:r>
      <w:bookmarkEnd w:id="3"/>
      <w:r w:rsidRPr="000431F7">
        <w:rPr>
          <w:rFonts w:ascii="Times New Roman" w:hAnsi="Times New Roman" w:cs="Times New Roman"/>
          <w:sz w:val="24"/>
          <w:szCs w:val="24"/>
          <w:lang w:bidi="pl-PL"/>
        </w:rPr>
        <w:t>ustawy o obrocie instrumentami finansowymi.</w:t>
      </w:r>
    </w:p>
    <w:p w14:paraId="73F6FFFF" w14:textId="46B7BC1D" w:rsidR="002C6419" w:rsidRPr="000431F7" w:rsidRDefault="00532ECD" w:rsidP="004742CC">
      <w:pPr>
        <w:spacing w:before="120" w:after="0" w:line="360" w:lineRule="auto"/>
        <w:jc w:val="both"/>
        <w:rPr>
          <w:rFonts w:ascii="Times New Roman" w:hAnsi="Times New Roman" w:cs="Times New Roman"/>
          <w:color w:val="000000"/>
          <w:sz w:val="24"/>
          <w:szCs w:val="24"/>
          <w:shd w:val="clear" w:color="auto" w:fill="FFFFFF"/>
        </w:rPr>
      </w:pPr>
      <w:r w:rsidRPr="000431F7">
        <w:rPr>
          <w:rFonts w:ascii="Times New Roman" w:hAnsi="Times New Roman" w:cs="Times New Roman"/>
          <w:color w:val="000000"/>
          <w:sz w:val="24"/>
          <w:szCs w:val="24"/>
          <w:shd w:val="clear" w:color="auto" w:fill="FFFFFF"/>
        </w:rPr>
        <w:t xml:space="preserve">Rozporządzenie </w:t>
      </w:r>
      <w:r w:rsidRPr="000431F7">
        <w:rPr>
          <w:rFonts w:ascii="Times New Roman" w:hAnsi="Times New Roman" w:cs="Times New Roman"/>
          <w:sz w:val="24"/>
          <w:szCs w:val="24"/>
        </w:rPr>
        <w:t xml:space="preserve">2022/2554, wdrażane projektowaną ustawą, </w:t>
      </w:r>
      <w:r w:rsidR="002C6419" w:rsidRPr="000431F7">
        <w:rPr>
          <w:rFonts w:ascii="Times New Roman" w:hAnsi="Times New Roman" w:cs="Times New Roman"/>
          <w:sz w:val="24"/>
          <w:szCs w:val="24"/>
        </w:rPr>
        <w:t>w porównaniu do dyrektyw</w:t>
      </w:r>
      <w:r w:rsidR="00390D04" w:rsidRPr="000431F7">
        <w:rPr>
          <w:rFonts w:ascii="Times New Roman" w:hAnsi="Times New Roman" w:cs="Times New Roman"/>
          <w:sz w:val="24"/>
          <w:szCs w:val="24"/>
        </w:rPr>
        <w:t xml:space="preserve"> </w:t>
      </w:r>
      <w:r w:rsidR="005E6494" w:rsidRPr="000431F7">
        <w:rPr>
          <w:rFonts w:ascii="Times New Roman" w:hAnsi="Times New Roman" w:cs="Times New Roman"/>
          <w:sz w:val="24"/>
          <w:szCs w:val="24"/>
        </w:rPr>
        <w:t>2016/1148 i 2022/2555</w:t>
      </w:r>
      <w:r w:rsidR="002C6419" w:rsidRPr="000431F7">
        <w:rPr>
          <w:rFonts w:ascii="Times New Roman" w:hAnsi="Times New Roman" w:cs="Times New Roman"/>
          <w:sz w:val="24"/>
          <w:szCs w:val="24"/>
        </w:rPr>
        <w:t xml:space="preserve">, </w:t>
      </w:r>
      <w:r w:rsidRPr="000431F7">
        <w:rPr>
          <w:rFonts w:ascii="Times New Roman" w:hAnsi="Times New Roman" w:cs="Times New Roman"/>
          <w:color w:val="000000"/>
          <w:sz w:val="24"/>
          <w:szCs w:val="24"/>
          <w:shd w:val="clear" w:color="auto" w:fill="FFFFFF"/>
        </w:rPr>
        <w:t xml:space="preserve">zwiększa poziom harmonizacji różnych elementów odporności cyfrowej przez wprowadzenie wymogów w zakresie zarządzania ryzykiem związanym z ICT i zgłaszania incydentów związanych z ICT, które to wymogi są bardziej rygorystyczne w porównaniu z wymogami określonymi w obecnych unijnych przepisach dotyczących usług finansowych. </w:t>
      </w:r>
      <w:r w:rsidR="00775DF7" w:rsidRPr="000431F7">
        <w:rPr>
          <w:rFonts w:ascii="Times New Roman" w:hAnsi="Times New Roman" w:cs="Times New Roman"/>
          <w:color w:val="000000"/>
          <w:sz w:val="24"/>
          <w:szCs w:val="24"/>
          <w:shd w:val="clear" w:color="auto" w:fill="FFFFFF"/>
        </w:rPr>
        <w:t>R</w:t>
      </w:r>
      <w:r w:rsidRPr="000431F7">
        <w:rPr>
          <w:rFonts w:ascii="Times New Roman" w:hAnsi="Times New Roman" w:cs="Times New Roman"/>
          <w:color w:val="000000"/>
          <w:sz w:val="24"/>
          <w:szCs w:val="24"/>
          <w:shd w:val="clear" w:color="auto" w:fill="FFFFFF"/>
        </w:rPr>
        <w:t xml:space="preserve">ozporządzenie </w:t>
      </w:r>
      <w:r w:rsidRPr="000431F7">
        <w:rPr>
          <w:rFonts w:ascii="Times New Roman" w:hAnsi="Times New Roman" w:cs="Times New Roman"/>
          <w:sz w:val="24"/>
          <w:szCs w:val="24"/>
        </w:rPr>
        <w:t xml:space="preserve">2022/2554 </w:t>
      </w:r>
      <w:r w:rsidRPr="000431F7">
        <w:rPr>
          <w:rFonts w:ascii="Times New Roman" w:hAnsi="Times New Roman" w:cs="Times New Roman"/>
          <w:color w:val="000000"/>
          <w:sz w:val="24"/>
          <w:szCs w:val="24"/>
          <w:shd w:val="clear" w:color="auto" w:fill="FFFFFF"/>
        </w:rPr>
        <w:t>stanowi</w:t>
      </w:r>
      <w:r w:rsidR="001D579C" w:rsidRPr="000431F7">
        <w:rPr>
          <w:rFonts w:ascii="Times New Roman" w:hAnsi="Times New Roman" w:cs="Times New Roman"/>
          <w:color w:val="000000"/>
          <w:sz w:val="24"/>
          <w:szCs w:val="24"/>
          <w:shd w:val="clear" w:color="auto" w:fill="FFFFFF"/>
        </w:rPr>
        <w:t xml:space="preserve"> </w:t>
      </w:r>
      <w:r w:rsidRPr="000431F7">
        <w:rPr>
          <w:rStyle w:val="oj-italic"/>
          <w:rFonts w:ascii="Times New Roman" w:hAnsi="Times New Roman" w:cs="Times New Roman"/>
          <w:i/>
          <w:iCs/>
          <w:color w:val="000000"/>
          <w:sz w:val="24"/>
          <w:szCs w:val="24"/>
          <w:shd w:val="clear" w:color="auto" w:fill="FFFFFF"/>
        </w:rPr>
        <w:t xml:space="preserve">lex </w:t>
      </w:r>
      <w:proofErr w:type="spellStart"/>
      <w:r w:rsidRPr="000431F7">
        <w:rPr>
          <w:rStyle w:val="oj-italic"/>
          <w:rFonts w:ascii="Times New Roman" w:hAnsi="Times New Roman" w:cs="Times New Roman"/>
          <w:i/>
          <w:iCs/>
          <w:color w:val="000000"/>
          <w:sz w:val="24"/>
          <w:szCs w:val="24"/>
          <w:shd w:val="clear" w:color="auto" w:fill="FFFFFF"/>
        </w:rPr>
        <w:t>specialis</w:t>
      </w:r>
      <w:proofErr w:type="spellEnd"/>
      <w:r w:rsidR="001D579C" w:rsidRPr="000431F7">
        <w:rPr>
          <w:rFonts w:ascii="Times New Roman" w:hAnsi="Times New Roman" w:cs="Times New Roman"/>
          <w:color w:val="000000"/>
          <w:sz w:val="24"/>
          <w:szCs w:val="24"/>
          <w:shd w:val="clear" w:color="auto" w:fill="FFFFFF"/>
        </w:rPr>
        <w:t xml:space="preserve"> </w:t>
      </w:r>
      <w:r w:rsidRPr="000431F7">
        <w:rPr>
          <w:rFonts w:ascii="Times New Roman" w:hAnsi="Times New Roman" w:cs="Times New Roman"/>
          <w:color w:val="000000"/>
          <w:sz w:val="24"/>
          <w:szCs w:val="24"/>
          <w:shd w:val="clear" w:color="auto" w:fill="FFFFFF"/>
        </w:rPr>
        <w:t>względem dyrektywy</w:t>
      </w:r>
      <w:r w:rsidR="00390D04" w:rsidRPr="000431F7">
        <w:rPr>
          <w:rFonts w:ascii="Times New Roman" w:hAnsi="Times New Roman" w:cs="Times New Roman"/>
          <w:color w:val="000000"/>
          <w:sz w:val="24"/>
          <w:szCs w:val="24"/>
          <w:shd w:val="clear" w:color="auto" w:fill="FFFFFF"/>
        </w:rPr>
        <w:t xml:space="preserve"> </w:t>
      </w:r>
      <w:r w:rsidR="005E6494" w:rsidRPr="000431F7">
        <w:rPr>
          <w:rFonts w:ascii="Times New Roman" w:hAnsi="Times New Roman" w:cs="Times New Roman"/>
          <w:sz w:val="24"/>
          <w:szCs w:val="24"/>
        </w:rPr>
        <w:t>2022/2555</w:t>
      </w:r>
      <w:r w:rsidRPr="000431F7">
        <w:rPr>
          <w:rFonts w:ascii="Times New Roman" w:hAnsi="Times New Roman" w:cs="Times New Roman"/>
          <w:color w:val="000000"/>
          <w:sz w:val="24"/>
          <w:szCs w:val="24"/>
          <w:shd w:val="clear" w:color="auto" w:fill="FFFFFF"/>
        </w:rPr>
        <w:t xml:space="preserve">. </w:t>
      </w:r>
      <w:r w:rsidR="00F32A44" w:rsidRPr="000431F7">
        <w:rPr>
          <w:rFonts w:ascii="Times New Roman" w:hAnsi="Times New Roman" w:cs="Times New Roman"/>
          <w:color w:val="000000"/>
          <w:sz w:val="24"/>
          <w:szCs w:val="24"/>
          <w:shd w:val="clear" w:color="auto" w:fill="FFFFFF"/>
        </w:rPr>
        <w:t xml:space="preserve">Ponadto, w porównaniu do regulacji dyrektyw </w:t>
      </w:r>
      <w:r w:rsidR="00983B8A" w:rsidRPr="000431F7">
        <w:rPr>
          <w:rFonts w:ascii="Times New Roman" w:hAnsi="Times New Roman" w:cs="Times New Roman"/>
          <w:sz w:val="24"/>
          <w:szCs w:val="24"/>
        </w:rPr>
        <w:t>2016/1148 i 2022/2555</w:t>
      </w:r>
      <w:r w:rsidR="00CF3BD3">
        <w:rPr>
          <w:rFonts w:ascii="Times New Roman" w:hAnsi="Times New Roman" w:cs="Times New Roman"/>
          <w:sz w:val="24"/>
          <w:szCs w:val="24"/>
        </w:rPr>
        <w:t>,</w:t>
      </w:r>
      <w:r w:rsidR="00983B8A" w:rsidRPr="000431F7">
        <w:rPr>
          <w:rFonts w:ascii="Times New Roman" w:hAnsi="Times New Roman" w:cs="Times New Roman"/>
          <w:sz w:val="24"/>
          <w:szCs w:val="24"/>
        </w:rPr>
        <w:t xml:space="preserve"> </w:t>
      </w:r>
      <w:r w:rsidR="00983B8A" w:rsidRPr="000431F7">
        <w:rPr>
          <w:rFonts w:ascii="Times New Roman" w:hAnsi="Times New Roman" w:cs="Times New Roman"/>
          <w:color w:val="000000"/>
          <w:sz w:val="24"/>
          <w:szCs w:val="24"/>
          <w:shd w:val="clear" w:color="auto" w:fill="FFFFFF"/>
        </w:rPr>
        <w:t xml:space="preserve">został </w:t>
      </w:r>
      <w:r w:rsidR="00F32A44" w:rsidRPr="000431F7">
        <w:rPr>
          <w:rFonts w:ascii="Times New Roman" w:hAnsi="Times New Roman" w:cs="Times New Roman"/>
          <w:color w:val="000000"/>
          <w:sz w:val="24"/>
          <w:szCs w:val="24"/>
          <w:shd w:val="clear" w:color="auto" w:fill="FFFFFF"/>
        </w:rPr>
        <w:t xml:space="preserve">rozszerzony katalog podmiotów finansowych objętych zakresem regulacji rozporządzenia </w:t>
      </w:r>
      <w:r w:rsidR="00F32A44" w:rsidRPr="000431F7">
        <w:rPr>
          <w:rFonts w:ascii="Times New Roman" w:hAnsi="Times New Roman" w:cs="Times New Roman"/>
          <w:sz w:val="24"/>
          <w:szCs w:val="24"/>
        </w:rPr>
        <w:t>2022/2554, wskazany w</w:t>
      </w:r>
      <w:r w:rsidR="001D579C" w:rsidRPr="000431F7">
        <w:rPr>
          <w:rFonts w:ascii="Times New Roman" w:hAnsi="Times New Roman" w:cs="Times New Roman"/>
          <w:sz w:val="24"/>
          <w:szCs w:val="24"/>
        </w:rPr>
        <w:t> </w:t>
      </w:r>
      <w:r w:rsidR="00F32A44" w:rsidRPr="000431F7">
        <w:rPr>
          <w:rFonts w:ascii="Times New Roman" w:hAnsi="Times New Roman" w:cs="Times New Roman"/>
          <w:sz w:val="24"/>
          <w:szCs w:val="24"/>
        </w:rPr>
        <w:t xml:space="preserve">art. </w:t>
      </w:r>
      <w:r w:rsidR="0056664E" w:rsidRPr="000431F7">
        <w:rPr>
          <w:rFonts w:ascii="Times New Roman" w:hAnsi="Times New Roman" w:cs="Times New Roman"/>
          <w:sz w:val="24"/>
          <w:szCs w:val="24"/>
        </w:rPr>
        <w:t>2</w:t>
      </w:r>
      <w:r w:rsidR="00F32A44" w:rsidRPr="000431F7">
        <w:rPr>
          <w:rFonts w:ascii="Times New Roman" w:hAnsi="Times New Roman" w:cs="Times New Roman"/>
          <w:sz w:val="24"/>
          <w:szCs w:val="24"/>
        </w:rPr>
        <w:t xml:space="preserve"> </w:t>
      </w:r>
      <w:r w:rsidR="00F32A44" w:rsidRPr="000431F7">
        <w:rPr>
          <w:rFonts w:ascii="Times New Roman" w:hAnsi="Times New Roman" w:cs="Times New Roman"/>
          <w:color w:val="000000"/>
          <w:sz w:val="24"/>
          <w:szCs w:val="24"/>
          <w:shd w:val="clear" w:color="auto" w:fill="FFFFFF"/>
        </w:rPr>
        <w:t xml:space="preserve">ust. 1 lit. a–t. </w:t>
      </w:r>
    </w:p>
    <w:p w14:paraId="00CA5429" w14:textId="3C2A6A9F" w:rsidR="00532ECD" w:rsidRPr="000431F7" w:rsidRDefault="002C6419" w:rsidP="004742CC">
      <w:pPr>
        <w:spacing w:before="120" w:after="0" w:line="360" w:lineRule="auto"/>
        <w:jc w:val="both"/>
        <w:rPr>
          <w:rFonts w:ascii="Times New Roman" w:hAnsi="Times New Roman" w:cs="Times New Roman"/>
          <w:color w:val="000000"/>
          <w:sz w:val="24"/>
          <w:szCs w:val="24"/>
          <w:shd w:val="clear" w:color="auto" w:fill="FFFFFF"/>
        </w:rPr>
      </w:pPr>
      <w:r w:rsidRPr="000431F7">
        <w:rPr>
          <w:rFonts w:ascii="Times New Roman" w:hAnsi="Times New Roman" w:cs="Times New Roman"/>
          <w:color w:val="000000"/>
          <w:sz w:val="24"/>
          <w:szCs w:val="24"/>
          <w:shd w:val="clear" w:color="auto" w:fill="FFFFFF"/>
        </w:rPr>
        <w:t xml:space="preserve">Warto jednak podkreślić, że </w:t>
      </w:r>
      <w:r w:rsidR="00775DF7" w:rsidRPr="000431F7">
        <w:rPr>
          <w:rFonts w:ascii="Times New Roman" w:hAnsi="Times New Roman" w:cs="Times New Roman"/>
          <w:color w:val="000000"/>
          <w:sz w:val="24"/>
          <w:szCs w:val="24"/>
          <w:shd w:val="clear" w:color="auto" w:fill="FFFFFF"/>
        </w:rPr>
        <w:t xml:space="preserve">przepisy </w:t>
      </w:r>
      <w:r w:rsidR="002D570D" w:rsidRPr="000431F7">
        <w:rPr>
          <w:rFonts w:ascii="Times New Roman" w:hAnsi="Times New Roman" w:cs="Times New Roman"/>
          <w:color w:val="000000"/>
          <w:sz w:val="24"/>
          <w:szCs w:val="24"/>
          <w:shd w:val="clear" w:color="auto" w:fill="FFFFFF"/>
        </w:rPr>
        <w:t xml:space="preserve">rozporządzenia </w:t>
      </w:r>
      <w:r w:rsidR="00775DF7" w:rsidRPr="000431F7">
        <w:rPr>
          <w:rFonts w:ascii="Times New Roman" w:hAnsi="Times New Roman" w:cs="Times New Roman"/>
          <w:sz w:val="24"/>
          <w:szCs w:val="24"/>
        </w:rPr>
        <w:t xml:space="preserve">2022/2554 zakładają </w:t>
      </w:r>
      <w:r w:rsidR="00532ECD" w:rsidRPr="000431F7">
        <w:rPr>
          <w:rFonts w:ascii="Times New Roman" w:hAnsi="Times New Roman" w:cs="Times New Roman"/>
          <w:color w:val="000000"/>
          <w:sz w:val="24"/>
          <w:szCs w:val="24"/>
          <w:shd w:val="clear" w:color="auto" w:fill="FFFFFF"/>
        </w:rPr>
        <w:t xml:space="preserve">utrzymanie silnego związku między </w:t>
      </w:r>
      <w:r w:rsidR="0055776E" w:rsidRPr="000431F7">
        <w:rPr>
          <w:rFonts w:ascii="Times New Roman" w:hAnsi="Times New Roman" w:cs="Times New Roman"/>
          <w:color w:val="000000"/>
          <w:sz w:val="24"/>
          <w:szCs w:val="24"/>
          <w:shd w:val="clear" w:color="auto" w:fill="FFFFFF"/>
        </w:rPr>
        <w:t xml:space="preserve">regulacjami dotyczącymi </w:t>
      </w:r>
      <w:r w:rsidR="00532ECD" w:rsidRPr="000431F7">
        <w:rPr>
          <w:rFonts w:ascii="Times New Roman" w:hAnsi="Times New Roman" w:cs="Times New Roman"/>
          <w:color w:val="000000"/>
          <w:sz w:val="24"/>
          <w:szCs w:val="24"/>
          <w:shd w:val="clear" w:color="auto" w:fill="FFFFFF"/>
        </w:rPr>
        <w:t>sektor</w:t>
      </w:r>
      <w:r w:rsidR="0055776E" w:rsidRPr="000431F7">
        <w:rPr>
          <w:rFonts w:ascii="Times New Roman" w:hAnsi="Times New Roman" w:cs="Times New Roman"/>
          <w:color w:val="000000"/>
          <w:sz w:val="24"/>
          <w:szCs w:val="24"/>
          <w:shd w:val="clear" w:color="auto" w:fill="FFFFFF"/>
        </w:rPr>
        <w:t>a</w:t>
      </w:r>
      <w:r w:rsidR="00532ECD" w:rsidRPr="000431F7">
        <w:rPr>
          <w:rFonts w:ascii="Times New Roman" w:hAnsi="Times New Roman" w:cs="Times New Roman"/>
          <w:color w:val="000000"/>
          <w:sz w:val="24"/>
          <w:szCs w:val="24"/>
          <w:shd w:val="clear" w:color="auto" w:fill="FFFFFF"/>
        </w:rPr>
        <w:t xml:space="preserve"> finansow</w:t>
      </w:r>
      <w:r w:rsidR="0055776E" w:rsidRPr="000431F7">
        <w:rPr>
          <w:rFonts w:ascii="Times New Roman" w:hAnsi="Times New Roman" w:cs="Times New Roman"/>
          <w:color w:val="000000"/>
          <w:sz w:val="24"/>
          <w:szCs w:val="24"/>
          <w:shd w:val="clear" w:color="auto" w:fill="FFFFFF"/>
        </w:rPr>
        <w:t>ego</w:t>
      </w:r>
      <w:r w:rsidR="00532ECD" w:rsidRPr="000431F7">
        <w:rPr>
          <w:rFonts w:ascii="Times New Roman" w:hAnsi="Times New Roman" w:cs="Times New Roman"/>
          <w:color w:val="000000"/>
          <w:sz w:val="24"/>
          <w:szCs w:val="24"/>
          <w:shd w:val="clear" w:color="auto" w:fill="FFFFFF"/>
        </w:rPr>
        <w:t xml:space="preserve"> a unijnymi horyzontalnymi ramami w zakresie </w:t>
      </w:r>
      <w:proofErr w:type="spellStart"/>
      <w:r w:rsidR="00532ECD" w:rsidRPr="000431F7">
        <w:rPr>
          <w:rFonts w:ascii="Times New Roman" w:hAnsi="Times New Roman" w:cs="Times New Roman"/>
          <w:color w:val="000000"/>
          <w:sz w:val="24"/>
          <w:szCs w:val="24"/>
          <w:shd w:val="clear" w:color="auto" w:fill="FFFFFF"/>
        </w:rPr>
        <w:t>cyberbezpieczeństwa</w:t>
      </w:r>
      <w:proofErr w:type="spellEnd"/>
      <w:r w:rsidR="00532ECD" w:rsidRPr="000431F7">
        <w:rPr>
          <w:rFonts w:ascii="Times New Roman" w:hAnsi="Times New Roman" w:cs="Times New Roman"/>
          <w:color w:val="000000"/>
          <w:sz w:val="24"/>
          <w:szCs w:val="24"/>
          <w:shd w:val="clear" w:color="auto" w:fill="FFFFFF"/>
        </w:rPr>
        <w:t>, określonymi obecnie w dyrektywie</w:t>
      </w:r>
      <w:r w:rsidRPr="000431F7">
        <w:rPr>
          <w:rFonts w:ascii="Times New Roman" w:hAnsi="Times New Roman" w:cs="Times New Roman"/>
          <w:color w:val="000000"/>
          <w:sz w:val="24"/>
          <w:szCs w:val="24"/>
          <w:shd w:val="clear" w:color="auto" w:fill="FFFFFF"/>
        </w:rPr>
        <w:t xml:space="preserve"> </w:t>
      </w:r>
      <w:r w:rsidR="005E6494" w:rsidRPr="000431F7">
        <w:rPr>
          <w:rFonts w:ascii="Times New Roman" w:hAnsi="Times New Roman" w:cs="Times New Roman"/>
          <w:sz w:val="24"/>
          <w:szCs w:val="24"/>
        </w:rPr>
        <w:t>2022/2555</w:t>
      </w:r>
      <w:r w:rsidR="005E6494" w:rsidRPr="000431F7">
        <w:rPr>
          <w:rFonts w:ascii="Times New Roman" w:hAnsi="Times New Roman" w:cs="Times New Roman"/>
          <w:color w:val="000000"/>
          <w:sz w:val="24"/>
          <w:szCs w:val="24"/>
          <w:shd w:val="clear" w:color="auto" w:fill="FFFFFF"/>
        </w:rPr>
        <w:t xml:space="preserve"> </w:t>
      </w:r>
      <w:r w:rsidRPr="000431F7">
        <w:rPr>
          <w:rFonts w:ascii="Times New Roman" w:hAnsi="Times New Roman" w:cs="Times New Roman"/>
          <w:color w:val="000000"/>
          <w:sz w:val="24"/>
          <w:szCs w:val="24"/>
          <w:shd w:val="clear" w:color="auto" w:fill="FFFFFF"/>
        </w:rPr>
        <w:t>(termin na dokonanie transpozycji: 17.10.2024 r.)</w:t>
      </w:r>
      <w:r w:rsidR="00532ECD" w:rsidRPr="000431F7">
        <w:rPr>
          <w:rFonts w:ascii="Times New Roman" w:hAnsi="Times New Roman" w:cs="Times New Roman"/>
          <w:color w:val="000000"/>
          <w:sz w:val="24"/>
          <w:szCs w:val="24"/>
          <w:shd w:val="clear" w:color="auto" w:fill="FFFFFF"/>
        </w:rPr>
        <w:t xml:space="preserve">, </w:t>
      </w:r>
      <w:r w:rsidR="00775DF7" w:rsidRPr="000431F7">
        <w:rPr>
          <w:rFonts w:ascii="Times New Roman" w:hAnsi="Times New Roman" w:cs="Times New Roman"/>
          <w:color w:val="000000"/>
          <w:sz w:val="24"/>
          <w:szCs w:val="24"/>
          <w:shd w:val="clear" w:color="auto" w:fill="FFFFFF"/>
        </w:rPr>
        <w:t xml:space="preserve">co </w:t>
      </w:r>
      <w:r w:rsidR="00532ECD" w:rsidRPr="000431F7">
        <w:rPr>
          <w:rFonts w:ascii="Times New Roman" w:hAnsi="Times New Roman" w:cs="Times New Roman"/>
          <w:color w:val="000000"/>
          <w:sz w:val="24"/>
          <w:szCs w:val="24"/>
          <w:shd w:val="clear" w:color="auto" w:fill="FFFFFF"/>
        </w:rPr>
        <w:t>ma zasadnicze znaczenie dla zapewnienia spójnośc</w:t>
      </w:r>
      <w:r w:rsidR="006E766E" w:rsidRPr="000431F7">
        <w:rPr>
          <w:rFonts w:ascii="Times New Roman" w:hAnsi="Times New Roman" w:cs="Times New Roman"/>
          <w:color w:val="000000"/>
          <w:sz w:val="24"/>
          <w:szCs w:val="24"/>
          <w:shd w:val="clear" w:color="auto" w:fill="FFFFFF"/>
        </w:rPr>
        <w:t xml:space="preserve">i </w:t>
      </w:r>
      <w:r w:rsidR="00532ECD" w:rsidRPr="000431F7">
        <w:rPr>
          <w:rFonts w:ascii="Times New Roman" w:hAnsi="Times New Roman" w:cs="Times New Roman"/>
          <w:color w:val="000000"/>
          <w:sz w:val="24"/>
          <w:szCs w:val="24"/>
          <w:shd w:val="clear" w:color="auto" w:fill="FFFFFF"/>
        </w:rPr>
        <w:t>z</w:t>
      </w:r>
      <w:r w:rsidR="006E766E" w:rsidRPr="000431F7">
        <w:rPr>
          <w:rFonts w:ascii="Times New Roman" w:hAnsi="Times New Roman" w:cs="Times New Roman"/>
          <w:color w:val="000000"/>
          <w:sz w:val="24"/>
          <w:szCs w:val="24"/>
          <w:shd w:val="clear" w:color="auto" w:fill="FFFFFF"/>
        </w:rPr>
        <w:t xml:space="preserve"> </w:t>
      </w:r>
      <w:r w:rsidR="00532ECD" w:rsidRPr="000431F7">
        <w:rPr>
          <w:rFonts w:ascii="Times New Roman" w:hAnsi="Times New Roman" w:cs="Times New Roman"/>
          <w:color w:val="000000"/>
          <w:sz w:val="24"/>
          <w:szCs w:val="24"/>
          <w:shd w:val="clear" w:color="auto" w:fill="FFFFFF"/>
        </w:rPr>
        <w:t>przyjętymi przez państwa członkowskie strategiami w zakresie</w:t>
      </w:r>
      <w:r w:rsidR="006E766E" w:rsidRPr="000431F7">
        <w:rPr>
          <w:rFonts w:ascii="Times New Roman" w:hAnsi="Times New Roman" w:cs="Times New Roman"/>
          <w:color w:val="000000"/>
          <w:sz w:val="24"/>
          <w:szCs w:val="24"/>
          <w:shd w:val="clear" w:color="auto" w:fill="FFFFFF"/>
        </w:rPr>
        <w:t xml:space="preserve"> </w:t>
      </w:r>
      <w:proofErr w:type="spellStart"/>
      <w:r w:rsidR="00532ECD" w:rsidRPr="000431F7">
        <w:rPr>
          <w:rFonts w:ascii="Times New Roman" w:hAnsi="Times New Roman" w:cs="Times New Roman"/>
          <w:color w:val="000000"/>
          <w:sz w:val="24"/>
          <w:szCs w:val="24"/>
          <w:shd w:val="clear" w:color="auto" w:fill="FFFFFF"/>
        </w:rPr>
        <w:t>cyberbezpieczeństwa</w:t>
      </w:r>
      <w:proofErr w:type="spellEnd"/>
      <w:r w:rsidR="00532ECD" w:rsidRPr="000431F7">
        <w:rPr>
          <w:rFonts w:ascii="Times New Roman" w:hAnsi="Times New Roman" w:cs="Times New Roman"/>
          <w:color w:val="000000"/>
          <w:sz w:val="24"/>
          <w:szCs w:val="24"/>
          <w:shd w:val="clear" w:color="auto" w:fill="FFFFFF"/>
        </w:rPr>
        <w:t xml:space="preserve"> oraz umożliwienia organom nadzoru finansowego uzyskani</w:t>
      </w:r>
      <w:r w:rsidR="00775DF7" w:rsidRPr="000431F7">
        <w:rPr>
          <w:rFonts w:ascii="Times New Roman" w:hAnsi="Times New Roman" w:cs="Times New Roman"/>
          <w:color w:val="000000"/>
          <w:sz w:val="24"/>
          <w:szCs w:val="24"/>
          <w:shd w:val="clear" w:color="auto" w:fill="FFFFFF"/>
        </w:rPr>
        <w:t>e</w:t>
      </w:r>
      <w:r w:rsidR="00532ECD" w:rsidRPr="000431F7">
        <w:rPr>
          <w:rFonts w:ascii="Times New Roman" w:hAnsi="Times New Roman" w:cs="Times New Roman"/>
          <w:color w:val="000000"/>
          <w:sz w:val="24"/>
          <w:szCs w:val="24"/>
          <w:shd w:val="clear" w:color="auto" w:fill="FFFFFF"/>
        </w:rPr>
        <w:t xml:space="preserve"> informacji na temat </w:t>
      </w:r>
      <w:proofErr w:type="spellStart"/>
      <w:r w:rsidR="00532ECD" w:rsidRPr="000431F7">
        <w:rPr>
          <w:rFonts w:ascii="Times New Roman" w:hAnsi="Times New Roman" w:cs="Times New Roman"/>
          <w:color w:val="000000"/>
          <w:sz w:val="24"/>
          <w:szCs w:val="24"/>
          <w:shd w:val="clear" w:color="auto" w:fill="FFFFFF"/>
        </w:rPr>
        <w:t>cyberincydentów</w:t>
      </w:r>
      <w:proofErr w:type="spellEnd"/>
      <w:r w:rsidR="00532ECD" w:rsidRPr="000431F7">
        <w:rPr>
          <w:rFonts w:ascii="Times New Roman" w:hAnsi="Times New Roman" w:cs="Times New Roman"/>
          <w:color w:val="000000"/>
          <w:sz w:val="24"/>
          <w:szCs w:val="24"/>
          <w:shd w:val="clear" w:color="auto" w:fill="FFFFFF"/>
        </w:rPr>
        <w:t xml:space="preserve"> wpływających na inne sektory objęte tą dyrektywą.</w:t>
      </w:r>
    </w:p>
    <w:p w14:paraId="61C2BCA3" w14:textId="0BD98273" w:rsidR="002C6419" w:rsidRPr="000431F7" w:rsidRDefault="00532ECD" w:rsidP="004742CC">
      <w:pPr>
        <w:spacing w:before="120" w:after="0" w:line="360" w:lineRule="auto"/>
        <w:jc w:val="both"/>
        <w:rPr>
          <w:rFonts w:ascii="Times New Roman" w:hAnsi="Times New Roman" w:cs="Times New Roman"/>
          <w:sz w:val="24"/>
          <w:szCs w:val="24"/>
        </w:rPr>
      </w:pPr>
      <w:r w:rsidRPr="000431F7">
        <w:rPr>
          <w:rFonts w:ascii="Times New Roman" w:hAnsi="Times New Roman" w:cs="Times New Roman"/>
          <w:color w:val="000000"/>
          <w:sz w:val="24"/>
          <w:szCs w:val="24"/>
          <w:shd w:val="clear" w:color="auto" w:fill="FFFFFF"/>
        </w:rPr>
        <w:t xml:space="preserve">Z uwagi na korelację między przepisami rozporządzenia </w:t>
      </w:r>
      <w:r w:rsidRPr="000431F7">
        <w:rPr>
          <w:rFonts w:ascii="Times New Roman" w:hAnsi="Times New Roman" w:cs="Times New Roman"/>
          <w:sz w:val="24"/>
          <w:szCs w:val="24"/>
        </w:rPr>
        <w:t>2022/2554 a przepisami zarówno dyrektywy</w:t>
      </w:r>
      <w:r w:rsidR="005E6494" w:rsidRPr="000431F7">
        <w:rPr>
          <w:rFonts w:ascii="Times New Roman" w:hAnsi="Times New Roman" w:cs="Times New Roman"/>
          <w:sz w:val="24"/>
          <w:szCs w:val="24"/>
        </w:rPr>
        <w:t xml:space="preserve"> 2016/1148</w:t>
      </w:r>
      <w:r w:rsidR="001D579C" w:rsidRPr="000431F7">
        <w:rPr>
          <w:rFonts w:ascii="Times New Roman" w:hAnsi="Times New Roman" w:cs="Times New Roman"/>
          <w:sz w:val="24"/>
          <w:szCs w:val="24"/>
        </w:rPr>
        <w:t>,</w:t>
      </w:r>
      <w:r w:rsidR="005E6494" w:rsidRPr="000431F7">
        <w:rPr>
          <w:rFonts w:ascii="Times New Roman" w:hAnsi="Times New Roman" w:cs="Times New Roman"/>
          <w:sz w:val="24"/>
          <w:szCs w:val="24"/>
        </w:rPr>
        <w:t xml:space="preserve"> jak i </w:t>
      </w:r>
      <w:r w:rsidR="0056664E" w:rsidRPr="000431F7">
        <w:rPr>
          <w:rFonts w:ascii="Times New Roman" w:hAnsi="Times New Roman" w:cs="Times New Roman"/>
          <w:sz w:val="24"/>
          <w:szCs w:val="24"/>
        </w:rPr>
        <w:t xml:space="preserve">dyrektywy </w:t>
      </w:r>
      <w:r w:rsidR="005E6494" w:rsidRPr="000431F7">
        <w:rPr>
          <w:rFonts w:ascii="Times New Roman" w:hAnsi="Times New Roman" w:cs="Times New Roman"/>
          <w:sz w:val="24"/>
          <w:szCs w:val="24"/>
        </w:rPr>
        <w:t>2022/2555</w:t>
      </w:r>
      <w:r w:rsidR="002D570D" w:rsidRPr="000431F7">
        <w:rPr>
          <w:rFonts w:ascii="Times New Roman" w:hAnsi="Times New Roman" w:cs="Times New Roman"/>
          <w:sz w:val="24"/>
          <w:szCs w:val="24"/>
        </w:rPr>
        <w:t>,</w:t>
      </w:r>
      <w:r w:rsidRPr="000431F7">
        <w:rPr>
          <w:rFonts w:ascii="Times New Roman" w:hAnsi="Times New Roman" w:cs="Times New Roman"/>
          <w:sz w:val="24"/>
          <w:szCs w:val="24"/>
        </w:rPr>
        <w:t xml:space="preserve"> konieczne jest także wprowadzenie odpowiednich zmian do ustawy</w:t>
      </w:r>
      <w:r w:rsidR="006E766E" w:rsidRPr="000431F7">
        <w:rPr>
          <w:rFonts w:ascii="Times New Roman" w:hAnsi="Times New Roman" w:cs="Times New Roman"/>
          <w:sz w:val="24"/>
          <w:szCs w:val="24"/>
        </w:rPr>
        <w:t xml:space="preserve"> z dnia</w:t>
      </w:r>
      <w:r w:rsidR="002C6419" w:rsidRPr="000431F7">
        <w:rPr>
          <w:rFonts w:ascii="Times New Roman" w:hAnsi="Times New Roman" w:cs="Times New Roman"/>
          <w:sz w:val="24"/>
          <w:szCs w:val="24"/>
        </w:rPr>
        <w:t xml:space="preserve"> </w:t>
      </w:r>
      <w:r w:rsidR="006E766E" w:rsidRPr="000431F7">
        <w:rPr>
          <w:rFonts w:ascii="Times New Roman" w:hAnsi="Times New Roman" w:cs="Times New Roman"/>
          <w:sz w:val="24"/>
          <w:szCs w:val="24"/>
        </w:rPr>
        <w:t xml:space="preserve">5 lipca 2018 r. </w:t>
      </w:r>
      <w:r w:rsidRPr="000431F7">
        <w:rPr>
          <w:rFonts w:ascii="Times New Roman" w:hAnsi="Times New Roman" w:cs="Times New Roman"/>
          <w:sz w:val="24"/>
          <w:szCs w:val="24"/>
        </w:rPr>
        <w:t xml:space="preserve">o krajowym systemie </w:t>
      </w:r>
      <w:proofErr w:type="spellStart"/>
      <w:r w:rsidRPr="000431F7">
        <w:rPr>
          <w:rFonts w:ascii="Times New Roman" w:hAnsi="Times New Roman" w:cs="Times New Roman"/>
          <w:sz w:val="24"/>
          <w:szCs w:val="24"/>
        </w:rPr>
        <w:t>cyberbezpieczeństwa</w:t>
      </w:r>
      <w:proofErr w:type="spellEnd"/>
      <w:r w:rsidR="00BC6648" w:rsidRPr="000431F7">
        <w:rPr>
          <w:rFonts w:ascii="Times New Roman" w:hAnsi="Times New Roman" w:cs="Times New Roman"/>
          <w:sz w:val="24"/>
          <w:szCs w:val="24"/>
        </w:rPr>
        <w:t>, należy jednak podkreślić, że większość zmian wynikających z wdrażanego rozporządzenia 2022/2554, w szczególności regulacje art. 19 w zw</w:t>
      </w:r>
      <w:r w:rsidR="00983B8A" w:rsidRPr="000431F7">
        <w:rPr>
          <w:rFonts w:ascii="Times New Roman" w:hAnsi="Times New Roman" w:cs="Times New Roman"/>
          <w:sz w:val="24"/>
          <w:szCs w:val="24"/>
        </w:rPr>
        <w:t>iązku</w:t>
      </w:r>
      <w:r w:rsidR="00BC6648" w:rsidRPr="000431F7">
        <w:rPr>
          <w:rFonts w:ascii="Times New Roman" w:hAnsi="Times New Roman" w:cs="Times New Roman"/>
          <w:sz w:val="24"/>
          <w:szCs w:val="24"/>
        </w:rPr>
        <w:t xml:space="preserve"> z art. 20, </w:t>
      </w:r>
      <w:r w:rsidR="008D6BE5" w:rsidRPr="000431F7">
        <w:rPr>
          <w:rFonts w:ascii="Times New Roman" w:hAnsi="Times New Roman" w:cs="Times New Roman"/>
          <w:sz w:val="24"/>
          <w:szCs w:val="24"/>
        </w:rPr>
        <w:t xml:space="preserve">dotyczące </w:t>
      </w:r>
      <w:r w:rsidR="00BC6648" w:rsidRPr="000431F7">
        <w:rPr>
          <w:rFonts w:ascii="Times New Roman" w:hAnsi="Times New Roman" w:cs="Times New Roman"/>
          <w:sz w:val="24"/>
          <w:szCs w:val="24"/>
        </w:rPr>
        <w:t>obowiązku zgłaszania poważnych incydentów związanych z ICT i możliwoś</w:t>
      </w:r>
      <w:r w:rsidR="0055776E" w:rsidRPr="000431F7">
        <w:rPr>
          <w:rFonts w:ascii="Times New Roman" w:hAnsi="Times New Roman" w:cs="Times New Roman"/>
          <w:sz w:val="24"/>
          <w:szCs w:val="24"/>
        </w:rPr>
        <w:t>ci</w:t>
      </w:r>
      <w:r w:rsidR="00BC6648" w:rsidRPr="000431F7">
        <w:rPr>
          <w:rFonts w:ascii="Times New Roman" w:hAnsi="Times New Roman" w:cs="Times New Roman"/>
          <w:sz w:val="24"/>
          <w:szCs w:val="24"/>
        </w:rPr>
        <w:t xml:space="preserve"> zgłaszania znaczących zagrożeń przez podmiot finansowy</w:t>
      </w:r>
      <w:r w:rsidR="0055776E" w:rsidRPr="000431F7">
        <w:rPr>
          <w:rFonts w:ascii="Times New Roman" w:hAnsi="Times New Roman" w:cs="Times New Roman"/>
          <w:sz w:val="24"/>
          <w:szCs w:val="24"/>
        </w:rPr>
        <w:t>,</w:t>
      </w:r>
      <w:r w:rsidR="00BC6648" w:rsidRPr="000431F7">
        <w:rPr>
          <w:rFonts w:ascii="Times New Roman" w:hAnsi="Times New Roman" w:cs="Times New Roman"/>
          <w:sz w:val="24"/>
          <w:szCs w:val="24"/>
        </w:rPr>
        <w:t xml:space="preserve"> zostan</w:t>
      </w:r>
      <w:r w:rsidR="00983B8A" w:rsidRPr="000431F7">
        <w:rPr>
          <w:rFonts w:ascii="Times New Roman" w:hAnsi="Times New Roman" w:cs="Times New Roman"/>
          <w:sz w:val="24"/>
          <w:szCs w:val="24"/>
        </w:rPr>
        <w:t>ą</w:t>
      </w:r>
      <w:r w:rsidR="00BC6648" w:rsidRPr="000431F7">
        <w:rPr>
          <w:rFonts w:ascii="Times New Roman" w:hAnsi="Times New Roman" w:cs="Times New Roman"/>
          <w:sz w:val="24"/>
          <w:szCs w:val="24"/>
        </w:rPr>
        <w:t xml:space="preserve"> wprowadzon</w:t>
      </w:r>
      <w:r w:rsidR="00983B8A" w:rsidRPr="000431F7">
        <w:rPr>
          <w:rFonts w:ascii="Times New Roman" w:hAnsi="Times New Roman" w:cs="Times New Roman"/>
          <w:sz w:val="24"/>
          <w:szCs w:val="24"/>
        </w:rPr>
        <w:t>e</w:t>
      </w:r>
      <w:r w:rsidR="00BC6648" w:rsidRPr="000431F7">
        <w:rPr>
          <w:rFonts w:ascii="Times New Roman" w:hAnsi="Times New Roman" w:cs="Times New Roman"/>
          <w:sz w:val="24"/>
          <w:szCs w:val="24"/>
        </w:rPr>
        <w:t xml:space="preserve"> w projektowanym rozdziale </w:t>
      </w:r>
      <w:r w:rsidR="0055776E" w:rsidRPr="004742CC">
        <w:rPr>
          <w:rFonts w:ascii="Times New Roman" w:hAnsi="Times New Roman" w:cs="Times New Roman"/>
          <w:sz w:val="24"/>
          <w:szCs w:val="24"/>
        </w:rPr>
        <w:t>2c</w:t>
      </w:r>
      <w:r w:rsidR="0055776E" w:rsidRPr="000431F7">
        <w:rPr>
          <w:rFonts w:ascii="Times New Roman" w:hAnsi="Times New Roman" w:cs="Times New Roman"/>
          <w:sz w:val="24"/>
          <w:szCs w:val="24"/>
        </w:rPr>
        <w:t xml:space="preserve"> ustawy </w:t>
      </w:r>
      <w:r w:rsidR="00403271" w:rsidRPr="000431F7">
        <w:rPr>
          <w:rFonts w:ascii="Times New Roman" w:hAnsi="Times New Roman" w:cs="Times New Roman"/>
          <w:sz w:val="24"/>
          <w:szCs w:val="24"/>
        </w:rPr>
        <w:t xml:space="preserve">o nadzorze nad rynkiem finansowym, </w:t>
      </w:r>
      <w:r w:rsidR="00BC6648" w:rsidRPr="000431F7">
        <w:rPr>
          <w:rFonts w:ascii="Times New Roman" w:hAnsi="Times New Roman" w:cs="Times New Roman"/>
          <w:sz w:val="24"/>
          <w:szCs w:val="24"/>
        </w:rPr>
        <w:t xml:space="preserve">pt. „Nadzór </w:t>
      </w:r>
      <w:r w:rsidR="002A1A78" w:rsidRPr="000431F7">
        <w:rPr>
          <w:rFonts w:ascii="Times New Roman" w:hAnsi="Times New Roman" w:cs="Times New Roman"/>
          <w:sz w:val="24"/>
          <w:szCs w:val="24"/>
        </w:rPr>
        <w:t xml:space="preserve">i obowiązki </w:t>
      </w:r>
      <w:r w:rsidR="00BC6648" w:rsidRPr="000431F7">
        <w:rPr>
          <w:rFonts w:ascii="Times New Roman" w:hAnsi="Times New Roman" w:cs="Times New Roman"/>
          <w:sz w:val="24"/>
          <w:szCs w:val="24"/>
        </w:rPr>
        <w:t>w zakresie zapewnienia operacyjnej odporności cyfrowej sektora finansowego”</w:t>
      </w:r>
      <w:r w:rsidR="00403271" w:rsidRPr="000431F7">
        <w:rPr>
          <w:rFonts w:ascii="Times New Roman" w:hAnsi="Times New Roman" w:cs="Times New Roman"/>
          <w:sz w:val="24"/>
          <w:szCs w:val="24"/>
        </w:rPr>
        <w:t>,</w:t>
      </w:r>
      <w:r w:rsidR="00447D03" w:rsidRPr="000431F7">
        <w:rPr>
          <w:rFonts w:ascii="Times New Roman" w:hAnsi="Times New Roman" w:cs="Times New Roman"/>
          <w:sz w:val="24"/>
          <w:szCs w:val="24"/>
        </w:rPr>
        <w:t xml:space="preserve"> w celu zapewnienia czytelności regulacji oraz spójności systemowej w zakresie nadzoru nad podmiotami finansowymi w odniesieniu do obowiązków wynikających z rozporządzenia 2022/2554</w:t>
      </w:r>
      <w:r w:rsidRPr="000431F7">
        <w:rPr>
          <w:rFonts w:ascii="Times New Roman" w:hAnsi="Times New Roman" w:cs="Times New Roman"/>
          <w:sz w:val="24"/>
          <w:szCs w:val="24"/>
        </w:rPr>
        <w:t xml:space="preserve">. </w:t>
      </w:r>
    </w:p>
    <w:p w14:paraId="5DE59D91" w14:textId="326E2F19" w:rsidR="004306FF" w:rsidRPr="000431F7" w:rsidRDefault="004306FF" w:rsidP="004742CC">
      <w:pPr>
        <w:keepNext/>
        <w:tabs>
          <w:tab w:val="left" w:pos="426"/>
        </w:tabs>
        <w:spacing w:before="120" w:after="0" w:line="360" w:lineRule="auto"/>
        <w:jc w:val="both"/>
        <w:rPr>
          <w:rFonts w:ascii="Times New Roman" w:hAnsi="Times New Roman" w:cs="Times New Roman"/>
          <w:color w:val="000000"/>
          <w:sz w:val="24"/>
          <w:szCs w:val="24"/>
          <w:shd w:val="clear" w:color="auto" w:fill="FFFFFF"/>
        </w:rPr>
      </w:pPr>
      <w:r w:rsidRPr="000431F7">
        <w:rPr>
          <w:rFonts w:ascii="Times New Roman" w:hAnsi="Times New Roman" w:cs="Times New Roman"/>
          <w:b/>
          <w:bCs/>
          <w:color w:val="000000"/>
          <w:sz w:val="24"/>
          <w:szCs w:val="24"/>
          <w:shd w:val="clear" w:color="auto" w:fill="FFFFFF"/>
        </w:rPr>
        <w:lastRenderedPageBreak/>
        <w:t>3.</w:t>
      </w:r>
      <w:r w:rsidR="000431F7">
        <w:rPr>
          <w:rFonts w:ascii="Times New Roman" w:hAnsi="Times New Roman" w:cs="Times New Roman"/>
          <w:color w:val="000000"/>
          <w:sz w:val="24"/>
          <w:szCs w:val="24"/>
          <w:shd w:val="clear" w:color="auto" w:fill="FFFFFF"/>
        </w:rPr>
        <w:tab/>
      </w:r>
      <w:r w:rsidRPr="000431F7">
        <w:rPr>
          <w:rFonts w:ascii="Times New Roman" w:hAnsi="Times New Roman" w:cs="Times New Roman"/>
          <w:b/>
          <w:bCs/>
          <w:sz w:val="24"/>
          <w:szCs w:val="24"/>
        </w:rPr>
        <w:t xml:space="preserve">Dotychczasowy stan prawny w zakresie rozporządzenia </w:t>
      </w:r>
      <w:r w:rsidRPr="000431F7">
        <w:rPr>
          <w:rFonts w:ascii="Times New Roman" w:hAnsi="Times New Roman" w:cs="Times New Roman"/>
          <w:b/>
          <w:bCs/>
          <w:color w:val="000000"/>
          <w:sz w:val="24"/>
          <w:szCs w:val="24"/>
          <w:shd w:val="clear" w:color="auto" w:fill="FFFFFF"/>
        </w:rPr>
        <w:t>2023/2631</w:t>
      </w:r>
    </w:p>
    <w:p w14:paraId="4CDAB557" w14:textId="77777777" w:rsidR="004306FF" w:rsidRPr="000431F7" w:rsidRDefault="004306FF" w:rsidP="004742CC">
      <w:pPr>
        <w:spacing w:before="120" w:after="0" w:line="360" w:lineRule="auto"/>
        <w:jc w:val="both"/>
        <w:rPr>
          <w:rFonts w:ascii="Times New Roman" w:hAnsi="Times New Roman" w:cs="Times New Roman"/>
          <w:color w:val="000000"/>
          <w:sz w:val="24"/>
          <w:szCs w:val="24"/>
          <w:shd w:val="clear" w:color="auto" w:fill="FFFFFF"/>
        </w:rPr>
      </w:pPr>
      <w:r w:rsidRPr="000431F7">
        <w:rPr>
          <w:rFonts w:ascii="Times New Roman" w:hAnsi="Times New Roman" w:cs="Times New Roman"/>
          <w:color w:val="000000"/>
          <w:sz w:val="24"/>
          <w:szCs w:val="24"/>
          <w:shd w:val="clear" w:color="auto" w:fill="FFFFFF"/>
        </w:rPr>
        <w:t>Obligacje zrównoważone środowiskowo to stosunkowo nowa forma instrumentu dłużnego. Są one jedną z głównych form finansowania technologii przyjaznych środowisku, a także zrównoważonej środowiskowo infrastruktury transportowej i badawczej. Mogą być one emitowane zarówno przez przedsiębiorstwa finansowe, niefinansowe, jak i podmioty publiczne, takie jak emitenci długu państwowego.</w:t>
      </w:r>
    </w:p>
    <w:p w14:paraId="7D6BB97F" w14:textId="77777777" w:rsidR="004306FF" w:rsidRPr="000431F7" w:rsidRDefault="004306FF" w:rsidP="004742CC">
      <w:pPr>
        <w:spacing w:before="120" w:after="0" w:line="360" w:lineRule="auto"/>
        <w:jc w:val="both"/>
        <w:rPr>
          <w:rFonts w:ascii="Times New Roman" w:hAnsi="Times New Roman" w:cs="Times New Roman"/>
          <w:color w:val="000000"/>
          <w:sz w:val="24"/>
          <w:szCs w:val="24"/>
          <w:shd w:val="clear" w:color="auto" w:fill="FFFFFF"/>
        </w:rPr>
      </w:pPr>
      <w:r w:rsidRPr="000431F7">
        <w:rPr>
          <w:rFonts w:ascii="Times New Roman" w:hAnsi="Times New Roman" w:cs="Times New Roman"/>
          <w:color w:val="000000"/>
          <w:sz w:val="24"/>
          <w:szCs w:val="24"/>
          <w:shd w:val="clear" w:color="auto" w:fill="FFFFFF"/>
        </w:rPr>
        <w:t>Współczesny rynek zielonych obligacji napotyka wiele problemów, głównie z powodu braku spójnych definicji działalności zrównoważonej środowiskowo oraz braku skutecznego nadzoru nad kontrolerami zewnętrznymi. Inicjatywy dotyczące zielonych obligacji nie zawierają jednolitych zasad, co utrudnia inwestorom jednoznaczną identyfikację instrumentów, których dochody są zgodne z celami ekologicznymi. W rezultacie rynek ten opiera się na standardach określonych przez samych emitentów i ich kontrolerów, co wprowadza niepewność co do wiarygodności zielonych obligacji.</w:t>
      </w:r>
    </w:p>
    <w:p w14:paraId="28B836BF" w14:textId="77777777" w:rsidR="004306FF" w:rsidRPr="000431F7" w:rsidRDefault="004306FF" w:rsidP="004742CC">
      <w:pPr>
        <w:spacing w:before="120" w:after="0" w:line="360" w:lineRule="auto"/>
        <w:jc w:val="both"/>
        <w:rPr>
          <w:rFonts w:ascii="Times New Roman" w:hAnsi="Times New Roman" w:cs="Times New Roman"/>
          <w:color w:val="000000"/>
          <w:sz w:val="24"/>
          <w:szCs w:val="24"/>
          <w:shd w:val="clear" w:color="auto" w:fill="FFFFFF"/>
        </w:rPr>
      </w:pPr>
      <w:r w:rsidRPr="000431F7">
        <w:rPr>
          <w:rFonts w:ascii="Times New Roman" w:hAnsi="Times New Roman" w:cs="Times New Roman"/>
          <w:color w:val="000000"/>
          <w:sz w:val="24"/>
          <w:szCs w:val="24"/>
          <w:shd w:val="clear" w:color="auto" w:fill="FFFFFF"/>
        </w:rPr>
        <w:t>Brak precyzyjnych definicji sprawia, że inwestorzy nie są w stanie jednoznacznie określić, które obligacje faktycznie przyczyniają się do realizacji celów środowiskowych. Utrudnia to także emitentom pełne wykorzystanie potencjału zielonych obligacji do wspierania transformacji ich modeli biznesowych w kierunku bardziej zrównoważonych środowiskowo.</w:t>
      </w:r>
    </w:p>
    <w:p w14:paraId="539CAD6F" w14:textId="1BFF9770" w:rsidR="004306FF" w:rsidRPr="000431F7" w:rsidRDefault="004306FF" w:rsidP="004742CC">
      <w:pPr>
        <w:spacing w:before="120" w:after="0" w:line="360" w:lineRule="auto"/>
        <w:jc w:val="both"/>
        <w:rPr>
          <w:rFonts w:ascii="Times New Roman" w:hAnsi="Times New Roman" w:cs="Times New Roman"/>
          <w:color w:val="000000"/>
          <w:sz w:val="24"/>
          <w:szCs w:val="24"/>
          <w:shd w:val="clear" w:color="auto" w:fill="FFFFFF"/>
        </w:rPr>
      </w:pPr>
      <w:r w:rsidRPr="000431F7">
        <w:rPr>
          <w:rFonts w:ascii="Times New Roman" w:hAnsi="Times New Roman" w:cs="Times New Roman"/>
          <w:color w:val="000000"/>
          <w:sz w:val="24"/>
          <w:szCs w:val="24"/>
          <w:shd w:val="clear" w:color="auto" w:fill="FFFFFF"/>
        </w:rPr>
        <w:t xml:space="preserve">Ponadto standardy oparte na praktykach rynkowych nie zapewniają wystarczającej przejrzystości ani odpowiedzialności kontrolerów zewnętrznych, co dodatkowo utrudnia ocenę wiarygodności tych instrumentów. Różne praktyki w </w:t>
      </w:r>
      <w:r w:rsidR="00983B8A" w:rsidRPr="000431F7">
        <w:rPr>
          <w:rFonts w:ascii="Times New Roman" w:hAnsi="Times New Roman" w:cs="Times New Roman"/>
          <w:color w:val="000000"/>
          <w:sz w:val="24"/>
          <w:szCs w:val="24"/>
          <w:shd w:val="clear" w:color="auto" w:fill="FFFFFF"/>
        </w:rPr>
        <w:t>UE</w:t>
      </w:r>
      <w:r w:rsidRPr="000431F7">
        <w:rPr>
          <w:rFonts w:ascii="Times New Roman" w:hAnsi="Times New Roman" w:cs="Times New Roman"/>
          <w:color w:val="000000"/>
          <w:sz w:val="24"/>
          <w:szCs w:val="24"/>
          <w:shd w:val="clear" w:color="auto" w:fill="FFFFFF"/>
        </w:rPr>
        <w:t xml:space="preserve"> prowadzą do sytuacji, w której identyfikacja zielonych obligacji </w:t>
      </w:r>
      <w:r w:rsidR="00983B8A" w:rsidRPr="000431F7">
        <w:rPr>
          <w:rFonts w:ascii="Times New Roman" w:hAnsi="Times New Roman" w:cs="Times New Roman"/>
          <w:color w:val="000000"/>
          <w:sz w:val="24"/>
          <w:szCs w:val="24"/>
          <w:shd w:val="clear" w:color="auto" w:fill="FFFFFF"/>
        </w:rPr>
        <w:t xml:space="preserve">rzeczywiście </w:t>
      </w:r>
      <w:r w:rsidRPr="000431F7">
        <w:rPr>
          <w:rFonts w:ascii="Times New Roman" w:hAnsi="Times New Roman" w:cs="Times New Roman"/>
          <w:color w:val="000000"/>
          <w:sz w:val="24"/>
          <w:szCs w:val="24"/>
          <w:shd w:val="clear" w:color="auto" w:fill="FFFFFF"/>
        </w:rPr>
        <w:t>jest skomplikowana i kosztowna, co w konsekwencji ogranicza rozwój rynku tych obligacji.</w:t>
      </w:r>
    </w:p>
    <w:p w14:paraId="0A5565CC" w14:textId="4811AA33" w:rsidR="00ED7946" w:rsidRPr="000431F7" w:rsidRDefault="004306FF" w:rsidP="004742CC">
      <w:pPr>
        <w:tabs>
          <w:tab w:val="left" w:pos="426"/>
        </w:tabs>
        <w:spacing w:before="120" w:after="0" w:line="360" w:lineRule="auto"/>
        <w:jc w:val="both"/>
        <w:rPr>
          <w:rFonts w:ascii="Times New Roman" w:hAnsi="Times New Roman" w:cs="Times New Roman"/>
          <w:b/>
          <w:bCs/>
          <w:sz w:val="24"/>
          <w:szCs w:val="24"/>
        </w:rPr>
      </w:pPr>
      <w:r w:rsidRPr="000431F7">
        <w:rPr>
          <w:rFonts w:ascii="Times New Roman" w:hAnsi="Times New Roman" w:cs="Times New Roman"/>
          <w:b/>
          <w:bCs/>
          <w:sz w:val="24"/>
          <w:szCs w:val="24"/>
        </w:rPr>
        <w:t>4</w:t>
      </w:r>
      <w:r w:rsidR="009C66E7" w:rsidRPr="000431F7">
        <w:rPr>
          <w:rFonts w:ascii="Times New Roman" w:hAnsi="Times New Roman" w:cs="Times New Roman"/>
          <w:b/>
          <w:bCs/>
          <w:sz w:val="24"/>
          <w:szCs w:val="24"/>
        </w:rPr>
        <w:t>.</w:t>
      </w:r>
      <w:r w:rsidR="000431F7">
        <w:rPr>
          <w:rFonts w:ascii="Times New Roman" w:hAnsi="Times New Roman" w:cs="Times New Roman"/>
          <w:b/>
          <w:bCs/>
          <w:sz w:val="24"/>
          <w:szCs w:val="24"/>
        </w:rPr>
        <w:tab/>
      </w:r>
      <w:r w:rsidR="00ED7946" w:rsidRPr="000431F7">
        <w:rPr>
          <w:rFonts w:ascii="Times New Roman" w:hAnsi="Times New Roman" w:cs="Times New Roman"/>
          <w:b/>
          <w:bCs/>
          <w:sz w:val="24"/>
          <w:szCs w:val="24"/>
        </w:rPr>
        <w:t xml:space="preserve">Różnice pomiędzy dotychczasowym a projektowanym stanem prawnym </w:t>
      </w:r>
      <w:r w:rsidR="008A0D50" w:rsidRPr="000431F7">
        <w:rPr>
          <w:rFonts w:ascii="Times New Roman" w:hAnsi="Times New Roman" w:cs="Times New Roman"/>
          <w:b/>
          <w:bCs/>
          <w:sz w:val="24"/>
          <w:szCs w:val="24"/>
        </w:rPr>
        <w:t>w zakresie rozporządzenia 2022/2554</w:t>
      </w:r>
    </w:p>
    <w:p w14:paraId="452B59C5" w14:textId="68BB3161" w:rsidR="007568EC" w:rsidRPr="000431F7" w:rsidRDefault="007568EC" w:rsidP="004742CC">
      <w:pPr>
        <w:spacing w:before="120" w:after="0" w:line="360" w:lineRule="auto"/>
        <w:jc w:val="both"/>
        <w:rPr>
          <w:rFonts w:ascii="Times New Roman" w:hAnsi="Times New Roman" w:cs="Times New Roman"/>
          <w:color w:val="000000"/>
          <w:sz w:val="24"/>
          <w:szCs w:val="24"/>
          <w:shd w:val="clear" w:color="auto" w:fill="FFFFFF"/>
        </w:rPr>
      </w:pPr>
      <w:r w:rsidRPr="000431F7">
        <w:rPr>
          <w:rFonts w:ascii="Times New Roman" w:hAnsi="Times New Roman" w:cs="Times New Roman"/>
          <w:color w:val="000000"/>
          <w:sz w:val="24"/>
          <w:szCs w:val="24"/>
          <w:shd w:val="clear" w:color="auto" w:fill="FFFFFF"/>
        </w:rPr>
        <w:t xml:space="preserve">Rozporządzenie </w:t>
      </w:r>
      <w:r w:rsidRPr="000431F7">
        <w:rPr>
          <w:rFonts w:ascii="Times New Roman" w:hAnsi="Times New Roman" w:cs="Times New Roman"/>
          <w:sz w:val="24"/>
          <w:szCs w:val="24"/>
        </w:rPr>
        <w:t xml:space="preserve">2022/2554 </w:t>
      </w:r>
      <w:r w:rsidRPr="000431F7">
        <w:rPr>
          <w:rFonts w:ascii="Times New Roman" w:hAnsi="Times New Roman" w:cs="Times New Roman"/>
          <w:color w:val="000000"/>
          <w:sz w:val="24"/>
          <w:szCs w:val="24"/>
          <w:shd w:val="clear" w:color="auto" w:fill="FFFFFF"/>
        </w:rPr>
        <w:t>wprowadza jednolity zbiór przepisów</w:t>
      </w:r>
      <w:r w:rsidR="005E6494" w:rsidRPr="000431F7">
        <w:rPr>
          <w:rFonts w:ascii="Times New Roman" w:hAnsi="Times New Roman" w:cs="Times New Roman"/>
          <w:color w:val="000000"/>
          <w:sz w:val="24"/>
          <w:szCs w:val="24"/>
          <w:shd w:val="clear" w:color="auto" w:fill="FFFFFF"/>
        </w:rPr>
        <w:t xml:space="preserve"> </w:t>
      </w:r>
      <w:r w:rsidRPr="000431F7">
        <w:rPr>
          <w:rFonts w:ascii="Times New Roman" w:hAnsi="Times New Roman" w:cs="Times New Roman"/>
          <w:color w:val="000000"/>
          <w:sz w:val="24"/>
          <w:szCs w:val="24"/>
          <w:shd w:val="clear" w:color="auto" w:fill="FFFFFF"/>
        </w:rPr>
        <w:t xml:space="preserve">i system nadzoru, </w:t>
      </w:r>
      <w:r w:rsidR="005E6494" w:rsidRPr="000431F7">
        <w:rPr>
          <w:rFonts w:ascii="Times New Roman" w:hAnsi="Times New Roman" w:cs="Times New Roman"/>
          <w:color w:val="000000"/>
          <w:sz w:val="24"/>
          <w:szCs w:val="24"/>
          <w:shd w:val="clear" w:color="auto" w:fill="FFFFFF"/>
        </w:rPr>
        <w:t xml:space="preserve">dotyczący </w:t>
      </w:r>
      <w:r w:rsidRPr="000431F7">
        <w:rPr>
          <w:rFonts w:ascii="Times New Roman" w:hAnsi="Times New Roman" w:cs="Times New Roman"/>
          <w:color w:val="000000"/>
          <w:sz w:val="24"/>
          <w:szCs w:val="24"/>
          <w:shd w:val="clear" w:color="auto" w:fill="FFFFFF"/>
        </w:rPr>
        <w:t>operacyjn</w:t>
      </w:r>
      <w:r w:rsidR="005E6494" w:rsidRPr="000431F7">
        <w:rPr>
          <w:rFonts w:ascii="Times New Roman" w:hAnsi="Times New Roman" w:cs="Times New Roman"/>
          <w:color w:val="000000"/>
          <w:sz w:val="24"/>
          <w:szCs w:val="24"/>
          <w:shd w:val="clear" w:color="auto" w:fill="FFFFFF"/>
        </w:rPr>
        <w:t>ej</w:t>
      </w:r>
      <w:r w:rsidRPr="000431F7">
        <w:rPr>
          <w:rFonts w:ascii="Times New Roman" w:hAnsi="Times New Roman" w:cs="Times New Roman"/>
          <w:color w:val="000000"/>
          <w:sz w:val="24"/>
          <w:szCs w:val="24"/>
          <w:shd w:val="clear" w:color="auto" w:fill="FFFFFF"/>
        </w:rPr>
        <w:t xml:space="preserve"> odpornoś</w:t>
      </w:r>
      <w:r w:rsidR="005E6494" w:rsidRPr="000431F7">
        <w:rPr>
          <w:rFonts w:ascii="Times New Roman" w:hAnsi="Times New Roman" w:cs="Times New Roman"/>
          <w:color w:val="000000"/>
          <w:sz w:val="24"/>
          <w:szCs w:val="24"/>
          <w:shd w:val="clear" w:color="auto" w:fill="FFFFFF"/>
        </w:rPr>
        <w:t>ci</w:t>
      </w:r>
      <w:r w:rsidRPr="000431F7">
        <w:rPr>
          <w:rFonts w:ascii="Times New Roman" w:hAnsi="Times New Roman" w:cs="Times New Roman"/>
          <w:color w:val="000000"/>
          <w:sz w:val="24"/>
          <w:szCs w:val="24"/>
          <w:shd w:val="clear" w:color="auto" w:fill="FFFFFF"/>
        </w:rPr>
        <w:t xml:space="preserve"> cyfrow</w:t>
      </w:r>
      <w:r w:rsidR="005E6494" w:rsidRPr="000431F7">
        <w:rPr>
          <w:rFonts w:ascii="Times New Roman" w:hAnsi="Times New Roman" w:cs="Times New Roman"/>
          <w:color w:val="000000"/>
          <w:sz w:val="24"/>
          <w:szCs w:val="24"/>
          <w:shd w:val="clear" w:color="auto" w:fill="FFFFFF"/>
        </w:rPr>
        <w:t>ej</w:t>
      </w:r>
      <w:r w:rsidRPr="000431F7">
        <w:rPr>
          <w:rFonts w:ascii="Times New Roman" w:hAnsi="Times New Roman" w:cs="Times New Roman"/>
          <w:color w:val="000000"/>
          <w:sz w:val="24"/>
          <w:szCs w:val="24"/>
          <w:shd w:val="clear" w:color="auto" w:fill="FFFFFF"/>
        </w:rPr>
        <w:t>. Dotychczasowe</w:t>
      </w:r>
      <w:r w:rsidR="00403271" w:rsidRPr="000431F7">
        <w:rPr>
          <w:rFonts w:ascii="Times New Roman" w:hAnsi="Times New Roman" w:cs="Times New Roman"/>
          <w:color w:val="000000"/>
          <w:sz w:val="24"/>
          <w:szCs w:val="24"/>
          <w:shd w:val="clear" w:color="auto" w:fill="FFFFFF"/>
        </w:rPr>
        <w:t>,</w:t>
      </w:r>
      <w:r w:rsidRPr="000431F7">
        <w:rPr>
          <w:rFonts w:ascii="Times New Roman" w:hAnsi="Times New Roman" w:cs="Times New Roman"/>
          <w:color w:val="000000"/>
          <w:sz w:val="24"/>
          <w:szCs w:val="24"/>
          <w:shd w:val="clear" w:color="auto" w:fill="FFFFFF"/>
        </w:rPr>
        <w:t xml:space="preserve"> częściowe tylko uwzględnienie przepisów dotyczących ryzyka związanego z ICT na szczeblu U</w:t>
      </w:r>
      <w:r w:rsidR="00280A56" w:rsidRPr="000431F7">
        <w:rPr>
          <w:rFonts w:ascii="Times New Roman" w:hAnsi="Times New Roman" w:cs="Times New Roman"/>
          <w:color w:val="000000"/>
          <w:sz w:val="24"/>
          <w:szCs w:val="24"/>
          <w:shd w:val="clear" w:color="auto" w:fill="FFFFFF"/>
        </w:rPr>
        <w:t>E</w:t>
      </w:r>
      <w:r w:rsidRPr="000431F7">
        <w:rPr>
          <w:rFonts w:ascii="Times New Roman" w:hAnsi="Times New Roman" w:cs="Times New Roman"/>
          <w:color w:val="000000"/>
          <w:sz w:val="24"/>
          <w:szCs w:val="24"/>
          <w:shd w:val="clear" w:color="auto" w:fill="FFFFFF"/>
        </w:rPr>
        <w:t xml:space="preserve"> powoduje braki, niespójności lub nakładanie się przepisów w istotnych obszarach, takich jak zgłaszanie incydentów związanych z ICT i testowanie operacyjnej odporności cyfrowej.</w:t>
      </w:r>
      <w:r w:rsidR="00CB3252" w:rsidRPr="000431F7">
        <w:rPr>
          <w:rFonts w:ascii="Times New Roman" w:hAnsi="Times New Roman" w:cs="Times New Roman"/>
          <w:color w:val="000000"/>
          <w:sz w:val="24"/>
          <w:szCs w:val="24"/>
          <w:shd w:val="clear" w:color="auto" w:fill="FFFFFF"/>
        </w:rPr>
        <w:t xml:space="preserve"> </w:t>
      </w:r>
      <w:r w:rsidRPr="000431F7">
        <w:rPr>
          <w:rFonts w:ascii="Times New Roman" w:hAnsi="Times New Roman" w:cs="Times New Roman"/>
          <w:color w:val="000000"/>
          <w:sz w:val="24"/>
          <w:szCs w:val="24"/>
          <w:shd w:val="clear" w:color="auto" w:fill="FFFFFF"/>
        </w:rPr>
        <w:t xml:space="preserve">Wprowadzenie zharmonizowanych przepisów w tym obszarze sprzyjać będzie wyeliminowaniu przeszkód </w:t>
      </w:r>
      <w:r w:rsidR="00403271" w:rsidRPr="000431F7">
        <w:rPr>
          <w:rFonts w:ascii="Times New Roman" w:hAnsi="Times New Roman" w:cs="Times New Roman"/>
          <w:color w:val="000000"/>
          <w:sz w:val="24"/>
          <w:szCs w:val="24"/>
          <w:shd w:val="clear" w:color="auto" w:fill="FFFFFF"/>
        </w:rPr>
        <w:t>w</w:t>
      </w:r>
      <w:r w:rsidRPr="000431F7">
        <w:rPr>
          <w:rFonts w:ascii="Times New Roman" w:hAnsi="Times New Roman" w:cs="Times New Roman"/>
          <w:color w:val="000000"/>
          <w:sz w:val="24"/>
          <w:szCs w:val="24"/>
          <w:shd w:val="clear" w:color="auto" w:fill="FFFFFF"/>
        </w:rPr>
        <w:t xml:space="preserve"> funkcjonowani</w:t>
      </w:r>
      <w:r w:rsidR="00403271" w:rsidRPr="000431F7">
        <w:rPr>
          <w:rFonts w:ascii="Times New Roman" w:hAnsi="Times New Roman" w:cs="Times New Roman"/>
          <w:color w:val="000000"/>
          <w:sz w:val="24"/>
          <w:szCs w:val="24"/>
          <w:shd w:val="clear" w:color="auto" w:fill="FFFFFF"/>
        </w:rPr>
        <w:t>u</w:t>
      </w:r>
      <w:r w:rsidRPr="000431F7">
        <w:rPr>
          <w:rFonts w:ascii="Times New Roman" w:hAnsi="Times New Roman" w:cs="Times New Roman"/>
          <w:color w:val="000000"/>
          <w:sz w:val="24"/>
          <w:szCs w:val="24"/>
          <w:shd w:val="clear" w:color="auto" w:fill="FFFFFF"/>
        </w:rPr>
        <w:t xml:space="preserve"> rynku wewnętrznego usług finansowych, </w:t>
      </w:r>
      <w:r w:rsidR="00403271" w:rsidRPr="000431F7">
        <w:rPr>
          <w:rFonts w:ascii="Times New Roman" w:hAnsi="Times New Roman" w:cs="Times New Roman"/>
          <w:color w:val="000000"/>
          <w:sz w:val="24"/>
          <w:szCs w:val="24"/>
          <w:shd w:val="clear" w:color="auto" w:fill="FFFFFF"/>
        </w:rPr>
        <w:t xml:space="preserve">które </w:t>
      </w:r>
      <w:r w:rsidRPr="000431F7">
        <w:rPr>
          <w:rFonts w:ascii="Times New Roman" w:hAnsi="Times New Roman" w:cs="Times New Roman"/>
          <w:color w:val="000000"/>
          <w:sz w:val="24"/>
          <w:szCs w:val="24"/>
          <w:shd w:val="clear" w:color="auto" w:fill="FFFFFF"/>
        </w:rPr>
        <w:t xml:space="preserve">utrudniają korzystanie ze swobody przedsiębiorczości i swobody świadczenia usług podmiotom finansowym prowadzącym </w:t>
      </w:r>
      <w:r w:rsidRPr="000431F7">
        <w:rPr>
          <w:rFonts w:ascii="Times New Roman" w:hAnsi="Times New Roman" w:cs="Times New Roman"/>
          <w:color w:val="000000"/>
          <w:sz w:val="24"/>
          <w:szCs w:val="24"/>
          <w:shd w:val="clear" w:color="auto" w:fill="FFFFFF"/>
        </w:rPr>
        <w:lastRenderedPageBreak/>
        <w:t xml:space="preserve">działalność transgraniczną. Wzmocni także ochronę konsumenta korzystającego z usług finansowych. </w:t>
      </w:r>
    </w:p>
    <w:p w14:paraId="309289A0" w14:textId="5ADE6738" w:rsidR="002C7618" w:rsidRPr="000431F7" w:rsidRDefault="00B60421" w:rsidP="004742CC">
      <w:pPr>
        <w:spacing w:before="120" w:after="0" w:line="360" w:lineRule="auto"/>
        <w:jc w:val="both"/>
        <w:rPr>
          <w:rFonts w:ascii="Times New Roman" w:hAnsi="Times New Roman" w:cs="Times New Roman"/>
          <w:b/>
          <w:bCs/>
          <w:sz w:val="24"/>
          <w:szCs w:val="24"/>
        </w:rPr>
      </w:pPr>
      <w:r w:rsidRPr="000431F7">
        <w:rPr>
          <w:rFonts w:ascii="Times New Roman" w:hAnsi="Times New Roman" w:cs="Times New Roman"/>
          <w:color w:val="000000"/>
          <w:sz w:val="24"/>
          <w:szCs w:val="24"/>
          <w:shd w:val="clear" w:color="auto" w:fill="FFFFFF"/>
        </w:rPr>
        <w:t>Ponadto, w</w:t>
      </w:r>
      <w:r w:rsidR="002C7618" w:rsidRPr="000431F7">
        <w:rPr>
          <w:rFonts w:ascii="Times New Roman" w:hAnsi="Times New Roman" w:cs="Times New Roman"/>
          <w:color w:val="000000"/>
          <w:sz w:val="24"/>
          <w:szCs w:val="24"/>
          <w:shd w:val="clear" w:color="auto" w:fill="FFFFFF"/>
        </w:rPr>
        <w:t xml:space="preserve"> celu zapewnienia spójności systemu w zakresie operacyjnej odporności cyfrowej sektora finansowego</w:t>
      </w:r>
      <w:r w:rsidR="00403271" w:rsidRPr="000431F7">
        <w:rPr>
          <w:rFonts w:ascii="Times New Roman" w:hAnsi="Times New Roman" w:cs="Times New Roman"/>
          <w:color w:val="000000"/>
          <w:sz w:val="24"/>
          <w:szCs w:val="24"/>
          <w:shd w:val="clear" w:color="auto" w:fill="FFFFFF"/>
        </w:rPr>
        <w:t>,</w:t>
      </w:r>
      <w:r w:rsidR="002C7618" w:rsidRPr="000431F7">
        <w:rPr>
          <w:rFonts w:ascii="Times New Roman" w:hAnsi="Times New Roman" w:cs="Times New Roman"/>
          <w:color w:val="000000"/>
          <w:sz w:val="24"/>
          <w:szCs w:val="24"/>
          <w:shd w:val="clear" w:color="auto" w:fill="FFFFFF"/>
        </w:rPr>
        <w:t xml:space="preserve"> dyrektywa </w:t>
      </w:r>
      <w:r w:rsidR="002C7618" w:rsidRPr="000431F7">
        <w:rPr>
          <w:rFonts w:ascii="Times New Roman" w:hAnsi="Times New Roman" w:cs="Times New Roman"/>
          <w:sz w:val="24"/>
          <w:szCs w:val="24"/>
        </w:rPr>
        <w:t xml:space="preserve">2022/2556 wprowadza zmiany do dyrektyw regulujących poszczególne usługi finansowe, które są konsekwencją zmian wprowadzanych </w:t>
      </w:r>
      <w:r w:rsidR="00983B8A" w:rsidRPr="000431F7">
        <w:rPr>
          <w:rFonts w:ascii="Times New Roman" w:hAnsi="Times New Roman" w:cs="Times New Roman"/>
          <w:sz w:val="24"/>
          <w:szCs w:val="24"/>
        </w:rPr>
        <w:t xml:space="preserve">tym </w:t>
      </w:r>
      <w:r w:rsidR="002C7618" w:rsidRPr="000431F7">
        <w:rPr>
          <w:rFonts w:ascii="Times New Roman" w:hAnsi="Times New Roman" w:cs="Times New Roman"/>
          <w:sz w:val="24"/>
          <w:szCs w:val="24"/>
        </w:rPr>
        <w:t xml:space="preserve">rozporządzeniem. </w:t>
      </w:r>
    </w:p>
    <w:p w14:paraId="4B39B1B6" w14:textId="31B2B052" w:rsidR="007568EC" w:rsidRPr="000431F7" w:rsidRDefault="007568EC" w:rsidP="004742CC">
      <w:pPr>
        <w:spacing w:before="120" w:after="0" w:line="360" w:lineRule="auto"/>
        <w:jc w:val="both"/>
        <w:rPr>
          <w:rFonts w:ascii="Times New Roman" w:hAnsi="Times New Roman" w:cs="Times New Roman"/>
          <w:sz w:val="24"/>
          <w:szCs w:val="24"/>
        </w:rPr>
      </w:pPr>
      <w:r w:rsidRPr="000431F7">
        <w:rPr>
          <w:rFonts w:ascii="Times New Roman" w:hAnsi="Times New Roman" w:cs="Times New Roman"/>
          <w:sz w:val="24"/>
          <w:szCs w:val="24"/>
        </w:rPr>
        <w:t>W celu umożliwienia stosowania rozporządzenia</w:t>
      </w:r>
      <w:r w:rsidR="0071349B" w:rsidRPr="000431F7">
        <w:rPr>
          <w:rFonts w:ascii="Times New Roman" w:hAnsi="Times New Roman" w:cs="Times New Roman"/>
          <w:sz w:val="24"/>
          <w:szCs w:val="24"/>
        </w:rPr>
        <w:t xml:space="preserve"> 2022/2554</w:t>
      </w:r>
      <w:r w:rsidR="0071349B" w:rsidRPr="000431F7">
        <w:rPr>
          <w:rFonts w:ascii="Times New Roman" w:hAnsi="Times New Roman" w:cs="Times New Roman"/>
          <w:color w:val="000000"/>
          <w:sz w:val="24"/>
          <w:szCs w:val="24"/>
          <w:shd w:val="clear" w:color="auto" w:fill="FFFFFF"/>
        </w:rPr>
        <w:t xml:space="preserve"> </w:t>
      </w:r>
      <w:r w:rsidRPr="000431F7">
        <w:rPr>
          <w:rFonts w:ascii="Times New Roman" w:hAnsi="Times New Roman" w:cs="Times New Roman"/>
          <w:sz w:val="24"/>
          <w:szCs w:val="24"/>
        </w:rPr>
        <w:t>wskazane jest przyjęcie w</w:t>
      </w:r>
      <w:r w:rsidR="001D579C" w:rsidRPr="000431F7">
        <w:rPr>
          <w:rFonts w:ascii="Times New Roman" w:hAnsi="Times New Roman" w:cs="Times New Roman"/>
          <w:sz w:val="24"/>
          <w:szCs w:val="24"/>
        </w:rPr>
        <w:t> </w:t>
      </w:r>
      <w:r w:rsidRPr="000431F7">
        <w:rPr>
          <w:rFonts w:ascii="Times New Roman" w:hAnsi="Times New Roman" w:cs="Times New Roman"/>
          <w:sz w:val="24"/>
          <w:szCs w:val="24"/>
        </w:rPr>
        <w:t xml:space="preserve">krajowym porządku prawnym aktu służącego </w:t>
      </w:r>
      <w:r w:rsidR="00FA3500" w:rsidRPr="000431F7">
        <w:rPr>
          <w:rFonts w:ascii="Times New Roman" w:hAnsi="Times New Roman" w:cs="Times New Roman"/>
          <w:sz w:val="24"/>
          <w:szCs w:val="24"/>
        </w:rPr>
        <w:t xml:space="preserve">jego </w:t>
      </w:r>
      <w:r w:rsidRPr="000431F7">
        <w:rPr>
          <w:rFonts w:ascii="Times New Roman" w:hAnsi="Times New Roman" w:cs="Times New Roman"/>
          <w:sz w:val="24"/>
          <w:szCs w:val="24"/>
        </w:rPr>
        <w:t xml:space="preserve">stosowaniu. Przyjęto zatem rozwiązanie polegające na opracowaniu projektu </w:t>
      </w:r>
      <w:r w:rsidR="00983B8A" w:rsidRPr="000431F7">
        <w:rPr>
          <w:rFonts w:ascii="Times New Roman" w:hAnsi="Times New Roman" w:cs="Times New Roman"/>
          <w:sz w:val="24"/>
          <w:szCs w:val="24"/>
        </w:rPr>
        <w:t xml:space="preserve">ustawy </w:t>
      </w:r>
      <w:r w:rsidR="00720F39" w:rsidRPr="000431F7">
        <w:rPr>
          <w:rFonts w:ascii="Times New Roman" w:hAnsi="Times New Roman" w:cs="Times New Roman"/>
          <w:sz w:val="24"/>
          <w:szCs w:val="24"/>
        </w:rPr>
        <w:t>o zmianie niektórych ustaw w związku z zapewnieniem operacyjnej odporności cyfrowej sektora finansowego</w:t>
      </w:r>
      <w:r w:rsidR="00EA75A6" w:rsidRPr="000431F7">
        <w:rPr>
          <w:rFonts w:ascii="Times New Roman" w:hAnsi="Times New Roman" w:cs="Times New Roman"/>
          <w:sz w:val="24"/>
          <w:szCs w:val="24"/>
        </w:rPr>
        <w:t xml:space="preserve"> oraz emitowaniem europejskich zielonych obligacji</w:t>
      </w:r>
      <w:r w:rsidR="00720F39" w:rsidRPr="000431F7">
        <w:rPr>
          <w:rFonts w:ascii="Times New Roman" w:hAnsi="Times New Roman" w:cs="Times New Roman"/>
          <w:sz w:val="24"/>
          <w:szCs w:val="24"/>
        </w:rPr>
        <w:t>.</w:t>
      </w:r>
      <w:r w:rsidR="00720F39" w:rsidRPr="000431F7" w:rsidDel="00720F39">
        <w:rPr>
          <w:rFonts w:ascii="Times New Roman" w:hAnsi="Times New Roman" w:cs="Times New Roman"/>
          <w:sz w:val="24"/>
          <w:szCs w:val="24"/>
        </w:rPr>
        <w:t xml:space="preserve"> </w:t>
      </w:r>
    </w:p>
    <w:p w14:paraId="453F0BE7" w14:textId="6FF79F4E" w:rsidR="00FA3500" w:rsidRPr="000431F7" w:rsidRDefault="00FA3500" w:rsidP="004742CC">
      <w:pPr>
        <w:spacing w:before="120" w:after="0" w:line="360" w:lineRule="auto"/>
        <w:jc w:val="both"/>
        <w:rPr>
          <w:rFonts w:ascii="Times New Roman" w:hAnsi="Times New Roman" w:cs="Times New Roman"/>
          <w:sz w:val="24"/>
          <w:szCs w:val="24"/>
        </w:rPr>
      </w:pPr>
      <w:r w:rsidRPr="000431F7">
        <w:rPr>
          <w:rFonts w:ascii="Times New Roman" w:hAnsi="Times New Roman" w:cs="Times New Roman"/>
          <w:sz w:val="24"/>
          <w:szCs w:val="24"/>
        </w:rPr>
        <w:t>Kluczowe zmiany związane z koniecznością wdrożenia przepisów rozporządzenia 2022/2554</w:t>
      </w:r>
      <w:r w:rsidRPr="000431F7">
        <w:rPr>
          <w:rFonts w:ascii="Times New Roman" w:hAnsi="Times New Roman" w:cs="Times New Roman"/>
          <w:color w:val="000000"/>
          <w:sz w:val="24"/>
          <w:szCs w:val="24"/>
          <w:shd w:val="clear" w:color="auto" w:fill="FFFFFF"/>
        </w:rPr>
        <w:t xml:space="preserve"> wprowadzone zostaną do ustawy </w:t>
      </w:r>
      <w:r w:rsidR="000F5DF8" w:rsidRPr="000431F7">
        <w:rPr>
          <w:rFonts w:ascii="Times New Roman" w:hAnsi="Times New Roman" w:cs="Times New Roman"/>
          <w:sz w:val="24"/>
          <w:szCs w:val="24"/>
        </w:rPr>
        <w:t>o nadzorze nad rynkiem finansowym</w:t>
      </w:r>
      <w:r w:rsidR="005E6494" w:rsidRPr="000431F7">
        <w:rPr>
          <w:rFonts w:ascii="Times New Roman" w:hAnsi="Times New Roman" w:cs="Times New Roman"/>
          <w:sz w:val="24"/>
          <w:szCs w:val="24"/>
        </w:rPr>
        <w:t xml:space="preserve"> (art. </w:t>
      </w:r>
      <w:r w:rsidR="005F125B" w:rsidRPr="000431F7">
        <w:rPr>
          <w:rFonts w:ascii="Times New Roman" w:hAnsi="Times New Roman" w:cs="Times New Roman"/>
          <w:sz w:val="24"/>
          <w:szCs w:val="24"/>
        </w:rPr>
        <w:t>8</w:t>
      </w:r>
      <w:r w:rsidR="005E6494" w:rsidRPr="000431F7">
        <w:rPr>
          <w:rFonts w:ascii="Times New Roman" w:hAnsi="Times New Roman" w:cs="Times New Roman"/>
          <w:sz w:val="24"/>
          <w:szCs w:val="24"/>
        </w:rPr>
        <w:t xml:space="preserve"> projektu)</w:t>
      </w:r>
      <w:r w:rsidRPr="000431F7">
        <w:rPr>
          <w:rFonts w:ascii="Times New Roman" w:hAnsi="Times New Roman" w:cs="Times New Roman"/>
          <w:color w:val="000000"/>
          <w:sz w:val="24"/>
          <w:szCs w:val="24"/>
          <w:shd w:val="clear" w:color="auto" w:fill="FFFFFF"/>
        </w:rPr>
        <w:t xml:space="preserve">. </w:t>
      </w:r>
      <w:r w:rsidR="000F5DF8" w:rsidRPr="000431F7">
        <w:rPr>
          <w:rFonts w:ascii="Times New Roman" w:hAnsi="Times New Roman" w:cs="Times New Roman"/>
          <w:color w:val="000000"/>
          <w:sz w:val="24"/>
          <w:szCs w:val="24"/>
          <w:shd w:val="clear" w:color="auto" w:fill="FFFFFF"/>
        </w:rPr>
        <w:t>S</w:t>
      </w:r>
      <w:r w:rsidRPr="000431F7">
        <w:rPr>
          <w:rFonts w:ascii="Times New Roman" w:hAnsi="Times New Roman" w:cs="Times New Roman"/>
          <w:color w:val="000000"/>
          <w:sz w:val="24"/>
          <w:szCs w:val="24"/>
          <w:shd w:val="clear" w:color="auto" w:fill="FFFFFF"/>
        </w:rPr>
        <w:t xml:space="preserve">ą to zmiany związane z </w:t>
      </w:r>
      <w:r w:rsidRPr="000431F7">
        <w:rPr>
          <w:rFonts w:ascii="Times New Roman" w:hAnsi="Times New Roman" w:cs="Times New Roman"/>
          <w:sz w:val="24"/>
          <w:szCs w:val="24"/>
        </w:rPr>
        <w:t>nadaniem kompetencji zapewniających skuteczny nadzór nad spełnianiem wymogów i obowiązków nakładanych na podmioty finansowe, w szczególności dotyczy to minimalnych uprawnień, o których mowa w art. 50</w:t>
      </w:r>
      <w:r w:rsidR="00215ED4" w:rsidRPr="000431F7">
        <w:rPr>
          <w:rFonts w:ascii="Times New Roman" w:hAnsi="Times New Roman" w:cs="Times New Roman"/>
          <w:sz w:val="24"/>
          <w:szCs w:val="24"/>
        </w:rPr>
        <w:t xml:space="preserve"> rozporządzenia 2022/2554</w:t>
      </w:r>
      <w:r w:rsidRPr="000431F7">
        <w:rPr>
          <w:rFonts w:ascii="Times New Roman" w:hAnsi="Times New Roman" w:cs="Times New Roman"/>
          <w:sz w:val="24"/>
          <w:szCs w:val="24"/>
        </w:rPr>
        <w:t xml:space="preserve">. </w:t>
      </w:r>
    </w:p>
    <w:p w14:paraId="23BD60F8" w14:textId="7A370BF1" w:rsidR="00FA3500" w:rsidRPr="000431F7" w:rsidRDefault="00FA3500" w:rsidP="004742CC">
      <w:pPr>
        <w:spacing w:before="120" w:after="0" w:line="360" w:lineRule="auto"/>
        <w:jc w:val="both"/>
        <w:rPr>
          <w:rFonts w:ascii="Times New Roman" w:hAnsi="Times New Roman" w:cs="Times New Roman"/>
          <w:b/>
          <w:bCs/>
          <w:sz w:val="24"/>
          <w:szCs w:val="24"/>
        </w:rPr>
      </w:pPr>
      <w:r w:rsidRPr="000431F7">
        <w:rPr>
          <w:rFonts w:ascii="Times New Roman" w:hAnsi="Times New Roman" w:cs="Times New Roman"/>
          <w:sz w:val="24"/>
          <w:szCs w:val="24"/>
        </w:rPr>
        <w:t xml:space="preserve">Organem odpowiedzialnym za nadzór nad przestrzeganiem niniejszego rozporządzenia, </w:t>
      </w:r>
      <w:r w:rsidRPr="000431F7">
        <w:rPr>
          <w:rFonts w:ascii="Times New Roman" w:hAnsi="Times New Roman" w:cs="Times New Roman"/>
          <w:color w:val="000000"/>
          <w:sz w:val="24"/>
          <w:szCs w:val="24"/>
          <w:shd w:val="clear" w:color="auto" w:fill="FFFFFF"/>
        </w:rPr>
        <w:t>jako organ nadzoru nad rynkiem finansowym w Polsce,</w:t>
      </w:r>
      <w:r w:rsidRPr="000431F7">
        <w:rPr>
          <w:rFonts w:ascii="Times New Roman" w:hAnsi="Times New Roman" w:cs="Times New Roman"/>
          <w:sz w:val="24"/>
          <w:szCs w:val="24"/>
        </w:rPr>
        <w:t xml:space="preserve"> </w:t>
      </w:r>
      <w:r w:rsidR="00322B7F" w:rsidRPr="000431F7">
        <w:rPr>
          <w:rFonts w:ascii="Times New Roman" w:hAnsi="Times New Roman" w:cs="Times New Roman"/>
          <w:sz w:val="24"/>
          <w:szCs w:val="24"/>
        </w:rPr>
        <w:t>będzie KNF</w:t>
      </w:r>
      <w:r w:rsidR="004D6A42" w:rsidRPr="000431F7">
        <w:rPr>
          <w:rFonts w:ascii="Times New Roman" w:hAnsi="Times New Roman" w:cs="Times New Roman"/>
          <w:sz w:val="24"/>
          <w:szCs w:val="24"/>
        </w:rPr>
        <w:t>, która:</w:t>
      </w:r>
    </w:p>
    <w:p w14:paraId="1485C31F" w14:textId="0DFA44F6" w:rsidR="000F5DF8" w:rsidRPr="000431F7" w:rsidRDefault="000F5DF8" w:rsidP="004742CC">
      <w:pPr>
        <w:pStyle w:val="ZARTzmartartykuempunktem"/>
        <w:spacing w:before="120"/>
        <w:ind w:left="426" w:hanging="426"/>
        <w:rPr>
          <w:rFonts w:ascii="Times New Roman" w:hAnsi="Times New Roman" w:cs="Times New Roman"/>
          <w:szCs w:val="24"/>
        </w:rPr>
      </w:pPr>
      <w:r w:rsidRPr="000431F7">
        <w:rPr>
          <w:rFonts w:ascii="Times New Roman" w:hAnsi="Times New Roman" w:cs="Times New Roman"/>
          <w:b/>
          <w:color w:val="000000"/>
          <w:spacing w:val="-2"/>
          <w:szCs w:val="24"/>
        </w:rPr>
        <w:t>●</w:t>
      </w:r>
      <w:r w:rsidR="000431F7">
        <w:rPr>
          <w:rFonts w:ascii="Times New Roman" w:hAnsi="Times New Roman" w:cs="Times New Roman"/>
          <w:b/>
          <w:color w:val="000000"/>
          <w:spacing w:val="-2"/>
          <w:szCs w:val="24"/>
        </w:rPr>
        <w:tab/>
      </w:r>
      <w:bookmarkStart w:id="4" w:name="_Hlk162004188"/>
      <w:r w:rsidR="00024098" w:rsidRPr="000431F7">
        <w:rPr>
          <w:rFonts w:ascii="Times New Roman" w:hAnsi="Times New Roman" w:cs="Times New Roman"/>
          <w:szCs w:val="24"/>
        </w:rPr>
        <w:t xml:space="preserve">zostanie uprawniona do </w:t>
      </w:r>
      <w:bookmarkEnd w:id="4"/>
      <w:r w:rsidRPr="000431F7">
        <w:rPr>
          <w:rFonts w:ascii="Times New Roman" w:hAnsi="Times New Roman" w:cs="Times New Roman"/>
          <w:szCs w:val="24"/>
        </w:rPr>
        <w:t xml:space="preserve">przeprowadzania kontroli działalności podmiotów finansowych </w:t>
      </w:r>
      <w:r w:rsidR="005F125B" w:rsidRPr="000431F7">
        <w:rPr>
          <w:rFonts w:ascii="Times New Roman" w:hAnsi="Times New Roman" w:cs="Times New Roman"/>
          <w:szCs w:val="24"/>
        </w:rPr>
        <w:t xml:space="preserve">objętych zakresem stosowania </w:t>
      </w:r>
      <w:r w:rsidRPr="000431F7">
        <w:rPr>
          <w:rFonts w:ascii="Times New Roman" w:hAnsi="Times New Roman" w:cs="Times New Roman"/>
          <w:szCs w:val="24"/>
        </w:rPr>
        <w:t xml:space="preserve">rozporządzenia 2022/2554. Do ww. kontroli znajdą zastosowanie przepisy </w:t>
      </w:r>
      <w:r w:rsidR="000A4E53" w:rsidRPr="000431F7">
        <w:rPr>
          <w:rFonts w:ascii="Times New Roman" w:hAnsi="Times New Roman" w:cs="Times New Roman"/>
          <w:szCs w:val="24"/>
        </w:rPr>
        <w:t xml:space="preserve">ustawy </w:t>
      </w:r>
      <w:r w:rsidR="000A4E53" w:rsidRPr="004742CC">
        <w:rPr>
          <w:rFonts w:ascii="Times New Roman" w:hAnsi="Times New Roman" w:cs="Times New Roman"/>
          <w:szCs w:val="24"/>
        </w:rPr>
        <w:t xml:space="preserve">z dnia 6 marca 2018 r. </w:t>
      </w:r>
      <w:r w:rsidR="00AC35F5">
        <w:rPr>
          <w:rFonts w:ascii="Times New Roman" w:hAnsi="Times New Roman" w:cs="Times New Roman"/>
          <w:szCs w:val="24"/>
        </w:rPr>
        <w:t>–</w:t>
      </w:r>
      <w:r w:rsidR="003B599A" w:rsidRPr="004742CC">
        <w:rPr>
          <w:rFonts w:ascii="Times New Roman" w:hAnsi="Times New Roman" w:cs="Times New Roman"/>
          <w:szCs w:val="24"/>
        </w:rPr>
        <w:t xml:space="preserve"> </w:t>
      </w:r>
      <w:r w:rsidR="000A4E53" w:rsidRPr="004742CC">
        <w:rPr>
          <w:rFonts w:ascii="Times New Roman" w:hAnsi="Times New Roman" w:cs="Times New Roman"/>
          <w:szCs w:val="24"/>
        </w:rPr>
        <w:t>Prawo przedsiębiorców</w:t>
      </w:r>
      <w:r w:rsidR="00AA580B">
        <w:rPr>
          <w:rFonts w:ascii="Times New Roman" w:hAnsi="Times New Roman" w:cs="Times New Roman"/>
          <w:szCs w:val="24"/>
        </w:rPr>
        <w:t>,</w:t>
      </w:r>
    </w:p>
    <w:p w14:paraId="6A9B361B" w14:textId="5241B8A1" w:rsidR="000F5DF8" w:rsidRPr="000431F7" w:rsidRDefault="000F5DF8" w:rsidP="004742CC">
      <w:pPr>
        <w:pStyle w:val="ZARTzmartartykuempunktem"/>
        <w:spacing w:before="120"/>
        <w:ind w:left="426" w:hanging="426"/>
        <w:rPr>
          <w:rFonts w:ascii="Times New Roman" w:hAnsi="Times New Roman" w:cs="Times New Roman"/>
          <w:szCs w:val="24"/>
        </w:rPr>
      </w:pPr>
      <w:r w:rsidRPr="000431F7">
        <w:rPr>
          <w:rFonts w:ascii="Times New Roman" w:hAnsi="Times New Roman" w:cs="Times New Roman"/>
          <w:szCs w:val="24"/>
        </w:rPr>
        <w:t>●</w:t>
      </w:r>
      <w:r w:rsidR="000431F7">
        <w:rPr>
          <w:rFonts w:ascii="Times New Roman" w:hAnsi="Times New Roman" w:cs="Times New Roman"/>
          <w:szCs w:val="24"/>
        </w:rPr>
        <w:tab/>
      </w:r>
      <w:r w:rsidRPr="000431F7">
        <w:rPr>
          <w:rFonts w:ascii="Times New Roman" w:hAnsi="Times New Roman" w:cs="Times New Roman"/>
          <w:szCs w:val="24"/>
        </w:rPr>
        <w:t>w przypadku gdy istnieje uzasadnione podejrzenie naruszenia obowiązków określonych w</w:t>
      </w:r>
      <w:r w:rsidR="001D579C" w:rsidRPr="000431F7">
        <w:rPr>
          <w:rFonts w:ascii="Times New Roman" w:hAnsi="Times New Roman" w:cs="Times New Roman"/>
          <w:szCs w:val="24"/>
        </w:rPr>
        <w:t> </w:t>
      </w:r>
      <w:r w:rsidRPr="000431F7">
        <w:rPr>
          <w:rFonts w:ascii="Times New Roman" w:hAnsi="Times New Roman" w:cs="Times New Roman"/>
          <w:szCs w:val="24"/>
        </w:rPr>
        <w:t>rozporządzeniu 2022/2554</w:t>
      </w:r>
      <w:r w:rsidR="00AA580B">
        <w:rPr>
          <w:rFonts w:ascii="Times New Roman" w:hAnsi="Times New Roman" w:cs="Times New Roman"/>
          <w:szCs w:val="24"/>
        </w:rPr>
        <w:t>,</w:t>
      </w:r>
      <w:r w:rsidRPr="000431F7">
        <w:rPr>
          <w:rFonts w:ascii="Times New Roman" w:hAnsi="Times New Roman" w:cs="Times New Roman"/>
          <w:szCs w:val="24"/>
        </w:rPr>
        <w:t xml:space="preserve"> będzie mogła zażądać </w:t>
      </w:r>
      <w:r w:rsidR="005E30BE" w:rsidRPr="004742CC">
        <w:rPr>
          <w:rFonts w:ascii="Times New Roman" w:hAnsi="Times New Roman" w:cs="Times New Roman"/>
          <w:szCs w:val="24"/>
        </w:rPr>
        <w:t xml:space="preserve">od </w:t>
      </w:r>
      <w:r w:rsidR="005F125B" w:rsidRPr="004742CC">
        <w:rPr>
          <w:rFonts w:ascii="Times New Roman" w:hAnsi="Times New Roman" w:cs="Times New Roman"/>
          <w:szCs w:val="24"/>
        </w:rPr>
        <w:t xml:space="preserve">dostawcy usług telekomunikacyjnych </w:t>
      </w:r>
      <w:r w:rsidR="005E30BE" w:rsidRPr="004742CC">
        <w:rPr>
          <w:rFonts w:ascii="Times New Roman" w:hAnsi="Times New Roman" w:cs="Times New Roman"/>
          <w:szCs w:val="24"/>
        </w:rPr>
        <w:t>udostępnienia informacji stanowiących tajemnicę komunikacji elektronicznej w rozumieniu art. 386 ust. 1 ustawy z dnia 12 lipca 2024 r. – Prawo komunikacji elektronicznej,</w:t>
      </w:r>
      <w:r w:rsidR="005F125B" w:rsidRPr="004742CC">
        <w:rPr>
          <w:rFonts w:ascii="Times New Roman" w:hAnsi="Times New Roman" w:cs="Times New Roman"/>
          <w:szCs w:val="24"/>
        </w:rPr>
        <w:t xml:space="preserve"> przechowywanych przez dostawcę usług telekomunikacyjnych,</w:t>
      </w:r>
      <w:r w:rsidR="005E30BE" w:rsidRPr="004742CC">
        <w:rPr>
          <w:rFonts w:ascii="Times New Roman" w:hAnsi="Times New Roman" w:cs="Times New Roman"/>
          <w:szCs w:val="24"/>
        </w:rPr>
        <w:t xml:space="preserve"> dotyczących podmiotu dokonującego czynności faktycznych lub prawnych mających związek z wyjaśnianymi faktami, </w:t>
      </w:r>
      <w:r w:rsidR="005F125B" w:rsidRPr="004742CC">
        <w:rPr>
          <w:rFonts w:ascii="Times New Roman" w:hAnsi="Times New Roman" w:cs="Times New Roman"/>
          <w:szCs w:val="24"/>
        </w:rPr>
        <w:t xml:space="preserve">w tym </w:t>
      </w:r>
      <w:r w:rsidR="005E30BE" w:rsidRPr="004742CC">
        <w:rPr>
          <w:rFonts w:ascii="Times New Roman" w:hAnsi="Times New Roman" w:cs="Times New Roman"/>
          <w:szCs w:val="24"/>
        </w:rPr>
        <w:t>danych abonenta pozwalających na jego identyfikację, czasu ich dokonania i innych informacji związanych z połączeniem lub przekazem, niestanowiących treści przekazu.</w:t>
      </w:r>
      <w:r w:rsidR="005E30BE" w:rsidRPr="000431F7">
        <w:rPr>
          <w:rFonts w:ascii="Times New Roman" w:hAnsi="Times New Roman" w:cs="Times New Roman"/>
          <w:szCs w:val="24"/>
        </w:rPr>
        <w:t xml:space="preserve"> </w:t>
      </w:r>
      <w:r w:rsidRPr="000431F7">
        <w:rPr>
          <w:rFonts w:ascii="Times New Roman" w:hAnsi="Times New Roman" w:cs="Times New Roman"/>
          <w:szCs w:val="24"/>
        </w:rPr>
        <w:t>(art. 50 ust. 4 lit. d rozporządzenia 2022/2554)</w:t>
      </w:r>
      <w:r w:rsidR="00AA580B">
        <w:rPr>
          <w:rFonts w:ascii="Times New Roman" w:hAnsi="Times New Roman" w:cs="Times New Roman"/>
          <w:szCs w:val="24"/>
        </w:rPr>
        <w:t>,</w:t>
      </w:r>
    </w:p>
    <w:p w14:paraId="01559F00" w14:textId="4C9E4AE2" w:rsidR="000F5DF8" w:rsidRPr="000431F7" w:rsidRDefault="000F5DF8" w:rsidP="004742CC">
      <w:pPr>
        <w:pStyle w:val="ZARTzmartartykuempunktem"/>
        <w:spacing w:before="120"/>
        <w:ind w:left="426" w:hanging="426"/>
        <w:rPr>
          <w:rFonts w:ascii="Times New Roman" w:hAnsi="Times New Roman" w:cs="Times New Roman"/>
          <w:szCs w:val="24"/>
        </w:rPr>
      </w:pPr>
      <w:r w:rsidRPr="000431F7">
        <w:rPr>
          <w:rFonts w:ascii="Times New Roman" w:hAnsi="Times New Roman" w:cs="Times New Roman"/>
          <w:szCs w:val="24"/>
        </w:rPr>
        <w:lastRenderedPageBreak/>
        <w:t>●</w:t>
      </w:r>
      <w:r w:rsidR="000431F7">
        <w:rPr>
          <w:rFonts w:ascii="Times New Roman" w:hAnsi="Times New Roman" w:cs="Times New Roman"/>
          <w:szCs w:val="24"/>
        </w:rPr>
        <w:tab/>
      </w:r>
      <w:r w:rsidRPr="000431F7">
        <w:rPr>
          <w:rFonts w:ascii="Times New Roman" w:hAnsi="Times New Roman" w:cs="Times New Roman"/>
          <w:szCs w:val="24"/>
        </w:rPr>
        <w:t>w przypadku gdy działalność podmiotu finansowego objętego zakresem regulacji rozporządzenia 2022/2554 jest wykonywana z naruszeniem obowiązków określonych w tym rozporządzeniu</w:t>
      </w:r>
      <w:r w:rsidR="0001355D" w:rsidRPr="000431F7">
        <w:rPr>
          <w:rFonts w:ascii="Times New Roman" w:hAnsi="Times New Roman" w:cs="Times New Roman"/>
          <w:szCs w:val="24"/>
        </w:rPr>
        <w:t xml:space="preserve"> lub aktach delegowanych i wykonawczych wydawanych na podstawie ww. rozporządzenia</w:t>
      </w:r>
      <w:r w:rsidRPr="000431F7">
        <w:rPr>
          <w:rFonts w:ascii="Times New Roman" w:hAnsi="Times New Roman" w:cs="Times New Roman"/>
          <w:szCs w:val="24"/>
        </w:rPr>
        <w:t xml:space="preserve">, będzie mogła w drodze decyzji: </w:t>
      </w:r>
    </w:p>
    <w:p w14:paraId="4CC17C3F" w14:textId="77777777" w:rsidR="000F5DF8" w:rsidRPr="000431F7" w:rsidRDefault="000F5DF8" w:rsidP="004742CC">
      <w:pPr>
        <w:pStyle w:val="ZPKTzmpktartykuempunktem"/>
        <w:spacing w:before="120"/>
        <w:ind w:left="851" w:hanging="425"/>
        <w:rPr>
          <w:rFonts w:ascii="Times New Roman" w:hAnsi="Times New Roman" w:cs="Times New Roman"/>
          <w:szCs w:val="24"/>
        </w:rPr>
      </w:pPr>
      <w:r w:rsidRPr="000431F7">
        <w:rPr>
          <w:rFonts w:ascii="Times New Roman" w:hAnsi="Times New Roman" w:cs="Times New Roman"/>
          <w:szCs w:val="24"/>
        </w:rPr>
        <w:t>1)</w:t>
      </w:r>
      <w:r w:rsidRPr="000431F7">
        <w:rPr>
          <w:rFonts w:ascii="Times New Roman" w:hAnsi="Times New Roman" w:cs="Times New Roman"/>
          <w:szCs w:val="24"/>
        </w:rPr>
        <w:tab/>
        <w:t xml:space="preserve">nakazać osobie fizycznej, osobie prawnej lub jednostce organizacyjnej nieposiadającej osobowości prawnej zaprzestanie danego zachowania oraz powstrzymanie się od takiego zachowania w przyszłości (art. 50 ust. 4 lit. a rozporządzenia 2022/2554); </w:t>
      </w:r>
    </w:p>
    <w:p w14:paraId="35C86508" w14:textId="6FAB93A5" w:rsidR="000F5DF8" w:rsidRPr="000431F7" w:rsidRDefault="000F5DF8" w:rsidP="004742CC">
      <w:pPr>
        <w:pStyle w:val="ZPKTzmpktartykuempunktem"/>
        <w:spacing w:before="120"/>
        <w:ind w:left="851" w:hanging="425"/>
        <w:rPr>
          <w:rFonts w:ascii="Times New Roman" w:hAnsi="Times New Roman" w:cs="Times New Roman"/>
          <w:szCs w:val="24"/>
        </w:rPr>
      </w:pPr>
      <w:r w:rsidRPr="000431F7">
        <w:rPr>
          <w:rFonts w:ascii="Times New Roman" w:hAnsi="Times New Roman" w:cs="Times New Roman"/>
          <w:szCs w:val="24"/>
        </w:rPr>
        <w:t>2)</w:t>
      </w:r>
      <w:r w:rsidRPr="000431F7">
        <w:rPr>
          <w:rFonts w:ascii="Times New Roman" w:hAnsi="Times New Roman" w:cs="Times New Roman"/>
          <w:szCs w:val="24"/>
        </w:rPr>
        <w:tab/>
      </w:r>
      <w:r w:rsidR="0001355D" w:rsidRPr="004742CC">
        <w:rPr>
          <w:rFonts w:ascii="Times New Roman" w:hAnsi="Times New Roman" w:cs="Times New Roman"/>
          <w:szCs w:val="24"/>
        </w:rPr>
        <w:t>zakazać osobie odpowiedzialnej za to naruszenie pełnienia funkcji członka zarządu lub rady nadzorczej albo innej funkcji kierowniczej podmiotu finansowego przez okres nie krótszy niż miesiąc i nie dłuższy niż rok</w:t>
      </w:r>
      <w:r w:rsidR="00DB3468" w:rsidRPr="004742CC">
        <w:rPr>
          <w:rFonts w:ascii="Times New Roman" w:hAnsi="Times New Roman" w:cs="Times New Roman"/>
          <w:szCs w:val="24"/>
        </w:rPr>
        <w:t xml:space="preserve"> (</w:t>
      </w:r>
      <w:r w:rsidR="00DB3468" w:rsidRPr="000431F7">
        <w:rPr>
          <w:rFonts w:ascii="Times New Roman" w:hAnsi="Times New Roman" w:cs="Times New Roman"/>
          <w:szCs w:val="24"/>
        </w:rPr>
        <w:t>art. 50 ust. 5 rozporządzenia 2022/2554);</w:t>
      </w:r>
    </w:p>
    <w:p w14:paraId="2E1698BC" w14:textId="244C0F17" w:rsidR="000431F7" w:rsidRDefault="000F5DF8" w:rsidP="000431F7">
      <w:pPr>
        <w:pStyle w:val="ZPKTzmpktartykuempunktem"/>
        <w:spacing w:before="120"/>
        <w:ind w:left="851" w:hanging="425"/>
        <w:rPr>
          <w:rFonts w:ascii="Times New Roman" w:hAnsi="Times New Roman" w:cs="Times New Roman"/>
          <w:szCs w:val="24"/>
        </w:rPr>
      </w:pPr>
      <w:r w:rsidRPr="000431F7">
        <w:rPr>
          <w:rFonts w:ascii="Times New Roman" w:hAnsi="Times New Roman" w:cs="Times New Roman"/>
          <w:szCs w:val="24"/>
        </w:rPr>
        <w:t>3)</w:t>
      </w:r>
      <w:r w:rsidRPr="000431F7">
        <w:rPr>
          <w:rFonts w:ascii="Times New Roman" w:hAnsi="Times New Roman" w:cs="Times New Roman"/>
          <w:szCs w:val="24"/>
        </w:rPr>
        <w:tab/>
        <w:t>nałożyć karę pieniężną (art. 50 ust. 4 lit. c rozporządzenia 2022/2554)</w:t>
      </w:r>
      <w:r w:rsidR="00215ED4" w:rsidRPr="000431F7">
        <w:rPr>
          <w:rFonts w:ascii="Times New Roman" w:hAnsi="Times New Roman" w:cs="Times New Roman"/>
          <w:szCs w:val="24"/>
        </w:rPr>
        <w:t>.</w:t>
      </w:r>
    </w:p>
    <w:p w14:paraId="3FBB0EBA" w14:textId="56DB1738" w:rsidR="00215ED4" w:rsidRPr="000431F7" w:rsidRDefault="00215ED4" w:rsidP="004742CC">
      <w:pPr>
        <w:pStyle w:val="ZPKTzmpktartykuempunktem"/>
        <w:spacing w:before="120"/>
        <w:ind w:left="426" w:firstLine="0"/>
        <w:rPr>
          <w:rFonts w:ascii="Times New Roman" w:hAnsi="Times New Roman" w:cs="Times New Roman"/>
          <w:szCs w:val="24"/>
        </w:rPr>
      </w:pPr>
      <w:r w:rsidRPr="000431F7">
        <w:rPr>
          <w:rFonts w:ascii="Times New Roman" w:hAnsi="Times New Roman" w:cs="Times New Roman"/>
          <w:szCs w:val="24"/>
        </w:rPr>
        <w:t>Projektowane przepisy określ</w:t>
      </w:r>
      <w:r w:rsidR="00983B8A" w:rsidRPr="000431F7">
        <w:rPr>
          <w:rFonts w:ascii="Times New Roman" w:hAnsi="Times New Roman" w:cs="Times New Roman"/>
          <w:szCs w:val="24"/>
        </w:rPr>
        <w:t>ają</w:t>
      </w:r>
      <w:r w:rsidRPr="000431F7">
        <w:rPr>
          <w:rFonts w:ascii="Times New Roman" w:hAnsi="Times New Roman" w:cs="Times New Roman"/>
          <w:szCs w:val="24"/>
        </w:rPr>
        <w:t xml:space="preserve"> sposób określenia wysokości ww. kar pieniężnych nakładanych w przypadku naruszenia przepisów rozporządzenia 2022/2554</w:t>
      </w:r>
      <w:r w:rsidR="0001355D" w:rsidRPr="000431F7">
        <w:rPr>
          <w:rFonts w:ascii="Times New Roman" w:hAnsi="Times New Roman" w:cs="Times New Roman"/>
          <w:szCs w:val="24"/>
        </w:rPr>
        <w:t xml:space="preserve"> lub przepisów aktów delegowanych i wykonawczych wydanych na jego podstawie</w:t>
      </w:r>
      <w:r w:rsidRPr="000431F7">
        <w:rPr>
          <w:rFonts w:ascii="Times New Roman" w:hAnsi="Times New Roman" w:cs="Times New Roman"/>
          <w:szCs w:val="24"/>
        </w:rPr>
        <w:t>, w tym przesłanki wpływające na określenie wysokości kary oraz maksymalną wysokość kary pieniężnej, a także zasady udostępnienia informacji o nałożonych karach</w:t>
      </w:r>
      <w:r w:rsidR="004D6A42" w:rsidRPr="000431F7">
        <w:rPr>
          <w:rFonts w:ascii="Times New Roman" w:hAnsi="Times New Roman" w:cs="Times New Roman"/>
          <w:szCs w:val="24"/>
        </w:rPr>
        <w:t>;</w:t>
      </w:r>
    </w:p>
    <w:p w14:paraId="58645681" w14:textId="54C31C3D" w:rsidR="000F5DF8" w:rsidRPr="000431F7" w:rsidRDefault="000F5DF8" w:rsidP="004742CC">
      <w:pPr>
        <w:pStyle w:val="ZARTzmartartykuempunktem"/>
        <w:spacing w:before="120"/>
        <w:ind w:left="426" w:hanging="426"/>
        <w:rPr>
          <w:rFonts w:ascii="Times New Roman" w:hAnsi="Times New Roman" w:cs="Times New Roman"/>
          <w:color w:val="000000"/>
          <w:szCs w:val="24"/>
          <w:shd w:val="clear" w:color="auto" w:fill="FFFFFF"/>
        </w:rPr>
      </w:pPr>
      <w:r w:rsidRPr="000431F7">
        <w:rPr>
          <w:rFonts w:ascii="Times New Roman" w:hAnsi="Times New Roman" w:cs="Times New Roman"/>
          <w:szCs w:val="24"/>
        </w:rPr>
        <w:t>●</w:t>
      </w:r>
      <w:r w:rsidR="00155D5C">
        <w:rPr>
          <w:rFonts w:ascii="Times New Roman" w:hAnsi="Times New Roman" w:cs="Times New Roman"/>
          <w:szCs w:val="24"/>
        </w:rPr>
        <w:tab/>
      </w:r>
      <w:r w:rsidR="00024098" w:rsidRPr="000431F7">
        <w:rPr>
          <w:rFonts w:ascii="Times New Roman" w:hAnsi="Times New Roman" w:cs="Times New Roman"/>
          <w:szCs w:val="24"/>
        </w:rPr>
        <w:t xml:space="preserve">zostanie uprawniona do </w:t>
      </w:r>
      <w:r w:rsidRPr="000431F7">
        <w:rPr>
          <w:rFonts w:ascii="Times New Roman" w:hAnsi="Times New Roman" w:cs="Times New Roman"/>
          <w:szCs w:val="24"/>
        </w:rPr>
        <w:t xml:space="preserve">wydawania decyzji, o której mowa w art. 42 ust. 6 rozporządzenia 2022/2554, </w:t>
      </w:r>
      <w:r w:rsidRPr="000431F7">
        <w:rPr>
          <w:rFonts w:ascii="Times New Roman" w:hAnsi="Times New Roman" w:cs="Times New Roman"/>
          <w:color w:val="000000"/>
          <w:szCs w:val="24"/>
          <w:shd w:val="clear" w:color="auto" w:fill="FFFFFF"/>
        </w:rPr>
        <w:t xml:space="preserve">nakazującej podmiotom finansowym tymczasowe zawieszenie, w części albo w całości, korzystania z usługi świadczonej przez kluczowego zewnętrznego dostawcę usług ICT lub jej wdrażania do czasu wyeliminowania ryzyka zidentyfikowanego w zaleceniach skierowanych do kluczowych zewnętrznych dostawców usług ICT, a także, w razie potrzeby, nakazania podmiotom finansowym wypowiedzenia, w części </w:t>
      </w:r>
      <w:r w:rsidR="00403271" w:rsidRPr="000431F7">
        <w:rPr>
          <w:rFonts w:ascii="Times New Roman" w:hAnsi="Times New Roman" w:cs="Times New Roman"/>
          <w:color w:val="000000"/>
          <w:szCs w:val="24"/>
          <w:shd w:val="clear" w:color="auto" w:fill="FFFFFF"/>
        </w:rPr>
        <w:t>albo</w:t>
      </w:r>
      <w:r w:rsidRPr="000431F7">
        <w:rPr>
          <w:rFonts w:ascii="Times New Roman" w:hAnsi="Times New Roman" w:cs="Times New Roman"/>
          <w:color w:val="000000"/>
          <w:szCs w:val="24"/>
          <w:shd w:val="clear" w:color="auto" w:fill="FFFFFF"/>
        </w:rPr>
        <w:t xml:space="preserve"> w całości, stosownych ustaleń umownych zawartych z kluczowymi zewnętrznymi dostawcami usług IC</w:t>
      </w:r>
      <w:r w:rsidR="00981FB9" w:rsidRPr="000431F7">
        <w:rPr>
          <w:rFonts w:ascii="Times New Roman" w:hAnsi="Times New Roman" w:cs="Times New Roman"/>
          <w:color w:val="000000"/>
          <w:szCs w:val="24"/>
          <w:shd w:val="clear" w:color="auto" w:fill="FFFFFF"/>
        </w:rPr>
        <w:t xml:space="preserve">T. </w:t>
      </w:r>
    </w:p>
    <w:p w14:paraId="2180E4E6" w14:textId="3150828C" w:rsidR="002C68C5" w:rsidRPr="000431F7" w:rsidRDefault="002C68C5" w:rsidP="004742CC">
      <w:pPr>
        <w:pStyle w:val="ZARTzmartartykuempunktem"/>
        <w:spacing w:before="120"/>
        <w:ind w:left="0" w:firstLine="0"/>
        <w:rPr>
          <w:rFonts w:ascii="Times New Roman" w:hAnsi="Times New Roman" w:cs="Times New Roman"/>
          <w:szCs w:val="24"/>
        </w:rPr>
      </w:pPr>
      <w:r w:rsidRPr="000431F7">
        <w:rPr>
          <w:rFonts w:ascii="Times New Roman" w:hAnsi="Times New Roman" w:cs="Times New Roman"/>
          <w:color w:val="000000"/>
          <w:szCs w:val="24"/>
          <w:shd w:val="clear" w:color="auto" w:fill="FFFFFF"/>
        </w:rPr>
        <w:t xml:space="preserve">Ponadto określone zostaną zadania KNF dotyczące realizacji przez podmioty finansowe </w:t>
      </w:r>
      <w:r w:rsidRPr="000431F7">
        <w:rPr>
          <w:rFonts w:ascii="Times New Roman" w:hAnsi="Times New Roman" w:cs="Times New Roman"/>
          <w:szCs w:val="24"/>
        </w:rPr>
        <w:t>zaawansowanych testów, o których mowa w art. 26 rozporządzenia 2022/2554</w:t>
      </w:r>
      <w:r w:rsidR="00FA1B1F" w:rsidRPr="000431F7">
        <w:rPr>
          <w:rFonts w:ascii="Times New Roman" w:hAnsi="Times New Roman" w:cs="Times New Roman"/>
          <w:szCs w:val="24"/>
        </w:rPr>
        <w:t>,</w:t>
      </w:r>
      <w:r w:rsidR="00226760" w:rsidRPr="000431F7">
        <w:rPr>
          <w:rFonts w:ascii="Times New Roman" w:hAnsi="Times New Roman" w:cs="Times New Roman"/>
          <w:szCs w:val="24"/>
        </w:rPr>
        <w:t xml:space="preserve"> oraz sposób realizacji obowiązków informacyjnych, o których mowa w art. 28</w:t>
      </w:r>
      <w:r w:rsidR="0001355D" w:rsidRPr="000431F7">
        <w:rPr>
          <w:rFonts w:ascii="Times New Roman" w:hAnsi="Times New Roman" w:cs="Times New Roman"/>
          <w:szCs w:val="24"/>
        </w:rPr>
        <w:t xml:space="preserve">, </w:t>
      </w:r>
      <w:r w:rsidR="0001355D" w:rsidRPr="004742CC">
        <w:rPr>
          <w:rFonts w:ascii="Times New Roman" w:hAnsi="Times New Roman" w:cs="Times New Roman"/>
          <w:szCs w:val="24"/>
        </w:rPr>
        <w:t>art. 45 ust. 1 i ust. 3 oraz art.</w:t>
      </w:r>
      <w:r w:rsidR="00AA580B">
        <w:rPr>
          <w:rFonts w:ascii="Times New Roman" w:hAnsi="Times New Roman" w:cs="Times New Roman"/>
          <w:szCs w:val="24"/>
        </w:rPr>
        <w:t> </w:t>
      </w:r>
      <w:r w:rsidR="0001355D" w:rsidRPr="004742CC">
        <w:rPr>
          <w:rFonts w:ascii="Times New Roman" w:hAnsi="Times New Roman" w:cs="Times New Roman"/>
          <w:szCs w:val="24"/>
        </w:rPr>
        <w:t>11 ust. 9</w:t>
      </w:r>
      <w:r w:rsidR="00226760" w:rsidRPr="000431F7">
        <w:rPr>
          <w:rFonts w:ascii="Times New Roman" w:hAnsi="Times New Roman" w:cs="Times New Roman"/>
          <w:szCs w:val="24"/>
        </w:rPr>
        <w:t xml:space="preserve"> </w:t>
      </w:r>
      <w:r w:rsidR="00226760" w:rsidRPr="000431F7">
        <w:rPr>
          <w:rFonts w:ascii="Times New Roman" w:hAnsi="Times New Roman" w:cs="Times New Roman"/>
          <w:color w:val="000000"/>
          <w:szCs w:val="24"/>
          <w:shd w:val="clear" w:color="auto" w:fill="FFFFFF"/>
        </w:rPr>
        <w:t xml:space="preserve">rozporządzenia </w:t>
      </w:r>
      <w:r w:rsidR="00226760" w:rsidRPr="000431F7">
        <w:rPr>
          <w:rFonts w:ascii="Times New Roman" w:hAnsi="Times New Roman" w:cs="Times New Roman"/>
          <w:szCs w:val="24"/>
        </w:rPr>
        <w:t>2022/2554 przez podmioty finansowe</w:t>
      </w:r>
      <w:r w:rsidR="0001355D" w:rsidRPr="000431F7">
        <w:rPr>
          <w:rFonts w:ascii="Times New Roman" w:hAnsi="Times New Roman" w:cs="Times New Roman"/>
          <w:szCs w:val="24"/>
        </w:rPr>
        <w:t xml:space="preserve"> wskazane w tych przepisach</w:t>
      </w:r>
      <w:r w:rsidRPr="000431F7">
        <w:rPr>
          <w:rFonts w:ascii="Times New Roman" w:hAnsi="Times New Roman" w:cs="Times New Roman"/>
          <w:szCs w:val="24"/>
        </w:rPr>
        <w:t xml:space="preserve">. </w:t>
      </w:r>
    </w:p>
    <w:p w14:paraId="2C9730E8" w14:textId="78ACF572" w:rsidR="00FA3500" w:rsidRPr="000431F7" w:rsidRDefault="000F5DF8" w:rsidP="004742CC">
      <w:pPr>
        <w:pStyle w:val="ZARTzmartartykuempunktem"/>
        <w:spacing w:before="120"/>
        <w:ind w:left="0" w:firstLine="0"/>
        <w:rPr>
          <w:rFonts w:ascii="Times New Roman" w:hAnsi="Times New Roman" w:cs="Times New Roman"/>
          <w:szCs w:val="24"/>
        </w:rPr>
      </w:pPr>
      <w:r w:rsidRPr="000431F7">
        <w:rPr>
          <w:rFonts w:ascii="Times New Roman" w:hAnsi="Times New Roman" w:cs="Times New Roman"/>
          <w:color w:val="000000"/>
          <w:szCs w:val="24"/>
          <w:shd w:val="clear" w:color="auto" w:fill="FFFFFF"/>
        </w:rPr>
        <w:t xml:space="preserve">Wprowadzona również zostanie podstawa prawna zapewniająca możliwość współpracy oraz wymiany </w:t>
      </w:r>
      <w:r w:rsidRPr="000431F7">
        <w:rPr>
          <w:rFonts w:ascii="Times New Roman" w:hAnsi="Times New Roman" w:cs="Times New Roman"/>
          <w:szCs w:val="24"/>
        </w:rPr>
        <w:t xml:space="preserve">informacji i dokumentów z właściwymi organami w rozumieniu art. 46 rozporządzenia 2022/2554 z państw członkowskich </w:t>
      </w:r>
      <w:r w:rsidR="00EA75A6" w:rsidRPr="000431F7">
        <w:rPr>
          <w:rFonts w:ascii="Times New Roman" w:hAnsi="Times New Roman" w:cs="Times New Roman"/>
          <w:szCs w:val="24"/>
        </w:rPr>
        <w:t>UE</w:t>
      </w:r>
      <w:r w:rsidRPr="000431F7">
        <w:rPr>
          <w:rFonts w:ascii="Times New Roman" w:hAnsi="Times New Roman" w:cs="Times New Roman"/>
          <w:szCs w:val="24"/>
        </w:rPr>
        <w:t xml:space="preserve"> lub państw członkowskich </w:t>
      </w:r>
      <w:r w:rsidRPr="000431F7">
        <w:rPr>
          <w:rFonts w:ascii="Times New Roman" w:hAnsi="Times New Roman" w:cs="Times New Roman"/>
          <w:szCs w:val="24"/>
        </w:rPr>
        <w:lastRenderedPageBreak/>
        <w:t>Europejskiego Porozumienia o Wolnym Handlu (EFTA) – stron umowy o Europejskim Obszarze Gospodarczym oraz Europejskim Urzędem Nadzoru Bankowego, Europejskim Urzędem Nadzoru Ubezpieczeń i Pracowniczych Programów Emerytalnych i Europejskim Urzędem Nadzoru Giełd i Papierów Wartościowych, w zakresie niezbędnym do wykonywania obowiązków wynikających z rozporządzenia 2022/2554.</w:t>
      </w:r>
      <w:r w:rsidR="007F0F81" w:rsidRPr="000431F7">
        <w:rPr>
          <w:rFonts w:ascii="Times New Roman" w:hAnsi="Times New Roman" w:cs="Times New Roman"/>
          <w:szCs w:val="24"/>
        </w:rPr>
        <w:t xml:space="preserve"> Ponadto KNF </w:t>
      </w:r>
      <w:r w:rsidR="00024098" w:rsidRPr="000431F7">
        <w:rPr>
          <w:rFonts w:ascii="Times New Roman" w:hAnsi="Times New Roman" w:cs="Times New Roman"/>
          <w:szCs w:val="24"/>
        </w:rPr>
        <w:t xml:space="preserve">będzie mogła współpracować </w:t>
      </w:r>
      <w:r w:rsidR="007F0F81" w:rsidRPr="000431F7">
        <w:rPr>
          <w:rFonts w:ascii="Times New Roman" w:hAnsi="Times New Roman" w:cs="Times New Roman"/>
          <w:szCs w:val="24"/>
        </w:rPr>
        <w:t>oraz wymienia</w:t>
      </w:r>
      <w:r w:rsidR="00024098" w:rsidRPr="000431F7">
        <w:rPr>
          <w:rFonts w:ascii="Times New Roman" w:hAnsi="Times New Roman" w:cs="Times New Roman"/>
          <w:szCs w:val="24"/>
        </w:rPr>
        <w:t>ć</w:t>
      </w:r>
      <w:r w:rsidR="007F0F81" w:rsidRPr="000431F7">
        <w:rPr>
          <w:rFonts w:ascii="Times New Roman" w:hAnsi="Times New Roman" w:cs="Times New Roman"/>
          <w:szCs w:val="24"/>
        </w:rPr>
        <w:t xml:space="preserve"> informacje i dokumenty z odpowiednimi wiodącymi organami nadzorczymi, wyznaczonymi zgodnie z art. 31 ust. 1 lit. b rozporządzenia 2022/2554 oraz Komisją Europejską</w:t>
      </w:r>
      <w:r w:rsidR="00BC6648" w:rsidRPr="000431F7">
        <w:rPr>
          <w:rFonts w:ascii="Times New Roman" w:hAnsi="Times New Roman" w:cs="Times New Roman"/>
          <w:szCs w:val="24"/>
        </w:rPr>
        <w:t xml:space="preserve">, a także </w:t>
      </w:r>
      <w:r w:rsidR="00BC6648" w:rsidRPr="004742CC">
        <w:rPr>
          <w:rFonts w:ascii="Times New Roman" w:hAnsi="Times New Roman" w:cs="Times New Roman"/>
          <w:szCs w:val="24"/>
        </w:rPr>
        <w:t xml:space="preserve">organami właściwymi do spraw </w:t>
      </w:r>
      <w:proofErr w:type="spellStart"/>
      <w:r w:rsidR="00BC6648" w:rsidRPr="004742CC">
        <w:rPr>
          <w:rFonts w:ascii="Times New Roman" w:hAnsi="Times New Roman" w:cs="Times New Roman"/>
          <w:szCs w:val="24"/>
        </w:rPr>
        <w:t>cyberbezpieczeństwa</w:t>
      </w:r>
      <w:proofErr w:type="spellEnd"/>
      <w:r w:rsidR="00BC6648" w:rsidRPr="004742CC">
        <w:rPr>
          <w:rFonts w:ascii="Times New Roman" w:hAnsi="Times New Roman" w:cs="Times New Roman"/>
          <w:szCs w:val="24"/>
        </w:rPr>
        <w:t xml:space="preserve">, o których mowa w art. 41 ustawy o krajowym systemie </w:t>
      </w:r>
      <w:proofErr w:type="spellStart"/>
      <w:r w:rsidR="00BC6648" w:rsidRPr="004742CC">
        <w:rPr>
          <w:rFonts w:ascii="Times New Roman" w:hAnsi="Times New Roman" w:cs="Times New Roman"/>
          <w:szCs w:val="24"/>
        </w:rPr>
        <w:t>cyberbezpieczeństwa</w:t>
      </w:r>
      <w:proofErr w:type="spellEnd"/>
      <w:r w:rsidR="00DB3468" w:rsidRPr="004742CC">
        <w:rPr>
          <w:rFonts w:ascii="Times New Roman" w:hAnsi="Times New Roman" w:cs="Times New Roman"/>
          <w:szCs w:val="24"/>
        </w:rPr>
        <w:t>:</w:t>
      </w:r>
      <w:r w:rsidR="00447D03" w:rsidRPr="004742CC">
        <w:rPr>
          <w:rFonts w:ascii="Times New Roman" w:hAnsi="Times New Roman" w:cs="Times New Roman"/>
          <w:szCs w:val="24"/>
        </w:rPr>
        <w:t xml:space="preserve"> Pojedynczym Punktem Kontaktowym do spraw </w:t>
      </w:r>
      <w:proofErr w:type="spellStart"/>
      <w:r w:rsidR="00447D03" w:rsidRPr="004742CC">
        <w:rPr>
          <w:rFonts w:ascii="Times New Roman" w:hAnsi="Times New Roman" w:cs="Times New Roman"/>
          <w:szCs w:val="24"/>
        </w:rPr>
        <w:t>cyberbezpieczeństwa</w:t>
      </w:r>
      <w:proofErr w:type="spellEnd"/>
      <w:r w:rsidR="00447D03" w:rsidRPr="004742CC">
        <w:rPr>
          <w:rFonts w:ascii="Times New Roman" w:hAnsi="Times New Roman" w:cs="Times New Roman"/>
          <w:szCs w:val="24"/>
        </w:rPr>
        <w:t xml:space="preserve"> oraz</w:t>
      </w:r>
      <w:r w:rsidR="00C057CA" w:rsidRPr="004742CC">
        <w:rPr>
          <w:rFonts w:ascii="Times New Roman" w:hAnsi="Times New Roman" w:cs="Times New Roman"/>
          <w:szCs w:val="24"/>
        </w:rPr>
        <w:t xml:space="preserve"> Zespołem Reagowania na Incydenty Bezpieczeństwa Komputerowego działającym na poziomie krajowym, prowadzon</w:t>
      </w:r>
      <w:r w:rsidR="00322B7F" w:rsidRPr="004742CC">
        <w:rPr>
          <w:rFonts w:ascii="Times New Roman" w:hAnsi="Times New Roman" w:cs="Times New Roman"/>
          <w:szCs w:val="24"/>
        </w:rPr>
        <w:t>ym</w:t>
      </w:r>
      <w:r w:rsidR="00C057CA" w:rsidRPr="004742CC">
        <w:rPr>
          <w:rFonts w:ascii="Times New Roman" w:hAnsi="Times New Roman" w:cs="Times New Roman"/>
          <w:szCs w:val="24"/>
        </w:rPr>
        <w:t xml:space="preserve"> przez Ministra Obrony Narodowej, zwanym dalej „CSIRT MON”, Zespołem Reagowania na Incydenty Bezpieczeństwa Komputerowego działającym na poziomie krajowym, prowadzonym przez Naukową i Akademicką Sieć Komputerową – Państwowy Instytut Badawczy, zwanym dalej „CSIRT NASK”, albo Zespołem Reagowania na Incydenty Bezpieczeństwa Komputerowego działającym na poziomie krajowym, prowadzonym przez Szefa Agencji Bezpieczeństwa Wewnętrznego, zwanym dalej „CSIRT GOV”</w:t>
      </w:r>
      <w:r w:rsidR="00447D03" w:rsidRPr="004742CC">
        <w:rPr>
          <w:rFonts w:ascii="Times New Roman" w:hAnsi="Times New Roman" w:cs="Times New Roman"/>
          <w:szCs w:val="24"/>
        </w:rPr>
        <w:t xml:space="preserve">, o których mowa w art. 4 ustawy o krajowym systemie </w:t>
      </w:r>
      <w:proofErr w:type="spellStart"/>
      <w:r w:rsidR="00447D03" w:rsidRPr="004742CC">
        <w:rPr>
          <w:rFonts w:ascii="Times New Roman" w:hAnsi="Times New Roman" w:cs="Times New Roman"/>
          <w:szCs w:val="24"/>
        </w:rPr>
        <w:t>cyberbezpieczeństwa</w:t>
      </w:r>
      <w:proofErr w:type="spellEnd"/>
      <w:r w:rsidR="003F4341" w:rsidRPr="004742CC">
        <w:rPr>
          <w:rFonts w:ascii="Times New Roman" w:hAnsi="Times New Roman" w:cs="Times New Roman"/>
          <w:szCs w:val="24"/>
        </w:rPr>
        <w:t>.</w:t>
      </w:r>
    </w:p>
    <w:p w14:paraId="26EFA65D" w14:textId="256AD957" w:rsidR="000F5DF8" w:rsidRPr="000431F7" w:rsidRDefault="00532ECD" w:rsidP="004742CC">
      <w:pPr>
        <w:spacing w:before="120" w:after="0" w:line="360" w:lineRule="auto"/>
        <w:jc w:val="both"/>
        <w:rPr>
          <w:rFonts w:ascii="Times New Roman" w:eastAsia="Times New Roman" w:hAnsi="Times New Roman" w:cs="Times New Roman"/>
          <w:sz w:val="24"/>
          <w:szCs w:val="24"/>
        </w:rPr>
      </w:pPr>
      <w:r w:rsidRPr="000431F7">
        <w:rPr>
          <w:rFonts w:ascii="Times New Roman" w:hAnsi="Times New Roman" w:cs="Times New Roman"/>
          <w:sz w:val="24"/>
          <w:szCs w:val="24"/>
        </w:rPr>
        <w:t>Z uwagi</w:t>
      </w:r>
      <w:r w:rsidR="000F5DF8" w:rsidRPr="000431F7">
        <w:rPr>
          <w:rFonts w:ascii="Times New Roman" w:hAnsi="Times New Roman" w:cs="Times New Roman"/>
          <w:sz w:val="24"/>
          <w:szCs w:val="24"/>
        </w:rPr>
        <w:t xml:space="preserve"> </w:t>
      </w:r>
      <w:r w:rsidRPr="000431F7">
        <w:rPr>
          <w:rFonts w:ascii="Times New Roman" w:hAnsi="Times New Roman" w:cs="Times New Roman"/>
          <w:sz w:val="24"/>
          <w:szCs w:val="24"/>
        </w:rPr>
        <w:t xml:space="preserve">na wskazaną </w:t>
      </w:r>
      <w:r w:rsidR="000F5DF8" w:rsidRPr="000431F7">
        <w:rPr>
          <w:rFonts w:ascii="Times New Roman" w:hAnsi="Times New Roman" w:cs="Times New Roman"/>
          <w:color w:val="000000"/>
          <w:sz w:val="24"/>
          <w:szCs w:val="24"/>
          <w:shd w:val="clear" w:color="auto" w:fill="FFFFFF"/>
        </w:rPr>
        <w:t xml:space="preserve">korelację między przepisami rozporządzenia </w:t>
      </w:r>
      <w:r w:rsidR="000F5DF8" w:rsidRPr="000431F7">
        <w:rPr>
          <w:rFonts w:ascii="Times New Roman" w:hAnsi="Times New Roman" w:cs="Times New Roman"/>
          <w:sz w:val="24"/>
          <w:szCs w:val="24"/>
        </w:rPr>
        <w:t>2022/2554 a przepisami zarówno dyrektywy</w:t>
      </w:r>
      <w:r w:rsidR="00215ED4" w:rsidRPr="000431F7">
        <w:rPr>
          <w:rFonts w:ascii="Times New Roman" w:hAnsi="Times New Roman" w:cs="Times New Roman"/>
          <w:sz w:val="24"/>
          <w:szCs w:val="24"/>
        </w:rPr>
        <w:t xml:space="preserve"> 2016/1148</w:t>
      </w:r>
      <w:r w:rsidR="001D579C" w:rsidRPr="000431F7">
        <w:rPr>
          <w:rFonts w:ascii="Times New Roman" w:hAnsi="Times New Roman" w:cs="Times New Roman"/>
          <w:sz w:val="24"/>
          <w:szCs w:val="24"/>
        </w:rPr>
        <w:t>,</w:t>
      </w:r>
      <w:r w:rsidR="00215ED4" w:rsidRPr="000431F7">
        <w:rPr>
          <w:rFonts w:ascii="Times New Roman" w:hAnsi="Times New Roman" w:cs="Times New Roman"/>
          <w:sz w:val="24"/>
          <w:szCs w:val="24"/>
        </w:rPr>
        <w:t xml:space="preserve"> </w:t>
      </w:r>
      <w:r w:rsidR="00226760" w:rsidRPr="000431F7">
        <w:rPr>
          <w:rFonts w:ascii="Times New Roman" w:hAnsi="Times New Roman" w:cs="Times New Roman"/>
          <w:sz w:val="24"/>
          <w:szCs w:val="24"/>
        </w:rPr>
        <w:t xml:space="preserve">jak </w:t>
      </w:r>
      <w:r w:rsidR="00215ED4" w:rsidRPr="000431F7">
        <w:rPr>
          <w:rFonts w:ascii="Times New Roman" w:hAnsi="Times New Roman" w:cs="Times New Roman"/>
          <w:sz w:val="24"/>
          <w:szCs w:val="24"/>
        </w:rPr>
        <w:t>i dyrektywy 2022/2555</w:t>
      </w:r>
      <w:r w:rsidR="000F5DF8" w:rsidRPr="000431F7">
        <w:rPr>
          <w:rFonts w:ascii="Times New Roman" w:hAnsi="Times New Roman" w:cs="Times New Roman"/>
          <w:sz w:val="24"/>
          <w:szCs w:val="24"/>
        </w:rPr>
        <w:t xml:space="preserve">, konieczne jest także wprowadzenie odpowiednich zmian do ustawy o krajowym systemie </w:t>
      </w:r>
      <w:proofErr w:type="spellStart"/>
      <w:r w:rsidR="000F5DF8" w:rsidRPr="000431F7">
        <w:rPr>
          <w:rFonts w:ascii="Times New Roman" w:hAnsi="Times New Roman" w:cs="Times New Roman"/>
          <w:sz w:val="24"/>
          <w:szCs w:val="24"/>
        </w:rPr>
        <w:t>cyberbezpieczeństwa</w:t>
      </w:r>
      <w:proofErr w:type="spellEnd"/>
      <w:r w:rsidRPr="000431F7">
        <w:rPr>
          <w:rFonts w:ascii="Times New Roman" w:hAnsi="Times New Roman" w:cs="Times New Roman"/>
          <w:sz w:val="24"/>
          <w:szCs w:val="24"/>
        </w:rPr>
        <w:t xml:space="preserve"> </w:t>
      </w:r>
      <w:r w:rsidR="000F5DF8" w:rsidRPr="000431F7">
        <w:rPr>
          <w:rFonts w:ascii="Times New Roman" w:hAnsi="Times New Roman" w:cs="Times New Roman"/>
          <w:sz w:val="24"/>
          <w:szCs w:val="24"/>
        </w:rPr>
        <w:t xml:space="preserve">w celu zapewnienia spójności </w:t>
      </w:r>
      <w:r w:rsidRPr="000431F7">
        <w:rPr>
          <w:rFonts w:ascii="Times New Roman" w:hAnsi="Times New Roman" w:cs="Times New Roman"/>
          <w:sz w:val="24"/>
          <w:szCs w:val="24"/>
        </w:rPr>
        <w:t>rozwiązań</w:t>
      </w:r>
      <w:r w:rsidR="0008770A" w:rsidRPr="000431F7">
        <w:rPr>
          <w:rFonts w:ascii="Times New Roman" w:hAnsi="Times New Roman" w:cs="Times New Roman"/>
          <w:sz w:val="24"/>
          <w:szCs w:val="24"/>
        </w:rPr>
        <w:t xml:space="preserve"> oraz efektywne</w:t>
      </w:r>
      <w:r w:rsidR="000F5DF8" w:rsidRPr="000431F7">
        <w:rPr>
          <w:rFonts w:ascii="Times New Roman" w:hAnsi="Times New Roman" w:cs="Times New Roman"/>
          <w:sz w:val="24"/>
          <w:szCs w:val="24"/>
        </w:rPr>
        <w:t>go</w:t>
      </w:r>
      <w:r w:rsidR="0008770A" w:rsidRPr="000431F7">
        <w:rPr>
          <w:rFonts w:ascii="Times New Roman" w:hAnsi="Times New Roman" w:cs="Times New Roman"/>
          <w:sz w:val="24"/>
          <w:szCs w:val="24"/>
        </w:rPr>
        <w:t xml:space="preserve"> działani</w:t>
      </w:r>
      <w:r w:rsidR="000F5DF8" w:rsidRPr="000431F7">
        <w:rPr>
          <w:rFonts w:ascii="Times New Roman" w:hAnsi="Times New Roman" w:cs="Times New Roman"/>
          <w:sz w:val="24"/>
          <w:szCs w:val="24"/>
        </w:rPr>
        <w:t>a</w:t>
      </w:r>
      <w:r w:rsidR="0008770A" w:rsidRPr="000431F7">
        <w:rPr>
          <w:rFonts w:ascii="Times New Roman" w:hAnsi="Times New Roman" w:cs="Times New Roman"/>
          <w:sz w:val="24"/>
          <w:szCs w:val="24"/>
        </w:rPr>
        <w:t xml:space="preserve"> całego systemu nadzoru</w:t>
      </w:r>
      <w:r w:rsidR="000F5DF8" w:rsidRPr="000431F7">
        <w:rPr>
          <w:rFonts w:ascii="Times New Roman" w:hAnsi="Times New Roman" w:cs="Times New Roman"/>
          <w:sz w:val="24"/>
          <w:szCs w:val="24"/>
        </w:rPr>
        <w:t xml:space="preserve">. </w:t>
      </w:r>
      <w:r w:rsidR="000F5DF8" w:rsidRPr="000431F7">
        <w:rPr>
          <w:rFonts w:ascii="Times New Roman" w:eastAsia="Times New Roman" w:hAnsi="Times New Roman" w:cs="Times New Roman"/>
          <w:sz w:val="24"/>
          <w:szCs w:val="24"/>
        </w:rPr>
        <w:t>Zmiany tej ustawy określą</w:t>
      </w:r>
      <w:r w:rsidR="00447D03" w:rsidRPr="000431F7">
        <w:rPr>
          <w:rFonts w:ascii="Times New Roman" w:eastAsia="Times New Roman" w:hAnsi="Times New Roman" w:cs="Times New Roman"/>
          <w:sz w:val="24"/>
          <w:szCs w:val="24"/>
        </w:rPr>
        <w:t xml:space="preserve"> przede wszystkim wzajemną relację między projektowaną </w:t>
      </w:r>
      <w:r w:rsidR="007B5944" w:rsidRPr="000431F7">
        <w:rPr>
          <w:rFonts w:ascii="Times New Roman" w:eastAsia="Times New Roman" w:hAnsi="Times New Roman" w:cs="Times New Roman"/>
          <w:sz w:val="24"/>
          <w:szCs w:val="24"/>
        </w:rPr>
        <w:t xml:space="preserve">regulacją </w:t>
      </w:r>
      <w:r w:rsidR="00447D03" w:rsidRPr="000431F7">
        <w:rPr>
          <w:rFonts w:ascii="Times New Roman" w:eastAsia="Times New Roman" w:hAnsi="Times New Roman" w:cs="Times New Roman"/>
          <w:sz w:val="24"/>
          <w:szCs w:val="24"/>
        </w:rPr>
        <w:t>ustaw</w:t>
      </w:r>
      <w:r w:rsidR="007B5944" w:rsidRPr="000431F7">
        <w:rPr>
          <w:rFonts w:ascii="Times New Roman" w:eastAsia="Times New Roman" w:hAnsi="Times New Roman" w:cs="Times New Roman"/>
          <w:sz w:val="24"/>
          <w:szCs w:val="24"/>
        </w:rPr>
        <w:t>y</w:t>
      </w:r>
      <w:r w:rsidR="00447D03" w:rsidRPr="000431F7">
        <w:rPr>
          <w:rFonts w:ascii="Times New Roman" w:hAnsi="Times New Roman" w:cs="Times New Roman"/>
          <w:sz w:val="24"/>
          <w:szCs w:val="24"/>
        </w:rPr>
        <w:t xml:space="preserve"> o zmianie niektórych ustaw w związku z zapewnieniem operacyjnej odporności cyfrowej sektora finansowego</w:t>
      </w:r>
      <w:r w:rsidR="00082895" w:rsidRPr="000431F7">
        <w:rPr>
          <w:rFonts w:ascii="Times New Roman" w:hAnsi="Times New Roman" w:cs="Times New Roman"/>
          <w:sz w:val="24"/>
          <w:szCs w:val="24"/>
        </w:rPr>
        <w:t xml:space="preserve"> oraz emitowaniem europejskich zielonych obligacji</w:t>
      </w:r>
      <w:r w:rsidR="00447D03" w:rsidRPr="000431F7">
        <w:rPr>
          <w:rFonts w:ascii="Times New Roman" w:eastAsia="Times New Roman" w:hAnsi="Times New Roman" w:cs="Times New Roman"/>
          <w:sz w:val="24"/>
          <w:szCs w:val="24"/>
        </w:rPr>
        <w:t xml:space="preserve"> a </w:t>
      </w:r>
      <w:r w:rsidR="00B82429" w:rsidRPr="000431F7">
        <w:rPr>
          <w:rFonts w:ascii="Times New Roman" w:eastAsia="Times New Roman" w:hAnsi="Times New Roman" w:cs="Times New Roman"/>
          <w:sz w:val="24"/>
          <w:szCs w:val="24"/>
        </w:rPr>
        <w:t xml:space="preserve">regulacją </w:t>
      </w:r>
      <w:r w:rsidR="00447D03" w:rsidRPr="000431F7">
        <w:rPr>
          <w:rFonts w:ascii="Times New Roman" w:eastAsia="Times New Roman" w:hAnsi="Times New Roman" w:cs="Times New Roman"/>
          <w:sz w:val="24"/>
          <w:szCs w:val="24"/>
        </w:rPr>
        <w:t>ustaw</w:t>
      </w:r>
      <w:r w:rsidR="00B82429" w:rsidRPr="000431F7">
        <w:rPr>
          <w:rFonts w:ascii="Times New Roman" w:eastAsia="Times New Roman" w:hAnsi="Times New Roman" w:cs="Times New Roman"/>
          <w:sz w:val="24"/>
          <w:szCs w:val="24"/>
        </w:rPr>
        <w:t xml:space="preserve">y </w:t>
      </w:r>
      <w:r w:rsidR="00447D03" w:rsidRPr="000431F7">
        <w:rPr>
          <w:rFonts w:ascii="Times New Roman" w:eastAsia="Times New Roman" w:hAnsi="Times New Roman" w:cs="Times New Roman"/>
          <w:sz w:val="24"/>
          <w:szCs w:val="24"/>
        </w:rPr>
        <w:t xml:space="preserve">o krajowym systemie </w:t>
      </w:r>
      <w:proofErr w:type="spellStart"/>
      <w:r w:rsidR="00447D03" w:rsidRPr="000431F7">
        <w:rPr>
          <w:rFonts w:ascii="Times New Roman" w:eastAsia="Times New Roman" w:hAnsi="Times New Roman" w:cs="Times New Roman"/>
          <w:sz w:val="24"/>
          <w:szCs w:val="24"/>
        </w:rPr>
        <w:t>cyberbezpieczeństwa</w:t>
      </w:r>
      <w:proofErr w:type="spellEnd"/>
      <w:r w:rsidR="00403271" w:rsidRPr="000431F7">
        <w:rPr>
          <w:rFonts w:ascii="Times New Roman" w:eastAsia="Times New Roman" w:hAnsi="Times New Roman" w:cs="Times New Roman"/>
          <w:sz w:val="24"/>
          <w:szCs w:val="24"/>
        </w:rPr>
        <w:t xml:space="preserve">. </w:t>
      </w:r>
    </w:p>
    <w:p w14:paraId="3C5A8FA0" w14:textId="0F20A8A3" w:rsidR="000F5DF8" w:rsidRPr="000431F7" w:rsidRDefault="000F5DF8" w:rsidP="004742CC">
      <w:pPr>
        <w:spacing w:before="120" w:after="0" w:line="360" w:lineRule="auto"/>
        <w:jc w:val="both"/>
        <w:rPr>
          <w:rFonts w:ascii="Times New Roman" w:eastAsia="Times New Roman" w:hAnsi="Times New Roman" w:cs="Times New Roman"/>
          <w:sz w:val="24"/>
          <w:szCs w:val="24"/>
          <w:lang w:eastAsia="pl-PL"/>
        </w:rPr>
      </w:pPr>
      <w:r w:rsidRPr="000431F7">
        <w:rPr>
          <w:rFonts w:ascii="Times New Roman" w:eastAsia="Times New Roman" w:hAnsi="Times New Roman" w:cs="Times New Roman"/>
          <w:sz w:val="24"/>
          <w:szCs w:val="24"/>
          <w:lang w:eastAsia="pl-PL"/>
        </w:rPr>
        <w:t xml:space="preserve">Istotną zmianą będzie także zapewnienie możliwości uczestnictwa </w:t>
      </w:r>
      <w:r w:rsidRPr="000431F7">
        <w:rPr>
          <w:rFonts w:ascii="Times New Roman" w:hAnsi="Times New Roman" w:cs="Times New Roman"/>
          <w:sz w:val="24"/>
          <w:szCs w:val="24"/>
        </w:rPr>
        <w:t xml:space="preserve">Przewodniczącego </w:t>
      </w:r>
      <w:r w:rsidR="00280A56" w:rsidRPr="000431F7">
        <w:rPr>
          <w:rFonts w:ascii="Times New Roman" w:hAnsi="Times New Roman" w:cs="Times New Roman"/>
          <w:sz w:val="24"/>
          <w:szCs w:val="24"/>
        </w:rPr>
        <w:t>KNF</w:t>
      </w:r>
      <w:r w:rsidRPr="000431F7">
        <w:rPr>
          <w:rFonts w:ascii="Times New Roman" w:eastAsia="Times New Roman" w:hAnsi="Times New Roman" w:cs="Times New Roman"/>
          <w:sz w:val="24"/>
          <w:szCs w:val="24"/>
          <w:lang w:eastAsia="pl-PL"/>
        </w:rPr>
        <w:t xml:space="preserve"> w</w:t>
      </w:r>
      <w:r w:rsidR="001D579C" w:rsidRPr="000431F7">
        <w:rPr>
          <w:rFonts w:ascii="Times New Roman" w:eastAsia="Times New Roman" w:hAnsi="Times New Roman" w:cs="Times New Roman"/>
          <w:sz w:val="24"/>
          <w:szCs w:val="24"/>
          <w:lang w:eastAsia="pl-PL"/>
        </w:rPr>
        <w:t> </w:t>
      </w:r>
      <w:r w:rsidRPr="000431F7">
        <w:rPr>
          <w:rFonts w:ascii="Times New Roman" w:eastAsia="Times New Roman" w:hAnsi="Times New Roman" w:cs="Times New Roman"/>
          <w:sz w:val="24"/>
          <w:szCs w:val="24"/>
          <w:lang w:eastAsia="pl-PL"/>
        </w:rPr>
        <w:t xml:space="preserve">posiedzeniach Kolegium </w:t>
      </w:r>
      <w:r w:rsidRPr="000431F7">
        <w:rPr>
          <w:rFonts w:ascii="Times New Roman" w:hAnsi="Times New Roman" w:cs="Times New Roman"/>
          <w:sz w:val="24"/>
          <w:szCs w:val="24"/>
        </w:rPr>
        <w:t>przy Radzie Ministrów, działającego jako organ opiniodawczo</w:t>
      </w:r>
      <w:r w:rsidR="00420BE0">
        <w:noBreakHyphen/>
      </w:r>
      <w:r w:rsidRPr="000431F7">
        <w:rPr>
          <w:rFonts w:ascii="Times New Roman" w:hAnsi="Times New Roman" w:cs="Times New Roman"/>
          <w:sz w:val="24"/>
          <w:szCs w:val="24"/>
        </w:rPr>
        <w:t xml:space="preserve">doradczy w sprawach </w:t>
      </w:r>
      <w:proofErr w:type="spellStart"/>
      <w:r w:rsidRPr="000431F7">
        <w:rPr>
          <w:rFonts w:ascii="Times New Roman" w:hAnsi="Times New Roman" w:cs="Times New Roman"/>
          <w:sz w:val="24"/>
          <w:szCs w:val="24"/>
        </w:rPr>
        <w:t>cyberbezpieczeństwa</w:t>
      </w:r>
      <w:proofErr w:type="spellEnd"/>
      <w:r w:rsidRPr="000431F7">
        <w:rPr>
          <w:rFonts w:ascii="Times New Roman" w:hAnsi="Times New Roman" w:cs="Times New Roman"/>
          <w:sz w:val="24"/>
          <w:szCs w:val="24"/>
        </w:rPr>
        <w:t xml:space="preserve"> oraz działalności w tym zakresie CSIRT MON, CSIRT NASK, CSIRT GOV, sektorowych zespołów </w:t>
      </w:r>
      <w:proofErr w:type="spellStart"/>
      <w:r w:rsidRPr="000431F7">
        <w:rPr>
          <w:rFonts w:ascii="Times New Roman" w:hAnsi="Times New Roman" w:cs="Times New Roman"/>
          <w:sz w:val="24"/>
          <w:szCs w:val="24"/>
        </w:rPr>
        <w:t>cyberbezpieczeństwa</w:t>
      </w:r>
      <w:proofErr w:type="spellEnd"/>
      <w:r w:rsidRPr="000431F7">
        <w:rPr>
          <w:rFonts w:ascii="Times New Roman" w:hAnsi="Times New Roman" w:cs="Times New Roman"/>
          <w:sz w:val="24"/>
          <w:szCs w:val="24"/>
        </w:rPr>
        <w:t xml:space="preserve"> i organów właściwych do spraw </w:t>
      </w:r>
      <w:proofErr w:type="spellStart"/>
      <w:r w:rsidRPr="000431F7">
        <w:rPr>
          <w:rFonts w:ascii="Times New Roman" w:hAnsi="Times New Roman" w:cs="Times New Roman"/>
          <w:sz w:val="24"/>
          <w:szCs w:val="24"/>
        </w:rPr>
        <w:t>cyberbezpieczeństwa</w:t>
      </w:r>
      <w:proofErr w:type="spellEnd"/>
      <w:r w:rsidRPr="000431F7">
        <w:rPr>
          <w:rFonts w:ascii="Times New Roman" w:hAnsi="Times New Roman" w:cs="Times New Roman"/>
          <w:sz w:val="24"/>
          <w:szCs w:val="24"/>
        </w:rPr>
        <w:t>.</w:t>
      </w:r>
    </w:p>
    <w:p w14:paraId="7AFF55FB" w14:textId="4CC9DD79" w:rsidR="002C7618" w:rsidRPr="000431F7" w:rsidRDefault="000F5DF8" w:rsidP="004742CC">
      <w:pPr>
        <w:pStyle w:val="ZUSTzmustartykuempunktem"/>
        <w:spacing w:before="120"/>
        <w:ind w:left="0" w:firstLine="0"/>
        <w:rPr>
          <w:rFonts w:ascii="Times New Roman" w:hAnsi="Times New Roman" w:cs="Times New Roman"/>
          <w:szCs w:val="24"/>
        </w:rPr>
      </w:pPr>
      <w:r w:rsidRPr="000431F7">
        <w:rPr>
          <w:rFonts w:ascii="Times New Roman" w:hAnsi="Times New Roman" w:cs="Times New Roman"/>
          <w:szCs w:val="24"/>
        </w:rPr>
        <w:lastRenderedPageBreak/>
        <w:t>Dodatkowo projektowane zmiany ustawy w</w:t>
      </w:r>
      <w:r w:rsidR="005356C3" w:rsidRPr="000431F7">
        <w:rPr>
          <w:rFonts w:ascii="Times New Roman" w:hAnsi="Times New Roman" w:cs="Times New Roman"/>
          <w:szCs w:val="24"/>
        </w:rPr>
        <w:t>prowadzą</w:t>
      </w:r>
      <w:r w:rsidRPr="000431F7">
        <w:rPr>
          <w:rFonts w:ascii="Times New Roman" w:hAnsi="Times New Roman" w:cs="Times New Roman"/>
          <w:szCs w:val="24"/>
        </w:rPr>
        <w:t xml:space="preserve"> obowiązek współdziałania zespołów CSIRT MON, CSIRT GOV i CSIRT NASK oraz </w:t>
      </w:r>
      <w:r w:rsidR="007E6BEE" w:rsidRPr="000431F7">
        <w:rPr>
          <w:rFonts w:ascii="Times New Roman" w:hAnsi="Times New Roman" w:cs="Times New Roman"/>
          <w:szCs w:val="24"/>
        </w:rPr>
        <w:t xml:space="preserve">KNF </w:t>
      </w:r>
      <w:r w:rsidRPr="000431F7">
        <w:rPr>
          <w:rFonts w:ascii="Times New Roman" w:hAnsi="Times New Roman" w:cs="Times New Roman"/>
          <w:szCs w:val="24"/>
        </w:rPr>
        <w:t xml:space="preserve">w zakresie </w:t>
      </w:r>
      <w:r w:rsidR="00322B7F" w:rsidRPr="000431F7">
        <w:rPr>
          <w:rFonts w:ascii="Times New Roman" w:hAnsi="Times New Roman" w:cs="Times New Roman"/>
          <w:szCs w:val="24"/>
        </w:rPr>
        <w:t>działalności</w:t>
      </w:r>
      <w:r w:rsidR="00322B7F" w:rsidRPr="004742CC">
        <w:rPr>
          <w:rFonts w:ascii="Times New Roman" w:hAnsi="Times New Roman" w:cs="Times New Roman"/>
          <w:szCs w:val="24"/>
        </w:rPr>
        <w:t xml:space="preserve"> operatorów</w:t>
      </w:r>
      <w:r w:rsidR="007E6BEE" w:rsidRPr="004742CC">
        <w:rPr>
          <w:rFonts w:ascii="Times New Roman" w:hAnsi="Times New Roman" w:cs="Times New Roman"/>
          <w:szCs w:val="24"/>
        </w:rPr>
        <w:t xml:space="preserve"> usług kluczowych działających w sektorze bankowym i infrastruktury rynków finansowych</w:t>
      </w:r>
      <w:r w:rsidRPr="000431F7">
        <w:rPr>
          <w:rFonts w:ascii="Times New Roman" w:hAnsi="Times New Roman" w:cs="Times New Roman"/>
          <w:szCs w:val="24"/>
        </w:rPr>
        <w:t xml:space="preserve">. </w:t>
      </w:r>
    </w:p>
    <w:p w14:paraId="51CB2743" w14:textId="72F23A5F" w:rsidR="00E04479" w:rsidRPr="000431F7" w:rsidRDefault="00CB3252" w:rsidP="004742CC">
      <w:pPr>
        <w:pStyle w:val="ZUSTzmustartykuempunktem"/>
        <w:spacing w:before="120"/>
        <w:ind w:left="0" w:firstLine="0"/>
        <w:rPr>
          <w:rFonts w:ascii="Times New Roman" w:hAnsi="Times New Roman" w:cs="Times New Roman"/>
          <w:szCs w:val="24"/>
        </w:rPr>
      </w:pPr>
      <w:r w:rsidRPr="000431F7">
        <w:rPr>
          <w:rFonts w:ascii="Times New Roman" w:hAnsi="Times New Roman" w:cs="Times New Roman"/>
          <w:szCs w:val="24"/>
        </w:rPr>
        <w:t xml:space="preserve">Jednocześnie należy wyjaśnić, że projektodawca nie zdecydował się na regulację zagadnień związanych z </w:t>
      </w:r>
      <w:r w:rsidR="00B82429" w:rsidRPr="000431F7">
        <w:rPr>
          <w:rFonts w:ascii="Times New Roman" w:hAnsi="Times New Roman" w:cs="Times New Roman"/>
          <w:szCs w:val="24"/>
        </w:rPr>
        <w:t>powierzaniem czynności podmiotom trzecim (</w:t>
      </w:r>
      <w:r w:rsidRPr="000431F7">
        <w:rPr>
          <w:rFonts w:ascii="Times New Roman" w:hAnsi="Times New Roman" w:cs="Times New Roman"/>
          <w:szCs w:val="24"/>
        </w:rPr>
        <w:t>outsourcing</w:t>
      </w:r>
      <w:r w:rsidR="00B82429" w:rsidRPr="000431F7">
        <w:rPr>
          <w:rFonts w:ascii="Times New Roman" w:hAnsi="Times New Roman" w:cs="Times New Roman"/>
          <w:szCs w:val="24"/>
        </w:rPr>
        <w:t>). Należy podkreślić, że wdrażane rozporządzenie</w:t>
      </w:r>
      <w:r w:rsidR="00EA75A6" w:rsidRPr="000431F7">
        <w:rPr>
          <w:rFonts w:ascii="Times New Roman" w:hAnsi="Times New Roman" w:cs="Times New Roman"/>
          <w:szCs w:val="24"/>
        </w:rPr>
        <w:t xml:space="preserve"> 2022/2554</w:t>
      </w:r>
      <w:r w:rsidR="00B82429" w:rsidRPr="000431F7">
        <w:rPr>
          <w:rFonts w:ascii="Times New Roman" w:hAnsi="Times New Roman" w:cs="Times New Roman"/>
          <w:szCs w:val="24"/>
        </w:rPr>
        <w:t xml:space="preserve"> nie odnosi się</w:t>
      </w:r>
      <w:r w:rsidR="00601B96" w:rsidRPr="000431F7">
        <w:rPr>
          <w:rFonts w:ascii="Times New Roman" w:hAnsi="Times New Roman" w:cs="Times New Roman"/>
          <w:szCs w:val="24"/>
        </w:rPr>
        <w:t xml:space="preserve"> kompleksowo</w:t>
      </w:r>
      <w:r w:rsidR="00B82429" w:rsidRPr="000431F7">
        <w:rPr>
          <w:rFonts w:ascii="Times New Roman" w:hAnsi="Times New Roman" w:cs="Times New Roman"/>
          <w:szCs w:val="24"/>
        </w:rPr>
        <w:t xml:space="preserve"> do </w:t>
      </w:r>
      <w:r w:rsidR="00601B96" w:rsidRPr="000431F7">
        <w:rPr>
          <w:rFonts w:ascii="Times New Roman" w:hAnsi="Times New Roman" w:cs="Times New Roman"/>
          <w:szCs w:val="24"/>
        </w:rPr>
        <w:t xml:space="preserve">kwestii </w:t>
      </w:r>
      <w:r w:rsidR="00B82429" w:rsidRPr="000431F7">
        <w:rPr>
          <w:rFonts w:ascii="Times New Roman" w:hAnsi="Times New Roman" w:cs="Times New Roman"/>
          <w:szCs w:val="24"/>
        </w:rPr>
        <w:t xml:space="preserve">powierzania czynności podmiotom trzecim, w szczególności nie zawiera regulacji wskazujących na obowiązek stosowania regulacji rozporządzenia 2022/2554 przez podmioty trzecie w przypadku wykonywania przez nie czynności z zakresu działalności gospodarczej </w:t>
      </w:r>
      <w:r w:rsidR="00E04479" w:rsidRPr="000431F7">
        <w:rPr>
          <w:rFonts w:ascii="Times New Roman" w:hAnsi="Times New Roman" w:cs="Times New Roman"/>
          <w:szCs w:val="24"/>
        </w:rPr>
        <w:t>danego podmiotu finansowego</w:t>
      </w:r>
      <w:r w:rsidR="00A63B38" w:rsidRPr="000431F7">
        <w:rPr>
          <w:rFonts w:ascii="Times New Roman" w:hAnsi="Times New Roman" w:cs="Times New Roman"/>
          <w:szCs w:val="24"/>
        </w:rPr>
        <w:t xml:space="preserve">, są to </w:t>
      </w:r>
      <w:r w:rsidR="00E04479" w:rsidRPr="000431F7">
        <w:rPr>
          <w:rFonts w:ascii="Times New Roman" w:hAnsi="Times New Roman" w:cs="Times New Roman"/>
          <w:szCs w:val="24"/>
        </w:rPr>
        <w:t xml:space="preserve">np. </w:t>
      </w:r>
      <w:r w:rsidR="00403271" w:rsidRPr="000431F7">
        <w:rPr>
          <w:rFonts w:ascii="Times New Roman" w:hAnsi="Times New Roman" w:cs="Times New Roman"/>
          <w:szCs w:val="24"/>
        </w:rPr>
        <w:t xml:space="preserve">czynności </w:t>
      </w:r>
      <w:r w:rsidR="00601B96" w:rsidRPr="000431F7">
        <w:rPr>
          <w:rFonts w:ascii="Times New Roman" w:hAnsi="Times New Roman" w:cs="Times New Roman"/>
          <w:szCs w:val="24"/>
        </w:rPr>
        <w:t xml:space="preserve">pozostające w zakresie </w:t>
      </w:r>
      <w:r w:rsidR="00E04479" w:rsidRPr="000431F7">
        <w:rPr>
          <w:rFonts w:ascii="Times New Roman" w:hAnsi="Times New Roman" w:cs="Times New Roman"/>
          <w:szCs w:val="24"/>
        </w:rPr>
        <w:t xml:space="preserve">czynności bankowych, </w:t>
      </w:r>
      <w:r w:rsidR="00601B96" w:rsidRPr="000431F7">
        <w:rPr>
          <w:rFonts w:ascii="Times New Roman" w:hAnsi="Times New Roman" w:cs="Times New Roman"/>
          <w:szCs w:val="24"/>
        </w:rPr>
        <w:t xml:space="preserve">powierzane na podstawie </w:t>
      </w:r>
      <w:r w:rsidR="00E04479" w:rsidRPr="000431F7">
        <w:rPr>
          <w:rFonts w:ascii="Times New Roman" w:hAnsi="Times New Roman" w:cs="Times New Roman"/>
          <w:szCs w:val="24"/>
        </w:rPr>
        <w:t xml:space="preserve">art. 6a ustawy </w:t>
      </w:r>
      <w:r w:rsidR="00AC35F5">
        <w:rPr>
          <w:rFonts w:ascii="Times New Roman" w:hAnsi="Times New Roman" w:cs="Times New Roman"/>
          <w:szCs w:val="24"/>
        </w:rPr>
        <w:t>–</w:t>
      </w:r>
      <w:r w:rsidR="003B599A" w:rsidRPr="000431F7">
        <w:rPr>
          <w:rFonts w:ascii="Times New Roman" w:hAnsi="Times New Roman" w:cs="Times New Roman"/>
          <w:szCs w:val="24"/>
        </w:rPr>
        <w:t xml:space="preserve"> </w:t>
      </w:r>
      <w:r w:rsidR="00E04479" w:rsidRPr="000431F7">
        <w:rPr>
          <w:rFonts w:ascii="Times New Roman" w:hAnsi="Times New Roman" w:cs="Times New Roman"/>
          <w:szCs w:val="24"/>
        </w:rPr>
        <w:t>Prawo bankowe.</w:t>
      </w:r>
    </w:p>
    <w:p w14:paraId="6D695BB2" w14:textId="70D02D2D" w:rsidR="00B83AF1" w:rsidRPr="000431F7" w:rsidRDefault="00B83AF1" w:rsidP="004742CC">
      <w:pPr>
        <w:pStyle w:val="ZUSTzmustartykuempunktem"/>
        <w:spacing w:before="120"/>
        <w:ind w:left="0" w:firstLine="0"/>
        <w:rPr>
          <w:rFonts w:ascii="Times New Roman" w:hAnsi="Times New Roman" w:cs="Times New Roman"/>
          <w:szCs w:val="24"/>
        </w:rPr>
      </w:pPr>
      <w:r w:rsidRPr="000431F7">
        <w:rPr>
          <w:rFonts w:ascii="Times New Roman" w:hAnsi="Times New Roman" w:cs="Times New Roman"/>
          <w:szCs w:val="24"/>
        </w:rPr>
        <w:t xml:space="preserve">Rozporządzenie </w:t>
      </w:r>
      <w:r w:rsidR="00EA75A6" w:rsidRPr="000431F7">
        <w:rPr>
          <w:rFonts w:ascii="Times New Roman" w:hAnsi="Times New Roman" w:cs="Times New Roman"/>
          <w:szCs w:val="24"/>
        </w:rPr>
        <w:t xml:space="preserve">2022/2554 </w:t>
      </w:r>
      <w:r w:rsidRPr="000431F7">
        <w:rPr>
          <w:rFonts w:ascii="Times New Roman" w:hAnsi="Times New Roman" w:cs="Times New Roman"/>
          <w:szCs w:val="24"/>
        </w:rPr>
        <w:t>reguluje natomiast zagadnienia związane z powierzaniem usług z zakresu ICT zewnętrznym dostawcom usług ICT oraz zarządzani</w:t>
      </w:r>
      <w:r w:rsidR="00190FCC" w:rsidRPr="000431F7">
        <w:rPr>
          <w:rFonts w:ascii="Times New Roman" w:hAnsi="Times New Roman" w:cs="Times New Roman"/>
          <w:szCs w:val="24"/>
        </w:rPr>
        <w:t>e</w:t>
      </w:r>
      <w:r w:rsidRPr="000431F7">
        <w:rPr>
          <w:rFonts w:ascii="Times New Roman" w:hAnsi="Times New Roman" w:cs="Times New Roman"/>
          <w:szCs w:val="24"/>
        </w:rPr>
        <w:t xml:space="preserve"> </w:t>
      </w:r>
      <w:r w:rsidR="009D2C7A" w:rsidRPr="000431F7">
        <w:rPr>
          <w:rFonts w:ascii="Times New Roman" w:hAnsi="Times New Roman" w:cs="Times New Roman"/>
          <w:szCs w:val="24"/>
        </w:rPr>
        <w:t>ryzyk</w:t>
      </w:r>
      <w:r w:rsidRPr="000431F7">
        <w:rPr>
          <w:rFonts w:ascii="Times New Roman" w:hAnsi="Times New Roman" w:cs="Times New Roman"/>
          <w:szCs w:val="24"/>
        </w:rPr>
        <w:t xml:space="preserve">iem </w:t>
      </w:r>
      <w:r w:rsidR="00190FCC" w:rsidRPr="000431F7">
        <w:rPr>
          <w:rFonts w:ascii="Times New Roman" w:hAnsi="Times New Roman" w:cs="Times New Roman"/>
          <w:szCs w:val="24"/>
        </w:rPr>
        <w:t xml:space="preserve">ze strony zewnętrznych dostawców usług ICT. </w:t>
      </w:r>
      <w:r w:rsidR="00E04479" w:rsidRPr="000431F7">
        <w:rPr>
          <w:rFonts w:ascii="Times New Roman" w:hAnsi="Times New Roman" w:cs="Times New Roman"/>
          <w:szCs w:val="24"/>
        </w:rPr>
        <w:t xml:space="preserve">W przypadku </w:t>
      </w:r>
      <w:r w:rsidRPr="000431F7">
        <w:rPr>
          <w:rFonts w:ascii="Times New Roman" w:hAnsi="Times New Roman" w:cs="Times New Roman"/>
          <w:szCs w:val="24"/>
        </w:rPr>
        <w:t xml:space="preserve">ww. kwestii </w:t>
      </w:r>
      <w:r w:rsidR="00E04479" w:rsidRPr="000431F7">
        <w:rPr>
          <w:rFonts w:ascii="Times New Roman" w:hAnsi="Times New Roman" w:cs="Times New Roman"/>
          <w:szCs w:val="24"/>
        </w:rPr>
        <w:t>należy uznać, że regulacje rozporządzenia 2022/2554 mają bezpośrednie zastosowani</w:t>
      </w:r>
      <w:r w:rsidR="00601B96" w:rsidRPr="000431F7">
        <w:rPr>
          <w:rFonts w:ascii="Times New Roman" w:hAnsi="Times New Roman" w:cs="Times New Roman"/>
          <w:szCs w:val="24"/>
        </w:rPr>
        <w:t>e.</w:t>
      </w:r>
    </w:p>
    <w:p w14:paraId="5B91A16D" w14:textId="3704843B" w:rsidR="00E04479" w:rsidRPr="000431F7" w:rsidRDefault="00E04479" w:rsidP="004742CC">
      <w:pPr>
        <w:spacing w:before="120" w:after="0" w:line="360" w:lineRule="auto"/>
        <w:jc w:val="both"/>
        <w:rPr>
          <w:rFonts w:ascii="Times New Roman" w:hAnsi="Times New Roman" w:cs="Times New Roman"/>
          <w:sz w:val="24"/>
          <w:szCs w:val="24"/>
        </w:rPr>
      </w:pPr>
      <w:r w:rsidRPr="000431F7">
        <w:rPr>
          <w:rFonts w:ascii="Times New Roman" w:hAnsi="Times New Roman" w:cs="Times New Roman"/>
          <w:sz w:val="24"/>
          <w:szCs w:val="24"/>
        </w:rPr>
        <w:t xml:space="preserve">Możliwość powierzania </w:t>
      </w:r>
      <w:r w:rsidR="00B83AF1" w:rsidRPr="000431F7">
        <w:rPr>
          <w:rFonts w:ascii="Times New Roman" w:hAnsi="Times New Roman" w:cs="Times New Roman"/>
          <w:sz w:val="24"/>
          <w:szCs w:val="24"/>
        </w:rPr>
        <w:t>usług</w:t>
      </w:r>
      <w:r w:rsidRPr="000431F7">
        <w:rPr>
          <w:rFonts w:ascii="Times New Roman" w:hAnsi="Times New Roman" w:cs="Times New Roman"/>
          <w:sz w:val="24"/>
          <w:szCs w:val="24"/>
        </w:rPr>
        <w:t xml:space="preserve"> z zakresu ICT zewnętrznym dostawcom usług ICT wynika przede wszystkim z regulacji:</w:t>
      </w:r>
    </w:p>
    <w:p w14:paraId="7CEAC589" w14:textId="51B64173" w:rsidR="00E04479" w:rsidRPr="000431F7" w:rsidRDefault="00155D5C" w:rsidP="004742CC">
      <w:pPr>
        <w:spacing w:before="120"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E04479" w:rsidRPr="000431F7">
        <w:rPr>
          <w:rFonts w:ascii="Times New Roman" w:hAnsi="Times New Roman" w:cs="Times New Roman"/>
          <w:sz w:val="24"/>
          <w:szCs w:val="24"/>
        </w:rPr>
        <w:t xml:space="preserve">art. 3 pkt 1 zawierającego definicję operacyjnej odporności cyfrowej, który wskazuje, że podmiot finansowy może budować odporność bezpośrednio albo pośrednio – korzystając z usług zewnętrznych dostawców usług ICT, </w:t>
      </w:r>
    </w:p>
    <w:p w14:paraId="55A90B09" w14:textId="24F4FEA7" w:rsidR="00E04479" w:rsidRPr="000431F7" w:rsidRDefault="00155D5C" w:rsidP="004742CC">
      <w:pPr>
        <w:spacing w:before="120"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E04479" w:rsidRPr="000431F7">
        <w:rPr>
          <w:rFonts w:ascii="Times New Roman" w:hAnsi="Times New Roman" w:cs="Times New Roman"/>
          <w:sz w:val="24"/>
          <w:szCs w:val="24"/>
        </w:rPr>
        <w:t>art. 3 pkt 18 zawierającego definicję ryzyka ze strony zewnętrznych dostawców usług ICT, wskazującą, że chodzi o ryzyko związane z ICT, które może wystąpić w przypadku podmiotu finansowego w związku z korzystaniem przez niego z usług ICT świadczonych przez zewnętrznych</w:t>
      </w:r>
      <w:r w:rsidR="0057332D" w:rsidRPr="000431F7">
        <w:rPr>
          <w:rFonts w:ascii="Times New Roman" w:hAnsi="Times New Roman" w:cs="Times New Roman"/>
          <w:sz w:val="24"/>
          <w:szCs w:val="24"/>
        </w:rPr>
        <w:t xml:space="preserve"> </w:t>
      </w:r>
      <w:r w:rsidR="00E04479" w:rsidRPr="000431F7">
        <w:rPr>
          <w:rFonts w:ascii="Times New Roman" w:hAnsi="Times New Roman" w:cs="Times New Roman"/>
          <w:sz w:val="24"/>
          <w:szCs w:val="24"/>
        </w:rPr>
        <w:t xml:space="preserve">dostawców </w:t>
      </w:r>
      <w:r w:rsidR="0057332D" w:rsidRPr="000431F7">
        <w:rPr>
          <w:rFonts w:ascii="Times New Roman" w:hAnsi="Times New Roman" w:cs="Times New Roman"/>
          <w:sz w:val="24"/>
          <w:szCs w:val="24"/>
        </w:rPr>
        <w:t>usług ICT lub ich podwykonawców, w tym w drodze uzgodnień dotyczących outsourcing</w:t>
      </w:r>
      <w:r w:rsidR="00601B96" w:rsidRPr="000431F7">
        <w:rPr>
          <w:rFonts w:ascii="Times New Roman" w:hAnsi="Times New Roman" w:cs="Times New Roman"/>
          <w:sz w:val="24"/>
          <w:szCs w:val="24"/>
        </w:rPr>
        <w:t>u,</w:t>
      </w:r>
      <w:r w:rsidR="0057332D" w:rsidRPr="000431F7">
        <w:rPr>
          <w:rFonts w:ascii="Times New Roman" w:hAnsi="Times New Roman" w:cs="Times New Roman"/>
          <w:sz w:val="24"/>
          <w:szCs w:val="24"/>
        </w:rPr>
        <w:t xml:space="preserve"> </w:t>
      </w:r>
    </w:p>
    <w:p w14:paraId="51193242" w14:textId="65DA1D10" w:rsidR="00E04479" w:rsidRPr="000431F7" w:rsidRDefault="00155D5C" w:rsidP="004742CC">
      <w:pPr>
        <w:spacing w:before="120"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E04479" w:rsidRPr="000431F7">
        <w:rPr>
          <w:rFonts w:ascii="Times New Roman" w:hAnsi="Times New Roman" w:cs="Times New Roman"/>
          <w:sz w:val="24"/>
          <w:szCs w:val="24"/>
        </w:rPr>
        <w:t>art. 28</w:t>
      </w:r>
      <w:r w:rsidR="0057332D" w:rsidRPr="000431F7">
        <w:rPr>
          <w:rFonts w:ascii="Times New Roman" w:hAnsi="Times New Roman" w:cs="Times New Roman"/>
          <w:sz w:val="24"/>
          <w:szCs w:val="24"/>
        </w:rPr>
        <w:t xml:space="preserve"> </w:t>
      </w:r>
      <w:r w:rsidR="00601B96" w:rsidRPr="000431F7">
        <w:rPr>
          <w:rFonts w:ascii="Times New Roman" w:hAnsi="Times New Roman" w:cs="Times New Roman"/>
          <w:sz w:val="24"/>
          <w:szCs w:val="24"/>
        </w:rPr>
        <w:t xml:space="preserve">regulującego </w:t>
      </w:r>
      <w:r w:rsidR="00E04479" w:rsidRPr="000431F7">
        <w:rPr>
          <w:rFonts w:ascii="Times New Roman" w:hAnsi="Times New Roman" w:cs="Times New Roman"/>
          <w:sz w:val="24"/>
          <w:szCs w:val="24"/>
        </w:rPr>
        <w:t>zasady ogólne dotyczące zarządzania ryzykiem ze strony zewnętrznych dostawców usług ICT</w:t>
      </w:r>
      <w:r w:rsidR="00A44FE9" w:rsidRPr="000431F7">
        <w:rPr>
          <w:rFonts w:ascii="Times New Roman" w:hAnsi="Times New Roman" w:cs="Times New Roman"/>
          <w:sz w:val="24"/>
          <w:szCs w:val="24"/>
        </w:rPr>
        <w:t xml:space="preserve"> </w:t>
      </w:r>
      <w:r w:rsidR="00E04479" w:rsidRPr="000431F7">
        <w:rPr>
          <w:rFonts w:ascii="Times New Roman" w:hAnsi="Times New Roman" w:cs="Times New Roman"/>
          <w:sz w:val="24"/>
          <w:szCs w:val="24"/>
        </w:rPr>
        <w:t>i zakres odpowiedzialności podmiotu finansowego</w:t>
      </w:r>
      <w:r w:rsidR="00A44FE9" w:rsidRPr="000431F7">
        <w:rPr>
          <w:rFonts w:ascii="Times New Roman" w:hAnsi="Times New Roman" w:cs="Times New Roman"/>
          <w:sz w:val="24"/>
          <w:szCs w:val="24"/>
        </w:rPr>
        <w:t xml:space="preserve"> oraz art. 30 określając</w:t>
      </w:r>
      <w:r w:rsidR="00CD0C91" w:rsidRPr="000431F7">
        <w:rPr>
          <w:rFonts w:ascii="Times New Roman" w:hAnsi="Times New Roman" w:cs="Times New Roman"/>
          <w:sz w:val="24"/>
          <w:szCs w:val="24"/>
        </w:rPr>
        <w:t>ego</w:t>
      </w:r>
      <w:r w:rsidR="00A44FE9" w:rsidRPr="000431F7">
        <w:rPr>
          <w:rFonts w:ascii="Times New Roman" w:hAnsi="Times New Roman" w:cs="Times New Roman"/>
          <w:sz w:val="24"/>
          <w:szCs w:val="24"/>
        </w:rPr>
        <w:t xml:space="preserve"> obowiązkowe postawienia zawieranych z nimi umów</w:t>
      </w:r>
      <w:r w:rsidR="00CD0C91" w:rsidRPr="000431F7">
        <w:rPr>
          <w:rFonts w:ascii="Times New Roman" w:hAnsi="Times New Roman" w:cs="Times New Roman"/>
          <w:sz w:val="24"/>
          <w:szCs w:val="24"/>
        </w:rPr>
        <w:t xml:space="preserve">. </w:t>
      </w:r>
    </w:p>
    <w:p w14:paraId="26BAC5B1" w14:textId="6F38321A" w:rsidR="00A44FE9" w:rsidRPr="000431F7" w:rsidRDefault="00A44FE9" w:rsidP="004742CC">
      <w:pPr>
        <w:spacing w:before="120" w:after="0" w:line="360" w:lineRule="auto"/>
        <w:jc w:val="both"/>
        <w:rPr>
          <w:rFonts w:ascii="Times New Roman" w:hAnsi="Times New Roman" w:cs="Times New Roman"/>
          <w:sz w:val="24"/>
          <w:szCs w:val="24"/>
        </w:rPr>
      </w:pPr>
      <w:r w:rsidRPr="000431F7">
        <w:rPr>
          <w:rFonts w:ascii="Times New Roman" w:hAnsi="Times New Roman" w:cs="Times New Roman"/>
          <w:sz w:val="24"/>
          <w:szCs w:val="24"/>
        </w:rPr>
        <w:t>Analiza powyższych regulacji, w szczególności art. 28 i art. 30</w:t>
      </w:r>
      <w:r w:rsidR="00FA3DAC">
        <w:rPr>
          <w:rFonts w:ascii="Times New Roman" w:hAnsi="Times New Roman" w:cs="Times New Roman"/>
          <w:sz w:val="24"/>
          <w:szCs w:val="24"/>
        </w:rPr>
        <w:t>,</w:t>
      </w:r>
      <w:r w:rsidRPr="000431F7">
        <w:rPr>
          <w:rFonts w:ascii="Times New Roman" w:hAnsi="Times New Roman" w:cs="Times New Roman"/>
          <w:sz w:val="24"/>
          <w:szCs w:val="24"/>
        </w:rPr>
        <w:t xml:space="preserve"> wskazuje na możliwość zlecenia usług z zakresu ICT</w:t>
      </w:r>
      <w:r w:rsidR="00601B96" w:rsidRPr="000431F7">
        <w:rPr>
          <w:rFonts w:ascii="Times New Roman" w:hAnsi="Times New Roman" w:cs="Times New Roman"/>
          <w:sz w:val="24"/>
          <w:szCs w:val="24"/>
        </w:rPr>
        <w:t>, co</w:t>
      </w:r>
      <w:r w:rsidRPr="000431F7">
        <w:rPr>
          <w:rFonts w:ascii="Times New Roman" w:hAnsi="Times New Roman" w:cs="Times New Roman"/>
          <w:sz w:val="24"/>
          <w:szCs w:val="24"/>
        </w:rPr>
        <w:t xml:space="preserve"> </w:t>
      </w:r>
      <w:r w:rsidR="00601B96" w:rsidRPr="000431F7">
        <w:rPr>
          <w:rFonts w:ascii="Times New Roman" w:hAnsi="Times New Roman" w:cs="Times New Roman"/>
          <w:sz w:val="24"/>
          <w:szCs w:val="24"/>
        </w:rPr>
        <w:t>obejmuje</w:t>
      </w:r>
      <w:r w:rsidRPr="000431F7">
        <w:rPr>
          <w:rFonts w:ascii="Times New Roman" w:hAnsi="Times New Roman" w:cs="Times New Roman"/>
          <w:sz w:val="24"/>
          <w:szCs w:val="24"/>
        </w:rPr>
        <w:t xml:space="preserve"> także usługi ICT wspierające krytyczne lub istotne funkcje. </w:t>
      </w:r>
    </w:p>
    <w:p w14:paraId="41083012" w14:textId="4AAE499C" w:rsidR="00A44FE9" w:rsidRPr="000431F7" w:rsidRDefault="0057332D" w:rsidP="004742CC">
      <w:pPr>
        <w:spacing w:before="120" w:after="0" w:line="360" w:lineRule="auto"/>
        <w:jc w:val="both"/>
        <w:rPr>
          <w:rFonts w:ascii="Times New Roman" w:hAnsi="Times New Roman" w:cs="Times New Roman"/>
          <w:sz w:val="24"/>
          <w:szCs w:val="24"/>
        </w:rPr>
      </w:pPr>
      <w:r w:rsidRPr="000431F7">
        <w:rPr>
          <w:rFonts w:ascii="Times New Roman" w:hAnsi="Times New Roman" w:cs="Times New Roman"/>
          <w:sz w:val="24"/>
          <w:szCs w:val="24"/>
        </w:rPr>
        <w:lastRenderedPageBreak/>
        <w:t xml:space="preserve">Jednocześnie należy podkreślić, że ryzyko ze strony zewnętrznych dostawców usług ICT powinno być postrzegane jako jedno z </w:t>
      </w:r>
      <w:proofErr w:type="spellStart"/>
      <w:r w:rsidRPr="000431F7">
        <w:rPr>
          <w:rFonts w:ascii="Times New Roman" w:hAnsi="Times New Roman" w:cs="Times New Roman"/>
          <w:sz w:val="24"/>
          <w:szCs w:val="24"/>
        </w:rPr>
        <w:t>ryzyk</w:t>
      </w:r>
      <w:proofErr w:type="spellEnd"/>
      <w:r w:rsidRPr="000431F7">
        <w:rPr>
          <w:rFonts w:ascii="Times New Roman" w:hAnsi="Times New Roman" w:cs="Times New Roman"/>
          <w:sz w:val="24"/>
          <w:szCs w:val="24"/>
        </w:rPr>
        <w:t xml:space="preserve"> objęte pojęciem ryz</w:t>
      </w:r>
      <w:r w:rsidR="00190FCC" w:rsidRPr="000431F7">
        <w:rPr>
          <w:rFonts w:ascii="Times New Roman" w:hAnsi="Times New Roman" w:cs="Times New Roman"/>
          <w:sz w:val="24"/>
          <w:szCs w:val="24"/>
        </w:rPr>
        <w:t>y</w:t>
      </w:r>
      <w:r w:rsidRPr="000431F7">
        <w:rPr>
          <w:rFonts w:ascii="Times New Roman" w:hAnsi="Times New Roman" w:cs="Times New Roman"/>
          <w:sz w:val="24"/>
          <w:szCs w:val="24"/>
        </w:rPr>
        <w:t>ka związanego z ICT, o którym mowa w art. 3 p</w:t>
      </w:r>
      <w:r w:rsidR="00A44FE9" w:rsidRPr="000431F7">
        <w:rPr>
          <w:rFonts w:ascii="Times New Roman" w:hAnsi="Times New Roman" w:cs="Times New Roman"/>
          <w:sz w:val="24"/>
          <w:szCs w:val="24"/>
        </w:rPr>
        <w:t>k</w:t>
      </w:r>
      <w:r w:rsidRPr="000431F7">
        <w:rPr>
          <w:rFonts w:ascii="Times New Roman" w:hAnsi="Times New Roman" w:cs="Times New Roman"/>
          <w:sz w:val="24"/>
          <w:szCs w:val="24"/>
        </w:rPr>
        <w:t>t 5</w:t>
      </w:r>
      <w:r w:rsidR="00A44FE9" w:rsidRPr="000431F7">
        <w:rPr>
          <w:rFonts w:ascii="Times New Roman" w:hAnsi="Times New Roman" w:cs="Times New Roman"/>
          <w:sz w:val="24"/>
          <w:szCs w:val="24"/>
        </w:rPr>
        <w:t xml:space="preserve"> (</w:t>
      </w:r>
      <w:r w:rsidR="00A44FE9" w:rsidRPr="004742CC">
        <w:rPr>
          <w:rFonts w:ascii="Times New Roman" w:hAnsi="Times New Roman" w:cs="Times New Roman"/>
          <w:i/>
          <w:iCs/>
          <w:sz w:val="24"/>
          <w:szCs w:val="24"/>
        </w:rPr>
        <w:t>vide</w:t>
      </w:r>
      <w:r w:rsidR="00A44FE9" w:rsidRPr="000431F7">
        <w:rPr>
          <w:rFonts w:ascii="Times New Roman" w:hAnsi="Times New Roman" w:cs="Times New Roman"/>
          <w:sz w:val="24"/>
          <w:szCs w:val="24"/>
        </w:rPr>
        <w:t xml:space="preserve"> art. 28 ust. 1 rozporządzenia 2022/2554)</w:t>
      </w:r>
      <w:r w:rsidR="00B83AF1" w:rsidRPr="000431F7">
        <w:rPr>
          <w:rFonts w:ascii="Times New Roman" w:hAnsi="Times New Roman" w:cs="Times New Roman"/>
          <w:sz w:val="24"/>
          <w:szCs w:val="24"/>
        </w:rPr>
        <w:t xml:space="preserve">. </w:t>
      </w:r>
    </w:p>
    <w:p w14:paraId="6A43C1D3" w14:textId="276AA40A" w:rsidR="00A92E74" w:rsidRPr="000431F7" w:rsidRDefault="00B83AF1" w:rsidP="004742CC">
      <w:pPr>
        <w:spacing w:before="120" w:after="0" w:line="360" w:lineRule="auto"/>
        <w:jc w:val="both"/>
        <w:rPr>
          <w:rFonts w:ascii="Times New Roman" w:hAnsi="Times New Roman" w:cs="Times New Roman"/>
          <w:color w:val="000000"/>
          <w:sz w:val="24"/>
          <w:szCs w:val="24"/>
          <w:shd w:val="clear" w:color="auto" w:fill="FFFFFF"/>
        </w:rPr>
      </w:pPr>
      <w:r w:rsidRPr="000431F7">
        <w:rPr>
          <w:rFonts w:ascii="Times New Roman" w:hAnsi="Times New Roman" w:cs="Times New Roman"/>
          <w:sz w:val="24"/>
          <w:szCs w:val="24"/>
        </w:rPr>
        <w:t xml:space="preserve">Zgodnie z art. 3 pkt 5 ryzyko związane z ICT </w:t>
      </w:r>
      <w:r w:rsidR="0057332D" w:rsidRPr="000431F7">
        <w:rPr>
          <w:rFonts w:ascii="Times New Roman" w:hAnsi="Times New Roman" w:cs="Times New Roman"/>
          <w:sz w:val="24"/>
          <w:szCs w:val="24"/>
        </w:rPr>
        <w:t>oznacza każd</w:t>
      </w:r>
      <w:r w:rsidRPr="000431F7">
        <w:rPr>
          <w:rFonts w:ascii="Times New Roman" w:hAnsi="Times New Roman" w:cs="Times New Roman"/>
          <w:sz w:val="24"/>
          <w:szCs w:val="24"/>
        </w:rPr>
        <w:t>ą</w:t>
      </w:r>
      <w:r w:rsidR="0057332D" w:rsidRPr="000431F7">
        <w:rPr>
          <w:rFonts w:ascii="Times New Roman" w:hAnsi="Times New Roman" w:cs="Times New Roman"/>
          <w:sz w:val="24"/>
          <w:szCs w:val="24"/>
        </w:rPr>
        <w:t xml:space="preserve"> </w:t>
      </w:r>
      <w:r w:rsidR="003B599A" w:rsidRPr="000431F7">
        <w:rPr>
          <w:rFonts w:ascii="Times New Roman" w:hAnsi="Times New Roman" w:cs="Times New Roman"/>
          <w:sz w:val="24"/>
          <w:szCs w:val="24"/>
        </w:rPr>
        <w:t xml:space="preserve">dającą </w:t>
      </w:r>
      <w:r w:rsidR="0057332D" w:rsidRPr="000431F7">
        <w:rPr>
          <w:rFonts w:ascii="Times New Roman" w:hAnsi="Times New Roman" w:cs="Times New Roman"/>
          <w:sz w:val="24"/>
          <w:szCs w:val="24"/>
        </w:rPr>
        <w:t>się racjonalnie określić okoliczność związaną z użytkowaniem sieci i systemów informatycznych</w:t>
      </w:r>
      <w:r w:rsidR="002150FF" w:rsidRPr="000431F7">
        <w:rPr>
          <w:rFonts w:ascii="Times New Roman" w:hAnsi="Times New Roman" w:cs="Times New Roman"/>
          <w:sz w:val="24"/>
          <w:szCs w:val="24"/>
        </w:rPr>
        <w:t xml:space="preserve">, </w:t>
      </w:r>
      <w:r w:rsidR="0057332D" w:rsidRPr="000431F7">
        <w:rPr>
          <w:rFonts w:ascii="Times New Roman" w:hAnsi="Times New Roman" w:cs="Times New Roman"/>
          <w:color w:val="000000"/>
          <w:sz w:val="24"/>
          <w:szCs w:val="24"/>
          <w:shd w:val="clear" w:color="auto" w:fill="FFFFFF"/>
        </w:rPr>
        <w:t xml:space="preserve">która – jeżeli dojdzie do jej urzeczywistnienia – może naruszyć bezpieczeństwo sieci i systemów informatycznych, dowolnego narzędzia lub procesu zależnego od technologii, bezpieczeństwo operacji i procesów lub świadczenie usług </w:t>
      </w:r>
      <w:r w:rsidR="003B599A" w:rsidRPr="000431F7">
        <w:rPr>
          <w:rFonts w:ascii="Times New Roman" w:hAnsi="Times New Roman" w:cs="Times New Roman"/>
          <w:color w:val="000000"/>
          <w:sz w:val="24"/>
          <w:szCs w:val="24"/>
          <w:shd w:val="clear" w:color="auto" w:fill="FFFFFF"/>
        </w:rPr>
        <w:t>przez</w:t>
      </w:r>
      <w:r w:rsidR="0057332D" w:rsidRPr="000431F7">
        <w:rPr>
          <w:rFonts w:ascii="Times New Roman" w:hAnsi="Times New Roman" w:cs="Times New Roman"/>
          <w:color w:val="000000"/>
          <w:sz w:val="24"/>
          <w:szCs w:val="24"/>
          <w:shd w:val="clear" w:color="auto" w:fill="FFFFFF"/>
        </w:rPr>
        <w:t xml:space="preserve"> wywoływanie negatywnych skutków w środowisku cyfrowym lub fizycznym. Regulacja rozdziału II </w:t>
      </w:r>
      <w:r w:rsidR="0057332D" w:rsidRPr="000431F7">
        <w:rPr>
          <w:rFonts w:ascii="Times New Roman" w:hAnsi="Times New Roman" w:cs="Times New Roman"/>
          <w:sz w:val="24"/>
          <w:szCs w:val="24"/>
        </w:rPr>
        <w:t xml:space="preserve">rozporządzenia 2022/2554 określa obowiązki podmiotów finansowych w zakresie zarządzania </w:t>
      </w:r>
      <w:r w:rsidR="00190FCC" w:rsidRPr="000431F7">
        <w:rPr>
          <w:rFonts w:ascii="Times New Roman" w:hAnsi="Times New Roman" w:cs="Times New Roman"/>
          <w:sz w:val="24"/>
          <w:szCs w:val="24"/>
        </w:rPr>
        <w:t>ryzykiem</w:t>
      </w:r>
      <w:r w:rsidR="0057332D" w:rsidRPr="000431F7">
        <w:rPr>
          <w:rFonts w:ascii="Times New Roman" w:hAnsi="Times New Roman" w:cs="Times New Roman"/>
          <w:sz w:val="24"/>
          <w:szCs w:val="24"/>
        </w:rPr>
        <w:t xml:space="preserve"> związanym z ICT</w:t>
      </w:r>
      <w:r w:rsidR="00EA75A6" w:rsidRPr="000431F7">
        <w:rPr>
          <w:rFonts w:ascii="Times New Roman" w:hAnsi="Times New Roman" w:cs="Times New Roman"/>
          <w:sz w:val="24"/>
          <w:szCs w:val="24"/>
        </w:rPr>
        <w:t>,</w:t>
      </w:r>
      <w:r w:rsidR="0057332D" w:rsidRPr="000431F7">
        <w:rPr>
          <w:rFonts w:ascii="Times New Roman" w:hAnsi="Times New Roman" w:cs="Times New Roman"/>
          <w:sz w:val="24"/>
          <w:szCs w:val="24"/>
        </w:rPr>
        <w:t xml:space="preserve"> m.in. obowiązek posiadania wewnętrznych ram zarządzania i kontroli, które zapewniają </w:t>
      </w:r>
      <w:r w:rsidR="00A92E74" w:rsidRPr="000431F7">
        <w:rPr>
          <w:rFonts w:ascii="Times New Roman" w:hAnsi="Times New Roman" w:cs="Times New Roman"/>
          <w:color w:val="000000"/>
          <w:sz w:val="24"/>
          <w:szCs w:val="24"/>
          <w:shd w:val="clear" w:color="auto" w:fill="FFFFFF"/>
        </w:rPr>
        <w:t xml:space="preserve">skuteczne i ostrożne zarządzanie wszystkimi rodzajami ryzyka związanego z ICT (art. 5 ust. 1), zakres odpowiedzialności i obowiązki organu zarządzającego podmiotem finansowym w odniesieniu do zarządzania </w:t>
      </w:r>
      <w:r w:rsidR="009D2C7A" w:rsidRPr="000431F7">
        <w:rPr>
          <w:rFonts w:ascii="Times New Roman" w:hAnsi="Times New Roman" w:cs="Times New Roman"/>
          <w:color w:val="000000"/>
          <w:sz w:val="24"/>
          <w:szCs w:val="24"/>
          <w:shd w:val="clear" w:color="auto" w:fill="FFFFFF"/>
        </w:rPr>
        <w:t>ryzyk</w:t>
      </w:r>
      <w:r w:rsidR="00A92E74" w:rsidRPr="000431F7">
        <w:rPr>
          <w:rFonts w:ascii="Times New Roman" w:hAnsi="Times New Roman" w:cs="Times New Roman"/>
          <w:color w:val="000000"/>
          <w:sz w:val="24"/>
          <w:szCs w:val="24"/>
          <w:shd w:val="clear" w:color="auto" w:fill="FFFFFF"/>
        </w:rPr>
        <w:t xml:space="preserve">iem związanym z ICT (art. 5 ust. 6), ramy zarządzania </w:t>
      </w:r>
      <w:r w:rsidR="009D2C7A" w:rsidRPr="000431F7">
        <w:rPr>
          <w:rFonts w:ascii="Times New Roman" w:hAnsi="Times New Roman" w:cs="Times New Roman"/>
          <w:color w:val="000000"/>
          <w:sz w:val="24"/>
          <w:szCs w:val="24"/>
          <w:shd w:val="clear" w:color="auto" w:fill="FFFFFF"/>
        </w:rPr>
        <w:t>ryzyk</w:t>
      </w:r>
      <w:r w:rsidR="00A92E74" w:rsidRPr="000431F7">
        <w:rPr>
          <w:rFonts w:ascii="Times New Roman" w:hAnsi="Times New Roman" w:cs="Times New Roman"/>
          <w:color w:val="000000"/>
          <w:sz w:val="24"/>
          <w:szCs w:val="24"/>
          <w:shd w:val="clear" w:color="auto" w:fill="FFFFFF"/>
        </w:rPr>
        <w:t xml:space="preserve">iem związanym z ICT (art. 6). </w:t>
      </w:r>
    </w:p>
    <w:p w14:paraId="267A4920" w14:textId="7B99EB31" w:rsidR="00190FCC" w:rsidRPr="000431F7" w:rsidRDefault="00190FCC" w:rsidP="004742CC">
      <w:pPr>
        <w:spacing w:before="120" w:after="0" w:line="360" w:lineRule="auto"/>
        <w:jc w:val="both"/>
        <w:rPr>
          <w:rFonts w:ascii="Times New Roman" w:hAnsi="Times New Roman" w:cs="Times New Roman"/>
          <w:color w:val="000000"/>
          <w:sz w:val="24"/>
          <w:szCs w:val="24"/>
          <w:shd w:val="clear" w:color="auto" w:fill="FFFFFF"/>
        </w:rPr>
      </w:pPr>
      <w:r w:rsidRPr="000431F7">
        <w:rPr>
          <w:rFonts w:ascii="Times New Roman" w:hAnsi="Times New Roman" w:cs="Times New Roman"/>
          <w:color w:val="000000"/>
          <w:sz w:val="24"/>
          <w:szCs w:val="24"/>
          <w:shd w:val="clear" w:color="auto" w:fill="FFFFFF"/>
        </w:rPr>
        <w:t>Ponadto rozporządzenie 2022/2554, w zakresie zarządzania ryz</w:t>
      </w:r>
      <w:r w:rsidR="009D2C7A" w:rsidRPr="000431F7">
        <w:rPr>
          <w:rFonts w:ascii="Times New Roman" w:hAnsi="Times New Roman" w:cs="Times New Roman"/>
          <w:color w:val="000000"/>
          <w:sz w:val="24"/>
          <w:szCs w:val="24"/>
          <w:shd w:val="clear" w:color="auto" w:fill="FFFFFF"/>
        </w:rPr>
        <w:t>y</w:t>
      </w:r>
      <w:r w:rsidRPr="000431F7">
        <w:rPr>
          <w:rFonts w:ascii="Times New Roman" w:hAnsi="Times New Roman" w:cs="Times New Roman"/>
          <w:color w:val="000000"/>
          <w:sz w:val="24"/>
          <w:szCs w:val="24"/>
          <w:shd w:val="clear" w:color="auto" w:fill="FFFFFF"/>
        </w:rPr>
        <w:t>kiem związanym z ICT, określa obowiązki podmiotów finansowych, dotycząc</w:t>
      </w:r>
      <w:r w:rsidR="00FA3DAC">
        <w:rPr>
          <w:rFonts w:ascii="Times New Roman" w:hAnsi="Times New Roman" w:cs="Times New Roman"/>
          <w:color w:val="000000"/>
          <w:sz w:val="24"/>
          <w:szCs w:val="24"/>
          <w:shd w:val="clear" w:color="auto" w:fill="FFFFFF"/>
        </w:rPr>
        <w:t>e</w:t>
      </w:r>
      <w:r w:rsidRPr="000431F7">
        <w:rPr>
          <w:rFonts w:ascii="Times New Roman" w:hAnsi="Times New Roman" w:cs="Times New Roman"/>
          <w:color w:val="000000"/>
          <w:sz w:val="24"/>
          <w:szCs w:val="24"/>
          <w:shd w:val="clear" w:color="auto" w:fill="FFFFFF"/>
        </w:rPr>
        <w:t xml:space="preserve"> zarządzania </w:t>
      </w:r>
      <w:r w:rsidR="009D2C7A" w:rsidRPr="000431F7">
        <w:rPr>
          <w:rFonts w:ascii="Times New Roman" w:hAnsi="Times New Roman" w:cs="Times New Roman"/>
          <w:color w:val="000000"/>
          <w:sz w:val="24"/>
          <w:szCs w:val="24"/>
          <w:shd w:val="clear" w:color="auto" w:fill="FFFFFF"/>
        </w:rPr>
        <w:t>ryzyk</w:t>
      </w:r>
      <w:r w:rsidRPr="000431F7">
        <w:rPr>
          <w:rFonts w:ascii="Times New Roman" w:hAnsi="Times New Roman" w:cs="Times New Roman"/>
          <w:color w:val="000000"/>
          <w:sz w:val="24"/>
          <w:szCs w:val="24"/>
          <w:shd w:val="clear" w:color="auto" w:fill="FFFFFF"/>
        </w:rPr>
        <w:t>iem związanym z outsourcingiem usług ICT, w szczególności:</w:t>
      </w:r>
    </w:p>
    <w:p w14:paraId="3C540CCB" w14:textId="5AE0A4B8" w:rsidR="00190FCC" w:rsidRPr="000431F7" w:rsidRDefault="00155D5C" w:rsidP="004742CC">
      <w:pPr>
        <w:spacing w:before="120"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190FCC" w:rsidRPr="000431F7">
        <w:rPr>
          <w:rFonts w:ascii="Times New Roman" w:hAnsi="Times New Roman" w:cs="Times New Roman"/>
          <w:sz w:val="24"/>
          <w:szCs w:val="24"/>
        </w:rPr>
        <w:t xml:space="preserve">obowiązek zatwierdzania przez organ zarządzający polityki podmiotu finansowego w zakresie ustaleń dot. korzystania z usług ICT świadczonych przez zewnętrznych dostawców usług ICT oraz okresowego jej przeglądu (art. 5 ust. 2 pkt h), </w:t>
      </w:r>
    </w:p>
    <w:p w14:paraId="76F169F1" w14:textId="0B04EC36" w:rsidR="00190FCC" w:rsidRPr="000431F7" w:rsidRDefault="00155D5C" w:rsidP="004742CC">
      <w:pPr>
        <w:spacing w:before="120" w:after="0" w:line="360" w:lineRule="auto"/>
        <w:ind w:left="426" w:hanging="426"/>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w:t>
      </w:r>
      <w:r>
        <w:rPr>
          <w:rFonts w:ascii="Times New Roman" w:hAnsi="Times New Roman" w:cs="Times New Roman"/>
          <w:sz w:val="24"/>
          <w:szCs w:val="24"/>
        </w:rPr>
        <w:tab/>
      </w:r>
      <w:r w:rsidR="00190FCC" w:rsidRPr="000431F7">
        <w:rPr>
          <w:rFonts w:ascii="Times New Roman" w:hAnsi="Times New Roman" w:cs="Times New Roman"/>
          <w:color w:val="000000"/>
          <w:sz w:val="24"/>
          <w:szCs w:val="24"/>
          <w:shd w:val="clear" w:color="auto" w:fill="FFFFFF"/>
        </w:rPr>
        <w:t xml:space="preserve">obowiązek testowania planów ciągłości działania w zakresie ICT, w szczególności krytycznych lub istotnych funkcji zlecanych w drodze outsourcingu (art. 11 ust. 4). </w:t>
      </w:r>
    </w:p>
    <w:p w14:paraId="50F773A7" w14:textId="660FE76C" w:rsidR="00190FCC" w:rsidRPr="000431F7" w:rsidRDefault="00A92E74" w:rsidP="004742CC">
      <w:pPr>
        <w:spacing w:before="120" w:after="0" w:line="360" w:lineRule="auto"/>
        <w:jc w:val="both"/>
        <w:rPr>
          <w:rFonts w:ascii="Times New Roman" w:hAnsi="Times New Roman" w:cs="Times New Roman"/>
          <w:color w:val="000000"/>
          <w:sz w:val="24"/>
          <w:szCs w:val="24"/>
          <w:shd w:val="clear" w:color="auto" w:fill="FFFFFF"/>
        </w:rPr>
      </w:pPr>
      <w:r w:rsidRPr="000431F7">
        <w:rPr>
          <w:rFonts w:ascii="Times New Roman" w:hAnsi="Times New Roman" w:cs="Times New Roman"/>
          <w:color w:val="000000"/>
          <w:sz w:val="24"/>
          <w:szCs w:val="24"/>
          <w:shd w:val="clear" w:color="auto" w:fill="FFFFFF"/>
        </w:rPr>
        <w:t>W zakresie zarządzania ryz</w:t>
      </w:r>
      <w:r w:rsidR="009D2C7A" w:rsidRPr="000431F7">
        <w:rPr>
          <w:rFonts w:ascii="Times New Roman" w:hAnsi="Times New Roman" w:cs="Times New Roman"/>
          <w:color w:val="000000"/>
          <w:sz w:val="24"/>
          <w:szCs w:val="24"/>
          <w:shd w:val="clear" w:color="auto" w:fill="FFFFFF"/>
        </w:rPr>
        <w:t>y</w:t>
      </w:r>
      <w:r w:rsidRPr="000431F7">
        <w:rPr>
          <w:rFonts w:ascii="Times New Roman" w:hAnsi="Times New Roman" w:cs="Times New Roman"/>
          <w:color w:val="000000"/>
          <w:sz w:val="24"/>
          <w:szCs w:val="24"/>
          <w:shd w:val="clear" w:color="auto" w:fill="FFFFFF"/>
        </w:rPr>
        <w:t xml:space="preserve">kiem związanym z ICT (art. 5–16), rozporządzenie dopuszcza jedynie outsourcing zadań związanych ze sprawdzaniem zgodności z wymogami dotyczącymi zarządzania </w:t>
      </w:r>
      <w:r w:rsidR="009D2C7A" w:rsidRPr="000431F7">
        <w:rPr>
          <w:rFonts w:ascii="Times New Roman" w:hAnsi="Times New Roman" w:cs="Times New Roman"/>
          <w:color w:val="000000"/>
          <w:sz w:val="24"/>
          <w:szCs w:val="24"/>
          <w:shd w:val="clear" w:color="auto" w:fill="FFFFFF"/>
        </w:rPr>
        <w:t>ryzyk</w:t>
      </w:r>
      <w:r w:rsidRPr="000431F7">
        <w:rPr>
          <w:rFonts w:ascii="Times New Roman" w:hAnsi="Times New Roman" w:cs="Times New Roman"/>
          <w:color w:val="000000"/>
          <w:sz w:val="24"/>
          <w:szCs w:val="24"/>
          <w:shd w:val="clear" w:color="auto" w:fill="FFFFFF"/>
        </w:rPr>
        <w:t>iem związanym z ICT przedsiębiorstwom wewnątrz grupy lub zewnętrznym</w:t>
      </w:r>
      <w:r w:rsidRPr="000431F7">
        <w:rPr>
          <w:rFonts w:ascii="Times New Roman" w:hAnsi="Times New Roman" w:cs="Times New Roman"/>
          <w:sz w:val="24"/>
          <w:szCs w:val="24"/>
        </w:rPr>
        <w:t xml:space="preserve">, zgodnie z prawem sektorowym, na co wskazuje art. 6 ust. </w:t>
      </w:r>
      <w:r w:rsidRPr="000431F7">
        <w:rPr>
          <w:rFonts w:ascii="Times New Roman" w:hAnsi="Times New Roman" w:cs="Times New Roman"/>
          <w:color w:val="000000"/>
          <w:sz w:val="24"/>
          <w:szCs w:val="24"/>
          <w:shd w:val="clear" w:color="auto" w:fill="FFFFFF"/>
        </w:rPr>
        <w:t>10</w:t>
      </w:r>
      <w:r w:rsidR="005746EB" w:rsidRPr="000431F7">
        <w:rPr>
          <w:rFonts w:ascii="Times New Roman" w:hAnsi="Times New Roman" w:cs="Times New Roman"/>
          <w:color w:val="000000"/>
          <w:sz w:val="24"/>
          <w:szCs w:val="24"/>
          <w:shd w:val="clear" w:color="auto" w:fill="FFFFFF"/>
        </w:rPr>
        <w:t xml:space="preserve">, przy czym podmiot finansowy pozostaje w pełni odpowiedzialny za sprawdzenie zgodności z wymogami dotyczącymi zarządzania </w:t>
      </w:r>
      <w:r w:rsidR="009D2C7A" w:rsidRPr="000431F7">
        <w:rPr>
          <w:rFonts w:ascii="Times New Roman" w:hAnsi="Times New Roman" w:cs="Times New Roman"/>
          <w:color w:val="000000"/>
          <w:sz w:val="24"/>
          <w:szCs w:val="24"/>
          <w:shd w:val="clear" w:color="auto" w:fill="FFFFFF"/>
        </w:rPr>
        <w:t>ryzyk</w:t>
      </w:r>
      <w:r w:rsidR="005746EB" w:rsidRPr="000431F7">
        <w:rPr>
          <w:rFonts w:ascii="Times New Roman" w:hAnsi="Times New Roman" w:cs="Times New Roman"/>
          <w:color w:val="000000"/>
          <w:sz w:val="24"/>
          <w:szCs w:val="24"/>
          <w:shd w:val="clear" w:color="auto" w:fill="FFFFFF"/>
        </w:rPr>
        <w:t xml:space="preserve">iem związanym z ICT. </w:t>
      </w:r>
    </w:p>
    <w:p w14:paraId="30133583" w14:textId="4F7694D4" w:rsidR="00A92E74" w:rsidRPr="000431F7" w:rsidRDefault="00A92E74" w:rsidP="004742CC">
      <w:pPr>
        <w:spacing w:before="120" w:after="0" w:line="360" w:lineRule="auto"/>
        <w:jc w:val="both"/>
        <w:rPr>
          <w:rFonts w:ascii="Times New Roman" w:hAnsi="Times New Roman" w:cs="Times New Roman"/>
          <w:color w:val="000000"/>
          <w:sz w:val="24"/>
          <w:szCs w:val="24"/>
          <w:shd w:val="clear" w:color="auto" w:fill="FFFFFF"/>
        </w:rPr>
      </w:pPr>
      <w:r w:rsidRPr="000431F7">
        <w:rPr>
          <w:rFonts w:ascii="Times New Roman" w:hAnsi="Times New Roman" w:cs="Times New Roman"/>
          <w:color w:val="000000"/>
          <w:sz w:val="24"/>
          <w:szCs w:val="24"/>
          <w:shd w:val="clear" w:color="auto" w:fill="FFFFFF"/>
        </w:rPr>
        <w:t xml:space="preserve">Ponadto </w:t>
      </w:r>
      <w:r w:rsidR="005746EB" w:rsidRPr="000431F7">
        <w:rPr>
          <w:rFonts w:ascii="Times New Roman" w:hAnsi="Times New Roman" w:cs="Times New Roman"/>
          <w:color w:val="000000"/>
          <w:sz w:val="24"/>
          <w:szCs w:val="24"/>
          <w:shd w:val="clear" w:color="auto" w:fill="FFFFFF"/>
        </w:rPr>
        <w:t>rozporządzeni</w:t>
      </w:r>
      <w:r w:rsidR="006D71AC" w:rsidRPr="000431F7">
        <w:rPr>
          <w:rFonts w:ascii="Times New Roman" w:hAnsi="Times New Roman" w:cs="Times New Roman"/>
          <w:color w:val="000000"/>
          <w:sz w:val="24"/>
          <w:szCs w:val="24"/>
          <w:shd w:val="clear" w:color="auto" w:fill="FFFFFF"/>
        </w:rPr>
        <w:t xml:space="preserve">e </w:t>
      </w:r>
      <w:r w:rsidR="006D71AC" w:rsidRPr="000431F7">
        <w:rPr>
          <w:rFonts w:ascii="Times New Roman" w:hAnsi="Times New Roman" w:cs="Times New Roman"/>
          <w:sz w:val="24"/>
          <w:szCs w:val="24"/>
          <w:shd w:val="clear" w:color="auto" w:fill="FFFFFF"/>
        </w:rPr>
        <w:t>2022/2554</w:t>
      </w:r>
      <w:r w:rsidR="005746EB" w:rsidRPr="000431F7">
        <w:rPr>
          <w:rFonts w:ascii="Times New Roman" w:hAnsi="Times New Roman" w:cs="Times New Roman"/>
          <w:color w:val="000000"/>
          <w:sz w:val="24"/>
          <w:szCs w:val="24"/>
          <w:shd w:val="clear" w:color="auto" w:fill="FFFFFF"/>
        </w:rPr>
        <w:t xml:space="preserve">, w zakresie obowiązków związanych z zarządzaniem incydentami związanymi z ICT, </w:t>
      </w:r>
      <w:r w:rsidRPr="000431F7">
        <w:rPr>
          <w:rFonts w:ascii="Times New Roman" w:hAnsi="Times New Roman" w:cs="Times New Roman"/>
          <w:color w:val="000000"/>
          <w:sz w:val="24"/>
          <w:szCs w:val="24"/>
          <w:shd w:val="clear" w:color="auto" w:fill="FFFFFF"/>
        </w:rPr>
        <w:t xml:space="preserve">wskazuje również na </w:t>
      </w:r>
      <w:r w:rsidR="005746EB" w:rsidRPr="000431F7">
        <w:rPr>
          <w:rFonts w:ascii="Times New Roman" w:hAnsi="Times New Roman" w:cs="Times New Roman"/>
          <w:color w:val="000000"/>
          <w:sz w:val="24"/>
          <w:szCs w:val="24"/>
          <w:shd w:val="clear" w:color="auto" w:fill="FFFFFF"/>
        </w:rPr>
        <w:t xml:space="preserve">możliwość </w:t>
      </w:r>
      <w:proofErr w:type="spellStart"/>
      <w:r w:rsidR="005746EB" w:rsidRPr="000431F7">
        <w:rPr>
          <w:rFonts w:ascii="Times New Roman" w:hAnsi="Times New Roman" w:cs="Times New Roman"/>
          <w:color w:val="000000"/>
          <w:sz w:val="24"/>
          <w:szCs w:val="24"/>
          <w:shd w:val="clear" w:color="auto" w:fill="FFFFFF"/>
        </w:rPr>
        <w:t>outosurcingu</w:t>
      </w:r>
      <w:proofErr w:type="spellEnd"/>
      <w:r w:rsidR="005746EB" w:rsidRPr="000431F7">
        <w:rPr>
          <w:rFonts w:ascii="Times New Roman" w:hAnsi="Times New Roman" w:cs="Times New Roman"/>
          <w:color w:val="000000"/>
          <w:sz w:val="24"/>
          <w:szCs w:val="24"/>
          <w:shd w:val="clear" w:color="auto" w:fill="FFFFFF"/>
        </w:rPr>
        <w:t xml:space="preserve"> obowiązków </w:t>
      </w:r>
      <w:r w:rsidR="005746EB" w:rsidRPr="000431F7">
        <w:rPr>
          <w:rFonts w:ascii="Times New Roman" w:hAnsi="Times New Roman" w:cs="Times New Roman"/>
          <w:color w:val="000000"/>
          <w:sz w:val="24"/>
          <w:szCs w:val="24"/>
          <w:shd w:val="clear" w:color="auto" w:fill="FFFFFF"/>
        </w:rPr>
        <w:lastRenderedPageBreak/>
        <w:t>sprawozdawczych w zakresie</w:t>
      </w:r>
      <w:r w:rsidRPr="000431F7">
        <w:rPr>
          <w:rFonts w:ascii="Times New Roman" w:hAnsi="Times New Roman" w:cs="Times New Roman"/>
          <w:color w:val="000000"/>
          <w:sz w:val="24"/>
          <w:szCs w:val="24"/>
          <w:shd w:val="clear" w:color="auto" w:fill="FFFFFF"/>
        </w:rPr>
        <w:t xml:space="preserve"> zgłoszeń poważnych incydentów lub znaczących </w:t>
      </w:r>
      <w:proofErr w:type="spellStart"/>
      <w:r w:rsidRPr="000431F7">
        <w:rPr>
          <w:rFonts w:ascii="Times New Roman" w:hAnsi="Times New Roman" w:cs="Times New Roman"/>
          <w:color w:val="000000"/>
          <w:sz w:val="24"/>
          <w:szCs w:val="24"/>
          <w:shd w:val="clear" w:color="auto" w:fill="FFFFFF"/>
        </w:rPr>
        <w:t>cyberzagrożeń</w:t>
      </w:r>
      <w:proofErr w:type="spellEnd"/>
      <w:r w:rsidRPr="000431F7">
        <w:rPr>
          <w:rFonts w:ascii="Times New Roman" w:hAnsi="Times New Roman" w:cs="Times New Roman"/>
          <w:color w:val="000000"/>
          <w:sz w:val="24"/>
          <w:szCs w:val="24"/>
          <w:shd w:val="clear" w:color="auto" w:fill="FFFFFF"/>
        </w:rPr>
        <w:t xml:space="preserve"> (art. </w:t>
      </w:r>
      <w:r w:rsidR="005746EB" w:rsidRPr="000431F7">
        <w:rPr>
          <w:rFonts w:ascii="Times New Roman" w:hAnsi="Times New Roman" w:cs="Times New Roman"/>
          <w:color w:val="000000"/>
          <w:sz w:val="24"/>
          <w:szCs w:val="24"/>
          <w:shd w:val="clear" w:color="auto" w:fill="FFFFFF"/>
        </w:rPr>
        <w:t xml:space="preserve">19 ust. 5), zgodnie z prawem sektorowym. </w:t>
      </w:r>
    </w:p>
    <w:p w14:paraId="6A420832" w14:textId="68744131" w:rsidR="00A87EB2" w:rsidRPr="000431F7" w:rsidRDefault="00B53E95" w:rsidP="004742CC">
      <w:pPr>
        <w:spacing w:before="120" w:after="0" w:line="360" w:lineRule="auto"/>
        <w:jc w:val="both"/>
        <w:rPr>
          <w:rFonts w:ascii="Times New Roman" w:hAnsi="Times New Roman" w:cs="Times New Roman"/>
          <w:sz w:val="24"/>
          <w:szCs w:val="24"/>
          <w:shd w:val="clear" w:color="auto" w:fill="FFFFFF"/>
        </w:rPr>
      </w:pPr>
      <w:r w:rsidRPr="000431F7">
        <w:rPr>
          <w:rFonts w:ascii="Times New Roman" w:hAnsi="Times New Roman" w:cs="Times New Roman"/>
          <w:sz w:val="24"/>
          <w:szCs w:val="24"/>
          <w:shd w:val="clear" w:color="auto" w:fill="FFFFFF"/>
        </w:rPr>
        <w:t>Należy podkreślić, że regulacje rozporządzenia 2022/2554 dotyczą</w:t>
      </w:r>
      <w:r w:rsidR="002150FF" w:rsidRPr="000431F7">
        <w:rPr>
          <w:rFonts w:ascii="Times New Roman" w:hAnsi="Times New Roman" w:cs="Times New Roman"/>
          <w:sz w:val="24"/>
          <w:szCs w:val="24"/>
          <w:shd w:val="clear" w:color="auto" w:fill="FFFFFF"/>
        </w:rPr>
        <w:t>ce</w:t>
      </w:r>
      <w:r w:rsidRPr="000431F7">
        <w:rPr>
          <w:rFonts w:ascii="Times New Roman" w:hAnsi="Times New Roman" w:cs="Times New Roman"/>
          <w:sz w:val="24"/>
          <w:szCs w:val="24"/>
          <w:shd w:val="clear" w:color="auto" w:fill="FFFFFF"/>
        </w:rPr>
        <w:t xml:space="preserve"> zarządzania </w:t>
      </w:r>
      <w:r w:rsidR="009D2C7A" w:rsidRPr="000431F7">
        <w:rPr>
          <w:rFonts w:ascii="Times New Roman" w:hAnsi="Times New Roman" w:cs="Times New Roman"/>
          <w:sz w:val="24"/>
          <w:szCs w:val="24"/>
          <w:shd w:val="clear" w:color="auto" w:fill="FFFFFF"/>
        </w:rPr>
        <w:t>ryzyk</w:t>
      </w:r>
      <w:r w:rsidRPr="000431F7">
        <w:rPr>
          <w:rFonts w:ascii="Times New Roman" w:hAnsi="Times New Roman" w:cs="Times New Roman"/>
          <w:sz w:val="24"/>
          <w:szCs w:val="24"/>
          <w:shd w:val="clear" w:color="auto" w:fill="FFFFFF"/>
        </w:rPr>
        <w:t>iem związanym z ICT</w:t>
      </w:r>
      <w:r w:rsidR="00CD0C91" w:rsidRPr="000431F7">
        <w:rPr>
          <w:rFonts w:ascii="Times New Roman" w:hAnsi="Times New Roman" w:cs="Times New Roman"/>
          <w:sz w:val="24"/>
          <w:szCs w:val="24"/>
          <w:shd w:val="clear" w:color="auto" w:fill="FFFFFF"/>
        </w:rPr>
        <w:t>,</w:t>
      </w:r>
      <w:r w:rsidR="002150FF" w:rsidRPr="000431F7">
        <w:rPr>
          <w:rFonts w:ascii="Times New Roman" w:hAnsi="Times New Roman" w:cs="Times New Roman"/>
          <w:sz w:val="24"/>
          <w:szCs w:val="24"/>
          <w:shd w:val="clear" w:color="auto" w:fill="FFFFFF"/>
        </w:rPr>
        <w:t xml:space="preserve"> mają</w:t>
      </w:r>
      <w:r w:rsidRPr="000431F7">
        <w:rPr>
          <w:rFonts w:ascii="Times New Roman" w:hAnsi="Times New Roman" w:cs="Times New Roman"/>
          <w:sz w:val="24"/>
          <w:szCs w:val="24"/>
          <w:shd w:val="clear" w:color="auto" w:fill="FFFFFF"/>
        </w:rPr>
        <w:t xml:space="preserve"> </w:t>
      </w:r>
      <w:r w:rsidR="002150FF" w:rsidRPr="000431F7">
        <w:rPr>
          <w:rFonts w:ascii="Times New Roman" w:hAnsi="Times New Roman" w:cs="Times New Roman"/>
          <w:sz w:val="24"/>
          <w:szCs w:val="24"/>
          <w:shd w:val="clear" w:color="auto" w:fill="FFFFFF"/>
        </w:rPr>
        <w:t xml:space="preserve">na celu </w:t>
      </w:r>
      <w:r w:rsidRPr="000431F7">
        <w:rPr>
          <w:rFonts w:ascii="Times New Roman" w:hAnsi="Times New Roman" w:cs="Times New Roman"/>
          <w:sz w:val="24"/>
          <w:szCs w:val="24"/>
          <w:shd w:val="clear" w:color="auto" w:fill="FFFFFF"/>
        </w:rPr>
        <w:t>zapewni</w:t>
      </w:r>
      <w:r w:rsidR="002150FF" w:rsidRPr="000431F7">
        <w:rPr>
          <w:rFonts w:ascii="Times New Roman" w:hAnsi="Times New Roman" w:cs="Times New Roman"/>
          <w:sz w:val="24"/>
          <w:szCs w:val="24"/>
          <w:shd w:val="clear" w:color="auto" w:fill="FFFFFF"/>
        </w:rPr>
        <w:t xml:space="preserve">enie </w:t>
      </w:r>
      <w:r w:rsidRPr="000431F7">
        <w:rPr>
          <w:rFonts w:ascii="Times New Roman" w:hAnsi="Times New Roman" w:cs="Times New Roman"/>
          <w:sz w:val="24"/>
          <w:szCs w:val="24"/>
          <w:shd w:val="clear" w:color="auto" w:fill="FFFFFF"/>
        </w:rPr>
        <w:t>ciągłoś</w:t>
      </w:r>
      <w:r w:rsidR="002150FF" w:rsidRPr="000431F7">
        <w:rPr>
          <w:rFonts w:ascii="Times New Roman" w:hAnsi="Times New Roman" w:cs="Times New Roman"/>
          <w:sz w:val="24"/>
          <w:szCs w:val="24"/>
          <w:shd w:val="clear" w:color="auto" w:fill="FFFFFF"/>
        </w:rPr>
        <w:t>ci</w:t>
      </w:r>
      <w:r w:rsidRPr="000431F7">
        <w:rPr>
          <w:rFonts w:ascii="Times New Roman" w:hAnsi="Times New Roman" w:cs="Times New Roman"/>
          <w:sz w:val="24"/>
          <w:szCs w:val="24"/>
          <w:shd w:val="clear" w:color="auto" w:fill="FFFFFF"/>
        </w:rPr>
        <w:t xml:space="preserve"> działania </w:t>
      </w:r>
      <w:r w:rsidR="00D82634" w:rsidRPr="000431F7">
        <w:rPr>
          <w:rFonts w:ascii="Times New Roman" w:hAnsi="Times New Roman" w:cs="Times New Roman"/>
          <w:sz w:val="24"/>
          <w:szCs w:val="24"/>
          <w:shd w:val="clear" w:color="auto" w:fill="FFFFFF"/>
        </w:rPr>
        <w:t>podmiotu finansowego</w:t>
      </w:r>
      <w:r w:rsidR="002150FF" w:rsidRPr="000431F7">
        <w:rPr>
          <w:rFonts w:ascii="Times New Roman" w:hAnsi="Times New Roman" w:cs="Times New Roman"/>
          <w:sz w:val="24"/>
          <w:szCs w:val="24"/>
          <w:shd w:val="clear" w:color="auto" w:fill="FFFFFF"/>
        </w:rPr>
        <w:t xml:space="preserve"> i ochronę danych</w:t>
      </w:r>
      <w:r w:rsidR="00D82634" w:rsidRPr="000431F7">
        <w:rPr>
          <w:rFonts w:ascii="Times New Roman" w:hAnsi="Times New Roman" w:cs="Times New Roman"/>
          <w:sz w:val="24"/>
          <w:szCs w:val="24"/>
          <w:shd w:val="clear" w:color="auto" w:fill="FFFFFF"/>
        </w:rPr>
        <w:t xml:space="preserve">. Z uwagi na powyższe podmioty finansowe są zobligowane do wprowadzenia rozwiązań zabezpieczających ryzyko ze strony zewnętrznych dostawców usług ICT, z których usług korzystają, w szczególności usług ICT wspierających krytyczne lub istotne funkcje, co uwzględniają także regulacje art. 28 </w:t>
      </w:r>
      <w:r w:rsidR="008D64F0" w:rsidRPr="000431F7">
        <w:rPr>
          <w:rFonts w:ascii="Times New Roman" w:hAnsi="Times New Roman" w:cs="Times New Roman"/>
          <w:sz w:val="24"/>
          <w:szCs w:val="24"/>
          <w:shd w:val="clear" w:color="auto" w:fill="FFFFFF"/>
        </w:rPr>
        <w:t>dotyczące obowiązków podmiotu finansowego prze</w:t>
      </w:r>
      <w:r w:rsidR="005408D6" w:rsidRPr="000431F7">
        <w:rPr>
          <w:rFonts w:ascii="Times New Roman" w:hAnsi="Times New Roman" w:cs="Times New Roman"/>
          <w:sz w:val="24"/>
          <w:szCs w:val="24"/>
          <w:shd w:val="clear" w:color="auto" w:fill="FFFFFF"/>
        </w:rPr>
        <w:t>d</w:t>
      </w:r>
      <w:r w:rsidR="008D64F0" w:rsidRPr="000431F7">
        <w:rPr>
          <w:rFonts w:ascii="Times New Roman" w:hAnsi="Times New Roman" w:cs="Times New Roman"/>
          <w:sz w:val="24"/>
          <w:szCs w:val="24"/>
          <w:shd w:val="clear" w:color="auto" w:fill="FFFFFF"/>
        </w:rPr>
        <w:t xml:space="preserve"> zawarciem umowy z zewnętrznym dostawcą usług ICT (art. 28 ust. 4) oraz </w:t>
      </w:r>
      <w:r w:rsidR="002150FF" w:rsidRPr="000431F7">
        <w:rPr>
          <w:rFonts w:ascii="Times New Roman" w:hAnsi="Times New Roman" w:cs="Times New Roman"/>
          <w:sz w:val="24"/>
          <w:szCs w:val="24"/>
          <w:shd w:val="clear" w:color="auto" w:fill="FFFFFF"/>
        </w:rPr>
        <w:t xml:space="preserve">przepisy dotyczące </w:t>
      </w:r>
      <w:r w:rsidR="008D64F0" w:rsidRPr="000431F7">
        <w:rPr>
          <w:rFonts w:ascii="Times New Roman" w:hAnsi="Times New Roman" w:cs="Times New Roman"/>
          <w:sz w:val="24"/>
          <w:szCs w:val="24"/>
          <w:shd w:val="clear" w:color="auto" w:fill="FFFFFF"/>
        </w:rPr>
        <w:t>obligatoryjnych postanowień umownych (art. 30), stanowiąc</w:t>
      </w:r>
      <w:r w:rsidR="002150FF" w:rsidRPr="000431F7">
        <w:rPr>
          <w:rFonts w:ascii="Times New Roman" w:hAnsi="Times New Roman" w:cs="Times New Roman"/>
          <w:sz w:val="24"/>
          <w:szCs w:val="24"/>
          <w:shd w:val="clear" w:color="auto" w:fill="FFFFFF"/>
        </w:rPr>
        <w:t>e</w:t>
      </w:r>
      <w:r w:rsidR="008D64F0" w:rsidRPr="000431F7">
        <w:rPr>
          <w:rFonts w:ascii="Times New Roman" w:hAnsi="Times New Roman" w:cs="Times New Roman"/>
          <w:sz w:val="24"/>
          <w:szCs w:val="24"/>
          <w:shd w:val="clear" w:color="auto" w:fill="FFFFFF"/>
        </w:rPr>
        <w:t xml:space="preserve"> uzupełnienie regulacji art. 6 </w:t>
      </w:r>
      <w:r w:rsidR="00CD0C91" w:rsidRPr="000431F7">
        <w:rPr>
          <w:rFonts w:ascii="Times New Roman" w:hAnsi="Times New Roman" w:cs="Times New Roman"/>
          <w:sz w:val="24"/>
          <w:szCs w:val="24"/>
          <w:shd w:val="clear" w:color="auto" w:fill="FFFFFF"/>
        </w:rPr>
        <w:t xml:space="preserve">w zakresie </w:t>
      </w:r>
      <w:r w:rsidR="008D64F0" w:rsidRPr="000431F7">
        <w:rPr>
          <w:rFonts w:ascii="Times New Roman" w:hAnsi="Times New Roman" w:cs="Times New Roman"/>
          <w:sz w:val="24"/>
          <w:szCs w:val="24"/>
          <w:shd w:val="clear" w:color="auto" w:fill="FFFFFF"/>
        </w:rPr>
        <w:t xml:space="preserve">ram zarządzania </w:t>
      </w:r>
      <w:r w:rsidR="009D2C7A" w:rsidRPr="000431F7">
        <w:rPr>
          <w:rFonts w:ascii="Times New Roman" w:hAnsi="Times New Roman" w:cs="Times New Roman"/>
          <w:sz w:val="24"/>
          <w:szCs w:val="24"/>
          <w:shd w:val="clear" w:color="auto" w:fill="FFFFFF"/>
        </w:rPr>
        <w:t>ryzyk</w:t>
      </w:r>
      <w:r w:rsidR="008D64F0" w:rsidRPr="000431F7">
        <w:rPr>
          <w:rFonts w:ascii="Times New Roman" w:hAnsi="Times New Roman" w:cs="Times New Roman"/>
          <w:sz w:val="24"/>
          <w:szCs w:val="24"/>
          <w:shd w:val="clear" w:color="auto" w:fill="FFFFFF"/>
        </w:rPr>
        <w:t>iem związanym z ICT</w:t>
      </w:r>
      <w:r w:rsidR="00D82634" w:rsidRPr="000431F7">
        <w:rPr>
          <w:rFonts w:ascii="Times New Roman" w:hAnsi="Times New Roman" w:cs="Times New Roman"/>
          <w:sz w:val="24"/>
          <w:szCs w:val="24"/>
          <w:shd w:val="clear" w:color="auto" w:fill="FFFFFF"/>
        </w:rPr>
        <w:t>.</w:t>
      </w:r>
    </w:p>
    <w:p w14:paraId="2C94CFB2" w14:textId="0B2E02EA" w:rsidR="004306FF" w:rsidRPr="000431F7" w:rsidRDefault="004306FF" w:rsidP="004742CC">
      <w:pPr>
        <w:tabs>
          <w:tab w:val="left" w:pos="426"/>
        </w:tabs>
        <w:spacing w:before="120" w:after="0" w:line="360" w:lineRule="auto"/>
        <w:jc w:val="both"/>
        <w:rPr>
          <w:rFonts w:ascii="Times New Roman" w:hAnsi="Times New Roman" w:cs="Times New Roman"/>
          <w:b/>
          <w:bCs/>
          <w:sz w:val="24"/>
          <w:szCs w:val="24"/>
        </w:rPr>
      </w:pPr>
      <w:r w:rsidRPr="000431F7">
        <w:rPr>
          <w:rFonts w:ascii="Times New Roman" w:hAnsi="Times New Roman" w:cs="Times New Roman"/>
          <w:b/>
          <w:bCs/>
          <w:sz w:val="24"/>
          <w:szCs w:val="24"/>
        </w:rPr>
        <w:t>5.</w:t>
      </w:r>
      <w:r w:rsidR="00155D5C">
        <w:rPr>
          <w:rFonts w:ascii="Times New Roman" w:hAnsi="Times New Roman" w:cs="Times New Roman"/>
          <w:b/>
          <w:bCs/>
          <w:sz w:val="24"/>
          <w:szCs w:val="24"/>
        </w:rPr>
        <w:tab/>
      </w:r>
      <w:r w:rsidRPr="000431F7">
        <w:rPr>
          <w:rFonts w:ascii="Times New Roman" w:hAnsi="Times New Roman" w:cs="Times New Roman"/>
          <w:b/>
          <w:bCs/>
          <w:sz w:val="24"/>
          <w:szCs w:val="24"/>
        </w:rPr>
        <w:t>Różnice pomiędzy dotychczasowym a projektowanym stanem prawnym w zakresie rozporządzenia 2023/2631</w:t>
      </w:r>
    </w:p>
    <w:p w14:paraId="43439FFA" w14:textId="7F3274F7" w:rsidR="00381FD6" w:rsidRPr="000431F7" w:rsidRDefault="004306FF" w:rsidP="004742CC">
      <w:pPr>
        <w:spacing w:before="120" w:after="0" w:line="360" w:lineRule="auto"/>
        <w:jc w:val="both"/>
        <w:rPr>
          <w:rFonts w:ascii="Times New Roman" w:hAnsi="Times New Roman" w:cs="Times New Roman"/>
          <w:sz w:val="24"/>
          <w:szCs w:val="24"/>
          <w:shd w:val="clear" w:color="auto" w:fill="FFFFFF"/>
        </w:rPr>
      </w:pPr>
      <w:r w:rsidRPr="000431F7">
        <w:rPr>
          <w:rFonts w:ascii="Times New Roman" w:hAnsi="Times New Roman" w:cs="Times New Roman"/>
          <w:sz w:val="24"/>
          <w:szCs w:val="24"/>
          <w:shd w:val="clear" w:color="auto" w:fill="FFFFFF"/>
        </w:rPr>
        <w:t>Odpowiedzią na wyzwania związane z rynkiem europejskich zielonych obligacji jest wejście w życie rozporządzenia 2023/2631</w:t>
      </w:r>
      <w:r w:rsidR="00381FD6" w:rsidRPr="000431F7">
        <w:rPr>
          <w:rFonts w:ascii="Times New Roman" w:hAnsi="Times New Roman" w:cs="Times New Roman"/>
          <w:sz w:val="24"/>
          <w:szCs w:val="24"/>
          <w:shd w:val="clear" w:color="auto" w:fill="FFFFFF"/>
        </w:rPr>
        <w:t xml:space="preserve">, które ma na celu wzmocnienie rynku kapitałowego przez wprowadzenie jasnych i spójnych zasad dotyczących zielonych inwestycji, ujednolicenie standardów oraz zapewnienie odpowiedniego nadzoru nad kontrolerami, co w efekcie zwiększy przejrzystość i zaufanie do zielonych obligacji w </w:t>
      </w:r>
      <w:r w:rsidR="00EA75A6" w:rsidRPr="000431F7">
        <w:rPr>
          <w:rFonts w:ascii="Times New Roman" w:hAnsi="Times New Roman" w:cs="Times New Roman"/>
          <w:sz w:val="24"/>
          <w:szCs w:val="24"/>
          <w:shd w:val="clear" w:color="auto" w:fill="FFFFFF"/>
        </w:rPr>
        <w:t>UE</w:t>
      </w:r>
      <w:r w:rsidR="00381FD6" w:rsidRPr="000431F7">
        <w:rPr>
          <w:rFonts w:ascii="Times New Roman" w:hAnsi="Times New Roman" w:cs="Times New Roman"/>
          <w:sz w:val="24"/>
          <w:szCs w:val="24"/>
          <w:shd w:val="clear" w:color="auto" w:fill="FFFFFF"/>
        </w:rPr>
        <w:t xml:space="preserve">. Rozporządzenie 2023/2631 przewiduje wprowadzenie dobrowolnego standardu europejskich zielonych obligacji. Standard ten zakłada wykorzystanie dochodów z obligacji zgodnie z zasadami rozporządzenia </w:t>
      </w:r>
      <w:r w:rsidR="00791922" w:rsidRPr="000431F7">
        <w:rPr>
          <w:rFonts w:ascii="Times New Roman" w:hAnsi="Times New Roman" w:cs="Times New Roman"/>
          <w:sz w:val="24"/>
          <w:szCs w:val="24"/>
          <w:shd w:val="clear" w:color="auto" w:fill="FFFFFF"/>
        </w:rPr>
        <w:t xml:space="preserve">Parlamentu Europejskiego i Rady (UE) </w:t>
      </w:r>
      <w:r w:rsidR="00381FD6" w:rsidRPr="000431F7">
        <w:rPr>
          <w:rFonts w:ascii="Times New Roman" w:hAnsi="Times New Roman" w:cs="Times New Roman"/>
          <w:sz w:val="24"/>
          <w:szCs w:val="24"/>
          <w:shd w:val="clear" w:color="auto" w:fill="FFFFFF"/>
        </w:rPr>
        <w:t>2020/852</w:t>
      </w:r>
      <w:r w:rsidR="00791922" w:rsidRPr="000431F7">
        <w:rPr>
          <w:rFonts w:ascii="Times New Roman" w:hAnsi="Times New Roman" w:cs="Times New Roman"/>
          <w:sz w:val="24"/>
          <w:szCs w:val="24"/>
          <w:shd w:val="clear" w:color="auto" w:fill="FFFFFF"/>
        </w:rPr>
        <w:t xml:space="preserve"> z dnia 18 czerwca 2020 r.</w:t>
      </w:r>
      <w:r w:rsidR="00381FD6" w:rsidRPr="000431F7">
        <w:rPr>
          <w:rFonts w:ascii="Times New Roman" w:hAnsi="Times New Roman" w:cs="Times New Roman"/>
          <w:sz w:val="24"/>
          <w:szCs w:val="24"/>
          <w:shd w:val="clear" w:color="auto" w:fill="FFFFFF"/>
        </w:rPr>
        <w:t xml:space="preserve"> w sprawie ustanowienia ram ułatwiających zrównoważone inwestycje, zmieniające</w:t>
      </w:r>
      <w:r w:rsidR="00BE0FC8">
        <w:rPr>
          <w:rFonts w:ascii="Times New Roman" w:hAnsi="Times New Roman" w:cs="Times New Roman"/>
          <w:sz w:val="24"/>
          <w:szCs w:val="24"/>
          <w:shd w:val="clear" w:color="auto" w:fill="FFFFFF"/>
        </w:rPr>
        <w:t>go</w:t>
      </w:r>
      <w:r w:rsidR="00381FD6" w:rsidRPr="000431F7">
        <w:rPr>
          <w:rFonts w:ascii="Times New Roman" w:hAnsi="Times New Roman" w:cs="Times New Roman"/>
          <w:sz w:val="24"/>
          <w:szCs w:val="24"/>
          <w:shd w:val="clear" w:color="auto" w:fill="FFFFFF"/>
        </w:rPr>
        <w:t xml:space="preserve"> rozporządzenie (UE) 2019/2088. Emitenci będą obowiązani korzystać z usług kontrolerów zewnętrznych zarejestrowanych i nadzorowanych zgodnie z przepisami tego rozporządzenia. Wyjąt</w:t>
      </w:r>
      <w:r w:rsidR="00BE0FC8">
        <w:rPr>
          <w:rFonts w:ascii="Times New Roman" w:hAnsi="Times New Roman" w:cs="Times New Roman"/>
          <w:sz w:val="24"/>
          <w:szCs w:val="24"/>
          <w:shd w:val="clear" w:color="auto" w:fill="FFFFFF"/>
        </w:rPr>
        <w:t>ek</w:t>
      </w:r>
      <w:r w:rsidR="00381FD6" w:rsidRPr="000431F7">
        <w:rPr>
          <w:rFonts w:ascii="Times New Roman" w:hAnsi="Times New Roman" w:cs="Times New Roman"/>
          <w:sz w:val="24"/>
          <w:szCs w:val="24"/>
          <w:shd w:val="clear" w:color="auto" w:fill="FFFFFF"/>
        </w:rPr>
        <w:t xml:space="preserve"> stanowić będą emitenci długu państwowego, którzy są podmiotami ustawowymi i nadzorują wydatki publiczne w sposób niezależny.</w:t>
      </w:r>
    </w:p>
    <w:p w14:paraId="145D1F20" w14:textId="4DBE1D25" w:rsidR="00381FD6" w:rsidRPr="000431F7" w:rsidRDefault="00381FD6" w:rsidP="004742CC">
      <w:pPr>
        <w:spacing w:before="120" w:after="0" w:line="360" w:lineRule="auto"/>
        <w:jc w:val="both"/>
        <w:rPr>
          <w:rFonts w:ascii="Times New Roman" w:hAnsi="Times New Roman" w:cs="Times New Roman"/>
          <w:sz w:val="24"/>
          <w:szCs w:val="24"/>
          <w:shd w:val="clear" w:color="auto" w:fill="FFFFFF"/>
        </w:rPr>
      </w:pPr>
      <w:r w:rsidRPr="000431F7">
        <w:rPr>
          <w:rFonts w:ascii="Times New Roman" w:hAnsi="Times New Roman" w:cs="Times New Roman"/>
          <w:sz w:val="24"/>
          <w:szCs w:val="24"/>
          <w:shd w:val="clear" w:color="auto" w:fill="FFFFFF"/>
        </w:rPr>
        <w:t xml:space="preserve">Rozporządzenie </w:t>
      </w:r>
      <w:r w:rsidR="00791922" w:rsidRPr="000431F7">
        <w:rPr>
          <w:rFonts w:ascii="Times New Roman" w:hAnsi="Times New Roman" w:cs="Times New Roman"/>
          <w:sz w:val="24"/>
          <w:szCs w:val="24"/>
          <w:shd w:val="clear" w:color="auto" w:fill="FFFFFF"/>
        </w:rPr>
        <w:t xml:space="preserve">to </w:t>
      </w:r>
      <w:r w:rsidRPr="000431F7">
        <w:rPr>
          <w:rFonts w:ascii="Times New Roman" w:hAnsi="Times New Roman" w:cs="Times New Roman"/>
          <w:sz w:val="24"/>
          <w:szCs w:val="24"/>
          <w:shd w:val="clear" w:color="auto" w:fill="FFFFFF"/>
        </w:rPr>
        <w:t>ma także na celu ustanowienie jednolitego zbioru wymogów dla wszystkich emitentów, którzy chcą korzystać z oznakowania</w:t>
      </w:r>
      <w:r w:rsidR="00791922" w:rsidRPr="000431F7">
        <w:rPr>
          <w:rFonts w:ascii="Times New Roman" w:hAnsi="Times New Roman" w:cs="Times New Roman"/>
          <w:sz w:val="24"/>
          <w:szCs w:val="24"/>
          <w:shd w:val="clear" w:color="auto" w:fill="FFFFFF"/>
        </w:rPr>
        <w:t xml:space="preserve"> </w:t>
      </w:r>
      <w:r w:rsidR="00987740">
        <w:rPr>
          <w:rFonts w:ascii="Times New Roman" w:hAnsi="Times New Roman" w:cs="Times New Roman"/>
          <w:sz w:val="24"/>
          <w:szCs w:val="24"/>
          <w:shd w:val="clear" w:color="auto" w:fill="FFFFFF"/>
        </w:rPr>
        <w:t>„</w:t>
      </w:r>
      <w:r w:rsidRPr="000431F7">
        <w:rPr>
          <w:rFonts w:ascii="Times New Roman" w:hAnsi="Times New Roman" w:cs="Times New Roman"/>
          <w:sz w:val="24"/>
          <w:szCs w:val="24"/>
          <w:shd w:val="clear" w:color="auto" w:fill="FFFFFF"/>
        </w:rPr>
        <w:t>europejskiej zielonej obligacji</w:t>
      </w:r>
      <w:r w:rsidR="00791922" w:rsidRPr="000431F7">
        <w:rPr>
          <w:rFonts w:ascii="Times New Roman" w:hAnsi="Times New Roman" w:cs="Times New Roman"/>
          <w:sz w:val="24"/>
          <w:szCs w:val="24"/>
          <w:shd w:val="clear" w:color="auto" w:fill="FFFFFF"/>
        </w:rPr>
        <w:t>”</w:t>
      </w:r>
      <w:r w:rsidRPr="000431F7">
        <w:rPr>
          <w:rFonts w:ascii="Times New Roman" w:hAnsi="Times New Roman" w:cs="Times New Roman"/>
          <w:sz w:val="24"/>
          <w:szCs w:val="24"/>
          <w:shd w:val="clear" w:color="auto" w:fill="FFFFFF"/>
        </w:rPr>
        <w:t xml:space="preserve"> (</w:t>
      </w:r>
      <w:proofErr w:type="spellStart"/>
      <w:r w:rsidRPr="000431F7">
        <w:rPr>
          <w:rFonts w:ascii="Times New Roman" w:hAnsi="Times New Roman" w:cs="Times New Roman"/>
          <w:sz w:val="24"/>
          <w:szCs w:val="24"/>
          <w:shd w:val="clear" w:color="auto" w:fill="FFFFFF"/>
        </w:rPr>
        <w:t>EuGB</w:t>
      </w:r>
      <w:proofErr w:type="spellEnd"/>
      <w:r w:rsidRPr="000431F7">
        <w:rPr>
          <w:rFonts w:ascii="Times New Roman" w:hAnsi="Times New Roman" w:cs="Times New Roman"/>
          <w:sz w:val="24"/>
          <w:szCs w:val="24"/>
          <w:shd w:val="clear" w:color="auto" w:fill="FFFFFF"/>
        </w:rPr>
        <w:t xml:space="preserve">). Wprowadzenie takich samych zasad w całej </w:t>
      </w:r>
      <w:r w:rsidR="00791922" w:rsidRPr="000431F7">
        <w:rPr>
          <w:rFonts w:ascii="Times New Roman" w:hAnsi="Times New Roman" w:cs="Times New Roman"/>
          <w:sz w:val="24"/>
          <w:szCs w:val="24"/>
          <w:shd w:val="clear" w:color="auto" w:fill="FFFFFF"/>
        </w:rPr>
        <w:t>UE</w:t>
      </w:r>
      <w:r w:rsidRPr="000431F7">
        <w:rPr>
          <w:rFonts w:ascii="Times New Roman" w:hAnsi="Times New Roman" w:cs="Times New Roman"/>
          <w:sz w:val="24"/>
          <w:szCs w:val="24"/>
          <w:shd w:val="clear" w:color="auto" w:fill="FFFFFF"/>
        </w:rPr>
        <w:t xml:space="preserve"> ma na celu zmniejszenie rozbieżności na rynku, co przyczyni się do zwiększenia jego efektywności oraz obniżenia kosztów ponoszonych przez inwestorów. Z kolei, aby zaradzić problemowi pseudoekologicznego marketingu (tzw. </w:t>
      </w:r>
      <w:proofErr w:type="spellStart"/>
      <w:r w:rsidRPr="000431F7">
        <w:rPr>
          <w:rFonts w:ascii="Times New Roman" w:hAnsi="Times New Roman" w:cs="Times New Roman"/>
          <w:sz w:val="24"/>
          <w:szCs w:val="24"/>
          <w:shd w:val="clear" w:color="auto" w:fill="FFFFFF"/>
        </w:rPr>
        <w:t>greenwashingu</w:t>
      </w:r>
      <w:proofErr w:type="spellEnd"/>
      <w:r w:rsidRPr="000431F7">
        <w:rPr>
          <w:rFonts w:ascii="Times New Roman" w:hAnsi="Times New Roman" w:cs="Times New Roman"/>
          <w:sz w:val="24"/>
          <w:szCs w:val="24"/>
          <w:shd w:val="clear" w:color="auto" w:fill="FFFFFF"/>
        </w:rPr>
        <w:t>), zostaną wprowadzone wzory formularzy ujawniających informacje o zrównoważonym charakterze obligacji.</w:t>
      </w:r>
    </w:p>
    <w:p w14:paraId="537FD847" w14:textId="1170E032" w:rsidR="00381FD6" w:rsidRPr="000431F7" w:rsidRDefault="00381FD6" w:rsidP="004742CC">
      <w:pPr>
        <w:spacing w:before="120" w:after="0" w:line="360" w:lineRule="auto"/>
        <w:jc w:val="both"/>
        <w:rPr>
          <w:rFonts w:ascii="Times New Roman" w:hAnsi="Times New Roman" w:cs="Times New Roman"/>
          <w:sz w:val="24"/>
          <w:szCs w:val="24"/>
          <w:shd w:val="clear" w:color="auto" w:fill="FFFFFF"/>
        </w:rPr>
      </w:pPr>
      <w:r w:rsidRPr="000431F7">
        <w:rPr>
          <w:rFonts w:ascii="Times New Roman" w:hAnsi="Times New Roman" w:cs="Times New Roman"/>
          <w:sz w:val="24"/>
          <w:szCs w:val="24"/>
          <w:shd w:val="clear" w:color="auto" w:fill="FFFFFF"/>
        </w:rPr>
        <w:lastRenderedPageBreak/>
        <w:t>Wprowadzenie standardu europejskich zielonych obligacji pozwoli:</w:t>
      </w:r>
    </w:p>
    <w:p w14:paraId="6A990AD6" w14:textId="28E9647A" w:rsidR="00381FD6" w:rsidRPr="000431F7" w:rsidRDefault="00381FD6" w:rsidP="004742CC">
      <w:pPr>
        <w:pStyle w:val="Akapitzlist"/>
        <w:numPr>
          <w:ilvl w:val="0"/>
          <w:numId w:val="24"/>
        </w:numPr>
        <w:spacing w:before="120" w:after="0" w:line="360" w:lineRule="auto"/>
        <w:ind w:left="426" w:hanging="426"/>
        <w:jc w:val="both"/>
        <w:rPr>
          <w:rFonts w:ascii="Times New Roman" w:hAnsi="Times New Roman" w:cs="Times New Roman"/>
          <w:sz w:val="24"/>
          <w:szCs w:val="24"/>
          <w:shd w:val="clear" w:color="auto" w:fill="FFFFFF"/>
        </w:rPr>
      </w:pPr>
      <w:r w:rsidRPr="000431F7">
        <w:rPr>
          <w:rFonts w:ascii="Times New Roman" w:hAnsi="Times New Roman" w:cs="Times New Roman"/>
          <w:sz w:val="24"/>
          <w:szCs w:val="24"/>
          <w:shd w:val="clear" w:color="auto" w:fill="FFFFFF"/>
        </w:rPr>
        <w:t>zwiększyć zdolność inwestorów do identyfikacji obligacji, które faktycznie przyczyniają się do celów środowiskowych;</w:t>
      </w:r>
    </w:p>
    <w:p w14:paraId="0C4194ED" w14:textId="50BE85E8" w:rsidR="00381FD6" w:rsidRPr="000431F7" w:rsidRDefault="00381FD6" w:rsidP="004742CC">
      <w:pPr>
        <w:pStyle w:val="Akapitzlist"/>
        <w:numPr>
          <w:ilvl w:val="0"/>
          <w:numId w:val="24"/>
        </w:numPr>
        <w:spacing w:before="120" w:after="0" w:line="360" w:lineRule="auto"/>
        <w:ind w:left="426" w:hanging="426"/>
        <w:jc w:val="both"/>
        <w:rPr>
          <w:rFonts w:ascii="Times New Roman" w:hAnsi="Times New Roman" w:cs="Times New Roman"/>
          <w:sz w:val="24"/>
          <w:szCs w:val="24"/>
          <w:shd w:val="clear" w:color="auto" w:fill="FFFFFF"/>
        </w:rPr>
      </w:pPr>
      <w:r w:rsidRPr="000431F7">
        <w:rPr>
          <w:rFonts w:ascii="Times New Roman" w:hAnsi="Times New Roman" w:cs="Times New Roman"/>
          <w:sz w:val="24"/>
          <w:szCs w:val="24"/>
          <w:shd w:val="clear" w:color="auto" w:fill="FFFFFF"/>
        </w:rPr>
        <w:t>ułatwić emitentom emisję obligacji wysokiej jakości poprzez wyjaśnienie definicji zielonych projektów i zmniejszenie ryzyka utraty reputacji;</w:t>
      </w:r>
    </w:p>
    <w:p w14:paraId="4AFB1220" w14:textId="079F230C" w:rsidR="00381FD6" w:rsidRPr="000431F7" w:rsidRDefault="00381FD6" w:rsidP="004742CC">
      <w:pPr>
        <w:pStyle w:val="Akapitzlist"/>
        <w:numPr>
          <w:ilvl w:val="0"/>
          <w:numId w:val="24"/>
        </w:numPr>
        <w:spacing w:before="120" w:after="0" w:line="360" w:lineRule="auto"/>
        <w:ind w:left="426" w:hanging="426"/>
        <w:jc w:val="both"/>
        <w:rPr>
          <w:rFonts w:ascii="Times New Roman" w:hAnsi="Times New Roman" w:cs="Times New Roman"/>
          <w:sz w:val="24"/>
          <w:szCs w:val="24"/>
          <w:shd w:val="clear" w:color="auto" w:fill="FFFFFF"/>
        </w:rPr>
      </w:pPr>
      <w:r w:rsidRPr="000431F7">
        <w:rPr>
          <w:rFonts w:ascii="Times New Roman" w:hAnsi="Times New Roman" w:cs="Times New Roman"/>
          <w:sz w:val="24"/>
          <w:szCs w:val="24"/>
          <w:shd w:val="clear" w:color="auto" w:fill="FFFFFF"/>
        </w:rPr>
        <w:t>ujednolicić zasady nadzoru nad kontrolerami zewnętrznymi oraz wzmocnić ich wiarygodność poprzez dobrowolny system rejestracji i nadzoru.</w:t>
      </w:r>
    </w:p>
    <w:p w14:paraId="1CF34126" w14:textId="77777777" w:rsidR="00381FD6" w:rsidRPr="000431F7" w:rsidRDefault="00381FD6" w:rsidP="004742CC">
      <w:pPr>
        <w:spacing w:before="120" w:after="0" w:line="360" w:lineRule="auto"/>
        <w:jc w:val="both"/>
        <w:rPr>
          <w:rFonts w:ascii="Times New Roman" w:hAnsi="Times New Roman" w:cs="Times New Roman"/>
          <w:sz w:val="24"/>
          <w:szCs w:val="24"/>
          <w:shd w:val="clear" w:color="auto" w:fill="FFFFFF"/>
        </w:rPr>
      </w:pPr>
      <w:r w:rsidRPr="000431F7">
        <w:rPr>
          <w:rFonts w:ascii="Times New Roman" w:hAnsi="Times New Roman" w:cs="Times New Roman"/>
          <w:sz w:val="24"/>
          <w:szCs w:val="24"/>
          <w:shd w:val="clear" w:color="auto" w:fill="FFFFFF"/>
        </w:rPr>
        <w:t xml:space="preserve">W celu umożliwienia stosowania rozporządzenia 2023/2631 wskazane jest przyjęcie w krajowym porządku prawnym aktu służącego jego stosowaniu. Przyjęto zatem rozwiązanie polegające na opracowaniu projektu ustawy o zmianie niektórych ustaw w związku z zapewnieniem operacyjnej odporności cyfrowej sektora finansowego oraz emitowaniem europejskich zielonych obligacji. </w:t>
      </w:r>
    </w:p>
    <w:p w14:paraId="7B243660" w14:textId="3255AA24" w:rsidR="00155D5C" w:rsidRDefault="00381FD6" w:rsidP="000431F7">
      <w:pPr>
        <w:spacing w:before="120" w:after="0" w:line="360" w:lineRule="auto"/>
        <w:jc w:val="both"/>
        <w:rPr>
          <w:rFonts w:ascii="Times New Roman" w:hAnsi="Times New Roman" w:cs="Times New Roman"/>
          <w:sz w:val="24"/>
          <w:szCs w:val="24"/>
          <w:shd w:val="clear" w:color="auto" w:fill="FFFFFF"/>
        </w:rPr>
      </w:pPr>
      <w:r w:rsidRPr="000431F7">
        <w:rPr>
          <w:rFonts w:ascii="Times New Roman" w:hAnsi="Times New Roman" w:cs="Times New Roman"/>
          <w:sz w:val="24"/>
          <w:szCs w:val="24"/>
          <w:shd w:val="clear" w:color="auto" w:fill="FFFFFF"/>
        </w:rPr>
        <w:t xml:space="preserve">Kluczowe zmiany związane z koniecznością wdrożenia przepisów rozporządzenia 2023/2631 wprowadzone zostaną do ustawy o nadzorze nad rynkiem finansowym (art. 7 projektu). Są to zmiany związane z nadaniem kompetencji zapewniających skuteczny nadzór nad podmiotami finansowymi będącymi emitentami obligacji </w:t>
      </w:r>
      <w:proofErr w:type="spellStart"/>
      <w:r w:rsidRPr="000431F7">
        <w:rPr>
          <w:rFonts w:ascii="Times New Roman" w:hAnsi="Times New Roman" w:cs="Times New Roman"/>
          <w:sz w:val="24"/>
          <w:szCs w:val="24"/>
          <w:shd w:val="clear" w:color="auto" w:fill="FFFFFF"/>
        </w:rPr>
        <w:t>EuGB</w:t>
      </w:r>
      <w:proofErr w:type="spellEnd"/>
      <w:r w:rsidRPr="000431F7">
        <w:rPr>
          <w:rFonts w:ascii="Times New Roman" w:hAnsi="Times New Roman" w:cs="Times New Roman"/>
          <w:sz w:val="24"/>
          <w:szCs w:val="24"/>
          <w:shd w:val="clear" w:color="auto" w:fill="FFFFFF"/>
        </w:rPr>
        <w:t>, w zakresie spełniania przez te podmioty obowiązków wynikających z rozporządzenia 2023/2631</w:t>
      </w:r>
      <w:r w:rsidR="00BE0FC8">
        <w:rPr>
          <w:rFonts w:ascii="Times New Roman" w:hAnsi="Times New Roman" w:cs="Times New Roman"/>
          <w:sz w:val="24"/>
          <w:szCs w:val="24"/>
          <w:shd w:val="clear" w:color="auto" w:fill="FFFFFF"/>
        </w:rPr>
        <w:t>.</w:t>
      </w:r>
    </w:p>
    <w:p w14:paraId="00824A82" w14:textId="0BBE657A" w:rsidR="00381FD6" w:rsidRPr="000431F7" w:rsidRDefault="00381FD6" w:rsidP="004742CC">
      <w:pPr>
        <w:spacing w:before="120" w:after="0" w:line="360" w:lineRule="auto"/>
        <w:jc w:val="both"/>
        <w:rPr>
          <w:rFonts w:ascii="Times New Roman" w:hAnsi="Times New Roman" w:cs="Times New Roman"/>
          <w:sz w:val="24"/>
          <w:szCs w:val="24"/>
          <w:shd w:val="clear" w:color="auto" w:fill="FFFFFF"/>
        </w:rPr>
      </w:pPr>
      <w:r w:rsidRPr="000431F7">
        <w:rPr>
          <w:rFonts w:ascii="Times New Roman" w:hAnsi="Times New Roman" w:cs="Times New Roman"/>
          <w:sz w:val="24"/>
          <w:szCs w:val="24"/>
          <w:shd w:val="clear" w:color="auto" w:fill="FFFFFF"/>
        </w:rPr>
        <w:t>Organem odpowiedzialnym za nadzór nad przestrzeganiem rozporządzenia 2023/2631, jako organ nadzoru nad rynkiem finansowym w Polsce</w:t>
      </w:r>
      <w:r w:rsidR="005073AD">
        <w:rPr>
          <w:rFonts w:ascii="Times New Roman" w:hAnsi="Times New Roman" w:cs="Times New Roman"/>
          <w:sz w:val="24"/>
          <w:szCs w:val="24"/>
          <w:shd w:val="clear" w:color="auto" w:fill="FFFFFF"/>
        </w:rPr>
        <w:t>, będzie</w:t>
      </w:r>
      <w:r w:rsidR="00791922" w:rsidRPr="000431F7">
        <w:rPr>
          <w:rFonts w:ascii="Times New Roman" w:hAnsi="Times New Roman" w:cs="Times New Roman"/>
          <w:sz w:val="24"/>
          <w:szCs w:val="24"/>
          <w:shd w:val="clear" w:color="auto" w:fill="FFFFFF"/>
        </w:rPr>
        <w:t xml:space="preserve"> KNF, </w:t>
      </w:r>
      <w:r w:rsidRPr="000431F7">
        <w:rPr>
          <w:rFonts w:ascii="Times New Roman" w:hAnsi="Times New Roman" w:cs="Times New Roman"/>
          <w:sz w:val="24"/>
          <w:szCs w:val="24"/>
          <w:shd w:val="clear" w:color="auto" w:fill="FFFFFF"/>
        </w:rPr>
        <w:t>która:</w:t>
      </w:r>
    </w:p>
    <w:p w14:paraId="217110C8" w14:textId="1B6D07F7" w:rsidR="00381FD6" w:rsidRPr="000431F7" w:rsidRDefault="00381FD6" w:rsidP="004742CC">
      <w:pPr>
        <w:pStyle w:val="Akapitzlist"/>
        <w:numPr>
          <w:ilvl w:val="0"/>
          <w:numId w:val="26"/>
        </w:numPr>
        <w:spacing w:before="120" w:after="0" w:line="360" w:lineRule="auto"/>
        <w:ind w:left="426" w:hanging="426"/>
        <w:jc w:val="both"/>
        <w:rPr>
          <w:rFonts w:ascii="Times New Roman" w:hAnsi="Times New Roman" w:cs="Times New Roman"/>
          <w:sz w:val="24"/>
          <w:szCs w:val="24"/>
          <w:shd w:val="clear" w:color="auto" w:fill="FFFFFF"/>
        </w:rPr>
      </w:pPr>
      <w:r w:rsidRPr="000431F7">
        <w:rPr>
          <w:rFonts w:ascii="Times New Roman" w:hAnsi="Times New Roman" w:cs="Times New Roman"/>
          <w:sz w:val="24"/>
          <w:szCs w:val="24"/>
          <w:shd w:val="clear" w:color="auto" w:fill="FFFFFF"/>
        </w:rPr>
        <w:t xml:space="preserve">może przeprowadzać kontrolę działalności podmiotów, o których mowa w art. 44 ust. 1 i 2 rozporządzenia 2023/2631, z wyłączeniem podmiotów, o których mowa w art. 44 ust. 3 tego rozporządzenia. Do ww. kontroli znajdą zastosowanie przepisy ustawy z dnia 6 marca 2018 r. </w:t>
      </w:r>
      <w:r w:rsidR="00AC35F5">
        <w:rPr>
          <w:rFonts w:ascii="Times New Roman" w:hAnsi="Times New Roman" w:cs="Times New Roman"/>
          <w:sz w:val="24"/>
          <w:szCs w:val="24"/>
          <w:shd w:val="clear" w:color="auto" w:fill="FFFFFF"/>
        </w:rPr>
        <w:t>–</w:t>
      </w:r>
      <w:r w:rsidRPr="000431F7">
        <w:rPr>
          <w:rFonts w:ascii="Times New Roman" w:hAnsi="Times New Roman" w:cs="Times New Roman"/>
          <w:sz w:val="24"/>
          <w:szCs w:val="24"/>
          <w:shd w:val="clear" w:color="auto" w:fill="FFFFFF"/>
        </w:rPr>
        <w:t xml:space="preserve"> Prawo przedsiębiorców;</w:t>
      </w:r>
    </w:p>
    <w:p w14:paraId="099D7AF0" w14:textId="5728DA48" w:rsidR="00381FD6" w:rsidRPr="000431F7" w:rsidRDefault="00381FD6" w:rsidP="004742CC">
      <w:pPr>
        <w:pStyle w:val="Akapitzlist"/>
        <w:numPr>
          <w:ilvl w:val="0"/>
          <w:numId w:val="26"/>
        </w:numPr>
        <w:spacing w:before="120" w:after="0" w:line="360" w:lineRule="auto"/>
        <w:ind w:left="426" w:hanging="426"/>
        <w:jc w:val="both"/>
        <w:rPr>
          <w:rFonts w:ascii="Times New Roman" w:hAnsi="Times New Roman" w:cs="Times New Roman"/>
          <w:sz w:val="24"/>
          <w:szCs w:val="24"/>
          <w:shd w:val="clear" w:color="auto" w:fill="FFFFFF"/>
        </w:rPr>
      </w:pPr>
      <w:r w:rsidRPr="000431F7">
        <w:rPr>
          <w:rFonts w:ascii="Times New Roman" w:hAnsi="Times New Roman" w:cs="Times New Roman"/>
          <w:sz w:val="24"/>
          <w:szCs w:val="24"/>
          <w:shd w:val="clear" w:color="auto" w:fill="FFFFFF"/>
        </w:rPr>
        <w:t>w przypadku naruszenia lub uzasadnionego podejrzenia naruszenia obowiązków określonych w rozporządzeniu 2023/2631 może</w:t>
      </w:r>
      <w:r w:rsidR="00791922" w:rsidRPr="000431F7">
        <w:rPr>
          <w:rFonts w:ascii="Times New Roman" w:hAnsi="Times New Roman" w:cs="Times New Roman"/>
          <w:sz w:val="24"/>
          <w:szCs w:val="24"/>
          <w:shd w:val="clear" w:color="auto" w:fill="FFFFFF"/>
        </w:rPr>
        <w:t>,</w:t>
      </w:r>
      <w:r w:rsidRPr="000431F7">
        <w:rPr>
          <w:rFonts w:ascii="Times New Roman" w:hAnsi="Times New Roman" w:cs="Times New Roman"/>
          <w:sz w:val="24"/>
          <w:szCs w:val="24"/>
          <w:shd w:val="clear" w:color="auto" w:fill="FFFFFF"/>
        </w:rPr>
        <w:t xml:space="preserve"> w drodze decyzji:</w:t>
      </w:r>
    </w:p>
    <w:p w14:paraId="79820397" w14:textId="40D73CE3" w:rsidR="00381FD6" w:rsidRPr="000431F7" w:rsidRDefault="00381FD6" w:rsidP="004742CC">
      <w:pPr>
        <w:pStyle w:val="Akapitzlist"/>
        <w:numPr>
          <w:ilvl w:val="0"/>
          <w:numId w:val="28"/>
        </w:numPr>
        <w:spacing w:before="120" w:after="0" w:line="360" w:lineRule="auto"/>
        <w:ind w:left="851" w:hanging="417"/>
        <w:jc w:val="both"/>
        <w:rPr>
          <w:rFonts w:ascii="Times New Roman" w:hAnsi="Times New Roman" w:cs="Times New Roman"/>
          <w:sz w:val="24"/>
          <w:szCs w:val="24"/>
          <w:shd w:val="clear" w:color="auto" w:fill="FFFFFF"/>
        </w:rPr>
      </w:pPr>
      <w:r w:rsidRPr="000431F7">
        <w:rPr>
          <w:rFonts w:ascii="Times New Roman" w:hAnsi="Times New Roman" w:cs="Times New Roman"/>
          <w:sz w:val="24"/>
          <w:szCs w:val="24"/>
          <w:shd w:val="clear" w:color="auto" w:fill="FFFFFF"/>
        </w:rPr>
        <w:t>nakazać wstrzymanie rozpoczęcia prowadzenia reklamy europejskich zielonych obligacji lub przerwanie jej prowadzenia</w:t>
      </w:r>
      <w:r w:rsidR="005073AD">
        <w:rPr>
          <w:rFonts w:ascii="Times New Roman" w:hAnsi="Times New Roman" w:cs="Times New Roman"/>
          <w:sz w:val="24"/>
          <w:szCs w:val="24"/>
          <w:shd w:val="clear" w:color="auto" w:fill="FFFFFF"/>
        </w:rPr>
        <w:t>,</w:t>
      </w:r>
    </w:p>
    <w:p w14:paraId="0BD0BB78" w14:textId="1C47A61C" w:rsidR="00381FD6" w:rsidRPr="000431F7" w:rsidRDefault="00381FD6" w:rsidP="004742CC">
      <w:pPr>
        <w:pStyle w:val="Akapitzlist"/>
        <w:numPr>
          <w:ilvl w:val="0"/>
          <w:numId w:val="28"/>
        </w:numPr>
        <w:spacing w:before="120" w:after="0" w:line="360" w:lineRule="auto"/>
        <w:ind w:left="851" w:hanging="417"/>
        <w:jc w:val="both"/>
        <w:rPr>
          <w:rFonts w:ascii="Times New Roman" w:hAnsi="Times New Roman" w:cs="Times New Roman"/>
          <w:sz w:val="24"/>
          <w:szCs w:val="24"/>
          <w:shd w:val="clear" w:color="auto" w:fill="FFFFFF"/>
        </w:rPr>
      </w:pPr>
      <w:r w:rsidRPr="000431F7">
        <w:rPr>
          <w:rFonts w:ascii="Times New Roman" w:hAnsi="Times New Roman" w:cs="Times New Roman"/>
          <w:sz w:val="24"/>
          <w:szCs w:val="24"/>
          <w:shd w:val="clear" w:color="auto" w:fill="FFFFFF"/>
        </w:rPr>
        <w:t>zakazać rozpoczęcia prowadzenia reklamy europejskich zielonych obligacji lub nakazać przerwanie jej prowadzenia</w:t>
      </w:r>
      <w:r w:rsidR="005073AD">
        <w:rPr>
          <w:rFonts w:ascii="Times New Roman" w:hAnsi="Times New Roman" w:cs="Times New Roman"/>
          <w:sz w:val="24"/>
          <w:szCs w:val="24"/>
          <w:shd w:val="clear" w:color="auto" w:fill="FFFFFF"/>
        </w:rPr>
        <w:t>,</w:t>
      </w:r>
    </w:p>
    <w:p w14:paraId="61B4B359" w14:textId="03BC4B41" w:rsidR="00381FD6" w:rsidRPr="000431F7" w:rsidRDefault="00381FD6" w:rsidP="004742CC">
      <w:pPr>
        <w:pStyle w:val="Akapitzlist"/>
        <w:numPr>
          <w:ilvl w:val="0"/>
          <w:numId w:val="28"/>
        </w:numPr>
        <w:spacing w:before="120" w:after="0" w:line="360" w:lineRule="auto"/>
        <w:ind w:left="851" w:hanging="417"/>
        <w:jc w:val="both"/>
        <w:rPr>
          <w:rFonts w:ascii="Times New Roman" w:hAnsi="Times New Roman" w:cs="Times New Roman"/>
          <w:sz w:val="24"/>
          <w:szCs w:val="24"/>
          <w:shd w:val="clear" w:color="auto" w:fill="FFFFFF"/>
        </w:rPr>
      </w:pPr>
      <w:r w:rsidRPr="000431F7">
        <w:rPr>
          <w:rFonts w:ascii="Times New Roman" w:hAnsi="Times New Roman" w:cs="Times New Roman"/>
          <w:sz w:val="24"/>
          <w:szCs w:val="24"/>
          <w:shd w:val="clear" w:color="auto" w:fill="FFFFFF"/>
        </w:rPr>
        <w:t>nakazać wstrzymanie rozpoczęcia oferty publicznej, subskrypcji lub sprzedaży europejskich zielonych obligacji albo przerwanie jej przebiegu</w:t>
      </w:r>
      <w:r w:rsidR="005073AD">
        <w:rPr>
          <w:rFonts w:ascii="Times New Roman" w:hAnsi="Times New Roman" w:cs="Times New Roman"/>
          <w:sz w:val="24"/>
          <w:szCs w:val="24"/>
          <w:shd w:val="clear" w:color="auto" w:fill="FFFFFF"/>
        </w:rPr>
        <w:t>,</w:t>
      </w:r>
    </w:p>
    <w:p w14:paraId="6C51457B" w14:textId="699FB03D" w:rsidR="00381FD6" w:rsidRPr="000431F7" w:rsidRDefault="00381FD6" w:rsidP="004742CC">
      <w:pPr>
        <w:pStyle w:val="Akapitzlist"/>
        <w:numPr>
          <w:ilvl w:val="0"/>
          <w:numId w:val="28"/>
        </w:numPr>
        <w:spacing w:before="120" w:after="0" w:line="360" w:lineRule="auto"/>
        <w:ind w:left="851" w:hanging="417"/>
        <w:jc w:val="both"/>
        <w:rPr>
          <w:rFonts w:ascii="Times New Roman" w:hAnsi="Times New Roman" w:cs="Times New Roman"/>
          <w:sz w:val="24"/>
          <w:szCs w:val="24"/>
          <w:shd w:val="clear" w:color="auto" w:fill="FFFFFF"/>
        </w:rPr>
      </w:pPr>
      <w:r w:rsidRPr="000431F7">
        <w:rPr>
          <w:rFonts w:ascii="Times New Roman" w:hAnsi="Times New Roman" w:cs="Times New Roman"/>
          <w:sz w:val="24"/>
          <w:szCs w:val="24"/>
          <w:shd w:val="clear" w:color="auto" w:fill="FFFFFF"/>
        </w:rPr>
        <w:lastRenderedPageBreak/>
        <w:t>zakazać rozpoczęcia oferty publicznej, subskrypcji lub sprzedaży europejskich zielonych obligacji albo dalszego jej prowadzenia</w:t>
      </w:r>
      <w:r w:rsidR="005073AD">
        <w:rPr>
          <w:rFonts w:ascii="Times New Roman" w:hAnsi="Times New Roman" w:cs="Times New Roman"/>
          <w:sz w:val="24"/>
          <w:szCs w:val="24"/>
          <w:shd w:val="clear" w:color="auto" w:fill="FFFFFF"/>
        </w:rPr>
        <w:t>,</w:t>
      </w:r>
    </w:p>
    <w:p w14:paraId="04E36BF5" w14:textId="2E38F3C5" w:rsidR="00381FD6" w:rsidRPr="000431F7" w:rsidRDefault="00381FD6" w:rsidP="004742CC">
      <w:pPr>
        <w:pStyle w:val="Akapitzlist"/>
        <w:numPr>
          <w:ilvl w:val="0"/>
          <w:numId w:val="28"/>
        </w:numPr>
        <w:spacing w:before="120" w:after="0" w:line="360" w:lineRule="auto"/>
        <w:ind w:left="851" w:hanging="417"/>
        <w:jc w:val="both"/>
        <w:rPr>
          <w:rFonts w:ascii="Times New Roman" w:hAnsi="Times New Roman" w:cs="Times New Roman"/>
          <w:sz w:val="24"/>
          <w:szCs w:val="24"/>
          <w:shd w:val="clear" w:color="auto" w:fill="FFFFFF"/>
        </w:rPr>
      </w:pPr>
      <w:r w:rsidRPr="000431F7">
        <w:rPr>
          <w:rFonts w:ascii="Times New Roman" w:hAnsi="Times New Roman" w:cs="Times New Roman"/>
          <w:sz w:val="24"/>
          <w:szCs w:val="24"/>
          <w:shd w:val="clear" w:color="auto" w:fill="FFFFFF"/>
        </w:rPr>
        <w:t>nakazać wstrzymanie ubiegania się o dopuszczenie lub wprowadzenie europejskich zielonych obligacji do obrotu na rynku regulowanym</w:t>
      </w:r>
      <w:r w:rsidR="005073AD">
        <w:rPr>
          <w:rFonts w:ascii="Times New Roman" w:hAnsi="Times New Roman" w:cs="Times New Roman"/>
          <w:sz w:val="24"/>
          <w:szCs w:val="24"/>
          <w:shd w:val="clear" w:color="auto" w:fill="FFFFFF"/>
        </w:rPr>
        <w:t>,</w:t>
      </w:r>
    </w:p>
    <w:p w14:paraId="23B15B9D" w14:textId="63126474" w:rsidR="00381FD6" w:rsidRPr="000431F7" w:rsidRDefault="00381FD6" w:rsidP="004742CC">
      <w:pPr>
        <w:pStyle w:val="Akapitzlist"/>
        <w:numPr>
          <w:ilvl w:val="0"/>
          <w:numId w:val="28"/>
        </w:numPr>
        <w:spacing w:before="120" w:after="0" w:line="360" w:lineRule="auto"/>
        <w:ind w:left="851" w:hanging="417"/>
        <w:jc w:val="both"/>
        <w:rPr>
          <w:rFonts w:ascii="Times New Roman" w:hAnsi="Times New Roman" w:cs="Times New Roman"/>
          <w:sz w:val="24"/>
          <w:szCs w:val="24"/>
          <w:shd w:val="clear" w:color="auto" w:fill="FFFFFF"/>
        </w:rPr>
      </w:pPr>
      <w:r w:rsidRPr="000431F7">
        <w:rPr>
          <w:rFonts w:ascii="Times New Roman" w:hAnsi="Times New Roman" w:cs="Times New Roman"/>
          <w:sz w:val="24"/>
          <w:szCs w:val="24"/>
          <w:shd w:val="clear" w:color="auto" w:fill="FFFFFF"/>
        </w:rPr>
        <w:t>zakazać ubiegania się o dopuszczenie lub wprowadzenie europejskich zielonych obligacji do obrotu na rynku regulowanym;</w:t>
      </w:r>
    </w:p>
    <w:p w14:paraId="6614660E" w14:textId="360ED221" w:rsidR="00381FD6" w:rsidRPr="000431F7" w:rsidRDefault="00381FD6" w:rsidP="004742CC">
      <w:pPr>
        <w:pStyle w:val="Akapitzlist"/>
        <w:numPr>
          <w:ilvl w:val="0"/>
          <w:numId w:val="26"/>
        </w:numPr>
        <w:spacing w:before="120" w:after="0" w:line="360" w:lineRule="auto"/>
        <w:ind w:left="426" w:hanging="426"/>
        <w:jc w:val="both"/>
        <w:rPr>
          <w:rFonts w:ascii="Times New Roman" w:hAnsi="Times New Roman" w:cs="Times New Roman"/>
          <w:sz w:val="24"/>
          <w:szCs w:val="24"/>
          <w:shd w:val="clear" w:color="auto" w:fill="FFFFFF"/>
        </w:rPr>
      </w:pPr>
      <w:r w:rsidRPr="000431F7">
        <w:rPr>
          <w:rFonts w:ascii="Times New Roman" w:hAnsi="Times New Roman" w:cs="Times New Roman"/>
          <w:sz w:val="24"/>
          <w:szCs w:val="24"/>
          <w:shd w:val="clear" w:color="auto" w:fill="FFFFFF"/>
        </w:rPr>
        <w:t>może podać do publicznej wiadomości informację o nieprzestrzeganiu przez dany podmiot przepisów rozporządzenia 2023/2631 oraz zobowiązać podmiot do udostępnienia tej informacji na jego stronie internetowej;</w:t>
      </w:r>
    </w:p>
    <w:p w14:paraId="379C26FD" w14:textId="5074738B" w:rsidR="00381FD6" w:rsidRPr="000431F7" w:rsidRDefault="00381FD6" w:rsidP="004742CC">
      <w:pPr>
        <w:pStyle w:val="Akapitzlist"/>
        <w:numPr>
          <w:ilvl w:val="0"/>
          <w:numId w:val="26"/>
        </w:numPr>
        <w:spacing w:before="120" w:after="0" w:line="360" w:lineRule="auto"/>
        <w:ind w:left="426" w:hanging="426"/>
        <w:jc w:val="both"/>
        <w:rPr>
          <w:rFonts w:ascii="Times New Roman" w:hAnsi="Times New Roman" w:cs="Times New Roman"/>
          <w:sz w:val="24"/>
          <w:szCs w:val="24"/>
          <w:shd w:val="clear" w:color="auto" w:fill="FFFFFF"/>
        </w:rPr>
      </w:pPr>
      <w:r w:rsidRPr="000431F7">
        <w:rPr>
          <w:rFonts w:ascii="Times New Roman" w:hAnsi="Times New Roman" w:cs="Times New Roman"/>
          <w:sz w:val="24"/>
          <w:szCs w:val="24"/>
          <w:shd w:val="clear" w:color="auto" w:fill="FFFFFF"/>
        </w:rPr>
        <w:t>może opublikować informację o zaprzestaniu spełniania przez dany podmiot wymogów rozporządzenia 2023/2631 oraz zobowiązać podmiot do udostępnienia tej informacji na jego stronie internetowej;</w:t>
      </w:r>
    </w:p>
    <w:p w14:paraId="7C909412" w14:textId="4982C95B" w:rsidR="00381FD6" w:rsidRPr="000431F7" w:rsidRDefault="00381FD6" w:rsidP="004742CC">
      <w:pPr>
        <w:pStyle w:val="Akapitzlist"/>
        <w:numPr>
          <w:ilvl w:val="0"/>
          <w:numId w:val="26"/>
        </w:numPr>
        <w:spacing w:before="120" w:after="0" w:line="360" w:lineRule="auto"/>
        <w:ind w:left="426" w:hanging="426"/>
        <w:jc w:val="both"/>
        <w:rPr>
          <w:rFonts w:ascii="Times New Roman" w:hAnsi="Times New Roman" w:cs="Times New Roman"/>
          <w:sz w:val="24"/>
          <w:szCs w:val="24"/>
          <w:shd w:val="clear" w:color="auto" w:fill="FFFFFF"/>
        </w:rPr>
      </w:pPr>
      <w:r w:rsidRPr="000431F7">
        <w:rPr>
          <w:rFonts w:ascii="Times New Roman" w:hAnsi="Times New Roman" w:cs="Times New Roman"/>
          <w:sz w:val="24"/>
          <w:szCs w:val="24"/>
          <w:shd w:val="clear" w:color="auto" w:fill="FFFFFF"/>
        </w:rPr>
        <w:t>może nałożyć karę pieniężną.</w:t>
      </w:r>
    </w:p>
    <w:p w14:paraId="518D6069" w14:textId="77777777" w:rsidR="00381FD6" w:rsidRPr="000431F7" w:rsidRDefault="00381FD6" w:rsidP="004742CC">
      <w:pPr>
        <w:spacing w:before="120" w:after="0" w:line="360" w:lineRule="auto"/>
        <w:jc w:val="both"/>
        <w:rPr>
          <w:rFonts w:ascii="Times New Roman" w:hAnsi="Times New Roman" w:cs="Times New Roman"/>
          <w:sz w:val="24"/>
          <w:szCs w:val="24"/>
          <w:shd w:val="clear" w:color="auto" w:fill="FFFFFF"/>
        </w:rPr>
      </w:pPr>
      <w:r w:rsidRPr="000431F7">
        <w:rPr>
          <w:rFonts w:ascii="Times New Roman" w:hAnsi="Times New Roman" w:cs="Times New Roman"/>
          <w:sz w:val="24"/>
          <w:szCs w:val="24"/>
          <w:shd w:val="clear" w:color="auto" w:fill="FFFFFF"/>
        </w:rPr>
        <w:t>Projektowane przepisy określą wysokości ww. kar pieniężnych nakładanych w przypadku naruszenia przepisów rozporządzenia 2023/2631, w tym przesłanki wpływające na wysokość kary. Jednocześnie określą maksymalną wysokość kary pieniężnej, a także zasady udostępnienia informacji o nałożonych karach.</w:t>
      </w:r>
    </w:p>
    <w:p w14:paraId="4EF5D682" w14:textId="00B4151B" w:rsidR="00381FD6" w:rsidRPr="000431F7" w:rsidRDefault="00381FD6" w:rsidP="004742CC">
      <w:pPr>
        <w:spacing w:before="120" w:after="0" w:line="360" w:lineRule="auto"/>
        <w:jc w:val="both"/>
        <w:rPr>
          <w:rFonts w:ascii="Times New Roman" w:hAnsi="Times New Roman" w:cs="Times New Roman"/>
          <w:sz w:val="24"/>
          <w:szCs w:val="24"/>
          <w:shd w:val="clear" w:color="auto" w:fill="FFFFFF"/>
        </w:rPr>
      </w:pPr>
      <w:r w:rsidRPr="000431F7">
        <w:rPr>
          <w:rFonts w:ascii="Times New Roman" w:hAnsi="Times New Roman" w:cs="Times New Roman"/>
          <w:sz w:val="24"/>
          <w:szCs w:val="24"/>
          <w:shd w:val="clear" w:color="auto" w:fill="FFFFFF"/>
        </w:rPr>
        <w:t>Ponadto projektowane przepisy określą środki, jakie mogą być stosowane przez K</w:t>
      </w:r>
      <w:r w:rsidR="00791922" w:rsidRPr="000431F7">
        <w:rPr>
          <w:rFonts w:ascii="Times New Roman" w:hAnsi="Times New Roman" w:cs="Times New Roman"/>
          <w:sz w:val="24"/>
          <w:szCs w:val="24"/>
          <w:shd w:val="clear" w:color="auto" w:fill="FFFFFF"/>
        </w:rPr>
        <w:t>NF</w:t>
      </w:r>
      <w:r w:rsidRPr="000431F7">
        <w:rPr>
          <w:rFonts w:ascii="Times New Roman" w:hAnsi="Times New Roman" w:cs="Times New Roman"/>
          <w:sz w:val="24"/>
          <w:szCs w:val="24"/>
          <w:shd w:val="clear" w:color="auto" w:fill="FFFFFF"/>
        </w:rPr>
        <w:t xml:space="preserve"> w przypadku naruszeń przepisów przez emitentów europejskich zielonych obligacji, szczególnie w sytuacjach, gdy Polska jest państwem przyjmującym. Przepisy te mają na celu zapewnienie skutecznego nadzoru i współpracy na poziomie krajowym oraz unijnym.</w:t>
      </w:r>
    </w:p>
    <w:p w14:paraId="50621A1A" w14:textId="656B4474" w:rsidR="00ED7946" w:rsidRPr="000431F7" w:rsidRDefault="009C66E7" w:rsidP="004742CC">
      <w:pPr>
        <w:tabs>
          <w:tab w:val="left" w:pos="426"/>
        </w:tabs>
        <w:spacing w:before="120" w:after="0" w:line="360" w:lineRule="auto"/>
        <w:jc w:val="both"/>
        <w:rPr>
          <w:rFonts w:ascii="Times New Roman" w:hAnsi="Times New Roman" w:cs="Times New Roman"/>
          <w:b/>
          <w:bCs/>
          <w:sz w:val="24"/>
          <w:szCs w:val="24"/>
        </w:rPr>
      </w:pPr>
      <w:r w:rsidRPr="000431F7">
        <w:rPr>
          <w:rFonts w:ascii="Times New Roman" w:hAnsi="Times New Roman" w:cs="Times New Roman"/>
          <w:b/>
          <w:bCs/>
          <w:sz w:val="24"/>
          <w:szCs w:val="24"/>
        </w:rPr>
        <w:t>II.</w:t>
      </w:r>
      <w:r w:rsidR="005F2B39">
        <w:rPr>
          <w:rFonts w:ascii="Times New Roman" w:hAnsi="Times New Roman" w:cs="Times New Roman"/>
          <w:b/>
          <w:bCs/>
          <w:sz w:val="24"/>
          <w:szCs w:val="24"/>
        </w:rPr>
        <w:tab/>
      </w:r>
      <w:r w:rsidR="00ED7946" w:rsidRPr="000431F7">
        <w:rPr>
          <w:rFonts w:ascii="Times New Roman" w:hAnsi="Times New Roman" w:cs="Times New Roman"/>
          <w:b/>
          <w:bCs/>
          <w:sz w:val="24"/>
          <w:szCs w:val="24"/>
        </w:rPr>
        <w:t xml:space="preserve">Szczegółowe omówienie przepisów ustawy </w:t>
      </w:r>
    </w:p>
    <w:p w14:paraId="1545F733" w14:textId="02F1641D" w:rsidR="006F0741" w:rsidRPr="000431F7" w:rsidRDefault="006F0741" w:rsidP="004742CC">
      <w:pPr>
        <w:tabs>
          <w:tab w:val="left" w:pos="426"/>
        </w:tabs>
        <w:spacing w:before="120" w:after="0" w:line="360" w:lineRule="auto"/>
        <w:jc w:val="both"/>
        <w:rPr>
          <w:rFonts w:ascii="Times New Roman" w:hAnsi="Times New Roman" w:cs="Times New Roman"/>
          <w:b/>
          <w:bCs/>
          <w:sz w:val="24"/>
          <w:szCs w:val="24"/>
        </w:rPr>
      </w:pPr>
      <w:r w:rsidRPr="000431F7">
        <w:rPr>
          <w:rFonts w:ascii="Times New Roman" w:hAnsi="Times New Roman" w:cs="Times New Roman"/>
          <w:b/>
          <w:bCs/>
          <w:sz w:val="24"/>
          <w:szCs w:val="24"/>
        </w:rPr>
        <w:t>1.</w:t>
      </w:r>
      <w:r w:rsidR="005F2B39">
        <w:rPr>
          <w:rFonts w:ascii="Times New Roman" w:hAnsi="Times New Roman" w:cs="Times New Roman"/>
          <w:b/>
          <w:bCs/>
          <w:sz w:val="24"/>
          <w:szCs w:val="24"/>
        </w:rPr>
        <w:tab/>
      </w:r>
      <w:r w:rsidR="00F020CD">
        <w:rPr>
          <w:rFonts w:ascii="Times New Roman" w:hAnsi="Times New Roman" w:cs="Times New Roman"/>
          <w:b/>
          <w:bCs/>
          <w:sz w:val="24"/>
          <w:szCs w:val="24"/>
        </w:rPr>
        <w:t>Z</w:t>
      </w:r>
      <w:r w:rsidR="00DA79A1" w:rsidRPr="000431F7">
        <w:rPr>
          <w:rFonts w:ascii="Times New Roman" w:hAnsi="Times New Roman" w:cs="Times New Roman"/>
          <w:b/>
          <w:bCs/>
          <w:sz w:val="24"/>
          <w:szCs w:val="24"/>
        </w:rPr>
        <w:t xml:space="preserve">miany </w:t>
      </w:r>
      <w:r w:rsidR="00EC7DA7">
        <w:rPr>
          <w:rFonts w:ascii="Times New Roman" w:hAnsi="Times New Roman" w:cs="Times New Roman"/>
          <w:b/>
          <w:bCs/>
          <w:sz w:val="24"/>
          <w:szCs w:val="24"/>
        </w:rPr>
        <w:t xml:space="preserve">w </w:t>
      </w:r>
      <w:r w:rsidR="00DA79A1" w:rsidRPr="000431F7">
        <w:rPr>
          <w:rFonts w:ascii="Times New Roman" w:hAnsi="Times New Roman" w:cs="Times New Roman"/>
          <w:b/>
          <w:bCs/>
          <w:sz w:val="24"/>
          <w:szCs w:val="24"/>
        </w:rPr>
        <w:t>ustawie z dnia 7 lipca 1994 r. o ubezpieczeniach gwarantowanych przez Skarb Państwa (art. 1)</w:t>
      </w:r>
    </w:p>
    <w:p w14:paraId="044B6480" w14:textId="4629DAF0" w:rsidR="00B155ED" w:rsidRPr="000431F7" w:rsidRDefault="00DA79A1" w:rsidP="004742CC">
      <w:pPr>
        <w:pStyle w:val="ARTartustawynprozporzdzenia"/>
        <w:ind w:firstLine="0"/>
        <w:rPr>
          <w:rFonts w:ascii="Times New Roman" w:hAnsi="Times New Roman" w:cs="Times New Roman"/>
          <w:szCs w:val="24"/>
        </w:rPr>
      </w:pPr>
      <w:r w:rsidRPr="000431F7">
        <w:rPr>
          <w:rFonts w:ascii="Times New Roman" w:hAnsi="Times New Roman" w:cs="Times New Roman"/>
          <w:b/>
          <w:bCs/>
          <w:szCs w:val="24"/>
        </w:rPr>
        <w:t xml:space="preserve">Art. 1 </w:t>
      </w:r>
      <w:r w:rsidRPr="000431F7">
        <w:rPr>
          <w:rFonts w:ascii="Times New Roman" w:hAnsi="Times New Roman" w:cs="Times New Roman"/>
          <w:szCs w:val="24"/>
        </w:rPr>
        <w:t>wprowadza zmiany</w:t>
      </w:r>
      <w:r w:rsidRPr="000431F7">
        <w:rPr>
          <w:rFonts w:ascii="Times New Roman" w:hAnsi="Times New Roman" w:cs="Times New Roman"/>
          <w:b/>
          <w:bCs/>
          <w:szCs w:val="24"/>
        </w:rPr>
        <w:t xml:space="preserve"> </w:t>
      </w:r>
      <w:r w:rsidRPr="000431F7">
        <w:rPr>
          <w:rFonts w:ascii="Times New Roman" w:hAnsi="Times New Roman" w:cs="Times New Roman"/>
          <w:szCs w:val="24"/>
        </w:rPr>
        <w:t xml:space="preserve">w art. 15 ustawy z dnia 7 lipca 1994 r. o ubezpieczeniach gwarantowanych przez Skarb Państwa, </w:t>
      </w:r>
      <w:bookmarkStart w:id="5" w:name="_Hlk181942779"/>
      <w:r w:rsidRPr="000431F7">
        <w:rPr>
          <w:rFonts w:ascii="Times New Roman" w:hAnsi="Times New Roman" w:cs="Times New Roman"/>
          <w:szCs w:val="24"/>
        </w:rPr>
        <w:t xml:space="preserve">mające na celu powierzenie Komisji Nadzoru Finansowego nadzoru nad spełnianiem przez Korporację Ubezpieczeń Kredytów Eksportowych S.A. (dalej zwanej </w:t>
      </w:r>
      <w:r w:rsidR="00987740">
        <w:rPr>
          <w:rFonts w:ascii="Times New Roman" w:hAnsi="Times New Roman" w:cs="Times New Roman"/>
          <w:szCs w:val="24"/>
        </w:rPr>
        <w:t>„</w:t>
      </w:r>
      <w:r w:rsidRPr="000431F7">
        <w:rPr>
          <w:rFonts w:ascii="Times New Roman" w:hAnsi="Times New Roman" w:cs="Times New Roman"/>
          <w:szCs w:val="24"/>
        </w:rPr>
        <w:t>Korporacją</w:t>
      </w:r>
      <w:r w:rsidR="00987740">
        <w:rPr>
          <w:rFonts w:ascii="Times New Roman" w:hAnsi="Times New Roman" w:cs="Times New Roman"/>
          <w:szCs w:val="24"/>
        </w:rPr>
        <w:t>”</w:t>
      </w:r>
      <w:r w:rsidRPr="000431F7">
        <w:rPr>
          <w:rFonts w:ascii="Times New Roman" w:hAnsi="Times New Roman" w:cs="Times New Roman"/>
          <w:szCs w:val="24"/>
        </w:rPr>
        <w:t>)</w:t>
      </w:r>
      <w:r w:rsidR="00987740">
        <w:rPr>
          <w:rFonts w:ascii="Times New Roman" w:hAnsi="Times New Roman" w:cs="Times New Roman"/>
          <w:szCs w:val="24"/>
        </w:rPr>
        <w:t xml:space="preserve"> </w:t>
      </w:r>
      <w:r w:rsidRPr="000431F7">
        <w:rPr>
          <w:rFonts w:ascii="Times New Roman" w:hAnsi="Times New Roman" w:cs="Times New Roman"/>
          <w:szCs w:val="24"/>
        </w:rPr>
        <w:t>wymagań, które na zakłady ubezpieczeń nakłada rozporządzenie 2022/2554. Nie ulega bowiem wątpliwości, że Korporacja jako podmiot udzielający ubezpieczeń jest zobowiązana spełniać wymagania rozporządzenia 2022/2554 zarówno</w:t>
      </w:r>
      <w:r w:rsidR="00987740">
        <w:rPr>
          <w:rFonts w:ascii="Times New Roman" w:hAnsi="Times New Roman" w:cs="Times New Roman"/>
          <w:szCs w:val="24"/>
        </w:rPr>
        <w:t xml:space="preserve"> </w:t>
      </w:r>
      <w:r w:rsidRPr="000431F7">
        <w:rPr>
          <w:rFonts w:ascii="Times New Roman" w:hAnsi="Times New Roman" w:cs="Times New Roman"/>
          <w:szCs w:val="24"/>
        </w:rPr>
        <w:t>w odniesieniu do ubezpieczeń komercyjnych, jak i gwarantowanych przez Skarb Państwa, a organem właściwym w tej materii jest KNF</w:t>
      </w:r>
      <w:bookmarkEnd w:id="5"/>
      <w:r w:rsidR="0015298E" w:rsidRPr="000431F7">
        <w:rPr>
          <w:rFonts w:ascii="Times New Roman" w:hAnsi="Times New Roman" w:cs="Times New Roman"/>
          <w:szCs w:val="24"/>
        </w:rPr>
        <w:t>.</w:t>
      </w:r>
    </w:p>
    <w:p w14:paraId="1B85B4FE" w14:textId="5B988C7E" w:rsidR="003C2362" w:rsidRPr="000431F7" w:rsidRDefault="00DA79A1" w:rsidP="004742CC">
      <w:pPr>
        <w:pStyle w:val="ARTartustawynprozporzdzenia"/>
        <w:tabs>
          <w:tab w:val="left" w:pos="426"/>
        </w:tabs>
        <w:ind w:firstLine="0"/>
        <w:rPr>
          <w:rFonts w:ascii="Times New Roman" w:hAnsi="Times New Roman" w:cs="Times New Roman"/>
          <w:szCs w:val="24"/>
        </w:rPr>
      </w:pPr>
      <w:r w:rsidRPr="000431F7">
        <w:rPr>
          <w:rStyle w:val="Ppogrubienie"/>
          <w:rFonts w:ascii="Times New Roman" w:hAnsi="Times New Roman" w:cs="Times New Roman"/>
          <w:szCs w:val="24"/>
        </w:rPr>
        <w:lastRenderedPageBreak/>
        <w:t>2</w:t>
      </w:r>
      <w:r w:rsidR="003C2362" w:rsidRPr="000431F7">
        <w:rPr>
          <w:rStyle w:val="Ppogrubienie"/>
          <w:rFonts w:ascii="Times New Roman" w:hAnsi="Times New Roman" w:cs="Times New Roman"/>
          <w:szCs w:val="24"/>
        </w:rPr>
        <w:t>.</w:t>
      </w:r>
      <w:r w:rsidR="005F2B39">
        <w:rPr>
          <w:rStyle w:val="Ppogrubienie"/>
          <w:rFonts w:ascii="Times New Roman" w:hAnsi="Times New Roman" w:cs="Times New Roman"/>
          <w:szCs w:val="24"/>
        </w:rPr>
        <w:tab/>
      </w:r>
      <w:r w:rsidR="00F020CD">
        <w:rPr>
          <w:rStyle w:val="Ppogrubienie"/>
          <w:rFonts w:ascii="Times New Roman" w:hAnsi="Times New Roman" w:cs="Times New Roman"/>
          <w:szCs w:val="24"/>
        </w:rPr>
        <w:t>Z</w:t>
      </w:r>
      <w:r w:rsidR="00884A43" w:rsidRPr="000431F7">
        <w:rPr>
          <w:rStyle w:val="Ppogrubienie"/>
          <w:rFonts w:ascii="Times New Roman" w:hAnsi="Times New Roman" w:cs="Times New Roman"/>
          <w:szCs w:val="24"/>
        </w:rPr>
        <w:t xml:space="preserve">miany </w:t>
      </w:r>
      <w:r w:rsidR="00791922" w:rsidRPr="000431F7">
        <w:rPr>
          <w:rStyle w:val="Ppogrubienie"/>
          <w:rFonts w:ascii="Times New Roman" w:hAnsi="Times New Roman" w:cs="Times New Roman"/>
          <w:szCs w:val="24"/>
        </w:rPr>
        <w:t xml:space="preserve">w </w:t>
      </w:r>
      <w:r w:rsidR="00884A43" w:rsidRPr="000431F7">
        <w:rPr>
          <w:rStyle w:val="Ppogrubienie"/>
          <w:rFonts w:ascii="Times New Roman" w:hAnsi="Times New Roman" w:cs="Times New Roman"/>
          <w:szCs w:val="24"/>
        </w:rPr>
        <w:t>ustaw</w:t>
      </w:r>
      <w:r w:rsidR="00791922" w:rsidRPr="000431F7">
        <w:rPr>
          <w:rStyle w:val="Ppogrubienie"/>
          <w:rFonts w:ascii="Times New Roman" w:hAnsi="Times New Roman" w:cs="Times New Roman"/>
          <w:szCs w:val="24"/>
        </w:rPr>
        <w:t>ie</w:t>
      </w:r>
      <w:r w:rsidR="00884A43" w:rsidRPr="000431F7">
        <w:rPr>
          <w:rStyle w:val="Ppogrubienie"/>
          <w:rFonts w:ascii="Times New Roman" w:hAnsi="Times New Roman" w:cs="Times New Roman"/>
          <w:szCs w:val="24"/>
        </w:rPr>
        <w:t xml:space="preserve"> </w:t>
      </w:r>
      <w:bookmarkStart w:id="6" w:name="_Hlk181942829"/>
      <w:r w:rsidR="003C2362" w:rsidRPr="000431F7">
        <w:rPr>
          <w:rFonts w:ascii="Times New Roman" w:hAnsi="Times New Roman" w:cs="Times New Roman"/>
          <w:b/>
          <w:bCs/>
          <w:szCs w:val="24"/>
        </w:rPr>
        <w:t xml:space="preserve">z dnia 28 sierpnia 1997 r. </w:t>
      </w:r>
      <w:bookmarkStart w:id="7" w:name="_Hlk150769436"/>
      <w:r w:rsidR="003C2362" w:rsidRPr="000431F7">
        <w:rPr>
          <w:rFonts w:ascii="Times New Roman" w:hAnsi="Times New Roman" w:cs="Times New Roman"/>
          <w:b/>
          <w:bCs/>
          <w:szCs w:val="24"/>
        </w:rPr>
        <w:t>o organizacji i funkcjonowaniu funduszy emerytalnych</w:t>
      </w:r>
      <w:bookmarkEnd w:id="6"/>
      <w:r w:rsidR="003C2362" w:rsidRPr="000431F7">
        <w:rPr>
          <w:rFonts w:ascii="Times New Roman" w:hAnsi="Times New Roman" w:cs="Times New Roman"/>
          <w:szCs w:val="24"/>
        </w:rPr>
        <w:t xml:space="preserve"> </w:t>
      </w:r>
      <w:bookmarkEnd w:id="7"/>
      <w:r w:rsidR="00583E45" w:rsidRPr="000431F7">
        <w:rPr>
          <w:rFonts w:ascii="Times New Roman" w:hAnsi="Times New Roman" w:cs="Times New Roman"/>
          <w:b/>
          <w:bCs/>
          <w:szCs w:val="24"/>
        </w:rPr>
        <w:t xml:space="preserve">(art. </w:t>
      </w:r>
      <w:r w:rsidR="006F0741" w:rsidRPr="000431F7">
        <w:rPr>
          <w:rFonts w:ascii="Times New Roman" w:hAnsi="Times New Roman" w:cs="Times New Roman"/>
          <w:b/>
          <w:bCs/>
          <w:szCs w:val="24"/>
        </w:rPr>
        <w:t>2</w:t>
      </w:r>
      <w:r w:rsidR="00583E45" w:rsidRPr="000431F7">
        <w:rPr>
          <w:rFonts w:ascii="Times New Roman" w:hAnsi="Times New Roman" w:cs="Times New Roman"/>
          <w:b/>
          <w:bCs/>
          <w:szCs w:val="24"/>
        </w:rPr>
        <w:t>)</w:t>
      </w:r>
      <w:r w:rsidR="00583E45" w:rsidRPr="000431F7">
        <w:rPr>
          <w:rFonts w:ascii="Times New Roman" w:hAnsi="Times New Roman" w:cs="Times New Roman"/>
          <w:szCs w:val="24"/>
        </w:rPr>
        <w:t xml:space="preserve"> </w:t>
      </w:r>
    </w:p>
    <w:p w14:paraId="7AB21FF5" w14:textId="0652A40E" w:rsidR="00E60943" w:rsidRPr="000431F7" w:rsidRDefault="00884A43" w:rsidP="004742CC">
      <w:pPr>
        <w:spacing w:before="120" w:after="0" w:line="360" w:lineRule="auto"/>
        <w:jc w:val="both"/>
        <w:rPr>
          <w:rFonts w:ascii="Times New Roman" w:hAnsi="Times New Roman" w:cs="Times New Roman"/>
          <w:sz w:val="24"/>
          <w:szCs w:val="24"/>
        </w:rPr>
      </w:pPr>
      <w:r w:rsidRPr="000431F7">
        <w:rPr>
          <w:rFonts w:ascii="Times New Roman" w:hAnsi="Times New Roman" w:cs="Times New Roman"/>
          <w:b/>
          <w:bCs/>
          <w:sz w:val="24"/>
          <w:szCs w:val="24"/>
        </w:rPr>
        <w:t xml:space="preserve">Art. </w:t>
      </w:r>
      <w:r w:rsidR="00D268A4" w:rsidRPr="000431F7">
        <w:rPr>
          <w:rFonts w:ascii="Times New Roman" w:hAnsi="Times New Roman" w:cs="Times New Roman"/>
          <w:b/>
          <w:bCs/>
          <w:sz w:val="24"/>
          <w:szCs w:val="24"/>
        </w:rPr>
        <w:t>2</w:t>
      </w:r>
      <w:r w:rsidRPr="000431F7">
        <w:rPr>
          <w:rFonts w:ascii="Times New Roman" w:hAnsi="Times New Roman" w:cs="Times New Roman"/>
          <w:sz w:val="24"/>
          <w:szCs w:val="24"/>
        </w:rPr>
        <w:t xml:space="preserve"> wprowadza zmiany do ustawy z dnia 28 sierpnia 1997 r. o organizacji i funkcjonowaniu funduszy emerytalnych, mające na celu </w:t>
      </w:r>
      <w:r w:rsidR="00EB46C7" w:rsidRPr="000431F7">
        <w:rPr>
          <w:rFonts w:ascii="Times New Roman" w:hAnsi="Times New Roman" w:cs="Times New Roman"/>
          <w:sz w:val="24"/>
          <w:szCs w:val="24"/>
        </w:rPr>
        <w:t>transpozycj</w:t>
      </w:r>
      <w:r w:rsidRPr="000431F7">
        <w:rPr>
          <w:rFonts w:ascii="Times New Roman" w:hAnsi="Times New Roman" w:cs="Times New Roman"/>
          <w:sz w:val="24"/>
          <w:szCs w:val="24"/>
        </w:rPr>
        <w:t>ę</w:t>
      </w:r>
      <w:r w:rsidR="00EB46C7" w:rsidRPr="000431F7">
        <w:rPr>
          <w:rFonts w:ascii="Times New Roman" w:hAnsi="Times New Roman" w:cs="Times New Roman"/>
          <w:sz w:val="24"/>
          <w:szCs w:val="24"/>
        </w:rPr>
        <w:t xml:space="preserve"> przepisów dyrektywy </w:t>
      </w:r>
      <w:r w:rsidR="001E021B" w:rsidRPr="000431F7">
        <w:rPr>
          <w:rFonts w:ascii="Times New Roman" w:hAnsi="Times New Roman" w:cs="Times New Roman"/>
          <w:sz w:val="24"/>
          <w:szCs w:val="24"/>
        </w:rPr>
        <w:t>2022/2556</w:t>
      </w:r>
      <w:r w:rsidRPr="000431F7">
        <w:rPr>
          <w:rFonts w:ascii="Times New Roman" w:hAnsi="Times New Roman" w:cs="Times New Roman"/>
          <w:sz w:val="24"/>
          <w:szCs w:val="24"/>
        </w:rPr>
        <w:t>, która zmienia w art. 8 dyrektywę</w:t>
      </w:r>
      <w:r w:rsidR="004D6A42" w:rsidRPr="000431F7">
        <w:rPr>
          <w:rFonts w:ascii="Times New Roman" w:hAnsi="Times New Roman" w:cs="Times New Roman"/>
          <w:sz w:val="24"/>
          <w:szCs w:val="24"/>
        </w:rPr>
        <w:t xml:space="preserve"> </w:t>
      </w:r>
      <w:r w:rsidR="004D6A42" w:rsidRPr="000431F7">
        <w:rPr>
          <w:rFonts w:ascii="Times New Roman" w:hAnsi="Times New Roman" w:cs="Times New Roman"/>
          <w:sz w:val="24"/>
          <w:szCs w:val="24"/>
          <w:shd w:val="clear" w:color="auto" w:fill="FFFFFF"/>
        </w:rPr>
        <w:t>Parlamentu Europejskiego i Rady 2016/2341 z dnia 14 grudnia 2016 r. w sprawie działalności instytucji pracowniczych programów emerytalnych oraz nadzoru nad takimi instytucjami</w:t>
      </w:r>
      <w:r w:rsidR="00791922" w:rsidRPr="000431F7">
        <w:rPr>
          <w:rFonts w:ascii="Times New Roman" w:hAnsi="Times New Roman" w:cs="Times New Roman"/>
          <w:sz w:val="24"/>
          <w:szCs w:val="24"/>
          <w:shd w:val="clear" w:color="auto" w:fill="FFFFFF"/>
        </w:rPr>
        <w:t xml:space="preserve">, </w:t>
      </w:r>
      <w:r w:rsidR="00E60943" w:rsidRPr="000431F7">
        <w:rPr>
          <w:rFonts w:ascii="Times New Roman" w:hAnsi="Times New Roman" w:cs="Times New Roman"/>
          <w:sz w:val="24"/>
          <w:szCs w:val="24"/>
          <w:shd w:val="clear" w:color="auto" w:fill="FFFFFF"/>
        </w:rPr>
        <w:t xml:space="preserve">zwanej dalej „dyrektywą </w:t>
      </w:r>
      <w:r w:rsidRPr="000431F7">
        <w:rPr>
          <w:rFonts w:ascii="Times New Roman" w:hAnsi="Times New Roman" w:cs="Times New Roman"/>
          <w:sz w:val="24"/>
          <w:szCs w:val="24"/>
          <w:shd w:val="clear" w:color="auto" w:fill="FFFFFF"/>
        </w:rPr>
        <w:t>IORP</w:t>
      </w:r>
      <w:r w:rsidR="00E60943" w:rsidRPr="000431F7">
        <w:rPr>
          <w:rFonts w:ascii="Times New Roman" w:hAnsi="Times New Roman" w:cs="Times New Roman"/>
          <w:sz w:val="24"/>
          <w:szCs w:val="24"/>
          <w:shd w:val="clear" w:color="auto" w:fill="FFFFFF"/>
        </w:rPr>
        <w:t>”</w:t>
      </w:r>
      <w:r w:rsidRPr="000431F7">
        <w:rPr>
          <w:rFonts w:ascii="Times New Roman" w:hAnsi="Times New Roman" w:cs="Times New Roman"/>
          <w:sz w:val="24"/>
          <w:szCs w:val="24"/>
          <w:shd w:val="clear" w:color="auto" w:fill="FFFFFF"/>
        </w:rPr>
        <w:t xml:space="preserve">. </w:t>
      </w:r>
      <w:r w:rsidR="00E40219" w:rsidRPr="000431F7">
        <w:rPr>
          <w:rFonts w:ascii="Times New Roman" w:hAnsi="Times New Roman" w:cs="Times New Roman"/>
          <w:sz w:val="24"/>
          <w:szCs w:val="24"/>
        </w:rPr>
        <w:t>Z uwagi na powyższe proponuje się</w:t>
      </w:r>
      <w:r w:rsidR="00A24348" w:rsidRPr="000431F7">
        <w:rPr>
          <w:rFonts w:ascii="Times New Roman" w:hAnsi="Times New Roman" w:cs="Times New Roman"/>
          <w:sz w:val="24"/>
          <w:szCs w:val="24"/>
        </w:rPr>
        <w:t xml:space="preserve"> </w:t>
      </w:r>
      <w:r w:rsidR="001E021B" w:rsidRPr="000431F7">
        <w:rPr>
          <w:rFonts w:ascii="Times New Roman" w:hAnsi="Times New Roman" w:cs="Times New Roman"/>
          <w:sz w:val="24"/>
          <w:szCs w:val="24"/>
        </w:rPr>
        <w:t xml:space="preserve">zmianę brzmienia art. 26d </w:t>
      </w:r>
      <w:r w:rsidR="00A24348" w:rsidRPr="000431F7">
        <w:rPr>
          <w:rFonts w:ascii="Times New Roman" w:hAnsi="Times New Roman" w:cs="Times New Roman"/>
          <w:sz w:val="24"/>
          <w:szCs w:val="24"/>
        </w:rPr>
        <w:t xml:space="preserve">ustawy </w:t>
      </w:r>
      <w:r w:rsidR="00226760" w:rsidRPr="000431F7">
        <w:rPr>
          <w:rFonts w:ascii="Times New Roman" w:hAnsi="Times New Roman" w:cs="Times New Roman"/>
          <w:sz w:val="24"/>
          <w:szCs w:val="24"/>
        </w:rPr>
        <w:t xml:space="preserve">z dnia 28 sierpnia 1997 r. </w:t>
      </w:r>
      <w:r w:rsidR="00A24348" w:rsidRPr="000431F7">
        <w:rPr>
          <w:rFonts w:ascii="Times New Roman" w:hAnsi="Times New Roman" w:cs="Times New Roman"/>
          <w:sz w:val="24"/>
          <w:szCs w:val="24"/>
        </w:rPr>
        <w:t xml:space="preserve">o organizacji i funkcjonowaniu funduszy emerytalnych </w:t>
      </w:r>
      <w:r w:rsidR="001E021B" w:rsidRPr="000431F7">
        <w:rPr>
          <w:rFonts w:ascii="Times New Roman" w:hAnsi="Times New Roman" w:cs="Times New Roman"/>
          <w:sz w:val="24"/>
          <w:szCs w:val="24"/>
        </w:rPr>
        <w:t xml:space="preserve">w związku z art. 8 dyrektywy 2022/2556 </w:t>
      </w:r>
      <w:r w:rsidR="009D2C7A" w:rsidRPr="000431F7">
        <w:rPr>
          <w:rFonts w:ascii="Times New Roman" w:hAnsi="Times New Roman" w:cs="Times New Roman"/>
          <w:sz w:val="24"/>
          <w:szCs w:val="24"/>
        </w:rPr>
        <w:t xml:space="preserve">wprowadzającym </w:t>
      </w:r>
      <w:r w:rsidR="001E021B" w:rsidRPr="000431F7">
        <w:rPr>
          <w:rFonts w:ascii="Times New Roman" w:hAnsi="Times New Roman" w:cs="Times New Roman"/>
          <w:sz w:val="24"/>
          <w:szCs w:val="24"/>
        </w:rPr>
        <w:t>zmiany w art. 21 ust. 5 dyrektywy</w:t>
      </w:r>
      <w:r w:rsidR="00BD5163" w:rsidRPr="000431F7">
        <w:rPr>
          <w:rFonts w:ascii="Times New Roman" w:hAnsi="Times New Roman" w:cs="Times New Roman"/>
          <w:b/>
          <w:bCs/>
          <w:sz w:val="24"/>
          <w:szCs w:val="24"/>
        </w:rPr>
        <w:t xml:space="preserve"> </w:t>
      </w:r>
      <w:r w:rsidR="00BD5163" w:rsidRPr="000431F7">
        <w:rPr>
          <w:rFonts w:ascii="Times New Roman" w:hAnsi="Times New Roman" w:cs="Times New Roman"/>
          <w:sz w:val="24"/>
          <w:szCs w:val="24"/>
          <w:shd w:val="clear" w:color="auto" w:fill="FFFFFF"/>
        </w:rPr>
        <w:t>IORP</w:t>
      </w:r>
      <w:r w:rsidR="001E021B" w:rsidRPr="000431F7">
        <w:rPr>
          <w:rFonts w:ascii="Times New Roman" w:hAnsi="Times New Roman" w:cs="Times New Roman"/>
          <w:sz w:val="24"/>
          <w:szCs w:val="24"/>
        </w:rPr>
        <w:t>, który nakłada obowiązek na pracownicze fundusze emerytalne</w:t>
      </w:r>
      <w:r w:rsidR="0024401A" w:rsidRPr="000431F7">
        <w:rPr>
          <w:rFonts w:ascii="Times New Roman" w:hAnsi="Times New Roman" w:cs="Times New Roman"/>
          <w:sz w:val="24"/>
          <w:szCs w:val="24"/>
        </w:rPr>
        <w:t xml:space="preserve"> </w:t>
      </w:r>
      <w:r w:rsidR="001E021B" w:rsidRPr="000431F7">
        <w:rPr>
          <w:rFonts w:ascii="Times New Roman" w:hAnsi="Times New Roman" w:cs="Times New Roman"/>
          <w:sz w:val="24"/>
          <w:szCs w:val="24"/>
        </w:rPr>
        <w:t>opracowania i wprowadzenia planów awaryjnych</w:t>
      </w:r>
      <w:r w:rsidR="0024401A" w:rsidRPr="000431F7">
        <w:rPr>
          <w:rFonts w:ascii="Times New Roman" w:hAnsi="Times New Roman" w:cs="Times New Roman"/>
          <w:sz w:val="24"/>
          <w:szCs w:val="24"/>
        </w:rPr>
        <w:t>, w celu zapewnienia ciągłości działania, stosując w tym celu,</w:t>
      </w:r>
      <w:r w:rsidR="0024401A" w:rsidRPr="000431F7">
        <w:rPr>
          <w:rFonts w:ascii="Times New Roman" w:hAnsi="Times New Roman" w:cs="Times New Roman"/>
          <w:color w:val="000000"/>
          <w:sz w:val="24"/>
          <w:szCs w:val="24"/>
          <w:shd w:val="clear" w:color="auto" w:fill="FFFFFF"/>
        </w:rPr>
        <w:t xml:space="preserve"> w stosownych przypadkach, odpowiednie i współmierne systemy, zasoby i procedury oraz w szczególności ustanawiają</w:t>
      </w:r>
      <w:r w:rsidR="00A45606" w:rsidRPr="000431F7">
        <w:rPr>
          <w:rFonts w:ascii="Times New Roman" w:hAnsi="Times New Roman" w:cs="Times New Roman"/>
          <w:color w:val="000000"/>
          <w:sz w:val="24"/>
          <w:szCs w:val="24"/>
          <w:shd w:val="clear" w:color="auto" w:fill="FFFFFF"/>
        </w:rPr>
        <w:t>c</w:t>
      </w:r>
      <w:r w:rsidR="0024401A" w:rsidRPr="000431F7">
        <w:rPr>
          <w:rFonts w:ascii="Times New Roman" w:hAnsi="Times New Roman" w:cs="Times New Roman"/>
          <w:color w:val="000000"/>
          <w:sz w:val="24"/>
          <w:szCs w:val="24"/>
          <w:shd w:val="clear" w:color="auto" w:fill="FFFFFF"/>
        </w:rPr>
        <w:t xml:space="preserve"> sieci i systemy informatyczne i zarządzają</w:t>
      </w:r>
      <w:r w:rsidR="00A45606" w:rsidRPr="000431F7">
        <w:rPr>
          <w:rFonts w:ascii="Times New Roman" w:hAnsi="Times New Roman" w:cs="Times New Roman"/>
          <w:color w:val="000000"/>
          <w:sz w:val="24"/>
          <w:szCs w:val="24"/>
          <w:shd w:val="clear" w:color="auto" w:fill="FFFFFF"/>
        </w:rPr>
        <w:t>c</w:t>
      </w:r>
      <w:r w:rsidR="0024401A" w:rsidRPr="000431F7">
        <w:rPr>
          <w:rFonts w:ascii="Times New Roman" w:hAnsi="Times New Roman" w:cs="Times New Roman"/>
          <w:color w:val="000000"/>
          <w:sz w:val="24"/>
          <w:szCs w:val="24"/>
          <w:shd w:val="clear" w:color="auto" w:fill="FFFFFF"/>
        </w:rPr>
        <w:t xml:space="preserve"> nimi zgodnie z rozporządzeniem 2022/2554</w:t>
      </w:r>
      <w:r w:rsidR="00153749" w:rsidRPr="000431F7">
        <w:rPr>
          <w:rFonts w:ascii="Times New Roman" w:hAnsi="Times New Roman" w:cs="Times New Roman"/>
          <w:sz w:val="24"/>
          <w:szCs w:val="24"/>
        </w:rPr>
        <w:t>.</w:t>
      </w:r>
    </w:p>
    <w:p w14:paraId="42580785" w14:textId="1941D68B" w:rsidR="006F0741" w:rsidRPr="000431F7" w:rsidRDefault="006F0741" w:rsidP="004742CC">
      <w:pPr>
        <w:spacing w:before="120" w:after="0" w:line="360" w:lineRule="auto"/>
        <w:jc w:val="both"/>
        <w:rPr>
          <w:rFonts w:ascii="Times New Roman" w:hAnsi="Times New Roman" w:cs="Times New Roman"/>
          <w:sz w:val="24"/>
          <w:szCs w:val="24"/>
        </w:rPr>
      </w:pPr>
      <w:r w:rsidRPr="000431F7">
        <w:rPr>
          <w:rFonts w:ascii="Times New Roman" w:hAnsi="Times New Roman" w:cs="Times New Roman"/>
          <w:sz w:val="24"/>
          <w:szCs w:val="24"/>
        </w:rPr>
        <w:t xml:space="preserve">Zgodnie z art. </w:t>
      </w:r>
      <w:r w:rsidR="00DA79A1" w:rsidRPr="000431F7">
        <w:rPr>
          <w:rFonts w:ascii="Times New Roman" w:hAnsi="Times New Roman" w:cs="Times New Roman"/>
          <w:sz w:val="24"/>
          <w:szCs w:val="24"/>
        </w:rPr>
        <w:t>2 ust. 3</w:t>
      </w:r>
      <w:r w:rsidR="00DA79A1" w:rsidRPr="000431F7">
        <w:rPr>
          <w:rFonts w:ascii="Times New Roman" w:hAnsi="Times New Roman" w:cs="Times New Roman"/>
          <w:color w:val="000000"/>
          <w:sz w:val="24"/>
          <w:szCs w:val="24"/>
          <w:shd w:val="clear" w:color="auto" w:fill="FFFFFF"/>
        </w:rPr>
        <w:t xml:space="preserve"> rozporządzenia 2022/2554 ww. obowiązki nie znajdują zastosowania do instytucji pracowniczych programów emerytalnych, które obsługują programy emerytalne liczące nie więcej niż 15 uczestników, z uwagi na powyższe w projektowanym </w:t>
      </w:r>
      <w:bookmarkStart w:id="8" w:name="_Hlk181942956"/>
      <w:r w:rsidR="00DA79A1" w:rsidRPr="000431F7">
        <w:rPr>
          <w:rFonts w:ascii="Times New Roman" w:hAnsi="Times New Roman" w:cs="Times New Roman"/>
          <w:color w:val="000000"/>
          <w:sz w:val="24"/>
          <w:szCs w:val="24"/>
          <w:shd w:val="clear" w:color="auto" w:fill="FFFFFF"/>
        </w:rPr>
        <w:t xml:space="preserve">art. 26d </w:t>
      </w:r>
      <w:bookmarkEnd w:id="8"/>
      <w:r w:rsidR="00DA79A1" w:rsidRPr="000431F7">
        <w:rPr>
          <w:rFonts w:ascii="Times New Roman" w:hAnsi="Times New Roman" w:cs="Times New Roman"/>
          <w:color w:val="000000"/>
          <w:sz w:val="24"/>
          <w:szCs w:val="24"/>
          <w:shd w:val="clear" w:color="auto" w:fill="FFFFFF"/>
        </w:rPr>
        <w:t xml:space="preserve">ust.2 zawarto wyłączenie odnoszące się do </w:t>
      </w:r>
      <w:r w:rsidR="00DA79A1" w:rsidRPr="000431F7">
        <w:rPr>
          <w:rFonts w:ascii="Times New Roman" w:hAnsi="Times New Roman" w:cs="Times New Roman"/>
          <w:sz w:val="24"/>
          <w:szCs w:val="24"/>
        </w:rPr>
        <w:t>pracowniczych funduszy obsługujących pracownicze programy emerytalne liczące łącznie nie więcej niż 15 uczestników.</w:t>
      </w:r>
    </w:p>
    <w:p w14:paraId="36C31673" w14:textId="776829FE" w:rsidR="001E021B" w:rsidRPr="000431F7" w:rsidRDefault="00D268A4" w:rsidP="004742CC">
      <w:pPr>
        <w:pStyle w:val="ARTartustawynprozporzdzenia"/>
        <w:tabs>
          <w:tab w:val="left" w:pos="426"/>
        </w:tabs>
        <w:ind w:firstLine="0"/>
        <w:rPr>
          <w:rStyle w:val="Ppogrubienie"/>
          <w:rFonts w:ascii="Times New Roman" w:eastAsiaTheme="minorHAnsi" w:hAnsi="Times New Roman" w:cs="Times New Roman"/>
          <w:bCs/>
          <w:kern w:val="2"/>
          <w:sz w:val="22"/>
          <w:szCs w:val="24"/>
          <w:lang w:eastAsia="en-US"/>
          <w14:ligatures w14:val="standardContextual"/>
        </w:rPr>
      </w:pPr>
      <w:r w:rsidRPr="000431F7">
        <w:rPr>
          <w:rStyle w:val="Ppogrubienie"/>
          <w:rFonts w:ascii="Times New Roman" w:hAnsi="Times New Roman" w:cs="Times New Roman"/>
          <w:szCs w:val="24"/>
        </w:rPr>
        <w:t>3</w:t>
      </w:r>
      <w:r w:rsidR="003C2362" w:rsidRPr="000431F7">
        <w:rPr>
          <w:rStyle w:val="Ppogrubienie"/>
          <w:rFonts w:ascii="Times New Roman" w:hAnsi="Times New Roman" w:cs="Times New Roman"/>
          <w:szCs w:val="24"/>
        </w:rPr>
        <w:t>.</w:t>
      </w:r>
      <w:r w:rsidR="005F2B39">
        <w:rPr>
          <w:rStyle w:val="Ppogrubienie"/>
          <w:rFonts w:ascii="Times New Roman" w:hAnsi="Times New Roman" w:cs="Times New Roman"/>
          <w:szCs w:val="24"/>
        </w:rPr>
        <w:tab/>
      </w:r>
      <w:r w:rsidR="00F020CD">
        <w:rPr>
          <w:rStyle w:val="Ppogrubienie"/>
          <w:rFonts w:ascii="Times New Roman" w:hAnsi="Times New Roman" w:cs="Times New Roman"/>
          <w:szCs w:val="24"/>
        </w:rPr>
        <w:t>Z</w:t>
      </w:r>
      <w:r w:rsidR="001E021B" w:rsidRPr="000431F7">
        <w:rPr>
          <w:rStyle w:val="Ppogrubienie"/>
          <w:rFonts w:ascii="Times New Roman" w:hAnsi="Times New Roman" w:cs="Times New Roman"/>
          <w:szCs w:val="24"/>
        </w:rPr>
        <w:t xml:space="preserve">miany w ustawie </w:t>
      </w:r>
      <w:r w:rsidR="001E021B" w:rsidRPr="000431F7">
        <w:rPr>
          <w:rFonts w:ascii="Times New Roman" w:hAnsi="Times New Roman" w:cs="Times New Roman"/>
          <w:b/>
          <w:bCs/>
          <w:szCs w:val="24"/>
        </w:rPr>
        <w:t>z dnia 29 sierpnia 1997 r. – Prawo bankowe</w:t>
      </w:r>
      <w:r w:rsidR="00E40219" w:rsidRPr="000431F7">
        <w:rPr>
          <w:rFonts w:ascii="Times New Roman" w:hAnsi="Times New Roman" w:cs="Times New Roman"/>
          <w:b/>
          <w:bCs/>
          <w:szCs w:val="24"/>
        </w:rPr>
        <w:t xml:space="preserve"> (art. </w:t>
      </w:r>
      <w:r w:rsidRPr="000431F7">
        <w:rPr>
          <w:rFonts w:ascii="Times New Roman" w:hAnsi="Times New Roman" w:cs="Times New Roman"/>
          <w:b/>
          <w:bCs/>
          <w:szCs w:val="24"/>
        </w:rPr>
        <w:t>3</w:t>
      </w:r>
      <w:r w:rsidR="00E40219" w:rsidRPr="000431F7">
        <w:rPr>
          <w:rFonts w:ascii="Times New Roman" w:hAnsi="Times New Roman" w:cs="Times New Roman"/>
          <w:b/>
          <w:bCs/>
          <w:szCs w:val="24"/>
        </w:rPr>
        <w:t>)</w:t>
      </w:r>
    </w:p>
    <w:p w14:paraId="7C83BF21" w14:textId="721FDB53" w:rsidR="008C4F56" w:rsidRPr="000431F7" w:rsidRDefault="00884A43" w:rsidP="004742CC">
      <w:pPr>
        <w:spacing w:before="120" w:after="0" w:line="360" w:lineRule="auto"/>
        <w:jc w:val="both"/>
        <w:rPr>
          <w:rFonts w:ascii="Times New Roman" w:hAnsi="Times New Roman" w:cs="Times New Roman"/>
          <w:sz w:val="24"/>
          <w:szCs w:val="24"/>
        </w:rPr>
      </w:pPr>
      <w:r w:rsidRPr="000431F7">
        <w:rPr>
          <w:rFonts w:ascii="Times New Roman" w:hAnsi="Times New Roman" w:cs="Times New Roman"/>
          <w:b/>
          <w:bCs/>
          <w:sz w:val="24"/>
          <w:szCs w:val="24"/>
        </w:rPr>
        <w:t xml:space="preserve">Art. </w:t>
      </w:r>
      <w:r w:rsidR="00D268A4" w:rsidRPr="000431F7">
        <w:rPr>
          <w:rFonts w:ascii="Times New Roman" w:hAnsi="Times New Roman" w:cs="Times New Roman"/>
          <w:b/>
          <w:bCs/>
          <w:sz w:val="24"/>
          <w:szCs w:val="24"/>
        </w:rPr>
        <w:t>3</w:t>
      </w:r>
      <w:r w:rsidRPr="000431F7">
        <w:rPr>
          <w:rFonts w:ascii="Times New Roman" w:hAnsi="Times New Roman" w:cs="Times New Roman"/>
          <w:sz w:val="24"/>
          <w:szCs w:val="24"/>
        </w:rPr>
        <w:t xml:space="preserve"> wprowadza zmiany do ustawy</w:t>
      </w:r>
      <w:r w:rsidRPr="000431F7">
        <w:rPr>
          <w:rFonts w:ascii="Times New Roman" w:hAnsi="Times New Roman" w:cs="Times New Roman"/>
          <w:b/>
          <w:bCs/>
          <w:sz w:val="24"/>
          <w:szCs w:val="24"/>
        </w:rPr>
        <w:t xml:space="preserve"> </w:t>
      </w:r>
      <w:r w:rsidRPr="000431F7">
        <w:rPr>
          <w:rFonts w:ascii="Times New Roman" w:hAnsi="Times New Roman" w:cs="Times New Roman"/>
          <w:sz w:val="24"/>
          <w:szCs w:val="24"/>
        </w:rPr>
        <w:t xml:space="preserve">– Prawo bankowe, mające na celu </w:t>
      </w:r>
      <w:r w:rsidR="008C4F56" w:rsidRPr="000431F7">
        <w:rPr>
          <w:rFonts w:ascii="Times New Roman" w:hAnsi="Times New Roman" w:cs="Times New Roman"/>
          <w:sz w:val="24"/>
          <w:szCs w:val="24"/>
        </w:rPr>
        <w:t xml:space="preserve">przede </w:t>
      </w:r>
      <w:r w:rsidR="006F5FBE" w:rsidRPr="000431F7">
        <w:rPr>
          <w:rFonts w:ascii="Times New Roman" w:hAnsi="Times New Roman" w:cs="Times New Roman"/>
          <w:sz w:val="24"/>
          <w:szCs w:val="24"/>
        </w:rPr>
        <w:t xml:space="preserve">wszystkim </w:t>
      </w:r>
      <w:r w:rsidRPr="000431F7">
        <w:rPr>
          <w:rFonts w:ascii="Times New Roman" w:hAnsi="Times New Roman" w:cs="Times New Roman"/>
          <w:sz w:val="24"/>
          <w:szCs w:val="24"/>
        </w:rPr>
        <w:t>transpozycję przepisów dyrektywy 2022/2556</w:t>
      </w:r>
      <w:r w:rsidR="008C4F56" w:rsidRPr="000431F7">
        <w:rPr>
          <w:rFonts w:ascii="Times New Roman" w:hAnsi="Times New Roman" w:cs="Times New Roman"/>
          <w:sz w:val="24"/>
          <w:szCs w:val="24"/>
        </w:rPr>
        <w:t xml:space="preserve"> w zakresie</w:t>
      </w:r>
      <w:r w:rsidR="00214A76" w:rsidRPr="000431F7">
        <w:rPr>
          <w:rFonts w:ascii="Times New Roman" w:hAnsi="Times New Roman" w:cs="Times New Roman"/>
          <w:sz w:val="24"/>
          <w:szCs w:val="24"/>
        </w:rPr>
        <w:t xml:space="preserve"> </w:t>
      </w:r>
      <w:r w:rsidR="008C4F56" w:rsidRPr="000431F7">
        <w:rPr>
          <w:rFonts w:ascii="Times New Roman" w:hAnsi="Times New Roman" w:cs="Times New Roman"/>
          <w:sz w:val="24"/>
          <w:szCs w:val="24"/>
        </w:rPr>
        <w:t xml:space="preserve">art. 4, </w:t>
      </w:r>
      <w:r w:rsidRPr="000431F7">
        <w:rPr>
          <w:rFonts w:ascii="Times New Roman" w:hAnsi="Times New Roman" w:cs="Times New Roman"/>
          <w:sz w:val="24"/>
          <w:szCs w:val="24"/>
        </w:rPr>
        <w:t>któr</w:t>
      </w:r>
      <w:r w:rsidR="008C4F56" w:rsidRPr="000431F7">
        <w:rPr>
          <w:rFonts w:ascii="Times New Roman" w:hAnsi="Times New Roman" w:cs="Times New Roman"/>
          <w:sz w:val="24"/>
          <w:szCs w:val="24"/>
        </w:rPr>
        <w:t>y</w:t>
      </w:r>
      <w:r w:rsidRPr="000431F7">
        <w:rPr>
          <w:rFonts w:ascii="Times New Roman" w:hAnsi="Times New Roman" w:cs="Times New Roman"/>
          <w:sz w:val="24"/>
          <w:szCs w:val="24"/>
        </w:rPr>
        <w:t xml:space="preserve"> </w:t>
      </w:r>
      <w:r w:rsidR="008C4F56" w:rsidRPr="000431F7">
        <w:rPr>
          <w:rFonts w:ascii="Times New Roman" w:hAnsi="Times New Roman" w:cs="Times New Roman"/>
          <w:sz w:val="24"/>
          <w:szCs w:val="24"/>
        </w:rPr>
        <w:t xml:space="preserve">zmienia </w:t>
      </w:r>
      <w:r w:rsidRPr="000431F7">
        <w:rPr>
          <w:rFonts w:ascii="Times New Roman" w:hAnsi="Times New Roman" w:cs="Times New Roman"/>
          <w:sz w:val="24"/>
          <w:szCs w:val="24"/>
        </w:rPr>
        <w:t>dyrektyw</w:t>
      </w:r>
      <w:r w:rsidR="00867A61" w:rsidRPr="000431F7">
        <w:rPr>
          <w:rFonts w:ascii="Times New Roman" w:hAnsi="Times New Roman" w:cs="Times New Roman"/>
          <w:sz w:val="24"/>
          <w:szCs w:val="24"/>
        </w:rPr>
        <w:t xml:space="preserve">ę </w:t>
      </w:r>
      <w:r w:rsidR="00E60943" w:rsidRPr="000431F7">
        <w:rPr>
          <w:rFonts w:ascii="Times New Roman" w:hAnsi="Times New Roman" w:cs="Times New Roman"/>
          <w:sz w:val="24"/>
          <w:szCs w:val="24"/>
          <w:shd w:val="clear" w:color="auto" w:fill="FFFFFF"/>
        </w:rPr>
        <w:t>Parlamentu Europejskiego i Rady 2013/36/UE z dnia 26 czerwca 2013 r. w sprawie warunków dopuszczenia instytucji kredytowych do działalności oraz nadzoru ostrożnościowego nad instytucjami kredytowymi i firmami inwestycyjnymi, zmieniając</w:t>
      </w:r>
      <w:r w:rsidR="00226760" w:rsidRPr="000431F7">
        <w:rPr>
          <w:rFonts w:ascii="Times New Roman" w:hAnsi="Times New Roman" w:cs="Times New Roman"/>
          <w:sz w:val="24"/>
          <w:szCs w:val="24"/>
          <w:shd w:val="clear" w:color="auto" w:fill="FFFFFF"/>
        </w:rPr>
        <w:t>ą</w:t>
      </w:r>
      <w:r w:rsidR="00E60943" w:rsidRPr="000431F7">
        <w:rPr>
          <w:rFonts w:ascii="Times New Roman" w:hAnsi="Times New Roman" w:cs="Times New Roman"/>
          <w:sz w:val="24"/>
          <w:szCs w:val="24"/>
          <w:shd w:val="clear" w:color="auto" w:fill="FFFFFF"/>
        </w:rPr>
        <w:t xml:space="preserve"> dyrektywę 2002/87/WE i uchylając</w:t>
      </w:r>
      <w:r w:rsidR="00226760" w:rsidRPr="000431F7">
        <w:rPr>
          <w:rFonts w:ascii="Times New Roman" w:hAnsi="Times New Roman" w:cs="Times New Roman"/>
          <w:sz w:val="24"/>
          <w:szCs w:val="24"/>
          <w:shd w:val="clear" w:color="auto" w:fill="FFFFFF"/>
        </w:rPr>
        <w:t>ą</w:t>
      </w:r>
      <w:r w:rsidR="00E60943" w:rsidRPr="000431F7">
        <w:rPr>
          <w:rFonts w:ascii="Times New Roman" w:hAnsi="Times New Roman" w:cs="Times New Roman"/>
          <w:sz w:val="24"/>
          <w:szCs w:val="24"/>
          <w:shd w:val="clear" w:color="auto" w:fill="FFFFFF"/>
        </w:rPr>
        <w:t xml:space="preserve"> dyrektywy 2006/48/WE oraz 2006/49/WE</w:t>
      </w:r>
      <w:r w:rsidR="00791922" w:rsidRPr="004742CC">
        <w:rPr>
          <w:rFonts w:ascii="Times New Roman" w:hAnsi="Times New Roman" w:cs="Times New Roman"/>
          <w:sz w:val="24"/>
          <w:szCs w:val="24"/>
          <w:shd w:val="clear" w:color="auto" w:fill="FFFFFF"/>
        </w:rPr>
        <w:t>,</w:t>
      </w:r>
      <w:r w:rsidR="00791922" w:rsidRPr="004742CC">
        <w:rPr>
          <w:rFonts w:ascii="Times New Roman" w:hAnsi="Times New Roman" w:cs="Times New Roman"/>
          <w:b/>
          <w:bCs/>
          <w:sz w:val="24"/>
          <w:szCs w:val="24"/>
          <w:shd w:val="clear" w:color="auto" w:fill="FFFFFF"/>
        </w:rPr>
        <w:t xml:space="preserve"> </w:t>
      </w:r>
      <w:r w:rsidR="00E60943" w:rsidRPr="000431F7">
        <w:rPr>
          <w:rFonts w:ascii="Times New Roman" w:hAnsi="Times New Roman" w:cs="Times New Roman"/>
          <w:sz w:val="24"/>
          <w:szCs w:val="24"/>
        </w:rPr>
        <w:t>zwan</w:t>
      </w:r>
      <w:r w:rsidR="00F020CD">
        <w:rPr>
          <w:rFonts w:ascii="Times New Roman" w:hAnsi="Times New Roman" w:cs="Times New Roman"/>
          <w:sz w:val="24"/>
          <w:szCs w:val="24"/>
        </w:rPr>
        <w:t>ą</w:t>
      </w:r>
      <w:r w:rsidR="00E60943" w:rsidRPr="000431F7">
        <w:rPr>
          <w:rFonts w:ascii="Times New Roman" w:hAnsi="Times New Roman" w:cs="Times New Roman"/>
          <w:sz w:val="24"/>
          <w:szCs w:val="24"/>
        </w:rPr>
        <w:t xml:space="preserve"> dalej „dyrektywą </w:t>
      </w:r>
      <w:r w:rsidR="00E60943" w:rsidRPr="000431F7">
        <w:rPr>
          <w:rFonts w:ascii="Times New Roman" w:hAnsi="Times New Roman" w:cs="Times New Roman"/>
          <w:sz w:val="24"/>
          <w:szCs w:val="24"/>
          <w:shd w:val="clear" w:color="auto" w:fill="FFFFFF"/>
        </w:rPr>
        <w:t>2013/36/UE”</w:t>
      </w:r>
      <w:r w:rsidR="00214A76" w:rsidRPr="000431F7">
        <w:rPr>
          <w:rFonts w:ascii="Times New Roman" w:hAnsi="Times New Roman" w:cs="Times New Roman"/>
          <w:color w:val="19161A"/>
          <w:sz w:val="24"/>
          <w:szCs w:val="24"/>
        </w:rPr>
        <w:t>.</w:t>
      </w:r>
    </w:p>
    <w:p w14:paraId="3B53578A" w14:textId="62E25528" w:rsidR="00884A43" w:rsidRPr="000431F7" w:rsidRDefault="00884A43" w:rsidP="004742CC">
      <w:pPr>
        <w:spacing w:before="120" w:after="0" w:line="360" w:lineRule="auto"/>
        <w:jc w:val="both"/>
        <w:rPr>
          <w:rFonts w:ascii="Times New Roman" w:hAnsi="Times New Roman" w:cs="Times New Roman"/>
          <w:sz w:val="24"/>
          <w:szCs w:val="24"/>
        </w:rPr>
      </w:pPr>
      <w:r w:rsidRPr="000431F7">
        <w:rPr>
          <w:rFonts w:ascii="Times New Roman" w:hAnsi="Times New Roman" w:cs="Times New Roman"/>
          <w:sz w:val="24"/>
          <w:szCs w:val="24"/>
        </w:rPr>
        <w:t>Wprowadzane do ustawy</w:t>
      </w:r>
      <w:r w:rsidR="00A24348" w:rsidRPr="000431F7">
        <w:rPr>
          <w:rFonts w:ascii="Times New Roman" w:hAnsi="Times New Roman" w:cs="Times New Roman"/>
          <w:sz w:val="24"/>
          <w:szCs w:val="24"/>
        </w:rPr>
        <w:t xml:space="preserve"> – Prawo bankowe</w:t>
      </w:r>
      <w:r w:rsidRPr="000431F7">
        <w:rPr>
          <w:rFonts w:ascii="Times New Roman" w:hAnsi="Times New Roman" w:cs="Times New Roman"/>
          <w:sz w:val="24"/>
          <w:szCs w:val="24"/>
        </w:rPr>
        <w:t xml:space="preserve"> zmiany obejmują:</w:t>
      </w:r>
    </w:p>
    <w:p w14:paraId="4E60B075" w14:textId="4B2DE847" w:rsidR="00866D3B" w:rsidRPr="000431F7" w:rsidRDefault="00884A43" w:rsidP="004742CC">
      <w:pPr>
        <w:spacing w:before="120" w:after="0" w:line="360" w:lineRule="auto"/>
        <w:ind w:left="426" w:hanging="426"/>
        <w:jc w:val="both"/>
        <w:rPr>
          <w:rFonts w:ascii="Times New Roman" w:hAnsi="Times New Roman" w:cs="Times New Roman"/>
          <w:sz w:val="24"/>
          <w:szCs w:val="24"/>
        </w:rPr>
      </w:pPr>
      <w:r w:rsidRPr="000431F7">
        <w:rPr>
          <w:rFonts w:ascii="Times New Roman" w:hAnsi="Times New Roman" w:cs="Times New Roman"/>
          <w:sz w:val="24"/>
          <w:szCs w:val="24"/>
        </w:rPr>
        <w:t>1)</w:t>
      </w:r>
      <w:r w:rsidR="005F2B39">
        <w:rPr>
          <w:rFonts w:ascii="Times New Roman" w:hAnsi="Times New Roman" w:cs="Times New Roman"/>
          <w:sz w:val="24"/>
          <w:szCs w:val="24"/>
        </w:rPr>
        <w:tab/>
      </w:r>
      <w:r w:rsidRPr="000431F7">
        <w:rPr>
          <w:rFonts w:ascii="Times New Roman" w:hAnsi="Times New Roman" w:cs="Times New Roman"/>
          <w:sz w:val="24"/>
          <w:szCs w:val="24"/>
        </w:rPr>
        <w:t>w</w:t>
      </w:r>
      <w:r w:rsidR="00193EDC" w:rsidRPr="000431F7">
        <w:rPr>
          <w:rFonts w:ascii="Times New Roman" w:hAnsi="Times New Roman" w:cs="Times New Roman"/>
          <w:sz w:val="24"/>
          <w:szCs w:val="24"/>
        </w:rPr>
        <w:t xml:space="preserve"> art. 4 ust. 1 </w:t>
      </w:r>
      <w:r w:rsidR="00A24348" w:rsidRPr="000431F7">
        <w:rPr>
          <w:rFonts w:ascii="Times New Roman" w:hAnsi="Times New Roman" w:cs="Times New Roman"/>
          <w:sz w:val="24"/>
          <w:szCs w:val="24"/>
        </w:rPr>
        <w:t>ustawy</w:t>
      </w:r>
      <w:r w:rsidR="00866D3B" w:rsidRPr="000431F7">
        <w:rPr>
          <w:rFonts w:ascii="Times New Roman" w:hAnsi="Times New Roman" w:cs="Times New Roman"/>
          <w:sz w:val="24"/>
          <w:szCs w:val="24"/>
        </w:rPr>
        <w:t>:</w:t>
      </w:r>
    </w:p>
    <w:p w14:paraId="363BAC9A" w14:textId="70093BD0" w:rsidR="00866D3B" w:rsidRPr="000431F7" w:rsidRDefault="00A24348" w:rsidP="004742CC">
      <w:pPr>
        <w:spacing w:before="120" w:after="0" w:line="360" w:lineRule="auto"/>
        <w:ind w:left="851" w:hanging="487"/>
        <w:jc w:val="both"/>
        <w:rPr>
          <w:rFonts w:ascii="Times New Roman" w:hAnsi="Times New Roman" w:cs="Times New Roman"/>
          <w:sz w:val="24"/>
          <w:szCs w:val="24"/>
        </w:rPr>
      </w:pPr>
      <w:r w:rsidRPr="000431F7">
        <w:rPr>
          <w:rFonts w:ascii="Times New Roman" w:hAnsi="Times New Roman" w:cs="Times New Roman"/>
          <w:sz w:val="24"/>
          <w:szCs w:val="24"/>
        </w:rPr>
        <w:t>–</w:t>
      </w:r>
      <w:r w:rsidR="005F2B39">
        <w:rPr>
          <w:rFonts w:ascii="Times New Roman" w:hAnsi="Times New Roman" w:cs="Times New Roman"/>
          <w:sz w:val="24"/>
          <w:szCs w:val="24"/>
        </w:rPr>
        <w:tab/>
      </w:r>
      <w:r w:rsidR="006F5FBE" w:rsidRPr="000431F7">
        <w:rPr>
          <w:rFonts w:ascii="Times New Roman" w:hAnsi="Times New Roman" w:cs="Times New Roman"/>
          <w:sz w:val="24"/>
          <w:szCs w:val="24"/>
        </w:rPr>
        <w:t xml:space="preserve">w dodawanym </w:t>
      </w:r>
      <w:r w:rsidR="00193EDC" w:rsidRPr="000431F7">
        <w:rPr>
          <w:rFonts w:ascii="Times New Roman" w:hAnsi="Times New Roman" w:cs="Times New Roman"/>
          <w:sz w:val="24"/>
          <w:szCs w:val="24"/>
        </w:rPr>
        <w:t xml:space="preserve">pkt </w:t>
      </w:r>
      <w:r w:rsidR="006C01DE" w:rsidRPr="000431F7">
        <w:rPr>
          <w:rFonts w:ascii="Times New Roman" w:hAnsi="Times New Roman" w:cs="Times New Roman"/>
          <w:sz w:val="24"/>
          <w:szCs w:val="24"/>
        </w:rPr>
        <w:t>40</w:t>
      </w:r>
      <w:r w:rsidR="00866D3B" w:rsidRPr="000431F7">
        <w:rPr>
          <w:rFonts w:ascii="Times New Roman" w:hAnsi="Times New Roman" w:cs="Times New Roman"/>
          <w:sz w:val="24"/>
          <w:szCs w:val="24"/>
        </w:rPr>
        <w:t>c</w:t>
      </w:r>
      <w:r w:rsidR="00193EDC" w:rsidRPr="000431F7">
        <w:rPr>
          <w:rFonts w:ascii="Times New Roman" w:hAnsi="Times New Roman" w:cs="Times New Roman"/>
          <w:sz w:val="24"/>
          <w:szCs w:val="24"/>
        </w:rPr>
        <w:t xml:space="preserve"> </w:t>
      </w:r>
      <w:r w:rsidR="008C4F56" w:rsidRPr="000431F7">
        <w:rPr>
          <w:rFonts w:ascii="Times New Roman" w:hAnsi="Times New Roman" w:cs="Times New Roman"/>
          <w:sz w:val="24"/>
          <w:szCs w:val="24"/>
        </w:rPr>
        <w:t xml:space="preserve">przywołana została pełna nazwa rozporządzenia </w:t>
      </w:r>
      <w:r w:rsidR="0015298E" w:rsidRPr="000431F7">
        <w:rPr>
          <w:rFonts w:ascii="Times New Roman" w:hAnsi="Times New Roman" w:cs="Times New Roman"/>
          <w:sz w:val="24"/>
          <w:szCs w:val="24"/>
        </w:rPr>
        <w:t xml:space="preserve">2022/2554 </w:t>
      </w:r>
      <w:r w:rsidR="008C4F56" w:rsidRPr="000431F7">
        <w:rPr>
          <w:rFonts w:ascii="Times New Roman" w:hAnsi="Times New Roman" w:cs="Times New Roman"/>
          <w:sz w:val="24"/>
          <w:szCs w:val="24"/>
        </w:rPr>
        <w:t>z</w:t>
      </w:r>
      <w:r w:rsidR="001D579C" w:rsidRPr="000431F7">
        <w:rPr>
          <w:rFonts w:ascii="Times New Roman" w:hAnsi="Times New Roman" w:cs="Times New Roman"/>
          <w:sz w:val="24"/>
          <w:szCs w:val="24"/>
        </w:rPr>
        <w:t> </w:t>
      </w:r>
      <w:r w:rsidR="008C4F56" w:rsidRPr="000431F7">
        <w:rPr>
          <w:rFonts w:ascii="Times New Roman" w:hAnsi="Times New Roman" w:cs="Times New Roman"/>
          <w:sz w:val="24"/>
          <w:szCs w:val="24"/>
        </w:rPr>
        <w:t xml:space="preserve">podaniem jego skróconej nazwy, w celu posługiwania się tym skrótem na potrzeby </w:t>
      </w:r>
      <w:r w:rsidRPr="000431F7">
        <w:rPr>
          <w:rFonts w:ascii="Times New Roman" w:hAnsi="Times New Roman" w:cs="Times New Roman"/>
          <w:sz w:val="24"/>
          <w:szCs w:val="24"/>
        </w:rPr>
        <w:t xml:space="preserve">odesłań </w:t>
      </w:r>
      <w:r w:rsidR="008C4F56" w:rsidRPr="000431F7">
        <w:rPr>
          <w:rFonts w:ascii="Times New Roman" w:hAnsi="Times New Roman" w:cs="Times New Roman"/>
          <w:sz w:val="24"/>
          <w:szCs w:val="24"/>
        </w:rPr>
        <w:t>do rozporządzenia w dalszych przepisach ustawy</w:t>
      </w:r>
      <w:r w:rsidR="00F020CD">
        <w:rPr>
          <w:rFonts w:ascii="Times New Roman" w:hAnsi="Times New Roman" w:cs="Times New Roman"/>
          <w:sz w:val="24"/>
          <w:szCs w:val="24"/>
        </w:rPr>
        <w:t>,</w:t>
      </w:r>
    </w:p>
    <w:p w14:paraId="3A99DB14" w14:textId="56487F6B" w:rsidR="009D2C7A" w:rsidRPr="000431F7" w:rsidRDefault="00866D3B" w:rsidP="004742CC">
      <w:pPr>
        <w:spacing w:before="120" w:after="0" w:line="360" w:lineRule="auto"/>
        <w:ind w:left="851" w:hanging="487"/>
        <w:jc w:val="both"/>
        <w:rPr>
          <w:rFonts w:ascii="Times New Roman" w:hAnsi="Times New Roman" w:cs="Times New Roman"/>
          <w:sz w:val="24"/>
          <w:szCs w:val="24"/>
        </w:rPr>
      </w:pPr>
      <w:r w:rsidRPr="000431F7">
        <w:rPr>
          <w:rFonts w:ascii="Times New Roman" w:hAnsi="Times New Roman" w:cs="Times New Roman"/>
          <w:sz w:val="24"/>
          <w:szCs w:val="24"/>
        </w:rPr>
        <w:lastRenderedPageBreak/>
        <w:t>–</w:t>
      </w:r>
      <w:r w:rsidR="005F2B39">
        <w:rPr>
          <w:rFonts w:ascii="Times New Roman" w:hAnsi="Times New Roman" w:cs="Times New Roman"/>
          <w:sz w:val="24"/>
          <w:szCs w:val="24"/>
        </w:rPr>
        <w:tab/>
      </w:r>
      <w:r w:rsidRPr="000431F7">
        <w:rPr>
          <w:rFonts w:ascii="Times New Roman" w:hAnsi="Times New Roman" w:cs="Times New Roman"/>
          <w:sz w:val="24"/>
          <w:szCs w:val="24"/>
        </w:rPr>
        <w:t>w dodawanym pkt 40</w:t>
      </w:r>
      <w:r w:rsidR="003E1649" w:rsidRPr="000431F7">
        <w:rPr>
          <w:rFonts w:ascii="Times New Roman" w:hAnsi="Times New Roman" w:cs="Times New Roman"/>
          <w:sz w:val="24"/>
          <w:szCs w:val="24"/>
        </w:rPr>
        <w:t>d</w:t>
      </w:r>
      <w:r w:rsidRPr="000431F7">
        <w:rPr>
          <w:rFonts w:ascii="Times New Roman" w:hAnsi="Times New Roman" w:cs="Times New Roman"/>
          <w:sz w:val="24"/>
          <w:szCs w:val="24"/>
        </w:rPr>
        <w:t xml:space="preserve"> wprowadzane jest wyjaśnienie skrótu ICT </w:t>
      </w:r>
      <w:r w:rsidR="005F2B39">
        <w:rPr>
          <w:rFonts w:ascii="Times New Roman" w:hAnsi="Times New Roman" w:cs="Times New Roman"/>
          <w:sz w:val="24"/>
          <w:szCs w:val="24"/>
        </w:rPr>
        <w:t>–</w:t>
      </w:r>
      <w:r w:rsidRPr="000431F7">
        <w:rPr>
          <w:rFonts w:ascii="Times New Roman" w:hAnsi="Times New Roman" w:cs="Times New Roman"/>
          <w:sz w:val="24"/>
          <w:szCs w:val="24"/>
        </w:rPr>
        <w:t xml:space="preserve"> technologie informacyjno-komunikacyjne, o których mowa w rozporządzeniu 2022/2554</w:t>
      </w:r>
      <w:r w:rsidR="0025319C" w:rsidRPr="000431F7">
        <w:rPr>
          <w:rFonts w:ascii="Times New Roman" w:hAnsi="Times New Roman" w:cs="Times New Roman"/>
          <w:sz w:val="24"/>
          <w:szCs w:val="24"/>
        </w:rPr>
        <w:t>, w celu posługiwania się tym skrótem w</w:t>
      </w:r>
      <w:r w:rsidR="00987740">
        <w:rPr>
          <w:rFonts w:ascii="Times New Roman" w:hAnsi="Times New Roman" w:cs="Times New Roman"/>
          <w:sz w:val="24"/>
          <w:szCs w:val="24"/>
        </w:rPr>
        <w:t xml:space="preserve"> </w:t>
      </w:r>
      <w:r w:rsidR="0025319C" w:rsidRPr="000431F7">
        <w:rPr>
          <w:rFonts w:ascii="Times New Roman" w:hAnsi="Times New Roman" w:cs="Times New Roman"/>
          <w:sz w:val="24"/>
          <w:szCs w:val="24"/>
        </w:rPr>
        <w:t>dalszych przepisach ustawy</w:t>
      </w:r>
      <w:r w:rsidR="00983892" w:rsidRPr="000431F7">
        <w:rPr>
          <w:rFonts w:ascii="Times New Roman" w:hAnsi="Times New Roman" w:cs="Times New Roman"/>
          <w:sz w:val="24"/>
          <w:szCs w:val="24"/>
        </w:rPr>
        <w:t>;</w:t>
      </w:r>
    </w:p>
    <w:p w14:paraId="6E24AD08" w14:textId="447C21CE" w:rsidR="00322B7F" w:rsidRPr="000431F7" w:rsidRDefault="00867A61" w:rsidP="004742CC">
      <w:pPr>
        <w:spacing w:before="120" w:after="0" w:line="360" w:lineRule="auto"/>
        <w:ind w:left="426" w:hanging="426"/>
        <w:jc w:val="both"/>
        <w:rPr>
          <w:rFonts w:ascii="Times New Roman" w:hAnsi="Times New Roman" w:cs="Times New Roman"/>
          <w:sz w:val="24"/>
          <w:szCs w:val="24"/>
        </w:rPr>
      </w:pPr>
      <w:r w:rsidRPr="000431F7">
        <w:rPr>
          <w:rFonts w:ascii="Times New Roman" w:hAnsi="Times New Roman" w:cs="Times New Roman"/>
          <w:sz w:val="24"/>
          <w:szCs w:val="24"/>
        </w:rPr>
        <w:t>2)</w:t>
      </w:r>
      <w:r w:rsidR="005F2B39">
        <w:rPr>
          <w:rFonts w:ascii="Times New Roman" w:hAnsi="Times New Roman" w:cs="Times New Roman"/>
          <w:sz w:val="24"/>
          <w:szCs w:val="24"/>
        </w:rPr>
        <w:tab/>
      </w:r>
      <w:r w:rsidRPr="000431F7">
        <w:rPr>
          <w:rFonts w:ascii="Times New Roman" w:hAnsi="Times New Roman" w:cs="Times New Roman"/>
          <w:sz w:val="24"/>
          <w:szCs w:val="24"/>
        </w:rPr>
        <w:t>w</w:t>
      </w:r>
      <w:r w:rsidR="00866D3B" w:rsidRPr="000431F7">
        <w:rPr>
          <w:rFonts w:ascii="Times New Roman" w:hAnsi="Times New Roman" w:cs="Times New Roman"/>
          <w:sz w:val="24"/>
          <w:szCs w:val="24"/>
        </w:rPr>
        <w:t xml:space="preserve"> art. 9b w ust. 2 po pkt 5 dodano</w:t>
      </w:r>
      <w:r w:rsidR="009C76B5" w:rsidRPr="000431F7">
        <w:rPr>
          <w:rFonts w:ascii="Times New Roman" w:hAnsi="Times New Roman" w:cs="Times New Roman"/>
          <w:sz w:val="24"/>
          <w:szCs w:val="24"/>
        </w:rPr>
        <w:t xml:space="preserve"> pkt </w:t>
      </w:r>
      <w:r w:rsidR="002B4124" w:rsidRPr="000431F7">
        <w:rPr>
          <w:rFonts w:ascii="Times New Roman" w:hAnsi="Times New Roman" w:cs="Times New Roman"/>
          <w:sz w:val="24"/>
          <w:szCs w:val="24"/>
        </w:rPr>
        <w:t xml:space="preserve">6, </w:t>
      </w:r>
      <w:r w:rsidR="00866D3B" w:rsidRPr="000431F7">
        <w:rPr>
          <w:rFonts w:ascii="Times New Roman" w:hAnsi="Times New Roman" w:cs="Times New Roman"/>
          <w:sz w:val="24"/>
          <w:szCs w:val="24"/>
        </w:rPr>
        <w:t xml:space="preserve">w celu zapewnienia transpozycji art. 4 pkt 2 dyrektywy 2022/2556, który zmienia </w:t>
      </w:r>
      <w:r w:rsidR="00866D3B" w:rsidRPr="000431F7">
        <w:rPr>
          <w:rFonts w:ascii="Times New Roman" w:hAnsi="Times New Roman" w:cs="Times New Roman"/>
          <w:color w:val="000000"/>
          <w:sz w:val="24"/>
          <w:szCs w:val="24"/>
          <w:shd w:val="clear" w:color="auto" w:fill="FFFFFF"/>
        </w:rPr>
        <w:t>art. 74 ust. </w:t>
      </w:r>
      <w:r w:rsidR="00480FAA" w:rsidRPr="000431F7">
        <w:rPr>
          <w:rFonts w:ascii="Times New Roman" w:hAnsi="Times New Roman" w:cs="Times New Roman"/>
          <w:color w:val="000000"/>
          <w:sz w:val="24"/>
          <w:szCs w:val="24"/>
          <w:shd w:val="clear" w:color="auto" w:fill="FFFFFF"/>
        </w:rPr>
        <w:t>1</w:t>
      </w:r>
      <w:r w:rsidR="00ED472D" w:rsidRPr="000431F7">
        <w:rPr>
          <w:rFonts w:ascii="Times New Roman" w:hAnsi="Times New Roman" w:cs="Times New Roman"/>
          <w:color w:val="000000"/>
          <w:sz w:val="24"/>
          <w:szCs w:val="24"/>
          <w:shd w:val="clear" w:color="auto" w:fill="FFFFFF"/>
        </w:rPr>
        <w:t xml:space="preserve"> </w:t>
      </w:r>
      <w:r w:rsidR="00866D3B" w:rsidRPr="000431F7">
        <w:rPr>
          <w:rFonts w:ascii="Times New Roman" w:hAnsi="Times New Roman" w:cs="Times New Roman"/>
          <w:color w:val="000000"/>
          <w:sz w:val="24"/>
          <w:szCs w:val="24"/>
          <w:shd w:val="clear" w:color="auto" w:fill="FFFFFF"/>
        </w:rPr>
        <w:t>akapit pierwszy</w:t>
      </w:r>
      <w:r w:rsidR="00ED472D" w:rsidRPr="000431F7">
        <w:rPr>
          <w:rFonts w:ascii="Times New Roman" w:hAnsi="Times New Roman" w:cs="Times New Roman"/>
          <w:color w:val="000000"/>
          <w:sz w:val="24"/>
          <w:szCs w:val="24"/>
          <w:shd w:val="clear" w:color="auto" w:fill="FFFFFF"/>
        </w:rPr>
        <w:t xml:space="preserve"> dyrektywy 2013/36/UE</w:t>
      </w:r>
      <w:r w:rsidR="006F65DF" w:rsidRPr="000431F7">
        <w:rPr>
          <w:rFonts w:ascii="Times New Roman" w:hAnsi="Times New Roman" w:cs="Times New Roman"/>
          <w:color w:val="000000"/>
          <w:sz w:val="24"/>
          <w:szCs w:val="24"/>
          <w:shd w:val="clear" w:color="auto" w:fill="FFFFFF"/>
        </w:rPr>
        <w:t>, uwzględniając w zasadach zarządzania ryzykiem operacyjnym obowiązek posiadania systemów i sieci informatycznych u</w:t>
      </w:r>
      <w:r w:rsidR="00791922" w:rsidRPr="000431F7">
        <w:rPr>
          <w:rFonts w:ascii="Times New Roman" w:hAnsi="Times New Roman" w:cs="Times New Roman"/>
          <w:color w:val="000000"/>
          <w:sz w:val="24"/>
          <w:szCs w:val="24"/>
          <w:shd w:val="clear" w:color="auto" w:fill="FFFFFF"/>
        </w:rPr>
        <w:t>stanowionych</w:t>
      </w:r>
      <w:r w:rsidR="006F65DF" w:rsidRPr="000431F7">
        <w:rPr>
          <w:rFonts w:ascii="Times New Roman" w:hAnsi="Times New Roman" w:cs="Times New Roman"/>
          <w:color w:val="000000"/>
          <w:sz w:val="24"/>
          <w:szCs w:val="24"/>
          <w:shd w:val="clear" w:color="auto" w:fill="FFFFFF"/>
        </w:rPr>
        <w:t xml:space="preserve"> i z</w:t>
      </w:r>
      <w:r w:rsidR="00791922" w:rsidRPr="000431F7">
        <w:rPr>
          <w:rFonts w:ascii="Times New Roman" w:hAnsi="Times New Roman" w:cs="Times New Roman"/>
          <w:color w:val="000000"/>
          <w:sz w:val="24"/>
          <w:szCs w:val="24"/>
          <w:shd w:val="clear" w:color="auto" w:fill="FFFFFF"/>
        </w:rPr>
        <w:t>a</w:t>
      </w:r>
      <w:r w:rsidR="006F65DF" w:rsidRPr="000431F7">
        <w:rPr>
          <w:rFonts w:ascii="Times New Roman" w:hAnsi="Times New Roman" w:cs="Times New Roman"/>
          <w:color w:val="000000"/>
          <w:sz w:val="24"/>
          <w:szCs w:val="24"/>
          <w:shd w:val="clear" w:color="auto" w:fill="FFFFFF"/>
        </w:rPr>
        <w:t>rządzanych zgodnie z rozporządzeniem 2022/2554</w:t>
      </w:r>
      <w:r w:rsidR="00F53F28" w:rsidRPr="000431F7">
        <w:rPr>
          <w:rFonts w:ascii="Times New Roman" w:hAnsi="Times New Roman" w:cs="Times New Roman"/>
          <w:sz w:val="24"/>
          <w:szCs w:val="24"/>
        </w:rPr>
        <w:t>;</w:t>
      </w:r>
    </w:p>
    <w:p w14:paraId="0698A1D5" w14:textId="11871822" w:rsidR="004A5E32" w:rsidRPr="000431F7" w:rsidRDefault="00F53F28" w:rsidP="004742CC">
      <w:pPr>
        <w:spacing w:before="120" w:after="0" w:line="360" w:lineRule="auto"/>
        <w:ind w:left="426" w:hanging="426"/>
        <w:jc w:val="both"/>
        <w:rPr>
          <w:rFonts w:ascii="Times New Roman" w:hAnsi="Times New Roman" w:cs="Times New Roman"/>
          <w:sz w:val="24"/>
          <w:szCs w:val="24"/>
        </w:rPr>
      </w:pPr>
      <w:r w:rsidRPr="000431F7">
        <w:rPr>
          <w:rFonts w:ascii="Times New Roman" w:hAnsi="Times New Roman" w:cs="Times New Roman"/>
          <w:sz w:val="24"/>
          <w:szCs w:val="24"/>
        </w:rPr>
        <w:t>3)</w:t>
      </w:r>
      <w:r w:rsidR="005F2B39">
        <w:rPr>
          <w:rFonts w:ascii="Times New Roman" w:hAnsi="Times New Roman" w:cs="Times New Roman"/>
          <w:sz w:val="24"/>
          <w:szCs w:val="24"/>
        </w:rPr>
        <w:tab/>
      </w:r>
      <w:r w:rsidR="00F020CD">
        <w:rPr>
          <w:rFonts w:ascii="Times New Roman" w:hAnsi="Times New Roman" w:cs="Times New Roman"/>
          <w:sz w:val="24"/>
          <w:szCs w:val="24"/>
        </w:rPr>
        <w:t>i</w:t>
      </w:r>
      <w:r w:rsidR="00ED472D" w:rsidRPr="000431F7">
        <w:rPr>
          <w:rFonts w:ascii="Times New Roman" w:hAnsi="Times New Roman" w:cs="Times New Roman"/>
          <w:sz w:val="24"/>
          <w:szCs w:val="24"/>
        </w:rPr>
        <w:t xml:space="preserve">mplementacja </w:t>
      </w:r>
      <w:r w:rsidR="00866D3B" w:rsidRPr="000431F7">
        <w:rPr>
          <w:rFonts w:ascii="Times New Roman" w:hAnsi="Times New Roman" w:cs="Times New Roman"/>
          <w:sz w:val="24"/>
          <w:szCs w:val="24"/>
        </w:rPr>
        <w:t xml:space="preserve">przepisów </w:t>
      </w:r>
      <w:r w:rsidR="00ED472D" w:rsidRPr="000431F7">
        <w:rPr>
          <w:rFonts w:ascii="Times New Roman" w:hAnsi="Times New Roman" w:cs="Times New Roman"/>
          <w:sz w:val="24"/>
          <w:szCs w:val="24"/>
        </w:rPr>
        <w:t xml:space="preserve">dyrektywy 2022/2556 zostanie zapewniona </w:t>
      </w:r>
      <w:r w:rsidR="009C76B5" w:rsidRPr="000431F7">
        <w:rPr>
          <w:rFonts w:ascii="Times New Roman" w:hAnsi="Times New Roman" w:cs="Times New Roman"/>
          <w:sz w:val="24"/>
          <w:szCs w:val="24"/>
        </w:rPr>
        <w:t>również po</w:t>
      </w:r>
      <w:r w:rsidR="003B599A" w:rsidRPr="000431F7">
        <w:rPr>
          <w:rFonts w:ascii="Times New Roman" w:hAnsi="Times New Roman" w:cs="Times New Roman"/>
          <w:sz w:val="24"/>
          <w:szCs w:val="24"/>
        </w:rPr>
        <w:t>przez</w:t>
      </w:r>
      <w:r w:rsidR="00ED472D" w:rsidRPr="000431F7">
        <w:rPr>
          <w:rFonts w:ascii="Times New Roman" w:hAnsi="Times New Roman" w:cs="Times New Roman"/>
          <w:sz w:val="24"/>
          <w:szCs w:val="24"/>
        </w:rPr>
        <w:t xml:space="preserve"> zmianę regulacji dotyczącej systemu zarządzania ryzykiem i dostosowanie jej do zmian przepisów dyrektywy </w:t>
      </w:r>
      <w:r w:rsidR="00ED472D" w:rsidRPr="000431F7">
        <w:rPr>
          <w:rFonts w:ascii="Times New Roman" w:hAnsi="Times New Roman" w:cs="Times New Roman"/>
          <w:color w:val="000000"/>
          <w:sz w:val="24"/>
          <w:szCs w:val="24"/>
          <w:shd w:val="clear" w:color="auto" w:fill="FFFFFF"/>
        </w:rPr>
        <w:t>2013/36/UE</w:t>
      </w:r>
      <w:r w:rsidR="002B4124" w:rsidRPr="000431F7">
        <w:rPr>
          <w:rFonts w:ascii="Times New Roman" w:hAnsi="Times New Roman" w:cs="Times New Roman"/>
          <w:color w:val="000000"/>
          <w:sz w:val="24"/>
          <w:szCs w:val="24"/>
          <w:shd w:val="clear" w:color="auto" w:fill="FFFFFF"/>
        </w:rPr>
        <w:t>,</w:t>
      </w:r>
      <w:r w:rsidR="00ED472D" w:rsidRPr="000431F7">
        <w:rPr>
          <w:rFonts w:ascii="Times New Roman" w:hAnsi="Times New Roman" w:cs="Times New Roman"/>
          <w:color w:val="000000"/>
          <w:sz w:val="24"/>
          <w:szCs w:val="24"/>
          <w:shd w:val="clear" w:color="auto" w:fill="FFFFFF"/>
        </w:rPr>
        <w:t xml:space="preserve"> </w:t>
      </w:r>
      <w:r w:rsidR="006F65DF" w:rsidRPr="000431F7">
        <w:rPr>
          <w:rFonts w:ascii="Times New Roman" w:hAnsi="Times New Roman" w:cs="Times New Roman"/>
          <w:color w:val="000000"/>
          <w:sz w:val="24"/>
          <w:szCs w:val="24"/>
          <w:shd w:val="clear" w:color="auto" w:fill="FFFFFF"/>
        </w:rPr>
        <w:t>w tym zakresie</w:t>
      </w:r>
      <w:r w:rsidR="009C76B5" w:rsidRPr="000431F7">
        <w:rPr>
          <w:rFonts w:ascii="Times New Roman" w:hAnsi="Times New Roman" w:cs="Times New Roman"/>
          <w:color w:val="000000"/>
          <w:sz w:val="24"/>
          <w:szCs w:val="24"/>
          <w:shd w:val="clear" w:color="auto" w:fill="FFFFFF"/>
        </w:rPr>
        <w:t>, wprowadzona zostanie</w:t>
      </w:r>
      <w:r w:rsidR="00987740">
        <w:rPr>
          <w:rFonts w:ascii="Times New Roman" w:hAnsi="Times New Roman" w:cs="Times New Roman"/>
          <w:color w:val="000000"/>
          <w:sz w:val="24"/>
          <w:szCs w:val="24"/>
          <w:shd w:val="clear" w:color="auto" w:fill="FFFFFF"/>
        </w:rPr>
        <w:t xml:space="preserve"> </w:t>
      </w:r>
      <w:r w:rsidR="004A5E32" w:rsidRPr="000431F7">
        <w:rPr>
          <w:rFonts w:ascii="Times New Roman" w:hAnsi="Times New Roman" w:cs="Times New Roman"/>
          <w:sz w:val="24"/>
          <w:szCs w:val="24"/>
        </w:rPr>
        <w:t>zmiana art.</w:t>
      </w:r>
      <w:r w:rsidR="00466F2E">
        <w:rPr>
          <w:rFonts w:ascii="Times New Roman" w:hAnsi="Times New Roman" w:cs="Times New Roman"/>
          <w:sz w:val="24"/>
          <w:szCs w:val="24"/>
        </w:rPr>
        <w:t> </w:t>
      </w:r>
      <w:r w:rsidR="00ED472D" w:rsidRPr="000431F7">
        <w:rPr>
          <w:rFonts w:ascii="Times New Roman" w:hAnsi="Times New Roman" w:cs="Times New Roman"/>
          <w:sz w:val="24"/>
          <w:szCs w:val="24"/>
        </w:rPr>
        <w:t>133</w:t>
      </w:r>
      <w:r w:rsidR="002B4124" w:rsidRPr="000431F7">
        <w:rPr>
          <w:rFonts w:ascii="Times New Roman" w:hAnsi="Times New Roman" w:cs="Times New Roman"/>
          <w:sz w:val="24"/>
          <w:szCs w:val="24"/>
        </w:rPr>
        <w:t>, która</w:t>
      </w:r>
      <w:r w:rsidR="00987740">
        <w:rPr>
          <w:rFonts w:ascii="Times New Roman" w:hAnsi="Times New Roman" w:cs="Times New Roman"/>
          <w:sz w:val="24"/>
          <w:szCs w:val="24"/>
        </w:rPr>
        <w:t xml:space="preserve"> </w:t>
      </w:r>
      <w:r w:rsidR="00ED472D" w:rsidRPr="000431F7">
        <w:rPr>
          <w:rFonts w:ascii="Times New Roman" w:hAnsi="Times New Roman" w:cs="Times New Roman"/>
          <w:sz w:val="24"/>
          <w:szCs w:val="24"/>
        </w:rPr>
        <w:t>ma na celu implementację do polskiego porządku prawnego zmian wynikających z art. 4 pkt 1</w:t>
      </w:r>
      <w:r w:rsidR="003E1649" w:rsidRPr="000431F7">
        <w:rPr>
          <w:rFonts w:ascii="Times New Roman" w:hAnsi="Times New Roman" w:cs="Times New Roman"/>
          <w:sz w:val="24"/>
          <w:szCs w:val="24"/>
        </w:rPr>
        <w:t xml:space="preserve"> dyrektywy 2022/2556</w:t>
      </w:r>
      <w:r w:rsidR="00ED472D" w:rsidRPr="000431F7">
        <w:rPr>
          <w:rFonts w:ascii="Times New Roman" w:hAnsi="Times New Roman" w:cs="Times New Roman"/>
          <w:sz w:val="24"/>
          <w:szCs w:val="24"/>
        </w:rPr>
        <w:t xml:space="preserve">, który wprowadza zmiany w art. </w:t>
      </w:r>
      <w:r w:rsidR="00ED472D" w:rsidRPr="000431F7">
        <w:rPr>
          <w:rFonts w:ascii="Times New Roman" w:hAnsi="Times New Roman" w:cs="Times New Roman"/>
          <w:color w:val="000000"/>
          <w:sz w:val="24"/>
          <w:szCs w:val="24"/>
          <w:shd w:val="clear" w:color="auto" w:fill="FFFFFF"/>
        </w:rPr>
        <w:t>65 ust. 3 lit. a) pkt (vi)</w:t>
      </w:r>
      <w:r w:rsidR="00ED472D" w:rsidRPr="000431F7" w:rsidDel="00ED472D">
        <w:rPr>
          <w:rFonts w:ascii="Times New Roman" w:hAnsi="Times New Roman" w:cs="Times New Roman"/>
          <w:sz w:val="24"/>
          <w:szCs w:val="24"/>
        </w:rPr>
        <w:t xml:space="preserve"> </w:t>
      </w:r>
      <w:r w:rsidR="00ED472D" w:rsidRPr="000431F7">
        <w:rPr>
          <w:rFonts w:ascii="Times New Roman" w:hAnsi="Times New Roman" w:cs="Times New Roman"/>
          <w:color w:val="000000"/>
          <w:sz w:val="24"/>
          <w:szCs w:val="24"/>
          <w:shd w:val="clear" w:color="auto" w:fill="FFFFFF"/>
        </w:rPr>
        <w:t>dyrektywy 2013/36/UE</w:t>
      </w:r>
      <w:r w:rsidR="00ED472D" w:rsidRPr="000431F7">
        <w:rPr>
          <w:rFonts w:ascii="Times New Roman" w:hAnsi="Times New Roman" w:cs="Times New Roman"/>
          <w:sz w:val="24"/>
          <w:szCs w:val="24"/>
        </w:rPr>
        <w:t xml:space="preserve">, </w:t>
      </w:r>
      <w:r w:rsidR="003B599A" w:rsidRPr="000431F7">
        <w:rPr>
          <w:rFonts w:ascii="Times New Roman" w:hAnsi="Times New Roman" w:cs="Times New Roman"/>
          <w:sz w:val="24"/>
          <w:szCs w:val="24"/>
        </w:rPr>
        <w:t>przez</w:t>
      </w:r>
      <w:r w:rsidR="00ED472D" w:rsidRPr="000431F7">
        <w:rPr>
          <w:rFonts w:ascii="Times New Roman" w:hAnsi="Times New Roman" w:cs="Times New Roman"/>
          <w:sz w:val="24"/>
          <w:szCs w:val="24"/>
        </w:rPr>
        <w:t xml:space="preserve"> uzupełnienie kompetencji K</w:t>
      </w:r>
      <w:r w:rsidR="00791922" w:rsidRPr="000431F7">
        <w:rPr>
          <w:rFonts w:ascii="Times New Roman" w:hAnsi="Times New Roman" w:cs="Times New Roman"/>
          <w:sz w:val="24"/>
          <w:szCs w:val="24"/>
        </w:rPr>
        <w:t>NF</w:t>
      </w:r>
      <w:r w:rsidR="00ED472D" w:rsidRPr="000431F7">
        <w:rPr>
          <w:rFonts w:ascii="Times New Roman" w:hAnsi="Times New Roman" w:cs="Times New Roman"/>
          <w:sz w:val="24"/>
          <w:szCs w:val="24"/>
        </w:rPr>
        <w:t xml:space="preserve"> o możliwość wezwania</w:t>
      </w:r>
      <w:r w:rsidR="0025319C" w:rsidRPr="000431F7">
        <w:rPr>
          <w:rFonts w:ascii="Times New Roman" w:hAnsi="Times New Roman" w:cs="Times New Roman"/>
          <w:sz w:val="24"/>
          <w:szCs w:val="24"/>
        </w:rPr>
        <w:t xml:space="preserve">, w toku kontroli </w:t>
      </w:r>
      <w:r w:rsidR="00ED472D" w:rsidRPr="000431F7">
        <w:rPr>
          <w:rFonts w:ascii="Times New Roman" w:hAnsi="Times New Roman" w:cs="Times New Roman"/>
          <w:sz w:val="24"/>
          <w:szCs w:val="24"/>
        </w:rPr>
        <w:t>osób fizycznych lub prawnych</w:t>
      </w:r>
      <w:r w:rsidR="00791922" w:rsidRPr="000431F7">
        <w:rPr>
          <w:rFonts w:ascii="Times New Roman" w:hAnsi="Times New Roman" w:cs="Times New Roman"/>
          <w:sz w:val="24"/>
          <w:szCs w:val="24"/>
        </w:rPr>
        <w:t>,</w:t>
      </w:r>
      <w:r w:rsidR="00ED472D" w:rsidRPr="000431F7">
        <w:rPr>
          <w:rFonts w:ascii="Times New Roman" w:hAnsi="Times New Roman" w:cs="Times New Roman"/>
          <w:sz w:val="24"/>
          <w:szCs w:val="24"/>
        </w:rPr>
        <w:t xml:space="preserve"> którym bank zlecił funkcje lub działalność, w tym zewnętrznych dostawców usług ICT, o których mowa w rozdziale V rozporządzenia 2022/2554, do udzielenia wszelkich niezbędnych informacji, koniecznych d</w:t>
      </w:r>
      <w:r w:rsidR="00A45606" w:rsidRPr="000431F7">
        <w:rPr>
          <w:rFonts w:ascii="Times New Roman" w:hAnsi="Times New Roman" w:cs="Times New Roman"/>
          <w:sz w:val="24"/>
          <w:szCs w:val="24"/>
        </w:rPr>
        <w:t>o</w:t>
      </w:r>
      <w:r w:rsidR="00ED472D" w:rsidRPr="000431F7">
        <w:rPr>
          <w:rFonts w:ascii="Times New Roman" w:hAnsi="Times New Roman" w:cs="Times New Roman"/>
          <w:sz w:val="24"/>
          <w:szCs w:val="24"/>
        </w:rPr>
        <w:t xml:space="preserve"> realizacji celów nadzoru</w:t>
      </w:r>
      <w:r w:rsidR="009C76B5" w:rsidRPr="000431F7">
        <w:rPr>
          <w:rFonts w:ascii="Times New Roman" w:hAnsi="Times New Roman" w:cs="Times New Roman"/>
          <w:sz w:val="24"/>
          <w:szCs w:val="24"/>
        </w:rPr>
        <w:t xml:space="preserve">. </w:t>
      </w:r>
    </w:p>
    <w:p w14:paraId="37257DFF" w14:textId="4EC11945" w:rsidR="00FC0AA1" w:rsidRPr="000431F7" w:rsidRDefault="00D268A4" w:rsidP="004742CC">
      <w:pPr>
        <w:pStyle w:val="ARTartustawynprozporzdzenia"/>
        <w:tabs>
          <w:tab w:val="left" w:pos="426"/>
        </w:tabs>
        <w:ind w:firstLine="0"/>
        <w:rPr>
          <w:rFonts w:ascii="Times New Roman" w:hAnsi="Times New Roman" w:cs="Times New Roman"/>
          <w:b/>
          <w:szCs w:val="24"/>
        </w:rPr>
      </w:pPr>
      <w:r w:rsidRPr="000431F7">
        <w:rPr>
          <w:rStyle w:val="Ppogrubienie"/>
          <w:rFonts w:ascii="Times New Roman" w:hAnsi="Times New Roman" w:cs="Times New Roman"/>
          <w:szCs w:val="24"/>
        </w:rPr>
        <w:t>4</w:t>
      </w:r>
      <w:r w:rsidR="00FC0AA1" w:rsidRPr="000431F7">
        <w:rPr>
          <w:rStyle w:val="Ppogrubienie"/>
          <w:rFonts w:ascii="Times New Roman" w:hAnsi="Times New Roman" w:cs="Times New Roman"/>
          <w:szCs w:val="24"/>
        </w:rPr>
        <w:t>.</w:t>
      </w:r>
      <w:r w:rsidR="005F2B39">
        <w:rPr>
          <w:rStyle w:val="Ppogrubienie"/>
          <w:rFonts w:ascii="Times New Roman" w:hAnsi="Times New Roman" w:cs="Times New Roman"/>
          <w:szCs w:val="24"/>
        </w:rPr>
        <w:tab/>
      </w:r>
      <w:r w:rsidR="00466F2E">
        <w:rPr>
          <w:rStyle w:val="Ppogrubienie"/>
          <w:rFonts w:ascii="Times New Roman" w:hAnsi="Times New Roman" w:cs="Times New Roman"/>
          <w:szCs w:val="24"/>
        </w:rPr>
        <w:t>Z</w:t>
      </w:r>
      <w:r w:rsidR="00FC0AA1" w:rsidRPr="000431F7">
        <w:rPr>
          <w:rStyle w:val="Ppogrubienie"/>
          <w:rFonts w:ascii="Times New Roman" w:hAnsi="Times New Roman" w:cs="Times New Roman"/>
          <w:szCs w:val="24"/>
        </w:rPr>
        <w:t xml:space="preserve">miany w </w:t>
      </w:r>
      <w:r w:rsidR="00FC0AA1" w:rsidRPr="000431F7">
        <w:rPr>
          <w:rFonts w:ascii="Times New Roman" w:hAnsi="Times New Roman" w:cs="Times New Roman"/>
          <w:b/>
          <w:szCs w:val="24"/>
        </w:rPr>
        <w:t>ustawie z dnia 14 marca 2003 r. o Banku Gospodarstwa Krajowego (art.</w:t>
      </w:r>
      <w:r w:rsidR="00466F2E">
        <w:rPr>
          <w:rFonts w:ascii="Times New Roman" w:hAnsi="Times New Roman" w:cs="Times New Roman"/>
          <w:b/>
          <w:szCs w:val="24"/>
        </w:rPr>
        <w:t> </w:t>
      </w:r>
      <w:r w:rsidRPr="000431F7">
        <w:rPr>
          <w:rFonts w:ascii="Times New Roman" w:hAnsi="Times New Roman" w:cs="Times New Roman"/>
          <w:b/>
          <w:szCs w:val="24"/>
        </w:rPr>
        <w:t>4</w:t>
      </w:r>
      <w:r w:rsidR="00FC0AA1" w:rsidRPr="000431F7">
        <w:rPr>
          <w:rFonts w:ascii="Times New Roman" w:hAnsi="Times New Roman" w:cs="Times New Roman"/>
          <w:b/>
          <w:szCs w:val="24"/>
        </w:rPr>
        <w:t>)</w:t>
      </w:r>
    </w:p>
    <w:p w14:paraId="32893AD3" w14:textId="3FBE9052" w:rsidR="00FC0AA1" w:rsidRPr="000431F7" w:rsidRDefault="00FC0AA1" w:rsidP="004742CC">
      <w:pPr>
        <w:pStyle w:val="ZARTzmartartykuempunktem"/>
        <w:spacing w:before="120"/>
        <w:ind w:left="0" w:firstLine="0"/>
        <w:rPr>
          <w:rFonts w:ascii="Times New Roman" w:hAnsi="Times New Roman" w:cs="Times New Roman"/>
          <w:szCs w:val="24"/>
        </w:rPr>
      </w:pPr>
      <w:r w:rsidRPr="000431F7">
        <w:rPr>
          <w:rFonts w:ascii="Times New Roman" w:hAnsi="Times New Roman" w:cs="Times New Roman"/>
          <w:szCs w:val="24"/>
        </w:rPr>
        <w:t>Ustawodawca krajowy nie zdecydował się na wdrożenie do polskiego porządku prawnego wyłączenia, o którym mowa w art. 2 ust. 4 rozporządzenia 2022/2554, tj. wyłączenia podmiotów,</w:t>
      </w:r>
      <w:r w:rsidRPr="000431F7">
        <w:rPr>
          <w:rFonts w:ascii="Times New Roman" w:hAnsi="Times New Roman" w:cs="Times New Roman"/>
          <w:color w:val="000000"/>
          <w:szCs w:val="24"/>
          <w:shd w:val="clear" w:color="auto" w:fill="FFFFFF"/>
        </w:rPr>
        <w:t xml:space="preserve"> o których mowa w art. 2 ust. 5 pkt 4–23 dyrektywy 2013/36/UE, mających siedzibę na ich odpowiednich terytoriach. W polskim systemie prawnym ww. podmiotom odpowiadają </w:t>
      </w:r>
      <w:r w:rsidRPr="000431F7">
        <w:rPr>
          <w:rFonts w:ascii="Times New Roman" w:hAnsi="Times New Roman" w:cs="Times New Roman"/>
          <w:szCs w:val="24"/>
        </w:rPr>
        <w:t>spółdzielcze kasy oszczędnościowo-kredytowe w rozumieniu ustawy z dnia 5</w:t>
      </w:r>
      <w:r w:rsidR="00466F2E">
        <w:rPr>
          <w:rFonts w:ascii="Times New Roman" w:hAnsi="Times New Roman" w:cs="Times New Roman"/>
          <w:szCs w:val="24"/>
        </w:rPr>
        <w:t> </w:t>
      </w:r>
      <w:r w:rsidRPr="000431F7">
        <w:rPr>
          <w:rFonts w:ascii="Times New Roman" w:hAnsi="Times New Roman" w:cs="Times New Roman"/>
          <w:szCs w:val="24"/>
        </w:rPr>
        <w:t>listopada 2009 r. o spółdzielczych kasach oszczędnościowo</w:t>
      </w:r>
      <w:r w:rsidR="00987740">
        <w:rPr>
          <w:rFonts w:ascii="Times New Roman" w:hAnsi="Times New Roman" w:cs="Times New Roman"/>
          <w:szCs w:val="24"/>
        </w:rPr>
        <w:t>-</w:t>
      </w:r>
      <w:r w:rsidRPr="000431F7">
        <w:rPr>
          <w:rFonts w:ascii="Times New Roman" w:hAnsi="Times New Roman" w:cs="Times New Roman"/>
          <w:szCs w:val="24"/>
        </w:rPr>
        <w:t>kredytowych oraz banki państwowe</w:t>
      </w:r>
      <w:r w:rsidR="00466F2E">
        <w:rPr>
          <w:rFonts w:ascii="Times New Roman" w:hAnsi="Times New Roman" w:cs="Times New Roman"/>
          <w:szCs w:val="24"/>
        </w:rPr>
        <w:t>,</w:t>
      </w:r>
      <w:r w:rsidRPr="000431F7">
        <w:rPr>
          <w:rFonts w:ascii="Times New Roman" w:hAnsi="Times New Roman" w:cs="Times New Roman"/>
          <w:szCs w:val="24"/>
        </w:rPr>
        <w:t xml:space="preserve"> tj. Bank Gospodarstwa Krajowego</w:t>
      </w:r>
      <w:r w:rsidR="00791922" w:rsidRPr="000431F7">
        <w:rPr>
          <w:rFonts w:ascii="Times New Roman" w:hAnsi="Times New Roman" w:cs="Times New Roman"/>
          <w:szCs w:val="24"/>
        </w:rPr>
        <w:t xml:space="preserve"> (BGK)</w:t>
      </w:r>
      <w:r w:rsidRPr="000431F7">
        <w:rPr>
          <w:rFonts w:ascii="Times New Roman" w:hAnsi="Times New Roman" w:cs="Times New Roman"/>
          <w:szCs w:val="24"/>
        </w:rPr>
        <w:t>. Z uwagi na zakres działalności ww. podmiotów wskazana jest rezygnacja z zastosowania opcji narodowe</w:t>
      </w:r>
      <w:r w:rsidR="009D2C7A" w:rsidRPr="000431F7">
        <w:rPr>
          <w:rFonts w:ascii="Times New Roman" w:hAnsi="Times New Roman" w:cs="Times New Roman"/>
          <w:szCs w:val="24"/>
        </w:rPr>
        <w:t>j</w:t>
      </w:r>
      <w:r w:rsidRPr="000431F7">
        <w:rPr>
          <w:rFonts w:ascii="Times New Roman" w:hAnsi="Times New Roman" w:cs="Times New Roman"/>
          <w:szCs w:val="24"/>
        </w:rPr>
        <w:t>, o której mowa w art. 2 ust. 4.</w:t>
      </w:r>
    </w:p>
    <w:p w14:paraId="631F04A8" w14:textId="0CB3810B" w:rsidR="00480FAA" w:rsidRPr="000431F7" w:rsidRDefault="00FC0AA1" w:rsidP="004742CC">
      <w:pPr>
        <w:pStyle w:val="ZARTzmartartykuempunktem"/>
        <w:spacing w:before="120"/>
        <w:ind w:left="0" w:firstLine="0"/>
        <w:rPr>
          <w:rFonts w:ascii="Times New Roman" w:hAnsi="Times New Roman" w:cs="Times New Roman"/>
          <w:szCs w:val="24"/>
        </w:rPr>
      </w:pPr>
      <w:r w:rsidRPr="000431F7">
        <w:rPr>
          <w:rFonts w:ascii="Times New Roman" w:hAnsi="Times New Roman" w:cs="Times New Roman"/>
          <w:szCs w:val="24"/>
        </w:rPr>
        <w:t xml:space="preserve">Ponadto </w:t>
      </w:r>
      <w:r w:rsidR="00390D04" w:rsidRPr="000431F7">
        <w:rPr>
          <w:rFonts w:ascii="Times New Roman" w:hAnsi="Times New Roman" w:cs="Times New Roman"/>
          <w:szCs w:val="24"/>
        </w:rPr>
        <w:t xml:space="preserve">w przypadku </w:t>
      </w:r>
      <w:r w:rsidRPr="000431F7">
        <w:rPr>
          <w:rFonts w:ascii="Times New Roman" w:hAnsi="Times New Roman" w:cs="Times New Roman"/>
          <w:szCs w:val="24"/>
        </w:rPr>
        <w:t>w</w:t>
      </w:r>
      <w:r w:rsidR="00A45606" w:rsidRPr="000431F7">
        <w:rPr>
          <w:rFonts w:ascii="Times New Roman" w:hAnsi="Times New Roman" w:cs="Times New Roman"/>
          <w:szCs w:val="24"/>
        </w:rPr>
        <w:t>w. podmiotów finansowych, w</w:t>
      </w:r>
      <w:r w:rsidRPr="000431F7">
        <w:rPr>
          <w:rFonts w:ascii="Times New Roman" w:hAnsi="Times New Roman" w:cs="Times New Roman"/>
          <w:szCs w:val="24"/>
        </w:rPr>
        <w:t xml:space="preserve"> </w:t>
      </w:r>
      <w:r w:rsidR="00A45606" w:rsidRPr="000431F7">
        <w:rPr>
          <w:rFonts w:ascii="Times New Roman" w:hAnsi="Times New Roman" w:cs="Times New Roman"/>
          <w:szCs w:val="24"/>
        </w:rPr>
        <w:t>tym</w:t>
      </w:r>
      <w:r w:rsidRPr="000431F7">
        <w:rPr>
          <w:rFonts w:ascii="Times New Roman" w:hAnsi="Times New Roman" w:cs="Times New Roman"/>
          <w:szCs w:val="24"/>
        </w:rPr>
        <w:t xml:space="preserve"> BGK, z uwagi na zakres i wielkość prowadzonej działalności</w:t>
      </w:r>
      <w:r w:rsidR="00A45606" w:rsidRPr="000431F7">
        <w:rPr>
          <w:rFonts w:ascii="Times New Roman" w:hAnsi="Times New Roman" w:cs="Times New Roman"/>
          <w:szCs w:val="24"/>
        </w:rPr>
        <w:t xml:space="preserve">, </w:t>
      </w:r>
      <w:r w:rsidRPr="000431F7">
        <w:rPr>
          <w:rFonts w:ascii="Times New Roman" w:hAnsi="Times New Roman" w:cs="Times New Roman"/>
          <w:szCs w:val="24"/>
        </w:rPr>
        <w:t xml:space="preserve">projektodawca podjął decyzję o rozszerzeniu zakresu obowiązków dotyczących zarządzania ryzykiem związanym z ICT, w stosunku do obowiązków wynikających z rozporządzenia 2022/2554. W przypadku podmiotów objętych fakultatywnym </w:t>
      </w:r>
      <w:r w:rsidRPr="000431F7">
        <w:rPr>
          <w:rFonts w:ascii="Times New Roman" w:hAnsi="Times New Roman" w:cs="Times New Roman"/>
          <w:szCs w:val="24"/>
        </w:rPr>
        <w:lastRenderedPageBreak/>
        <w:t xml:space="preserve">wyłączeniem, o którym mowa w art. 2 ust. 4, w zakresie zarządzania </w:t>
      </w:r>
      <w:r w:rsidR="009D2C7A" w:rsidRPr="000431F7">
        <w:rPr>
          <w:rFonts w:ascii="Times New Roman" w:hAnsi="Times New Roman" w:cs="Times New Roman"/>
          <w:szCs w:val="24"/>
        </w:rPr>
        <w:t>ryzyk</w:t>
      </w:r>
      <w:r w:rsidRPr="000431F7">
        <w:rPr>
          <w:rFonts w:ascii="Times New Roman" w:hAnsi="Times New Roman" w:cs="Times New Roman"/>
          <w:szCs w:val="24"/>
        </w:rPr>
        <w:t>iem</w:t>
      </w:r>
      <w:r w:rsidR="00693484" w:rsidRPr="000431F7">
        <w:rPr>
          <w:rFonts w:ascii="Times New Roman" w:hAnsi="Times New Roman" w:cs="Times New Roman"/>
          <w:szCs w:val="24"/>
        </w:rPr>
        <w:t xml:space="preserve"> związanym z ICT</w:t>
      </w:r>
      <w:r w:rsidRPr="000431F7">
        <w:rPr>
          <w:rFonts w:ascii="Times New Roman" w:hAnsi="Times New Roman" w:cs="Times New Roman"/>
          <w:szCs w:val="24"/>
        </w:rPr>
        <w:t xml:space="preserve">, znajduje zastosowanie art. 16 tego rozporządzenia, określający uproszczone ramy zarządzania </w:t>
      </w:r>
      <w:r w:rsidR="009D2C7A" w:rsidRPr="000431F7">
        <w:rPr>
          <w:rFonts w:ascii="Times New Roman" w:hAnsi="Times New Roman" w:cs="Times New Roman"/>
          <w:szCs w:val="24"/>
        </w:rPr>
        <w:t>ryzyk</w:t>
      </w:r>
      <w:r w:rsidRPr="000431F7">
        <w:rPr>
          <w:rFonts w:ascii="Times New Roman" w:hAnsi="Times New Roman" w:cs="Times New Roman"/>
          <w:szCs w:val="24"/>
        </w:rPr>
        <w:t xml:space="preserve">iem. Należy podkreślić, że podmioty </w:t>
      </w:r>
      <w:r w:rsidR="00A45606" w:rsidRPr="000431F7">
        <w:rPr>
          <w:rFonts w:ascii="Times New Roman" w:hAnsi="Times New Roman" w:cs="Times New Roman"/>
          <w:szCs w:val="24"/>
        </w:rPr>
        <w:t xml:space="preserve">objęte zakresem </w:t>
      </w:r>
      <w:r w:rsidRPr="000431F7">
        <w:rPr>
          <w:rFonts w:ascii="Times New Roman" w:hAnsi="Times New Roman" w:cs="Times New Roman"/>
          <w:szCs w:val="24"/>
        </w:rPr>
        <w:t>art. 16 ust. 1 to małe podmioty</w:t>
      </w:r>
      <w:r w:rsidR="0054358F">
        <w:rPr>
          <w:rFonts w:ascii="Times New Roman" w:hAnsi="Times New Roman" w:cs="Times New Roman"/>
          <w:szCs w:val="24"/>
        </w:rPr>
        <w:t>,</w:t>
      </w:r>
      <w:r w:rsidRPr="000431F7">
        <w:rPr>
          <w:rFonts w:ascii="Times New Roman" w:hAnsi="Times New Roman" w:cs="Times New Roman"/>
          <w:szCs w:val="24"/>
        </w:rPr>
        <w:t xml:space="preserve"> np. małe instytucje pracowniczych programów emerytalnych czy małe instytucje płatnicze</w:t>
      </w:r>
      <w:r w:rsidR="00A45606" w:rsidRPr="000431F7">
        <w:rPr>
          <w:rFonts w:ascii="Times New Roman" w:hAnsi="Times New Roman" w:cs="Times New Roman"/>
          <w:szCs w:val="24"/>
        </w:rPr>
        <w:t>,</w:t>
      </w:r>
      <w:r w:rsidRPr="000431F7">
        <w:rPr>
          <w:rFonts w:ascii="Times New Roman" w:hAnsi="Times New Roman" w:cs="Times New Roman"/>
          <w:szCs w:val="24"/>
        </w:rPr>
        <w:t xml:space="preserve"> w stosunku do których zakres obowiązków wskazanych w tym przepisie jest adekwatny. Jednak w przypadku podmiotów takich jak BGK zakres obowiązków wskazanych w tym przepisie nie wydaje się wystarczający dla zapewnienia skutecznego zarządzania </w:t>
      </w:r>
      <w:r w:rsidR="009D2C7A" w:rsidRPr="000431F7">
        <w:rPr>
          <w:rFonts w:ascii="Times New Roman" w:hAnsi="Times New Roman" w:cs="Times New Roman"/>
          <w:szCs w:val="24"/>
        </w:rPr>
        <w:t>ryzyk</w:t>
      </w:r>
      <w:r w:rsidRPr="000431F7">
        <w:rPr>
          <w:rFonts w:ascii="Times New Roman" w:hAnsi="Times New Roman" w:cs="Times New Roman"/>
          <w:szCs w:val="24"/>
        </w:rPr>
        <w:t>iem związanym z ICT.</w:t>
      </w:r>
      <w:r w:rsidR="00480FAA" w:rsidRPr="000431F7">
        <w:rPr>
          <w:rFonts w:ascii="Times New Roman" w:hAnsi="Times New Roman" w:cs="Times New Roman"/>
          <w:szCs w:val="24"/>
        </w:rPr>
        <w:t xml:space="preserve"> BKG należy do podmiotów, które prawdopodobnie spełniają kryteria zakwalifikowania jako podmioty kluczowe w rozumieniu art. 3 dyrektywy 2022/2555, jako </w:t>
      </w:r>
      <w:r w:rsidR="00480FAA" w:rsidRPr="000431F7">
        <w:rPr>
          <w:rFonts w:ascii="Times New Roman" w:hAnsi="Times New Roman" w:cs="Times New Roman"/>
          <w:color w:val="000000"/>
          <w:szCs w:val="24"/>
          <w:shd w:val="clear" w:color="auto" w:fill="FFFFFF"/>
        </w:rPr>
        <w:t>przekraczające pułapy dla średnich przedsiębiorstw, określone w art. 2 ust. 1 załącznika do zalecenia 2003/361/WE, nie wydaje się zatem zasadne, aby obowiązki w zakresie zarządzania ryzkiem związanym z ICT ograniczały się do spełnienia wymogów, o których mowa w art. 16.</w:t>
      </w:r>
    </w:p>
    <w:p w14:paraId="4174EB1D" w14:textId="5D6A4202" w:rsidR="00D268A4" w:rsidRPr="000431F7" w:rsidRDefault="00FC0AA1" w:rsidP="004742CC">
      <w:pPr>
        <w:pStyle w:val="ZUSTzmustartykuempunktem"/>
        <w:spacing w:before="120"/>
        <w:ind w:left="0" w:firstLine="0"/>
        <w:rPr>
          <w:rFonts w:ascii="Times New Roman" w:hAnsi="Times New Roman" w:cs="Times New Roman"/>
          <w:szCs w:val="24"/>
        </w:rPr>
      </w:pPr>
      <w:r w:rsidRPr="000431F7">
        <w:rPr>
          <w:rFonts w:ascii="Times New Roman" w:hAnsi="Times New Roman" w:cs="Times New Roman"/>
          <w:szCs w:val="24"/>
        </w:rPr>
        <w:t>Z uwagi na powyższe w dodawanym art. 3c wprowadzono obowiązek stosowania rozporządzenia 2022/2554</w:t>
      </w:r>
      <w:r w:rsidR="00504696" w:rsidRPr="000431F7">
        <w:rPr>
          <w:rFonts w:ascii="Times New Roman" w:hAnsi="Times New Roman" w:cs="Times New Roman"/>
          <w:szCs w:val="24"/>
        </w:rPr>
        <w:t xml:space="preserve"> z wyłączeniem art. 16 tego rozporządzenia</w:t>
      </w:r>
      <w:r w:rsidRPr="000431F7">
        <w:rPr>
          <w:rFonts w:ascii="Times New Roman" w:hAnsi="Times New Roman" w:cs="Times New Roman"/>
          <w:szCs w:val="24"/>
        </w:rPr>
        <w:t xml:space="preserve"> </w:t>
      </w:r>
      <w:r w:rsidR="00504696" w:rsidRPr="000431F7">
        <w:rPr>
          <w:rFonts w:ascii="Times New Roman" w:hAnsi="Times New Roman" w:cs="Times New Roman"/>
          <w:szCs w:val="24"/>
        </w:rPr>
        <w:t>oraz wskazano, że do nadzoru w tym zakresie stosuje się przepisy ustawy z dnia 21 lipca 2006 r. o nadzorze nad rynkiem finansowym dotyczące nadzoru nad spełnianiem wymagań określonych w rozporządzeniu</w:t>
      </w:r>
      <w:r w:rsidR="00D543D0" w:rsidRPr="000431F7">
        <w:rPr>
          <w:rFonts w:ascii="Times New Roman" w:hAnsi="Times New Roman" w:cs="Times New Roman"/>
          <w:szCs w:val="24"/>
        </w:rPr>
        <w:t xml:space="preserve"> 2022/2554.</w:t>
      </w:r>
    </w:p>
    <w:p w14:paraId="45BA2697" w14:textId="70135A0A" w:rsidR="009B2591" w:rsidRPr="000431F7" w:rsidRDefault="00D268A4" w:rsidP="004742CC">
      <w:pPr>
        <w:pStyle w:val="ARTartustawynprozporzdzenia"/>
        <w:tabs>
          <w:tab w:val="left" w:pos="426"/>
        </w:tabs>
        <w:ind w:firstLine="0"/>
        <w:rPr>
          <w:rFonts w:ascii="Times New Roman" w:hAnsi="Times New Roman" w:cs="Times New Roman"/>
          <w:b/>
          <w:bCs/>
          <w:szCs w:val="24"/>
        </w:rPr>
      </w:pPr>
      <w:r w:rsidRPr="000431F7">
        <w:rPr>
          <w:rFonts w:ascii="Times New Roman" w:hAnsi="Times New Roman" w:cs="Times New Roman"/>
          <w:b/>
          <w:bCs/>
          <w:szCs w:val="24"/>
        </w:rPr>
        <w:t>5</w:t>
      </w:r>
      <w:r w:rsidR="009B2591" w:rsidRPr="000431F7">
        <w:rPr>
          <w:rFonts w:ascii="Times New Roman" w:hAnsi="Times New Roman" w:cs="Times New Roman"/>
          <w:b/>
          <w:bCs/>
          <w:szCs w:val="24"/>
        </w:rPr>
        <w:t>.</w:t>
      </w:r>
      <w:r w:rsidR="005F2B39">
        <w:rPr>
          <w:rFonts w:ascii="Times New Roman" w:hAnsi="Times New Roman" w:cs="Times New Roman"/>
          <w:b/>
          <w:bCs/>
          <w:szCs w:val="24"/>
        </w:rPr>
        <w:tab/>
      </w:r>
      <w:r w:rsidR="0054358F">
        <w:rPr>
          <w:rFonts w:ascii="Times New Roman" w:hAnsi="Times New Roman" w:cs="Times New Roman"/>
          <w:b/>
          <w:bCs/>
          <w:szCs w:val="24"/>
        </w:rPr>
        <w:t>Z</w:t>
      </w:r>
      <w:r w:rsidR="009704B9" w:rsidRPr="000431F7">
        <w:rPr>
          <w:rFonts w:ascii="Times New Roman" w:hAnsi="Times New Roman" w:cs="Times New Roman"/>
          <w:b/>
          <w:bCs/>
          <w:szCs w:val="24"/>
        </w:rPr>
        <w:t>miany w ustawie z dnia 27 maja 2004 r. o funduszach inwestycyjnych i zarządzaniu alternatywnymi funduszami inwestycyjnymi</w:t>
      </w:r>
      <w:r w:rsidR="00187BCD" w:rsidRPr="000431F7">
        <w:rPr>
          <w:rFonts w:ascii="Times New Roman" w:hAnsi="Times New Roman" w:cs="Times New Roman"/>
          <w:b/>
          <w:bCs/>
          <w:szCs w:val="24"/>
        </w:rPr>
        <w:t xml:space="preserve"> (art. </w:t>
      </w:r>
      <w:r w:rsidRPr="000431F7">
        <w:rPr>
          <w:rFonts w:ascii="Times New Roman" w:hAnsi="Times New Roman" w:cs="Times New Roman"/>
          <w:b/>
          <w:bCs/>
          <w:szCs w:val="24"/>
        </w:rPr>
        <w:t>5</w:t>
      </w:r>
      <w:r w:rsidR="00187BCD" w:rsidRPr="000431F7">
        <w:rPr>
          <w:rFonts w:ascii="Times New Roman" w:hAnsi="Times New Roman" w:cs="Times New Roman"/>
          <w:b/>
          <w:bCs/>
          <w:szCs w:val="24"/>
        </w:rPr>
        <w:t>)</w:t>
      </w:r>
    </w:p>
    <w:p w14:paraId="2661B469" w14:textId="31721331" w:rsidR="009704B9" w:rsidRPr="000431F7" w:rsidRDefault="009704B9" w:rsidP="004742CC">
      <w:pPr>
        <w:spacing w:before="120" w:after="0" w:line="360" w:lineRule="auto"/>
        <w:jc w:val="both"/>
        <w:rPr>
          <w:rFonts w:ascii="Times New Roman" w:hAnsi="Times New Roman" w:cs="Times New Roman"/>
          <w:sz w:val="24"/>
          <w:szCs w:val="24"/>
        </w:rPr>
      </w:pPr>
      <w:r w:rsidRPr="000431F7">
        <w:rPr>
          <w:rFonts w:ascii="Times New Roman" w:hAnsi="Times New Roman" w:cs="Times New Roman"/>
          <w:b/>
          <w:bCs/>
          <w:sz w:val="24"/>
          <w:szCs w:val="24"/>
        </w:rPr>
        <w:t xml:space="preserve">Art. </w:t>
      </w:r>
      <w:r w:rsidR="00D268A4" w:rsidRPr="000431F7">
        <w:rPr>
          <w:rFonts w:ascii="Times New Roman" w:hAnsi="Times New Roman" w:cs="Times New Roman"/>
          <w:b/>
          <w:bCs/>
          <w:sz w:val="24"/>
          <w:szCs w:val="24"/>
        </w:rPr>
        <w:t>5</w:t>
      </w:r>
      <w:r w:rsidRPr="000431F7">
        <w:rPr>
          <w:rFonts w:ascii="Times New Roman" w:hAnsi="Times New Roman" w:cs="Times New Roman"/>
          <w:sz w:val="24"/>
          <w:szCs w:val="24"/>
        </w:rPr>
        <w:t xml:space="preserve"> wprowadza zmiany do ustawy</w:t>
      </w:r>
      <w:r w:rsidRPr="000431F7">
        <w:rPr>
          <w:rFonts w:ascii="Times New Roman" w:hAnsi="Times New Roman" w:cs="Times New Roman"/>
          <w:b/>
          <w:bCs/>
          <w:sz w:val="24"/>
          <w:szCs w:val="24"/>
        </w:rPr>
        <w:t xml:space="preserve"> </w:t>
      </w:r>
      <w:r w:rsidRPr="000431F7">
        <w:rPr>
          <w:rFonts w:ascii="Times New Roman" w:hAnsi="Times New Roman" w:cs="Times New Roman"/>
          <w:sz w:val="24"/>
          <w:szCs w:val="24"/>
        </w:rPr>
        <w:t>z dnia 27 maja 2004 r. o funduszach inwestycyjnych i</w:t>
      </w:r>
      <w:r w:rsidR="001D579C" w:rsidRPr="000431F7">
        <w:rPr>
          <w:rFonts w:ascii="Times New Roman" w:hAnsi="Times New Roman" w:cs="Times New Roman"/>
          <w:sz w:val="24"/>
          <w:szCs w:val="24"/>
        </w:rPr>
        <w:t> </w:t>
      </w:r>
      <w:r w:rsidRPr="000431F7">
        <w:rPr>
          <w:rFonts w:ascii="Times New Roman" w:hAnsi="Times New Roman" w:cs="Times New Roman"/>
          <w:sz w:val="24"/>
          <w:szCs w:val="24"/>
        </w:rPr>
        <w:t>zarządzaniu alternatywnymi funduszami inwestycyjnymi, mające na celu przede</w:t>
      </w:r>
      <w:r w:rsidR="00791922" w:rsidRPr="000431F7">
        <w:rPr>
          <w:rFonts w:ascii="Times New Roman" w:hAnsi="Times New Roman" w:cs="Times New Roman"/>
          <w:sz w:val="24"/>
          <w:szCs w:val="24"/>
        </w:rPr>
        <w:t xml:space="preserve"> wszystkim</w:t>
      </w:r>
      <w:r w:rsidRPr="000431F7">
        <w:rPr>
          <w:rFonts w:ascii="Times New Roman" w:hAnsi="Times New Roman" w:cs="Times New Roman"/>
          <w:sz w:val="24"/>
          <w:szCs w:val="24"/>
        </w:rPr>
        <w:t xml:space="preserve"> transpozycję przepisów dyrektywy 2022/2556 w zakresie art. 1 i </w:t>
      </w:r>
      <w:r w:rsidR="00A0706E" w:rsidRPr="000431F7">
        <w:rPr>
          <w:rFonts w:ascii="Times New Roman" w:hAnsi="Times New Roman" w:cs="Times New Roman"/>
          <w:sz w:val="24"/>
          <w:szCs w:val="24"/>
        </w:rPr>
        <w:t xml:space="preserve">art. </w:t>
      </w:r>
      <w:r w:rsidRPr="000431F7">
        <w:rPr>
          <w:rFonts w:ascii="Times New Roman" w:hAnsi="Times New Roman" w:cs="Times New Roman"/>
          <w:sz w:val="24"/>
          <w:szCs w:val="24"/>
        </w:rPr>
        <w:t>3, które zmieniają odpowiednio dyrektywę Parlamentu Europejskiego i Rady 2009/65/WE z dnia 13 lipca 2009 r. w sprawie koordynacji przepisów ustawowych, wykonawczych i administracyjnych odnoszących się do przedsiębiorstw zbiorowego inwestowania w zbywalne papiery wartościowe (UCITS)</w:t>
      </w:r>
      <w:r w:rsidR="00791922" w:rsidRPr="000431F7">
        <w:rPr>
          <w:rFonts w:ascii="Times New Roman" w:hAnsi="Times New Roman" w:cs="Times New Roman"/>
          <w:sz w:val="24"/>
          <w:szCs w:val="24"/>
        </w:rPr>
        <w:t xml:space="preserve">, </w:t>
      </w:r>
      <w:r w:rsidR="00E60943" w:rsidRPr="000431F7">
        <w:rPr>
          <w:rFonts w:ascii="Times New Roman" w:hAnsi="Times New Roman" w:cs="Times New Roman"/>
          <w:sz w:val="24"/>
          <w:szCs w:val="24"/>
        </w:rPr>
        <w:t>zwan</w:t>
      </w:r>
      <w:r w:rsidR="00226760" w:rsidRPr="000431F7">
        <w:rPr>
          <w:rFonts w:ascii="Times New Roman" w:hAnsi="Times New Roman" w:cs="Times New Roman"/>
          <w:sz w:val="24"/>
          <w:szCs w:val="24"/>
        </w:rPr>
        <w:t>ą</w:t>
      </w:r>
      <w:r w:rsidR="00E60943" w:rsidRPr="000431F7">
        <w:rPr>
          <w:rFonts w:ascii="Times New Roman" w:hAnsi="Times New Roman" w:cs="Times New Roman"/>
          <w:sz w:val="24"/>
          <w:szCs w:val="24"/>
        </w:rPr>
        <w:t xml:space="preserve"> dalej „</w:t>
      </w:r>
      <w:r w:rsidRPr="000431F7">
        <w:rPr>
          <w:rFonts w:ascii="Times New Roman" w:hAnsi="Times New Roman" w:cs="Times New Roman"/>
          <w:sz w:val="24"/>
          <w:szCs w:val="24"/>
        </w:rPr>
        <w:t>dyrektyw</w:t>
      </w:r>
      <w:r w:rsidR="00E60943" w:rsidRPr="000431F7">
        <w:rPr>
          <w:rFonts w:ascii="Times New Roman" w:hAnsi="Times New Roman" w:cs="Times New Roman"/>
          <w:sz w:val="24"/>
          <w:szCs w:val="24"/>
        </w:rPr>
        <w:t>ą</w:t>
      </w:r>
      <w:r w:rsidRPr="000431F7">
        <w:rPr>
          <w:rFonts w:ascii="Times New Roman" w:hAnsi="Times New Roman" w:cs="Times New Roman"/>
          <w:sz w:val="24"/>
          <w:szCs w:val="24"/>
        </w:rPr>
        <w:t xml:space="preserve"> 2009/65/WE</w:t>
      </w:r>
      <w:r w:rsidR="00E60943" w:rsidRPr="000431F7">
        <w:rPr>
          <w:rFonts w:ascii="Times New Roman" w:hAnsi="Times New Roman" w:cs="Times New Roman"/>
          <w:sz w:val="24"/>
          <w:szCs w:val="24"/>
        </w:rPr>
        <w:t>”</w:t>
      </w:r>
      <w:r w:rsidR="00153325" w:rsidRPr="000431F7">
        <w:rPr>
          <w:rFonts w:ascii="Times New Roman" w:hAnsi="Times New Roman" w:cs="Times New Roman"/>
          <w:sz w:val="24"/>
          <w:szCs w:val="24"/>
        </w:rPr>
        <w:t>,</w:t>
      </w:r>
      <w:r w:rsidRPr="000431F7">
        <w:rPr>
          <w:rFonts w:ascii="Times New Roman" w:hAnsi="Times New Roman" w:cs="Times New Roman"/>
          <w:sz w:val="24"/>
          <w:szCs w:val="24"/>
        </w:rPr>
        <w:t xml:space="preserve"> oraz dyrektywę Parlamentu Europejskiego i Rady 2011/61/UE z dnia 8 czerwca 2011 r. w sprawie zarządzających alternatywnymi funduszami inwestycyjnymi i zmiany dyrektyw 2003/41/WE i 2009/65/WE oraz rozporządzeń (WE) nr 1060/2009 i (UE) nr 1095/2010</w:t>
      </w:r>
      <w:r w:rsidR="00791922" w:rsidRPr="000431F7">
        <w:rPr>
          <w:rFonts w:ascii="Times New Roman" w:hAnsi="Times New Roman" w:cs="Times New Roman"/>
          <w:sz w:val="24"/>
          <w:szCs w:val="24"/>
        </w:rPr>
        <w:t xml:space="preserve">, </w:t>
      </w:r>
      <w:r w:rsidR="00E60943" w:rsidRPr="000431F7">
        <w:rPr>
          <w:rFonts w:ascii="Times New Roman" w:hAnsi="Times New Roman" w:cs="Times New Roman"/>
          <w:sz w:val="24"/>
          <w:szCs w:val="24"/>
        </w:rPr>
        <w:t>zwan</w:t>
      </w:r>
      <w:r w:rsidR="00226760" w:rsidRPr="000431F7">
        <w:rPr>
          <w:rFonts w:ascii="Times New Roman" w:hAnsi="Times New Roman" w:cs="Times New Roman"/>
          <w:sz w:val="24"/>
          <w:szCs w:val="24"/>
        </w:rPr>
        <w:t>ą</w:t>
      </w:r>
      <w:r w:rsidR="00E60943" w:rsidRPr="000431F7">
        <w:rPr>
          <w:rFonts w:ascii="Times New Roman" w:hAnsi="Times New Roman" w:cs="Times New Roman"/>
          <w:sz w:val="24"/>
          <w:szCs w:val="24"/>
        </w:rPr>
        <w:t xml:space="preserve"> dalej </w:t>
      </w:r>
      <w:r w:rsidR="00987740">
        <w:rPr>
          <w:rFonts w:ascii="Times New Roman" w:hAnsi="Times New Roman" w:cs="Times New Roman"/>
          <w:sz w:val="24"/>
          <w:szCs w:val="24"/>
        </w:rPr>
        <w:t>„</w:t>
      </w:r>
      <w:r w:rsidRPr="000431F7">
        <w:rPr>
          <w:rFonts w:ascii="Times New Roman" w:hAnsi="Times New Roman" w:cs="Times New Roman"/>
          <w:sz w:val="24"/>
          <w:szCs w:val="24"/>
        </w:rPr>
        <w:t>dyrektyw</w:t>
      </w:r>
      <w:r w:rsidR="00E60943" w:rsidRPr="000431F7">
        <w:rPr>
          <w:rFonts w:ascii="Times New Roman" w:hAnsi="Times New Roman" w:cs="Times New Roman"/>
          <w:sz w:val="24"/>
          <w:szCs w:val="24"/>
        </w:rPr>
        <w:t>ą</w:t>
      </w:r>
      <w:r w:rsidRPr="000431F7">
        <w:rPr>
          <w:rFonts w:ascii="Times New Roman" w:hAnsi="Times New Roman" w:cs="Times New Roman"/>
          <w:sz w:val="24"/>
          <w:szCs w:val="24"/>
        </w:rPr>
        <w:t xml:space="preserve"> 2011/61/UE</w:t>
      </w:r>
      <w:r w:rsidR="00791922" w:rsidRPr="000431F7">
        <w:rPr>
          <w:rFonts w:ascii="Times New Roman" w:hAnsi="Times New Roman" w:cs="Times New Roman"/>
          <w:sz w:val="24"/>
          <w:szCs w:val="24"/>
        </w:rPr>
        <w:t xml:space="preserve">”. </w:t>
      </w:r>
      <w:r w:rsidRPr="000431F7">
        <w:rPr>
          <w:rFonts w:ascii="Times New Roman" w:hAnsi="Times New Roman" w:cs="Times New Roman"/>
          <w:sz w:val="24"/>
          <w:szCs w:val="24"/>
        </w:rPr>
        <w:t>Wdrożenie wymienionych dyrektyw w prawie krajowym zostało dokonane w ustawie z dnia 27 maja 2004 r. o funduszach inwestycyjnych i zarządzaniu alternatywnymi funduszami inwestycyjnymi, a</w:t>
      </w:r>
      <w:r w:rsidR="001D579C" w:rsidRPr="000431F7">
        <w:rPr>
          <w:rFonts w:ascii="Times New Roman" w:hAnsi="Times New Roman" w:cs="Times New Roman"/>
          <w:sz w:val="24"/>
          <w:szCs w:val="24"/>
        </w:rPr>
        <w:t> </w:t>
      </w:r>
      <w:r w:rsidRPr="000431F7">
        <w:rPr>
          <w:rFonts w:ascii="Times New Roman" w:hAnsi="Times New Roman" w:cs="Times New Roman"/>
          <w:sz w:val="24"/>
          <w:szCs w:val="24"/>
        </w:rPr>
        <w:t xml:space="preserve">zatem zmiany tych dyrektyw również powinny znaleźć swoje </w:t>
      </w:r>
      <w:r w:rsidRPr="000431F7">
        <w:rPr>
          <w:rFonts w:ascii="Times New Roman" w:hAnsi="Times New Roman" w:cs="Times New Roman"/>
          <w:sz w:val="24"/>
          <w:szCs w:val="24"/>
        </w:rPr>
        <w:lastRenderedPageBreak/>
        <w:t>odzwierciedlenie na poziomie nowelizowanej ustawy. Wprowadzane do ustawy zmiany obejmują:</w:t>
      </w:r>
    </w:p>
    <w:p w14:paraId="7D02CCEC" w14:textId="00570576" w:rsidR="009704B9" w:rsidRPr="000431F7" w:rsidRDefault="009704B9" w:rsidP="004742CC">
      <w:pPr>
        <w:spacing w:before="120" w:after="0" w:line="360" w:lineRule="auto"/>
        <w:ind w:left="426" w:hanging="426"/>
        <w:jc w:val="both"/>
        <w:rPr>
          <w:rFonts w:ascii="Times New Roman" w:hAnsi="Times New Roman" w:cs="Times New Roman"/>
          <w:sz w:val="24"/>
          <w:szCs w:val="24"/>
        </w:rPr>
      </w:pPr>
      <w:r w:rsidRPr="000431F7">
        <w:rPr>
          <w:rFonts w:ascii="Times New Roman" w:hAnsi="Times New Roman" w:cs="Times New Roman"/>
          <w:sz w:val="24"/>
          <w:szCs w:val="24"/>
        </w:rPr>
        <w:t>1)</w:t>
      </w:r>
      <w:r w:rsidR="005F2B39">
        <w:rPr>
          <w:rFonts w:ascii="Times New Roman" w:hAnsi="Times New Roman" w:cs="Times New Roman"/>
          <w:sz w:val="24"/>
          <w:szCs w:val="24"/>
        </w:rPr>
        <w:tab/>
      </w:r>
      <w:r w:rsidRPr="000431F7">
        <w:rPr>
          <w:rFonts w:ascii="Times New Roman" w:hAnsi="Times New Roman" w:cs="Times New Roman"/>
          <w:sz w:val="24"/>
          <w:szCs w:val="24"/>
        </w:rPr>
        <w:t xml:space="preserve">dodanie w art. 2 </w:t>
      </w:r>
      <w:r w:rsidR="00153325" w:rsidRPr="000431F7">
        <w:rPr>
          <w:rFonts w:ascii="Times New Roman" w:hAnsi="Times New Roman" w:cs="Times New Roman"/>
          <w:sz w:val="24"/>
          <w:szCs w:val="24"/>
        </w:rPr>
        <w:t>ustawy</w:t>
      </w:r>
      <w:r w:rsidR="00153325" w:rsidRPr="000431F7">
        <w:rPr>
          <w:rFonts w:ascii="Times New Roman" w:hAnsi="Times New Roman" w:cs="Times New Roman"/>
          <w:b/>
          <w:bCs/>
          <w:sz w:val="24"/>
          <w:szCs w:val="24"/>
        </w:rPr>
        <w:t xml:space="preserve"> </w:t>
      </w:r>
      <w:r w:rsidR="000C5658" w:rsidRPr="000431F7">
        <w:rPr>
          <w:rFonts w:ascii="Times New Roman" w:hAnsi="Times New Roman" w:cs="Times New Roman"/>
          <w:sz w:val="24"/>
          <w:szCs w:val="24"/>
        </w:rPr>
        <w:t xml:space="preserve">z dnia 27 maja 2004 r. </w:t>
      </w:r>
      <w:r w:rsidR="00153325" w:rsidRPr="000431F7">
        <w:rPr>
          <w:rFonts w:ascii="Times New Roman" w:hAnsi="Times New Roman" w:cs="Times New Roman"/>
          <w:sz w:val="24"/>
          <w:szCs w:val="24"/>
        </w:rPr>
        <w:t xml:space="preserve">o funduszach inwestycyjnych i zarządzaniu alternatywnymi funduszami inwestycyjnymi </w:t>
      </w:r>
      <w:r w:rsidRPr="000431F7">
        <w:rPr>
          <w:rFonts w:ascii="Times New Roman" w:hAnsi="Times New Roman" w:cs="Times New Roman"/>
          <w:sz w:val="24"/>
          <w:szCs w:val="24"/>
        </w:rPr>
        <w:t>pkt 2m</w:t>
      </w:r>
      <w:r w:rsidR="00A0706E" w:rsidRPr="000431F7">
        <w:rPr>
          <w:rFonts w:ascii="Times New Roman" w:hAnsi="Times New Roman" w:cs="Times New Roman"/>
          <w:sz w:val="24"/>
          <w:szCs w:val="24"/>
        </w:rPr>
        <w:t>, który</w:t>
      </w:r>
      <w:r w:rsidRPr="000431F7">
        <w:rPr>
          <w:rFonts w:ascii="Times New Roman" w:hAnsi="Times New Roman" w:cs="Times New Roman"/>
          <w:sz w:val="24"/>
          <w:szCs w:val="24"/>
        </w:rPr>
        <w:t xml:space="preserve"> </w:t>
      </w:r>
      <w:r w:rsidR="00E40219" w:rsidRPr="000431F7">
        <w:rPr>
          <w:rFonts w:ascii="Times New Roman" w:hAnsi="Times New Roman" w:cs="Times New Roman"/>
          <w:sz w:val="24"/>
          <w:szCs w:val="24"/>
        </w:rPr>
        <w:t xml:space="preserve">ma na celu </w:t>
      </w:r>
      <w:r w:rsidRPr="000431F7">
        <w:rPr>
          <w:rFonts w:ascii="Times New Roman" w:hAnsi="Times New Roman" w:cs="Times New Roman"/>
          <w:sz w:val="24"/>
          <w:szCs w:val="24"/>
        </w:rPr>
        <w:t xml:space="preserve">uzupełnienie słowniczka nowelizowanej ustawy o skróconą nazwę rozporządzenia 2022/2554, w celu posługiwania się tym skrótem na potrzeby </w:t>
      </w:r>
      <w:r w:rsidR="00153325" w:rsidRPr="000431F7">
        <w:rPr>
          <w:rFonts w:ascii="Times New Roman" w:hAnsi="Times New Roman" w:cs="Times New Roman"/>
          <w:sz w:val="24"/>
          <w:szCs w:val="24"/>
        </w:rPr>
        <w:t xml:space="preserve">odesłań </w:t>
      </w:r>
      <w:r w:rsidRPr="000431F7">
        <w:rPr>
          <w:rFonts w:ascii="Times New Roman" w:hAnsi="Times New Roman" w:cs="Times New Roman"/>
          <w:sz w:val="24"/>
          <w:szCs w:val="24"/>
        </w:rPr>
        <w:t xml:space="preserve">do </w:t>
      </w:r>
      <w:r w:rsidR="00DC5EA5" w:rsidRPr="000431F7">
        <w:rPr>
          <w:rFonts w:ascii="Times New Roman" w:hAnsi="Times New Roman" w:cs="Times New Roman"/>
          <w:sz w:val="24"/>
          <w:szCs w:val="24"/>
        </w:rPr>
        <w:t xml:space="preserve">niego </w:t>
      </w:r>
      <w:r w:rsidRPr="000431F7">
        <w:rPr>
          <w:rFonts w:ascii="Times New Roman" w:hAnsi="Times New Roman" w:cs="Times New Roman"/>
          <w:sz w:val="24"/>
          <w:szCs w:val="24"/>
        </w:rPr>
        <w:t>w dalszych przepisach ustawy</w:t>
      </w:r>
      <w:r w:rsidR="00153325" w:rsidRPr="000431F7">
        <w:rPr>
          <w:rFonts w:ascii="Times New Roman" w:hAnsi="Times New Roman" w:cs="Times New Roman"/>
          <w:sz w:val="24"/>
          <w:szCs w:val="24"/>
        </w:rPr>
        <w:t>;</w:t>
      </w:r>
    </w:p>
    <w:p w14:paraId="7C6C35B7" w14:textId="15FCB149" w:rsidR="0005072D" w:rsidRPr="000431F7" w:rsidRDefault="009704B9" w:rsidP="004742CC">
      <w:pPr>
        <w:spacing w:before="120" w:after="0" w:line="360" w:lineRule="auto"/>
        <w:ind w:left="426" w:hanging="426"/>
        <w:jc w:val="both"/>
        <w:rPr>
          <w:rFonts w:ascii="Times New Roman" w:hAnsi="Times New Roman" w:cs="Times New Roman"/>
          <w:sz w:val="24"/>
          <w:szCs w:val="24"/>
        </w:rPr>
      </w:pPr>
      <w:r w:rsidRPr="000431F7">
        <w:rPr>
          <w:rFonts w:ascii="Times New Roman" w:hAnsi="Times New Roman" w:cs="Times New Roman"/>
          <w:sz w:val="24"/>
          <w:szCs w:val="24"/>
        </w:rPr>
        <w:t>2)</w:t>
      </w:r>
      <w:r w:rsidR="005F2B39">
        <w:rPr>
          <w:rFonts w:ascii="Times New Roman" w:hAnsi="Times New Roman" w:cs="Times New Roman"/>
          <w:sz w:val="24"/>
          <w:szCs w:val="24"/>
        </w:rPr>
        <w:tab/>
      </w:r>
      <w:r w:rsidR="0005072D" w:rsidRPr="000431F7">
        <w:rPr>
          <w:rFonts w:ascii="Times New Roman" w:hAnsi="Times New Roman" w:cs="Times New Roman"/>
          <w:sz w:val="24"/>
          <w:szCs w:val="24"/>
        </w:rPr>
        <w:t xml:space="preserve">dodanie w art. 48 w ust. 2b </w:t>
      </w:r>
      <w:r w:rsidR="00153325" w:rsidRPr="000431F7">
        <w:rPr>
          <w:rFonts w:ascii="Times New Roman" w:hAnsi="Times New Roman" w:cs="Times New Roman"/>
          <w:sz w:val="24"/>
          <w:szCs w:val="24"/>
        </w:rPr>
        <w:t>ustawy</w:t>
      </w:r>
      <w:r w:rsidR="00153325" w:rsidRPr="000431F7">
        <w:rPr>
          <w:rFonts w:ascii="Times New Roman" w:hAnsi="Times New Roman" w:cs="Times New Roman"/>
          <w:b/>
          <w:bCs/>
          <w:sz w:val="24"/>
          <w:szCs w:val="24"/>
        </w:rPr>
        <w:t xml:space="preserve"> </w:t>
      </w:r>
      <w:r w:rsidR="000C5658" w:rsidRPr="000431F7">
        <w:rPr>
          <w:rFonts w:ascii="Times New Roman" w:hAnsi="Times New Roman" w:cs="Times New Roman"/>
          <w:sz w:val="24"/>
          <w:szCs w:val="24"/>
        </w:rPr>
        <w:t xml:space="preserve">z dnia 27 maja 2004 r. </w:t>
      </w:r>
      <w:r w:rsidR="00153325" w:rsidRPr="000431F7">
        <w:rPr>
          <w:rFonts w:ascii="Times New Roman" w:hAnsi="Times New Roman" w:cs="Times New Roman"/>
          <w:sz w:val="24"/>
          <w:szCs w:val="24"/>
        </w:rPr>
        <w:t xml:space="preserve">o funduszach inwestycyjnych i zarządzaniu alternatywnymi funduszami inwestycyjnymi </w:t>
      </w:r>
      <w:r w:rsidR="0005072D" w:rsidRPr="000431F7">
        <w:rPr>
          <w:rFonts w:ascii="Times New Roman" w:hAnsi="Times New Roman" w:cs="Times New Roman"/>
          <w:sz w:val="24"/>
          <w:szCs w:val="24"/>
        </w:rPr>
        <w:t>pkt 1a</w:t>
      </w:r>
      <w:r w:rsidR="00A0706E" w:rsidRPr="000431F7">
        <w:rPr>
          <w:rFonts w:ascii="Times New Roman" w:hAnsi="Times New Roman" w:cs="Times New Roman"/>
          <w:sz w:val="24"/>
          <w:szCs w:val="24"/>
        </w:rPr>
        <w:t>, który</w:t>
      </w:r>
      <w:r w:rsidR="0005072D" w:rsidRPr="000431F7">
        <w:rPr>
          <w:rFonts w:ascii="Times New Roman" w:hAnsi="Times New Roman" w:cs="Times New Roman"/>
          <w:sz w:val="24"/>
          <w:szCs w:val="24"/>
        </w:rPr>
        <w:t xml:space="preserve"> służy implementacji art. 1 pkt 1 dyrektywy 2022/2556. Artykuł ten zmienia art. 12 ust. 1 akapit drugi lit. a dyrektywy 2009/65/WE</w:t>
      </w:r>
      <w:r w:rsidR="0054358F">
        <w:rPr>
          <w:rFonts w:ascii="Times New Roman" w:hAnsi="Times New Roman" w:cs="Times New Roman"/>
          <w:sz w:val="24"/>
          <w:szCs w:val="24"/>
        </w:rPr>
        <w:t>,</w:t>
      </w:r>
      <w:r w:rsidR="0005072D" w:rsidRPr="000431F7">
        <w:rPr>
          <w:rFonts w:ascii="Times New Roman" w:hAnsi="Times New Roman" w:cs="Times New Roman"/>
          <w:sz w:val="24"/>
          <w:szCs w:val="24"/>
        </w:rPr>
        <w:t xml:space="preserve"> zobowiązując właściwe organy spółki zarządzającej</w:t>
      </w:r>
      <w:r w:rsidR="00A0706E" w:rsidRPr="000431F7">
        <w:rPr>
          <w:rFonts w:ascii="Times New Roman" w:hAnsi="Times New Roman" w:cs="Times New Roman"/>
          <w:sz w:val="24"/>
          <w:szCs w:val="24"/>
        </w:rPr>
        <w:t xml:space="preserve"> do stosowania</w:t>
      </w:r>
      <w:r w:rsidR="0005072D" w:rsidRPr="000431F7">
        <w:rPr>
          <w:rFonts w:ascii="Times New Roman" w:hAnsi="Times New Roman" w:cs="Times New Roman"/>
          <w:sz w:val="24"/>
          <w:szCs w:val="24"/>
        </w:rPr>
        <w:t xml:space="preserve"> racjonaln</w:t>
      </w:r>
      <w:r w:rsidR="00A0706E" w:rsidRPr="000431F7">
        <w:rPr>
          <w:rFonts w:ascii="Times New Roman" w:hAnsi="Times New Roman" w:cs="Times New Roman"/>
          <w:sz w:val="24"/>
          <w:szCs w:val="24"/>
        </w:rPr>
        <w:t>ych</w:t>
      </w:r>
      <w:r w:rsidR="0005072D" w:rsidRPr="000431F7">
        <w:rPr>
          <w:rFonts w:ascii="Times New Roman" w:hAnsi="Times New Roman" w:cs="Times New Roman"/>
          <w:sz w:val="24"/>
          <w:szCs w:val="24"/>
        </w:rPr>
        <w:t xml:space="preserve"> rozwiąza</w:t>
      </w:r>
      <w:r w:rsidR="00A0706E" w:rsidRPr="000431F7">
        <w:rPr>
          <w:rFonts w:ascii="Times New Roman" w:hAnsi="Times New Roman" w:cs="Times New Roman"/>
          <w:sz w:val="24"/>
          <w:szCs w:val="24"/>
        </w:rPr>
        <w:t>ń</w:t>
      </w:r>
      <w:r w:rsidR="0005072D" w:rsidRPr="000431F7">
        <w:rPr>
          <w:rFonts w:ascii="Times New Roman" w:hAnsi="Times New Roman" w:cs="Times New Roman"/>
          <w:sz w:val="24"/>
          <w:szCs w:val="24"/>
        </w:rPr>
        <w:t xml:space="preserve"> w zakresie kontroli i bezpieczeństwa na potrzeby elektronicznego przetwarzania danych również w odniesieniu do sieci i systemów informatycznych u</w:t>
      </w:r>
      <w:r w:rsidR="00A0706E" w:rsidRPr="000431F7">
        <w:rPr>
          <w:rFonts w:ascii="Times New Roman" w:hAnsi="Times New Roman" w:cs="Times New Roman"/>
          <w:sz w:val="24"/>
          <w:szCs w:val="24"/>
        </w:rPr>
        <w:t>stanowionych</w:t>
      </w:r>
      <w:r w:rsidR="0005072D" w:rsidRPr="000431F7">
        <w:rPr>
          <w:rFonts w:ascii="Times New Roman" w:hAnsi="Times New Roman" w:cs="Times New Roman"/>
          <w:sz w:val="24"/>
          <w:szCs w:val="24"/>
        </w:rPr>
        <w:t xml:space="preserve"> i zarządzanych zgodnie z rozporządzeniem 2022/2554. Zmieniany art. 12 dyrektywy 2009/65/WE określa w szczególności </w:t>
      </w:r>
      <w:r w:rsidR="00C33B77" w:rsidRPr="000431F7">
        <w:rPr>
          <w:rFonts w:ascii="Times New Roman" w:hAnsi="Times New Roman" w:cs="Times New Roman"/>
          <w:sz w:val="24"/>
          <w:szCs w:val="24"/>
        </w:rPr>
        <w:t xml:space="preserve">warunki </w:t>
      </w:r>
      <w:r w:rsidR="0005072D" w:rsidRPr="000431F7">
        <w:rPr>
          <w:rFonts w:ascii="Times New Roman" w:hAnsi="Times New Roman" w:cs="Times New Roman"/>
          <w:sz w:val="24"/>
          <w:szCs w:val="24"/>
        </w:rPr>
        <w:t>działalności spółek zarządzających, które w prawie krajowym zostały między innymi wdrożone w</w:t>
      </w:r>
      <w:r w:rsidR="0054358F">
        <w:rPr>
          <w:rFonts w:ascii="Times New Roman" w:hAnsi="Times New Roman" w:cs="Times New Roman"/>
          <w:sz w:val="24"/>
          <w:szCs w:val="24"/>
        </w:rPr>
        <w:t> </w:t>
      </w:r>
      <w:r w:rsidR="0005072D" w:rsidRPr="000431F7">
        <w:rPr>
          <w:rFonts w:ascii="Times New Roman" w:hAnsi="Times New Roman" w:cs="Times New Roman"/>
          <w:sz w:val="24"/>
          <w:szCs w:val="24"/>
        </w:rPr>
        <w:t>art.</w:t>
      </w:r>
      <w:r w:rsidR="0054358F">
        <w:rPr>
          <w:rFonts w:ascii="Times New Roman" w:hAnsi="Times New Roman" w:cs="Times New Roman"/>
          <w:sz w:val="24"/>
          <w:szCs w:val="24"/>
        </w:rPr>
        <w:t> </w:t>
      </w:r>
      <w:r w:rsidR="0005072D" w:rsidRPr="000431F7">
        <w:rPr>
          <w:rFonts w:ascii="Times New Roman" w:hAnsi="Times New Roman" w:cs="Times New Roman"/>
          <w:sz w:val="24"/>
          <w:szCs w:val="24"/>
        </w:rPr>
        <w:t>48 ustawy z dnia 27 maja 2004 r. o funduszach inwestycyjnych i zarządzaniu alternatywnymi funduszami inwestycyjnymi. Dodawane przepisy znajdą zastosowanie do towarzystwa funduszy inwestycyjnych, które jest odpowiednikiem krajowym spółki zarządzającej, o której mowa w</w:t>
      </w:r>
      <w:r w:rsidR="001D579C" w:rsidRPr="000431F7">
        <w:rPr>
          <w:rFonts w:ascii="Times New Roman" w:hAnsi="Times New Roman" w:cs="Times New Roman"/>
          <w:sz w:val="24"/>
          <w:szCs w:val="24"/>
        </w:rPr>
        <w:t> </w:t>
      </w:r>
      <w:r w:rsidR="0005072D" w:rsidRPr="000431F7">
        <w:rPr>
          <w:rFonts w:ascii="Times New Roman" w:hAnsi="Times New Roman" w:cs="Times New Roman"/>
          <w:sz w:val="24"/>
          <w:szCs w:val="24"/>
        </w:rPr>
        <w:t>art. 12 dyrektywy 2009/65/WE. Wyjaśnienia również wymaga, że szczątkowe wymagania w</w:t>
      </w:r>
      <w:r w:rsidR="001D579C" w:rsidRPr="000431F7">
        <w:rPr>
          <w:rFonts w:ascii="Times New Roman" w:hAnsi="Times New Roman" w:cs="Times New Roman"/>
          <w:sz w:val="24"/>
          <w:szCs w:val="24"/>
        </w:rPr>
        <w:t> </w:t>
      </w:r>
      <w:r w:rsidR="0005072D" w:rsidRPr="000431F7">
        <w:rPr>
          <w:rFonts w:ascii="Times New Roman" w:hAnsi="Times New Roman" w:cs="Times New Roman"/>
          <w:sz w:val="24"/>
          <w:szCs w:val="24"/>
        </w:rPr>
        <w:t xml:space="preserve">odniesieniu do systemów informatycznych wykorzystywanych przez towarzystwa funduszy inwestycyjnych zawarte są w rozporządzeniu Ministra Finansów, Funduszy i Polityki Regionalnej z dnia 18 listopada 2020 r. w sprawie sposobu, trybu oraz warunków prowadzenia działalności przez towarzystwa funduszy inwestycyjnych (Dz. U. </w:t>
      </w:r>
      <w:r w:rsidR="006C62F6" w:rsidRPr="000431F7">
        <w:rPr>
          <w:rFonts w:ascii="Times New Roman" w:hAnsi="Times New Roman" w:cs="Times New Roman"/>
          <w:sz w:val="24"/>
          <w:szCs w:val="24"/>
        </w:rPr>
        <w:t>z 2024 r. poz. 2</w:t>
      </w:r>
      <w:r w:rsidR="0005072D" w:rsidRPr="000431F7">
        <w:rPr>
          <w:rFonts w:ascii="Times New Roman" w:hAnsi="Times New Roman" w:cs="Times New Roman"/>
          <w:sz w:val="24"/>
          <w:szCs w:val="24"/>
        </w:rPr>
        <w:t>), niemniej kwestia ta, z uwagi na jej istotę</w:t>
      </w:r>
      <w:r w:rsidR="0054358F">
        <w:rPr>
          <w:rFonts w:ascii="Times New Roman" w:hAnsi="Times New Roman" w:cs="Times New Roman"/>
          <w:sz w:val="24"/>
          <w:szCs w:val="24"/>
        </w:rPr>
        <w:t>,</w:t>
      </w:r>
      <w:r w:rsidR="0005072D" w:rsidRPr="000431F7">
        <w:rPr>
          <w:rFonts w:ascii="Times New Roman" w:hAnsi="Times New Roman" w:cs="Times New Roman"/>
          <w:sz w:val="24"/>
          <w:szCs w:val="24"/>
        </w:rPr>
        <w:t xml:space="preserve"> wymaga również uregulowania na poziomie ustawy</w:t>
      </w:r>
      <w:r w:rsidR="00153325" w:rsidRPr="000431F7">
        <w:rPr>
          <w:rFonts w:ascii="Times New Roman" w:hAnsi="Times New Roman" w:cs="Times New Roman"/>
          <w:sz w:val="24"/>
          <w:szCs w:val="24"/>
        </w:rPr>
        <w:t xml:space="preserve">; </w:t>
      </w:r>
    </w:p>
    <w:p w14:paraId="091AEF33" w14:textId="111660B5" w:rsidR="000E2BBE" w:rsidRPr="000431F7" w:rsidRDefault="0005072D" w:rsidP="004742CC">
      <w:pPr>
        <w:spacing w:before="120" w:after="0" w:line="360" w:lineRule="auto"/>
        <w:ind w:left="426" w:hanging="426"/>
        <w:jc w:val="both"/>
        <w:rPr>
          <w:rFonts w:ascii="Times New Roman" w:hAnsi="Times New Roman" w:cs="Times New Roman"/>
          <w:sz w:val="24"/>
          <w:szCs w:val="24"/>
        </w:rPr>
      </w:pPr>
      <w:r w:rsidRPr="000431F7">
        <w:rPr>
          <w:rFonts w:ascii="Times New Roman" w:hAnsi="Times New Roman" w:cs="Times New Roman"/>
          <w:sz w:val="24"/>
          <w:szCs w:val="24"/>
        </w:rPr>
        <w:t>3)</w:t>
      </w:r>
      <w:r w:rsidR="005F2B39">
        <w:rPr>
          <w:rFonts w:ascii="Times New Roman" w:hAnsi="Times New Roman" w:cs="Times New Roman"/>
          <w:sz w:val="24"/>
          <w:szCs w:val="24"/>
        </w:rPr>
        <w:tab/>
      </w:r>
      <w:r w:rsidRPr="000431F7">
        <w:rPr>
          <w:rFonts w:ascii="Times New Roman" w:hAnsi="Times New Roman" w:cs="Times New Roman"/>
          <w:sz w:val="24"/>
          <w:szCs w:val="24"/>
        </w:rPr>
        <w:t>d</w:t>
      </w:r>
      <w:r w:rsidR="00DC0648" w:rsidRPr="000431F7">
        <w:rPr>
          <w:rFonts w:ascii="Times New Roman" w:hAnsi="Times New Roman" w:cs="Times New Roman"/>
          <w:sz w:val="24"/>
          <w:szCs w:val="24"/>
        </w:rPr>
        <w:t xml:space="preserve">odanie w art. 70l w ust. 2 </w:t>
      </w:r>
      <w:r w:rsidR="00153325" w:rsidRPr="000431F7">
        <w:rPr>
          <w:rFonts w:ascii="Times New Roman" w:hAnsi="Times New Roman" w:cs="Times New Roman"/>
          <w:sz w:val="24"/>
          <w:szCs w:val="24"/>
        </w:rPr>
        <w:t>ustawy</w:t>
      </w:r>
      <w:r w:rsidR="00153325" w:rsidRPr="000431F7">
        <w:rPr>
          <w:rFonts w:ascii="Times New Roman" w:hAnsi="Times New Roman" w:cs="Times New Roman"/>
          <w:b/>
          <w:bCs/>
          <w:sz w:val="24"/>
          <w:szCs w:val="24"/>
        </w:rPr>
        <w:t xml:space="preserve"> </w:t>
      </w:r>
      <w:r w:rsidR="000C5658" w:rsidRPr="000431F7">
        <w:rPr>
          <w:rFonts w:ascii="Times New Roman" w:hAnsi="Times New Roman" w:cs="Times New Roman"/>
          <w:sz w:val="24"/>
          <w:szCs w:val="24"/>
        </w:rPr>
        <w:t xml:space="preserve">z dnia 27 maja 2004 r. </w:t>
      </w:r>
      <w:r w:rsidR="00153325" w:rsidRPr="000431F7">
        <w:rPr>
          <w:rFonts w:ascii="Times New Roman" w:hAnsi="Times New Roman" w:cs="Times New Roman"/>
          <w:sz w:val="24"/>
          <w:szCs w:val="24"/>
        </w:rPr>
        <w:t>o funduszach inwestycyjnych i</w:t>
      </w:r>
      <w:r w:rsidR="001D579C" w:rsidRPr="000431F7">
        <w:rPr>
          <w:rFonts w:ascii="Times New Roman" w:hAnsi="Times New Roman" w:cs="Times New Roman"/>
          <w:sz w:val="24"/>
          <w:szCs w:val="24"/>
        </w:rPr>
        <w:t> </w:t>
      </w:r>
      <w:r w:rsidR="00153325" w:rsidRPr="000431F7">
        <w:rPr>
          <w:rFonts w:ascii="Times New Roman" w:hAnsi="Times New Roman" w:cs="Times New Roman"/>
          <w:sz w:val="24"/>
          <w:szCs w:val="24"/>
        </w:rPr>
        <w:t xml:space="preserve">zarządzaniu alternatywnymi funduszami inwestycyjnymi </w:t>
      </w:r>
      <w:r w:rsidR="00DC0648" w:rsidRPr="000431F7">
        <w:rPr>
          <w:rFonts w:ascii="Times New Roman" w:hAnsi="Times New Roman" w:cs="Times New Roman"/>
          <w:sz w:val="24"/>
          <w:szCs w:val="24"/>
        </w:rPr>
        <w:t xml:space="preserve">pkt 1a </w:t>
      </w:r>
      <w:r w:rsidR="00E43A48" w:rsidRPr="000431F7">
        <w:rPr>
          <w:rFonts w:ascii="Times New Roman" w:hAnsi="Times New Roman" w:cs="Times New Roman"/>
          <w:sz w:val="24"/>
          <w:szCs w:val="24"/>
        </w:rPr>
        <w:t xml:space="preserve">ma na celu </w:t>
      </w:r>
      <w:r w:rsidR="00DC0648" w:rsidRPr="000431F7">
        <w:rPr>
          <w:rFonts w:ascii="Times New Roman" w:hAnsi="Times New Roman" w:cs="Times New Roman"/>
          <w:sz w:val="24"/>
          <w:szCs w:val="24"/>
        </w:rPr>
        <w:t>wdrożeni</w:t>
      </w:r>
      <w:r w:rsidR="00E43A48" w:rsidRPr="000431F7">
        <w:rPr>
          <w:rFonts w:ascii="Times New Roman" w:hAnsi="Times New Roman" w:cs="Times New Roman"/>
          <w:sz w:val="24"/>
          <w:szCs w:val="24"/>
        </w:rPr>
        <w:t>e</w:t>
      </w:r>
      <w:r w:rsidR="00DC0648" w:rsidRPr="000431F7">
        <w:rPr>
          <w:rFonts w:ascii="Times New Roman" w:hAnsi="Times New Roman" w:cs="Times New Roman"/>
          <w:sz w:val="24"/>
          <w:szCs w:val="24"/>
        </w:rPr>
        <w:t xml:space="preserve"> art. 3 dyrektywy 2022/2556, który nowelizuje art. 18 dyrektywy 2011/61/UE. Pomimo że art.</w:t>
      </w:r>
      <w:r w:rsidR="0054358F">
        <w:rPr>
          <w:rFonts w:ascii="Times New Roman" w:hAnsi="Times New Roman" w:cs="Times New Roman"/>
          <w:sz w:val="24"/>
          <w:szCs w:val="24"/>
        </w:rPr>
        <w:t> </w:t>
      </w:r>
      <w:r w:rsidR="00DC0648" w:rsidRPr="000431F7">
        <w:rPr>
          <w:rFonts w:ascii="Times New Roman" w:hAnsi="Times New Roman" w:cs="Times New Roman"/>
          <w:sz w:val="24"/>
          <w:szCs w:val="24"/>
        </w:rPr>
        <w:t>18 dyrektywy 2011/61/UE nadawane jest nowe brzmienie</w:t>
      </w:r>
      <w:r w:rsidR="00C33B77" w:rsidRPr="000431F7">
        <w:rPr>
          <w:rFonts w:ascii="Times New Roman" w:hAnsi="Times New Roman" w:cs="Times New Roman"/>
          <w:sz w:val="24"/>
          <w:szCs w:val="24"/>
        </w:rPr>
        <w:t>,</w:t>
      </w:r>
      <w:r w:rsidR="00DC0648" w:rsidRPr="000431F7">
        <w:rPr>
          <w:rFonts w:ascii="Times New Roman" w:hAnsi="Times New Roman" w:cs="Times New Roman"/>
          <w:sz w:val="24"/>
          <w:szCs w:val="24"/>
        </w:rPr>
        <w:t xml:space="preserve"> to faktyczne zmiany w</w:t>
      </w:r>
      <w:r w:rsidR="0054358F">
        <w:rPr>
          <w:rFonts w:ascii="Times New Roman" w:hAnsi="Times New Roman" w:cs="Times New Roman"/>
          <w:sz w:val="24"/>
          <w:szCs w:val="24"/>
        </w:rPr>
        <w:t> </w:t>
      </w:r>
      <w:r w:rsidR="00DC0648" w:rsidRPr="000431F7">
        <w:rPr>
          <w:rFonts w:ascii="Times New Roman" w:hAnsi="Times New Roman" w:cs="Times New Roman"/>
          <w:sz w:val="24"/>
          <w:szCs w:val="24"/>
        </w:rPr>
        <w:t>ust.</w:t>
      </w:r>
      <w:r w:rsidR="0054358F">
        <w:rPr>
          <w:rFonts w:ascii="Times New Roman" w:hAnsi="Times New Roman" w:cs="Times New Roman"/>
          <w:sz w:val="24"/>
          <w:szCs w:val="24"/>
        </w:rPr>
        <w:t> </w:t>
      </w:r>
      <w:r w:rsidR="00DC0648" w:rsidRPr="000431F7">
        <w:rPr>
          <w:rFonts w:ascii="Times New Roman" w:hAnsi="Times New Roman" w:cs="Times New Roman"/>
          <w:sz w:val="24"/>
          <w:szCs w:val="24"/>
        </w:rPr>
        <w:t>1 tego przepisu ograniczają się do dodania wymagania</w:t>
      </w:r>
      <w:r w:rsidR="00C33B77" w:rsidRPr="000431F7">
        <w:rPr>
          <w:rFonts w:ascii="Times New Roman" w:hAnsi="Times New Roman" w:cs="Times New Roman"/>
          <w:sz w:val="24"/>
          <w:szCs w:val="24"/>
        </w:rPr>
        <w:t>,</w:t>
      </w:r>
      <w:r w:rsidR="00DC0648" w:rsidRPr="000431F7">
        <w:rPr>
          <w:rFonts w:ascii="Times New Roman" w:hAnsi="Times New Roman" w:cs="Times New Roman"/>
          <w:sz w:val="24"/>
          <w:szCs w:val="24"/>
        </w:rPr>
        <w:t xml:space="preserve"> aby zarządzający alternatywnym funduszem inwestycyjnym stosował racjonalne rozwiązania w zakresie kontroli i bezpieczeństwa na potrzeby elektronicznego przetwarzania danych</w:t>
      </w:r>
      <w:r w:rsidR="00A0706E" w:rsidRPr="000431F7">
        <w:rPr>
          <w:rFonts w:ascii="Times New Roman" w:hAnsi="Times New Roman" w:cs="Times New Roman"/>
          <w:sz w:val="24"/>
          <w:szCs w:val="24"/>
        </w:rPr>
        <w:t>, które</w:t>
      </w:r>
      <w:r w:rsidR="00DC0648" w:rsidRPr="000431F7">
        <w:rPr>
          <w:rFonts w:ascii="Times New Roman" w:hAnsi="Times New Roman" w:cs="Times New Roman"/>
          <w:sz w:val="24"/>
          <w:szCs w:val="24"/>
        </w:rPr>
        <w:t xml:space="preserve"> </w:t>
      </w:r>
      <w:r w:rsidR="00DC0648" w:rsidRPr="000431F7">
        <w:rPr>
          <w:rFonts w:ascii="Times New Roman" w:hAnsi="Times New Roman" w:cs="Times New Roman"/>
          <w:sz w:val="24"/>
          <w:szCs w:val="24"/>
        </w:rPr>
        <w:lastRenderedPageBreak/>
        <w:t>powinny mieć również zastosowanie w</w:t>
      </w:r>
      <w:r w:rsidR="001D579C" w:rsidRPr="000431F7">
        <w:rPr>
          <w:rFonts w:ascii="Times New Roman" w:hAnsi="Times New Roman" w:cs="Times New Roman"/>
          <w:sz w:val="24"/>
          <w:szCs w:val="24"/>
        </w:rPr>
        <w:t> </w:t>
      </w:r>
      <w:r w:rsidR="00DC0648" w:rsidRPr="000431F7">
        <w:rPr>
          <w:rFonts w:ascii="Times New Roman" w:hAnsi="Times New Roman" w:cs="Times New Roman"/>
          <w:sz w:val="24"/>
          <w:szCs w:val="24"/>
        </w:rPr>
        <w:t>odniesieniu do sieci i systemów informatycznych u</w:t>
      </w:r>
      <w:r w:rsidR="00A0706E" w:rsidRPr="000431F7">
        <w:rPr>
          <w:rFonts w:ascii="Times New Roman" w:hAnsi="Times New Roman" w:cs="Times New Roman"/>
          <w:sz w:val="24"/>
          <w:szCs w:val="24"/>
        </w:rPr>
        <w:t>stanowionych</w:t>
      </w:r>
      <w:r w:rsidR="00DC0648" w:rsidRPr="000431F7">
        <w:rPr>
          <w:rFonts w:ascii="Times New Roman" w:hAnsi="Times New Roman" w:cs="Times New Roman"/>
          <w:sz w:val="24"/>
          <w:szCs w:val="24"/>
        </w:rPr>
        <w:t xml:space="preserve"> i zarządzanych zgodnie z</w:t>
      </w:r>
      <w:r w:rsidR="001D579C" w:rsidRPr="000431F7">
        <w:rPr>
          <w:rFonts w:ascii="Times New Roman" w:hAnsi="Times New Roman" w:cs="Times New Roman"/>
          <w:sz w:val="24"/>
          <w:szCs w:val="24"/>
        </w:rPr>
        <w:t> </w:t>
      </w:r>
      <w:r w:rsidR="00DC0648" w:rsidRPr="000431F7">
        <w:rPr>
          <w:rFonts w:ascii="Times New Roman" w:hAnsi="Times New Roman" w:cs="Times New Roman"/>
          <w:sz w:val="24"/>
          <w:szCs w:val="24"/>
        </w:rPr>
        <w:t xml:space="preserve">rozporządzeniem 2022/2554. </w:t>
      </w:r>
    </w:p>
    <w:p w14:paraId="67A7D439" w14:textId="738416C1" w:rsidR="00DC0648" w:rsidRPr="000431F7" w:rsidRDefault="00DC0648" w:rsidP="004742CC">
      <w:pPr>
        <w:pStyle w:val="Tekstkomentarza"/>
        <w:spacing w:before="120" w:after="0" w:line="360" w:lineRule="auto"/>
        <w:jc w:val="both"/>
        <w:rPr>
          <w:rFonts w:ascii="Times New Roman" w:hAnsi="Times New Roman" w:cs="Times New Roman"/>
          <w:sz w:val="24"/>
          <w:szCs w:val="24"/>
        </w:rPr>
      </w:pPr>
      <w:r w:rsidRPr="000431F7">
        <w:rPr>
          <w:rFonts w:ascii="Times New Roman" w:hAnsi="Times New Roman" w:cs="Times New Roman"/>
          <w:sz w:val="24"/>
          <w:szCs w:val="24"/>
        </w:rPr>
        <w:t>Odpowiednikami w prawie krajowym zarządzających alternatywnymi funduszami inwestycyjnymi (ZAFI) są zarządzający ASI</w:t>
      </w:r>
      <w:r w:rsidR="00EC02BC" w:rsidRPr="000431F7">
        <w:rPr>
          <w:rFonts w:ascii="Times New Roman" w:hAnsi="Times New Roman" w:cs="Times New Roman"/>
          <w:sz w:val="24"/>
          <w:szCs w:val="24"/>
        </w:rPr>
        <w:t>.</w:t>
      </w:r>
      <w:r w:rsidR="00987740">
        <w:rPr>
          <w:rFonts w:ascii="Times New Roman" w:hAnsi="Times New Roman" w:cs="Times New Roman"/>
          <w:sz w:val="24"/>
          <w:szCs w:val="24"/>
        </w:rPr>
        <w:t xml:space="preserve"> </w:t>
      </w:r>
      <w:r w:rsidR="00EC02BC" w:rsidRPr="000431F7">
        <w:rPr>
          <w:rFonts w:ascii="Times New Roman" w:hAnsi="Times New Roman" w:cs="Times New Roman"/>
          <w:sz w:val="24"/>
          <w:szCs w:val="24"/>
        </w:rPr>
        <w:t>W</w:t>
      </w:r>
      <w:r w:rsidRPr="000431F7">
        <w:rPr>
          <w:rFonts w:ascii="Times New Roman" w:hAnsi="Times New Roman" w:cs="Times New Roman"/>
          <w:sz w:val="24"/>
          <w:szCs w:val="24"/>
        </w:rPr>
        <w:t xml:space="preserve">ymogi organizacyjne w odniesieniu do tych podmiotów zostały </w:t>
      </w:r>
      <w:r w:rsidR="00A0706E" w:rsidRPr="000431F7">
        <w:rPr>
          <w:rFonts w:ascii="Times New Roman" w:hAnsi="Times New Roman" w:cs="Times New Roman"/>
          <w:sz w:val="24"/>
          <w:szCs w:val="24"/>
        </w:rPr>
        <w:t>określone</w:t>
      </w:r>
      <w:r w:rsidRPr="000431F7">
        <w:rPr>
          <w:rFonts w:ascii="Times New Roman" w:hAnsi="Times New Roman" w:cs="Times New Roman"/>
          <w:sz w:val="24"/>
          <w:szCs w:val="24"/>
        </w:rPr>
        <w:t xml:space="preserve"> w art. 70l</w:t>
      </w:r>
      <w:r w:rsidR="00153325" w:rsidRPr="000431F7">
        <w:rPr>
          <w:rFonts w:ascii="Times New Roman" w:hAnsi="Times New Roman" w:cs="Times New Roman"/>
          <w:sz w:val="24"/>
          <w:szCs w:val="24"/>
        </w:rPr>
        <w:t xml:space="preserve"> ustawy</w:t>
      </w:r>
      <w:r w:rsidR="00153325" w:rsidRPr="000431F7">
        <w:rPr>
          <w:rFonts w:ascii="Times New Roman" w:hAnsi="Times New Roman" w:cs="Times New Roman"/>
          <w:b/>
          <w:bCs/>
          <w:sz w:val="24"/>
          <w:szCs w:val="24"/>
        </w:rPr>
        <w:t xml:space="preserve"> </w:t>
      </w:r>
      <w:r w:rsidR="000C5658" w:rsidRPr="000431F7">
        <w:rPr>
          <w:rFonts w:ascii="Times New Roman" w:hAnsi="Times New Roman" w:cs="Times New Roman"/>
          <w:sz w:val="24"/>
          <w:szCs w:val="24"/>
        </w:rPr>
        <w:t xml:space="preserve">z dnia 27 maja 2004 r. </w:t>
      </w:r>
      <w:r w:rsidR="00153325" w:rsidRPr="000431F7">
        <w:rPr>
          <w:rFonts w:ascii="Times New Roman" w:hAnsi="Times New Roman" w:cs="Times New Roman"/>
          <w:sz w:val="24"/>
          <w:szCs w:val="24"/>
        </w:rPr>
        <w:t>o funduszach inwestycyjnych i zarządzaniu alternatywnymi funduszami inwestycyjnymi</w:t>
      </w:r>
      <w:r w:rsidRPr="000431F7">
        <w:rPr>
          <w:rFonts w:ascii="Times New Roman" w:hAnsi="Times New Roman" w:cs="Times New Roman"/>
          <w:sz w:val="24"/>
          <w:szCs w:val="24"/>
        </w:rPr>
        <w:t>. Podobnie jak w przypadku towarzystw funduszy inwestycyjnych w projekcie przewidziano ustanowienie na poziomie ustawy wymagania</w:t>
      </w:r>
      <w:r w:rsidR="00A0706E" w:rsidRPr="000431F7">
        <w:rPr>
          <w:rFonts w:ascii="Times New Roman" w:hAnsi="Times New Roman" w:cs="Times New Roman"/>
          <w:sz w:val="24"/>
          <w:szCs w:val="24"/>
        </w:rPr>
        <w:t>,</w:t>
      </w:r>
      <w:r w:rsidRPr="000431F7">
        <w:rPr>
          <w:rFonts w:ascii="Times New Roman" w:hAnsi="Times New Roman" w:cs="Times New Roman"/>
          <w:sz w:val="24"/>
          <w:szCs w:val="24"/>
        </w:rPr>
        <w:t xml:space="preserve"> aby zarządzający ASI wdrożył rozwiązania techniczne i organizacyjne zapewniające bezpieczeństwo i kontrolę środowiska informatycznego i przetwarzania w nim danych, w tym w odniesieniu do sieci i systemów informatycznych u</w:t>
      </w:r>
      <w:r w:rsidR="00A0706E" w:rsidRPr="000431F7">
        <w:rPr>
          <w:rFonts w:ascii="Times New Roman" w:hAnsi="Times New Roman" w:cs="Times New Roman"/>
          <w:sz w:val="24"/>
          <w:szCs w:val="24"/>
        </w:rPr>
        <w:t>stanowionych</w:t>
      </w:r>
      <w:r w:rsidRPr="000431F7">
        <w:rPr>
          <w:rFonts w:ascii="Times New Roman" w:hAnsi="Times New Roman" w:cs="Times New Roman"/>
          <w:sz w:val="24"/>
          <w:szCs w:val="24"/>
        </w:rPr>
        <w:t xml:space="preserve"> i zarządzanych zgodnie z rozporządzeniem 2022/2554.</w:t>
      </w:r>
    </w:p>
    <w:p w14:paraId="4D59BD90" w14:textId="7213230F" w:rsidR="00326D44" w:rsidRPr="004742CC" w:rsidRDefault="00D268A4" w:rsidP="004742CC">
      <w:pPr>
        <w:pStyle w:val="ARTartustawynprozporzdzenia"/>
        <w:tabs>
          <w:tab w:val="left" w:pos="426"/>
        </w:tabs>
        <w:ind w:firstLine="0"/>
        <w:rPr>
          <w:rFonts w:ascii="Times New Roman" w:hAnsi="Times New Roman" w:cs="Times New Roman"/>
          <w:b/>
          <w:bCs/>
          <w:szCs w:val="24"/>
        </w:rPr>
      </w:pPr>
      <w:r w:rsidRPr="000431F7">
        <w:rPr>
          <w:rFonts w:ascii="Times New Roman" w:hAnsi="Times New Roman" w:cs="Times New Roman"/>
          <w:b/>
          <w:bCs/>
          <w:szCs w:val="24"/>
        </w:rPr>
        <w:t>6</w:t>
      </w:r>
      <w:r w:rsidR="00DC0648" w:rsidRPr="000431F7">
        <w:rPr>
          <w:rFonts w:ascii="Times New Roman" w:hAnsi="Times New Roman" w:cs="Times New Roman"/>
          <w:b/>
          <w:bCs/>
          <w:szCs w:val="24"/>
        </w:rPr>
        <w:t>.</w:t>
      </w:r>
      <w:r w:rsidR="005F2B39">
        <w:rPr>
          <w:rFonts w:ascii="Times New Roman" w:hAnsi="Times New Roman" w:cs="Times New Roman"/>
          <w:b/>
          <w:bCs/>
          <w:szCs w:val="24"/>
        </w:rPr>
        <w:tab/>
      </w:r>
      <w:r w:rsidR="0054358F">
        <w:rPr>
          <w:rFonts w:ascii="Times New Roman" w:hAnsi="Times New Roman" w:cs="Times New Roman"/>
          <w:b/>
          <w:bCs/>
          <w:szCs w:val="24"/>
        </w:rPr>
        <w:t>Z</w:t>
      </w:r>
      <w:r w:rsidR="00326D44" w:rsidRPr="000431F7">
        <w:rPr>
          <w:rFonts w:ascii="Times New Roman" w:hAnsi="Times New Roman" w:cs="Times New Roman"/>
          <w:b/>
          <w:bCs/>
          <w:szCs w:val="24"/>
        </w:rPr>
        <w:t xml:space="preserve">miany w </w:t>
      </w:r>
      <w:r w:rsidR="00EC7DA7">
        <w:rPr>
          <w:rFonts w:ascii="Times New Roman" w:hAnsi="Times New Roman" w:cs="Times New Roman"/>
          <w:b/>
          <w:bCs/>
          <w:szCs w:val="24"/>
        </w:rPr>
        <w:t xml:space="preserve">ustawie </w:t>
      </w:r>
      <w:r w:rsidR="00326D44" w:rsidRPr="004742CC">
        <w:rPr>
          <w:rFonts w:ascii="Times New Roman" w:hAnsi="Times New Roman" w:cs="Times New Roman"/>
          <w:b/>
          <w:bCs/>
          <w:szCs w:val="24"/>
        </w:rPr>
        <w:t>z dnia 29 lipca 2005 r. o nadzorze nad rynkiem kapitałowym (art.</w:t>
      </w:r>
      <w:r w:rsidR="0054358F">
        <w:rPr>
          <w:rFonts w:ascii="Times New Roman" w:hAnsi="Times New Roman" w:cs="Times New Roman"/>
          <w:b/>
          <w:bCs/>
          <w:szCs w:val="24"/>
        </w:rPr>
        <w:t> </w:t>
      </w:r>
      <w:r w:rsidRPr="004742CC">
        <w:rPr>
          <w:rFonts w:ascii="Times New Roman" w:hAnsi="Times New Roman" w:cs="Times New Roman"/>
          <w:b/>
          <w:bCs/>
          <w:szCs w:val="24"/>
        </w:rPr>
        <w:t>6</w:t>
      </w:r>
      <w:r w:rsidR="00326D44" w:rsidRPr="004742CC">
        <w:rPr>
          <w:rFonts w:ascii="Times New Roman" w:hAnsi="Times New Roman" w:cs="Times New Roman"/>
          <w:b/>
          <w:bCs/>
          <w:szCs w:val="24"/>
        </w:rPr>
        <w:t xml:space="preserve">) </w:t>
      </w:r>
    </w:p>
    <w:p w14:paraId="19F32986" w14:textId="7848B228" w:rsidR="00326D44" w:rsidRPr="000431F7" w:rsidRDefault="00326D44" w:rsidP="004742CC">
      <w:pPr>
        <w:spacing w:before="120" w:after="0" w:line="360" w:lineRule="auto"/>
        <w:jc w:val="both"/>
        <w:rPr>
          <w:rFonts w:ascii="Times New Roman" w:hAnsi="Times New Roman" w:cs="Times New Roman"/>
          <w:sz w:val="24"/>
          <w:szCs w:val="24"/>
        </w:rPr>
      </w:pPr>
      <w:r w:rsidRPr="000431F7">
        <w:rPr>
          <w:rFonts w:ascii="Times New Roman" w:hAnsi="Times New Roman" w:cs="Times New Roman"/>
          <w:b/>
          <w:bCs/>
          <w:sz w:val="24"/>
          <w:szCs w:val="24"/>
        </w:rPr>
        <w:t xml:space="preserve">Art. </w:t>
      </w:r>
      <w:r w:rsidR="00D268A4" w:rsidRPr="000431F7">
        <w:rPr>
          <w:rFonts w:ascii="Times New Roman" w:hAnsi="Times New Roman" w:cs="Times New Roman"/>
          <w:b/>
          <w:bCs/>
          <w:sz w:val="24"/>
          <w:szCs w:val="24"/>
        </w:rPr>
        <w:t>6</w:t>
      </w:r>
      <w:r w:rsidRPr="000431F7">
        <w:rPr>
          <w:rFonts w:ascii="Times New Roman" w:hAnsi="Times New Roman" w:cs="Times New Roman"/>
          <w:sz w:val="24"/>
          <w:szCs w:val="24"/>
        </w:rPr>
        <w:t xml:space="preserve"> wprowadza zmiany w ustawie z dnia 29 lipca 2005 r. o nadzorze nad rynkiem kapitałowym mające na celu zapewnienie stosowania rozporządzenia 2023/2631. </w:t>
      </w:r>
    </w:p>
    <w:p w14:paraId="208CC7E8" w14:textId="7BED5470" w:rsidR="00326D44" w:rsidRPr="000431F7" w:rsidRDefault="00326D44" w:rsidP="004742CC">
      <w:pPr>
        <w:spacing w:before="120" w:after="0" w:line="360" w:lineRule="auto"/>
        <w:jc w:val="both"/>
        <w:rPr>
          <w:rFonts w:ascii="Times New Roman" w:hAnsi="Times New Roman" w:cs="Times New Roman"/>
          <w:sz w:val="24"/>
          <w:szCs w:val="24"/>
        </w:rPr>
      </w:pPr>
      <w:r w:rsidRPr="000431F7">
        <w:rPr>
          <w:rFonts w:ascii="Times New Roman" w:hAnsi="Times New Roman" w:cs="Times New Roman"/>
          <w:sz w:val="24"/>
          <w:szCs w:val="24"/>
        </w:rPr>
        <w:t>Dodanie w art. 2 pkt 5n ma na celu uzupełnienie słowniczka nowelizowanej ustawy o skróconą nazwę rozporządzenia 2023/2631. Rozporządzenie to przywołane jest bowiem kilkukrotnie w dodawanych projektem przepisach nowelizowanej ustawy.</w:t>
      </w:r>
    </w:p>
    <w:p w14:paraId="40AC8D13" w14:textId="4241958F" w:rsidR="00EC663D" w:rsidRPr="000431F7" w:rsidRDefault="00E45CD4" w:rsidP="004742CC">
      <w:pPr>
        <w:spacing w:before="120" w:after="0" w:line="360" w:lineRule="auto"/>
        <w:jc w:val="both"/>
        <w:rPr>
          <w:rFonts w:ascii="Times New Roman" w:hAnsi="Times New Roman" w:cs="Times New Roman"/>
          <w:sz w:val="24"/>
          <w:szCs w:val="24"/>
        </w:rPr>
      </w:pPr>
      <w:r w:rsidRPr="000431F7">
        <w:rPr>
          <w:rFonts w:ascii="Times New Roman" w:hAnsi="Times New Roman" w:cs="Times New Roman"/>
          <w:sz w:val="24"/>
          <w:szCs w:val="24"/>
        </w:rPr>
        <w:t xml:space="preserve">Zmiana przewidziana w art. 3 ust. 2 ma na celu wskazanie, jak ma to miejsce również w przypadku innych unijnych rozporządzeń z zakresu rynku kapitałowego, że KNF jest właściwym organem w rozumieniu rozporządzenia 2023/2631. Zaznaczyć przy tym należy, że z uwagi na ograniczony zakres spraw uregulowanych tą ustawą kompleksowe uregulowanie uprawnień nadzorczych wynikających z tego rozporządzenia zostanie dokonane w ustawie o nadzorze nad rynkiem </w:t>
      </w:r>
      <w:r w:rsidR="00EC663D" w:rsidRPr="000431F7">
        <w:rPr>
          <w:rFonts w:ascii="Times New Roman" w:hAnsi="Times New Roman" w:cs="Times New Roman"/>
          <w:sz w:val="24"/>
          <w:szCs w:val="24"/>
        </w:rPr>
        <w:t>finansowym.</w:t>
      </w:r>
    </w:p>
    <w:p w14:paraId="397A0A8A" w14:textId="6AC13DD6" w:rsidR="00326D44" w:rsidRPr="000431F7" w:rsidRDefault="00EC663D" w:rsidP="004742CC">
      <w:pPr>
        <w:spacing w:before="120" w:after="0" w:line="360" w:lineRule="auto"/>
        <w:jc w:val="both"/>
        <w:rPr>
          <w:rFonts w:ascii="Times New Roman" w:hAnsi="Times New Roman" w:cs="Times New Roman"/>
          <w:sz w:val="24"/>
          <w:szCs w:val="24"/>
        </w:rPr>
      </w:pPr>
      <w:r w:rsidRPr="000431F7">
        <w:rPr>
          <w:rFonts w:ascii="Times New Roman" w:hAnsi="Times New Roman" w:cs="Times New Roman"/>
          <w:sz w:val="24"/>
          <w:szCs w:val="24"/>
        </w:rPr>
        <w:t>Zmiana</w:t>
      </w:r>
      <w:r w:rsidR="00326D44" w:rsidRPr="000431F7">
        <w:rPr>
          <w:rFonts w:ascii="Times New Roman" w:hAnsi="Times New Roman" w:cs="Times New Roman"/>
          <w:sz w:val="24"/>
          <w:szCs w:val="24"/>
        </w:rPr>
        <w:t xml:space="preserve"> przewidziana w art. 20 ust. 1 pkt 1 ma na celu zapewnienie stosowania art. 46 rozporządzenia 2023/2631. Przepis ten reguluje współpracę między właściwymi organami państw członkowskich w kontekście przestrzegania przepisów tego rozporządzenia. Wymaga </w:t>
      </w:r>
      <w:r w:rsidR="00D6749B" w:rsidRPr="000431F7">
        <w:rPr>
          <w:rFonts w:ascii="Times New Roman" w:hAnsi="Times New Roman" w:cs="Times New Roman"/>
          <w:sz w:val="24"/>
          <w:szCs w:val="24"/>
        </w:rPr>
        <w:t>to</w:t>
      </w:r>
      <w:r w:rsidR="00326D44" w:rsidRPr="000431F7">
        <w:rPr>
          <w:rFonts w:ascii="Times New Roman" w:hAnsi="Times New Roman" w:cs="Times New Roman"/>
          <w:sz w:val="24"/>
          <w:szCs w:val="24"/>
        </w:rPr>
        <w:t xml:space="preserve"> szybkiej wymiany informacji i współpracy przy dochodzeniach, nadzorze oraz egzekwowaniu przepisów. Ponadto umożliwia wzajemną pomoc w zakresie kontroli i dochodzeń, a także przewiduje udział ESMA</w:t>
      </w:r>
      <w:r w:rsidR="0054358F">
        <w:rPr>
          <w:rFonts w:ascii="Times New Roman" w:hAnsi="Times New Roman" w:cs="Times New Roman"/>
          <w:sz w:val="24"/>
          <w:szCs w:val="24"/>
        </w:rPr>
        <w:t>,</w:t>
      </w:r>
      <w:r w:rsidR="00326D44" w:rsidRPr="000431F7">
        <w:rPr>
          <w:rFonts w:ascii="Times New Roman" w:hAnsi="Times New Roman" w:cs="Times New Roman"/>
          <w:sz w:val="24"/>
          <w:szCs w:val="24"/>
        </w:rPr>
        <w:t xml:space="preserve"> w przypadkach gdy współpraca jest niewystarczająca. W związku z tym w art. 20 ust. 1 pkt 1 zastąpiono wyrazy</w:t>
      </w:r>
      <w:r w:rsidR="00987740">
        <w:rPr>
          <w:rFonts w:ascii="Times New Roman" w:hAnsi="Times New Roman" w:cs="Times New Roman"/>
          <w:sz w:val="24"/>
          <w:szCs w:val="24"/>
        </w:rPr>
        <w:t xml:space="preserve"> „</w:t>
      </w:r>
      <w:r w:rsidR="00326D44" w:rsidRPr="000431F7">
        <w:rPr>
          <w:rFonts w:ascii="Times New Roman" w:hAnsi="Times New Roman" w:cs="Times New Roman"/>
          <w:sz w:val="24"/>
          <w:szCs w:val="24"/>
        </w:rPr>
        <w:t>oraz rozporządzenia 2020/1503</w:t>
      </w:r>
      <w:r w:rsidR="0042158C" w:rsidRPr="000431F7">
        <w:rPr>
          <w:rFonts w:ascii="Times New Roman" w:hAnsi="Times New Roman" w:cs="Times New Roman"/>
          <w:sz w:val="24"/>
          <w:szCs w:val="24"/>
        </w:rPr>
        <w:t>”</w:t>
      </w:r>
      <w:r w:rsidR="00326D44" w:rsidRPr="000431F7">
        <w:rPr>
          <w:rFonts w:ascii="Times New Roman" w:hAnsi="Times New Roman" w:cs="Times New Roman"/>
          <w:sz w:val="24"/>
          <w:szCs w:val="24"/>
        </w:rPr>
        <w:t xml:space="preserve"> wyrazami</w:t>
      </w:r>
      <w:r w:rsidR="0042158C" w:rsidRPr="000431F7">
        <w:rPr>
          <w:rFonts w:ascii="Times New Roman" w:hAnsi="Times New Roman" w:cs="Times New Roman"/>
          <w:sz w:val="24"/>
          <w:szCs w:val="24"/>
        </w:rPr>
        <w:t>: „</w:t>
      </w:r>
      <w:r w:rsidR="00326D44" w:rsidRPr="000431F7">
        <w:rPr>
          <w:rFonts w:ascii="Times New Roman" w:hAnsi="Times New Roman" w:cs="Times New Roman"/>
          <w:sz w:val="24"/>
          <w:szCs w:val="24"/>
        </w:rPr>
        <w:t xml:space="preserve">rozporządzenia 2020/1503 oraz rozporządzenia </w:t>
      </w:r>
      <w:r w:rsidR="00326D44" w:rsidRPr="000431F7">
        <w:rPr>
          <w:rFonts w:ascii="Times New Roman" w:hAnsi="Times New Roman" w:cs="Times New Roman"/>
          <w:sz w:val="24"/>
          <w:szCs w:val="24"/>
        </w:rPr>
        <w:lastRenderedPageBreak/>
        <w:t>2023/2631</w:t>
      </w:r>
      <w:r w:rsidR="0042158C" w:rsidRPr="000431F7">
        <w:rPr>
          <w:rFonts w:ascii="Times New Roman" w:hAnsi="Times New Roman" w:cs="Times New Roman"/>
          <w:sz w:val="24"/>
          <w:szCs w:val="24"/>
        </w:rPr>
        <w:t>”</w:t>
      </w:r>
      <w:r w:rsidR="00326D44" w:rsidRPr="000431F7">
        <w:rPr>
          <w:rFonts w:ascii="Times New Roman" w:hAnsi="Times New Roman" w:cs="Times New Roman"/>
          <w:sz w:val="24"/>
          <w:szCs w:val="24"/>
        </w:rPr>
        <w:t>. Tym samym KN</w:t>
      </w:r>
      <w:r w:rsidR="00E45CD4" w:rsidRPr="000431F7">
        <w:rPr>
          <w:rFonts w:ascii="Times New Roman" w:hAnsi="Times New Roman" w:cs="Times New Roman"/>
          <w:sz w:val="24"/>
          <w:szCs w:val="24"/>
        </w:rPr>
        <w:t>F</w:t>
      </w:r>
      <w:r w:rsidR="00326D44" w:rsidRPr="000431F7">
        <w:rPr>
          <w:rFonts w:ascii="Times New Roman" w:hAnsi="Times New Roman" w:cs="Times New Roman"/>
          <w:sz w:val="24"/>
          <w:szCs w:val="24"/>
        </w:rPr>
        <w:t xml:space="preserve"> lub jej upoważniony przedstawiciel </w:t>
      </w:r>
      <w:r w:rsidR="00E45CD4" w:rsidRPr="000431F7">
        <w:rPr>
          <w:rFonts w:ascii="Times New Roman" w:hAnsi="Times New Roman" w:cs="Times New Roman"/>
          <w:sz w:val="24"/>
          <w:szCs w:val="24"/>
        </w:rPr>
        <w:t xml:space="preserve">mają prawo </w:t>
      </w:r>
      <w:r w:rsidR="00326D44" w:rsidRPr="000431F7">
        <w:rPr>
          <w:rFonts w:ascii="Times New Roman" w:hAnsi="Times New Roman" w:cs="Times New Roman"/>
          <w:sz w:val="24"/>
          <w:szCs w:val="24"/>
        </w:rPr>
        <w:t>do przekazywania organowi z innego państwa członkowskiego oraz otrzymywania od tego organu informacji niezbędnych w celu prawidłowego wykonywania zadań w zakresie nadzoru określonych rozporządzeniem 2023/2631.</w:t>
      </w:r>
    </w:p>
    <w:p w14:paraId="50D257E3" w14:textId="27A1E111" w:rsidR="0005072D" w:rsidRPr="000431F7" w:rsidRDefault="00D268A4" w:rsidP="004742CC">
      <w:pPr>
        <w:pStyle w:val="ARTartustawynprozporzdzenia"/>
        <w:tabs>
          <w:tab w:val="left" w:pos="426"/>
        </w:tabs>
        <w:ind w:firstLine="0"/>
        <w:rPr>
          <w:rFonts w:ascii="Times New Roman" w:hAnsi="Times New Roman" w:cs="Times New Roman"/>
          <w:b/>
          <w:bCs/>
          <w:szCs w:val="24"/>
        </w:rPr>
      </w:pPr>
      <w:r w:rsidRPr="000431F7">
        <w:rPr>
          <w:rFonts w:ascii="Times New Roman" w:hAnsi="Times New Roman" w:cs="Times New Roman"/>
          <w:b/>
          <w:bCs/>
          <w:szCs w:val="24"/>
        </w:rPr>
        <w:t>7</w:t>
      </w:r>
      <w:r w:rsidR="00326D44" w:rsidRPr="000431F7">
        <w:rPr>
          <w:rFonts w:ascii="Times New Roman" w:hAnsi="Times New Roman" w:cs="Times New Roman"/>
          <w:b/>
          <w:bCs/>
          <w:szCs w:val="24"/>
        </w:rPr>
        <w:t>.</w:t>
      </w:r>
      <w:r w:rsidR="005F2B39">
        <w:rPr>
          <w:rFonts w:ascii="Times New Roman" w:hAnsi="Times New Roman" w:cs="Times New Roman"/>
          <w:b/>
          <w:bCs/>
          <w:szCs w:val="24"/>
        </w:rPr>
        <w:tab/>
      </w:r>
      <w:r w:rsidR="0054358F">
        <w:rPr>
          <w:rFonts w:ascii="Times New Roman" w:hAnsi="Times New Roman" w:cs="Times New Roman"/>
          <w:b/>
          <w:bCs/>
          <w:szCs w:val="24"/>
        </w:rPr>
        <w:t>Z</w:t>
      </w:r>
      <w:r w:rsidR="0005072D" w:rsidRPr="000431F7">
        <w:rPr>
          <w:rFonts w:ascii="Times New Roman" w:hAnsi="Times New Roman" w:cs="Times New Roman"/>
          <w:b/>
          <w:bCs/>
          <w:szCs w:val="24"/>
        </w:rPr>
        <w:t>miany w ustawie z dnia 29 lipca 2005 r. o obrocie instrumentami finansowymi</w:t>
      </w:r>
      <w:r w:rsidR="004B4E12" w:rsidRPr="000431F7">
        <w:rPr>
          <w:rFonts w:ascii="Times New Roman" w:hAnsi="Times New Roman" w:cs="Times New Roman"/>
          <w:b/>
          <w:bCs/>
          <w:szCs w:val="24"/>
        </w:rPr>
        <w:t xml:space="preserve"> (art.</w:t>
      </w:r>
      <w:r w:rsidR="00AC1333">
        <w:rPr>
          <w:rFonts w:ascii="Times New Roman" w:hAnsi="Times New Roman" w:cs="Times New Roman"/>
          <w:b/>
          <w:bCs/>
          <w:szCs w:val="24"/>
        </w:rPr>
        <w:t> </w:t>
      </w:r>
      <w:r w:rsidRPr="000431F7">
        <w:rPr>
          <w:rFonts w:ascii="Times New Roman" w:hAnsi="Times New Roman" w:cs="Times New Roman"/>
          <w:b/>
          <w:bCs/>
          <w:szCs w:val="24"/>
        </w:rPr>
        <w:t>7</w:t>
      </w:r>
      <w:r w:rsidR="004B4E12" w:rsidRPr="000431F7">
        <w:rPr>
          <w:rFonts w:ascii="Times New Roman" w:hAnsi="Times New Roman" w:cs="Times New Roman"/>
          <w:b/>
          <w:bCs/>
          <w:szCs w:val="24"/>
        </w:rPr>
        <w:t xml:space="preserve">) </w:t>
      </w:r>
    </w:p>
    <w:p w14:paraId="4F26C72B" w14:textId="341DBA62" w:rsidR="0005072D" w:rsidRPr="000431F7" w:rsidRDefault="0005072D" w:rsidP="004742CC">
      <w:pPr>
        <w:pStyle w:val="Tekstkomentarza"/>
        <w:spacing w:before="120" w:after="0" w:line="360" w:lineRule="auto"/>
        <w:jc w:val="both"/>
        <w:rPr>
          <w:rFonts w:ascii="Times New Roman" w:hAnsi="Times New Roman" w:cs="Times New Roman"/>
          <w:sz w:val="24"/>
          <w:szCs w:val="24"/>
        </w:rPr>
      </w:pPr>
      <w:r w:rsidRPr="000431F7">
        <w:rPr>
          <w:rFonts w:ascii="Times New Roman" w:hAnsi="Times New Roman" w:cs="Times New Roman"/>
          <w:b/>
          <w:bCs/>
          <w:sz w:val="24"/>
          <w:szCs w:val="24"/>
        </w:rPr>
        <w:t xml:space="preserve">Art. </w:t>
      </w:r>
      <w:r w:rsidR="00D268A4" w:rsidRPr="000431F7">
        <w:rPr>
          <w:rFonts w:ascii="Times New Roman" w:hAnsi="Times New Roman" w:cs="Times New Roman"/>
          <w:b/>
          <w:bCs/>
          <w:sz w:val="24"/>
          <w:szCs w:val="24"/>
        </w:rPr>
        <w:t>7</w:t>
      </w:r>
      <w:r w:rsidRPr="000431F7">
        <w:rPr>
          <w:rFonts w:ascii="Times New Roman" w:hAnsi="Times New Roman" w:cs="Times New Roman"/>
          <w:sz w:val="24"/>
          <w:szCs w:val="24"/>
        </w:rPr>
        <w:t xml:space="preserve"> wprowadza zmiany do ustawy z dnia</w:t>
      </w:r>
      <w:r w:rsidR="00226760" w:rsidRPr="000431F7">
        <w:rPr>
          <w:rFonts w:ascii="Times New Roman" w:hAnsi="Times New Roman" w:cs="Times New Roman"/>
          <w:sz w:val="24"/>
          <w:szCs w:val="24"/>
        </w:rPr>
        <w:t xml:space="preserve"> 29 lipca 2005 r. o obrocie instrumentami finansowymi</w:t>
      </w:r>
      <w:r w:rsidRPr="000431F7">
        <w:rPr>
          <w:rFonts w:ascii="Times New Roman" w:hAnsi="Times New Roman" w:cs="Times New Roman"/>
          <w:sz w:val="24"/>
          <w:szCs w:val="24"/>
        </w:rPr>
        <w:t>, mające na celu transpozycję przepisów dyrektywy 2022/2556 w zakresie implementacji art.</w:t>
      </w:r>
      <w:r w:rsidR="00A81728" w:rsidRPr="000431F7">
        <w:rPr>
          <w:rFonts w:ascii="Times New Roman" w:hAnsi="Times New Roman" w:cs="Times New Roman"/>
          <w:sz w:val="24"/>
          <w:szCs w:val="24"/>
        </w:rPr>
        <w:t xml:space="preserve"> 5 i</w:t>
      </w:r>
      <w:r w:rsidRPr="000431F7">
        <w:rPr>
          <w:rFonts w:ascii="Times New Roman" w:hAnsi="Times New Roman" w:cs="Times New Roman"/>
          <w:sz w:val="24"/>
          <w:szCs w:val="24"/>
        </w:rPr>
        <w:t xml:space="preserve"> </w:t>
      </w:r>
      <w:r w:rsidR="00FA016D" w:rsidRPr="000431F7">
        <w:rPr>
          <w:rFonts w:ascii="Times New Roman" w:hAnsi="Times New Roman" w:cs="Times New Roman"/>
          <w:sz w:val="24"/>
          <w:szCs w:val="24"/>
        </w:rPr>
        <w:t xml:space="preserve">art. </w:t>
      </w:r>
      <w:r w:rsidRPr="000431F7">
        <w:rPr>
          <w:rFonts w:ascii="Times New Roman" w:hAnsi="Times New Roman" w:cs="Times New Roman"/>
          <w:sz w:val="24"/>
          <w:szCs w:val="24"/>
        </w:rPr>
        <w:t xml:space="preserve">6 </w:t>
      </w:r>
      <w:r w:rsidR="003040F4" w:rsidRPr="000431F7">
        <w:rPr>
          <w:rFonts w:ascii="Times New Roman" w:hAnsi="Times New Roman" w:cs="Times New Roman"/>
          <w:sz w:val="24"/>
          <w:szCs w:val="24"/>
        </w:rPr>
        <w:t>tej dyrektywy.</w:t>
      </w:r>
      <w:r w:rsidRPr="000431F7">
        <w:rPr>
          <w:rFonts w:ascii="Times New Roman" w:hAnsi="Times New Roman" w:cs="Times New Roman"/>
          <w:sz w:val="24"/>
          <w:szCs w:val="24"/>
        </w:rPr>
        <w:t xml:space="preserve"> </w:t>
      </w:r>
      <w:r w:rsidR="00A81728" w:rsidRPr="000431F7">
        <w:rPr>
          <w:rFonts w:ascii="Times New Roman" w:hAnsi="Times New Roman" w:cs="Times New Roman"/>
          <w:sz w:val="24"/>
          <w:szCs w:val="24"/>
        </w:rPr>
        <w:t>Przepis art. 5 zmienia dyrektywę 2014/59/UE</w:t>
      </w:r>
      <w:r w:rsidR="00987740">
        <w:rPr>
          <w:rFonts w:ascii="Times New Roman" w:hAnsi="Times New Roman" w:cs="Times New Roman"/>
          <w:sz w:val="24"/>
          <w:szCs w:val="24"/>
        </w:rPr>
        <w:t xml:space="preserve"> </w:t>
      </w:r>
      <w:r w:rsidR="000C5658" w:rsidRPr="000431F7">
        <w:rPr>
          <w:rFonts w:ascii="Times New Roman" w:hAnsi="Times New Roman" w:cs="Times New Roman"/>
          <w:color w:val="333333"/>
          <w:sz w:val="24"/>
          <w:szCs w:val="24"/>
          <w:shd w:val="clear" w:color="auto" w:fill="FFFFFF"/>
        </w:rPr>
        <w:t>Parlamentu Europejskiego i Rady 2014/59/UE z dnia 15 maja 2014 r.</w:t>
      </w:r>
      <w:r w:rsidR="000C5658" w:rsidRPr="004742CC">
        <w:rPr>
          <w:rFonts w:ascii="Times New Roman" w:hAnsi="Times New Roman" w:cs="Times New Roman"/>
          <w:b/>
          <w:bCs/>
          <w:color w:val="333333"/>
          <w:sz w:val="24"/>
          <w:szCs w:val="24"/>
          <w:shd w:val="clear" w:color="auto" w:fill="FFFFFF"/>
        </w:rPr>
        <w:t xml:space="preserve"> </w:t>
      </w:r>
      <w:r w:rsidR="00B204E0" w:rsidRPr="000431F7">
        <w:rPr>
          <w:rFonts w:ascii="Times New Roman" w:hAnsi="Times New Roman" w:cs="Times New Roman"/>
          <w:sz w:val="24"/>
          <w:szCs w:val="24"/>
        </w:rPr>
        <w:t>ustanawiającą</w:t>
      </w:r>
      <w:r w:rsidR="00A81728" w:rsidRPr="000431F7">
        <w:rPr>
          <w:rFonts w:ascii="Times New Roman" w:hAnsi="Times New Roman" w:cs="Times New Roman"/>
          <w:sz w:val="24"/>
          <w:szCs w:val="24"/>
        </w:rPr>
        <w:t xml:space="preserve"> ramy </w:t>
      </w:r>
      <w:r w:rsidR="00A81728" w:rsidRPr="000431F7">
        <w:rPr>
          <w:rFonts w:ascii="Times New Roman" w:hAnsi="Times New Roman" w:cs="Times New Roman"/>
          <w:color w:val="000000"/>
          <w:sz w:val="24"/>
          <w:szCs w:val="24"/>
          <w:shd w:val="clear" w:color="auto" w:fill="FFFFFF"/>
        </w:rPr>
        <w:t>na potrzeby prowadzenia działań naprawczych oraz restrukturyzacji i uporządkowanej likwidacji w odniesieniu do instytucji kredytowych i firm inwestycyjnych oraz zmieniając</w:t>
      </w:r>
      <w:r w:rsidR="00B204E0" w:rsidRPr="000431F7">
        <w:rPr>
          <w:rFonts w:ascii="Times New Roman" w:hAnsi="Times New Roman" w:cs="Times New Roman"/>
          <w:color w:val="000000"/>
          <w:sz w:val="24"/>
          <w:szCs w:val="24"/>
          <w:shd w:val="clear" w:color="auto" w:fill="FFFFFF"/>
        </w:rPr>
        <w:t>ą</w:t>
      </w:r>
      <w:r w:rsidR="00A81728" w:rsidRPr="000431F7">
        <w:rPr>
          <w:rFonts w:ascii="Times New Roman" w:hAnsi="Times New Roman" w:cs="Times New Roman"/>
          <w:color w:val="000000"/>
          <w:sz w:val="24"/>
          <w:szCs w:val="24"/>
          <w:shd w:val="clear" w:color="auto" w:fill="FFFFFF"/>
        </w:rPr>
        <w:t xml:space="preserve"> dyrektywę Rady 82/891/EWG i dyrektywy Parlamentu Europejskiego i Rady2001/24/WE, 2002/47/WE, 2004/25/WE, 2005/56/WE, 2007/36/WE, 2011/35/UE, 2012/30/UE i 2013/36/EU oraz rozporządzenia Parlamentu Europejskiego i Rady (UE) nr 1093/2010 i (UE) nr 648/2012</w:t>
      </w:r>
      <w:r w:rsidR="00FA016D" w:rsidRPr="000431F7">
        <w:rPr>
          <w:rFonts w:ascii="Times New Roman" w:hAnsi="Times New Roman" w:cs="Times New Roman"/>
          <w:color w:val="000000"/>
          <w:sz w:val="24"/>
          <w:szCs w:val="24"/>
          <w:shd w:val="clear" w:color="auto" w:fill="FFFFFF"/>
        </w:rPr>
        <w:t xml:space="preserve">, </w:t>
      </w:r>
      <w:r w:rsidR="000C5658" w:rsidRPr="000431F7">
        <w:rPr>
          <w:rFonts w:ascii="Times New Roman" w:hAnsi="Times New Roman" w:cs="Times New Roman"/>
          <w:color w:val="000000"/>
          <w:sz w:val="24"/>
          <w:szCs w:val="24"/>
          <w:shd w:val="clear" w:color="auto" w:fill="FFFFFF"/>
        </w:rPr>
        <w:t>zwan</w:t>
      </w:r>
      <w:r w:rsidR="00E60943" w:rsidRPr="000431F7">
        <w:rPr>
          <w:rFonts w:ascii="Times New Roman" w:hAnsi="Times New Roman" w:cs="Times New Roman"/>
          <w:color w:val="000000"/>
          <w:sz w:val="24"/>
          <w:szCs w:val="24"/>
          <w:shd w:val="clear" w:color="auto" w:fill="FFFFFF"/>
        </w:rPr>
        <w:t>ą</w:t>
      </w:r>
      <w:r w:rsidR="000C5658" w:rsidRPr="000431F7">
        <w:rPr>
          <w:rFonts w:ascii="Times New Roman" w:hAnsi="Times New Roman" w:cs="Times New Roman"/>
          <w:color w:val="000000"/>
          <w:sz w:val="24"/>
          <w:szCs w:val="24"/>
          <w:shd w:val="clear" w:color="auto" w:fill="FFFFFF"/>
        </w:rPr>
        <w:t xml:space="preserve"> dalej „dyrektywą 2014/59/UE”</w:t>
      </w:r>
      <w:r w:rsidR="00A81728" w:rsidRPr="000431F7">
        <w:rPr>
          <w:rFonts w:ascii="Times New Roman" w:hAnsi="Times New Roman" w:cs="Times New Roman"/>
          <w:color w:val="000000"/>
          <w:sz w:val="24"/>
          <w:szCs w:val="24"/>
          <w:shd w:val="clear" w:color="auto" w:fill="FFFFFF"/>
        </w:rPr>
        <w:t xml:space="preserve">. </w:t>
      </w:r>
      <w:r w:rsidRPr="000431F7">
        <w:rPr>
          <w:rFonts w:ascii="Times New Roman" w:hAnsi="Times New Roman" w:cs="Times New Roman"/>
          <w:sz w:val="24"/>
          <w:szCs w:val="24"/>
        </w:rPr>
        <w:t xml:space="preserve">Przepis </w:t>
      </w:r>
      <w:r w:rsidR="00A81728" w:rsidRPr="000431F7">
        <w:rPr>
          <w:rFonts w:ascii="Times New Roman" w:hAnsi="Times New Roman" w:cs="Times New Roman"/>
          <w:sz w:val="24"/>
          <w:szCs w:val="24"/>
        </w:rPr>
        <w:t xml:space="preserve">art. 6 </w:t>
      </w:r>
      <w:r w:rsidRPr="000431F7">
        <w:rPr>
          <w:rFonts w:ascii="Times New Roman" w:hAnsi="Times New Roman" w:cs="Times New Roman"/>
          <w:sz w:val="24"/>
          <w:szCs w:val="24"/>
        </w:rPr>
        <w:t>zmienia dyrektywę Parlamentu Europejskiego i Rady 2014/65/UE z dnia 15 maja 2014 r. w sprawie rynków instrumentów finansowych oraz zmieniając</w:t>
      </w:r>
      <w:r w:rsidR="00B204E0" w:rsidRPr="000431F7">
        <w:rPr>
          <w:rFonts w:ascii="Times New Roman" w:hAnsi="Times New Roman" w:cs="Times New Roman"/>
          <w:sz w:val="24"/>
          <w:szCs w:val="24"/>
        </w:rPr>
        <w:t>ą</w:t>
      </w:r>
      <w:r w:rsidRPr="000431F7">
        <w:rPr>
          <w:rFonts w:ascii="Times New Roman" w:hAnsi="Times New Roman" w:cs="Times New Roman"/>
          <w:sz w:val="24"/>
          <w:szCs w:val="24"/>
        </w:rPr>
        <w:t xml:space="preserve"> dyrektywę 2002/92/WE i dyrektywę 2011/61/UE</w:t>
      </w:r>
      <w:r w:rsidR="00FA016D" w:rsidRPr="000431F7">
        <w:rPr>
          <w:rFonts w:ascii="Times New Roman" w:hAnsi="Times New Roman" w:cs="Times New Roman"/>
          <w:sz w:val="24"/>
          <w:szCs w:val="24"/>
        </w:rPr>
        <w:t xml:space="preserve">, </w:t>
      </w:r>
      <w:r w:rsidR="000C5658" w:rsidRPr="000431F7">
        <w:rPr>
          <w:rFonts w:ascii="Times New Roman" w:hAnsi="Times New Roman" w:cs="Times New Roman"/>
          <w:sz w:val="24"/>
          <w:szCs w:val="24"/>
        </w:rPr>
        <w:t>zwan</w:t>
      </w:r>
      <w:r w:rsidR="00E60943" w:rsidRPr="000431F7">
        <w:rPr>
          <w:rFonts w:ascii="Times New Roman" w:hAnsi="Times New Roman" w:cs="Times New Roman"/>
          <w:sz w:val="24"/>
          <w:szCs w:val="24"/>
        </w:rPr>
        <w:t>ą</w:t>
      </w:r>
      <w:r w:rsidR="00FA7B98" w:rsidRPr="000431F7">
        <w:rPr>
          <w:rFonts w:ascii="Times New Roman" w:hAnsi="Times New Roman" w:cs="Times New Roman"/>
          <w:sz w:val="24"/>
          <w:szCs w:val="24"/>
        </w:rPr>
        <w:t xml:space="preserve"> </w:t>
      </w:r>
      <w:r w:rsidR="00E60943" w:rsidRPr="000431F7">
        <w:rPr>
          <w:rFonts w:ascii="Times New Roman" w:hAnsi="Times New Roman" w:cs="Times New Roman"/>
          <w:sz w:val="24"/>
          <w:szCs w:val="24"/>
        </w:rPr>
        <w:t>dalej</w:t>
      </w:r>
      <w:r w:rsidRPr="000431F7">
        <w:rPr>
          <w:rFonts w:ascii="Times New Roman" w:hAnsi="Times New Roman" w:cs="Times New Roman"/>
          <w:sz w:val="24"/>
          <w:szCs w:val="24"/>
        </w:rPr>
        <w:t xml:space="preserve"> </w:t>
      </w:r>
      <w:r w:rsidR="00FA016D" w:rsidRPr="000431F7">
        <w:rPr>
          <w:rFonts w:ascii="Times New Roman" w:hAnsi="Times New Roman" w:cs="Times New Roman"/>
          <w:sz w:val="24"/>
          <w:szCs w:val="24"/>
        </w:rPr>
        <w:t>,,</w:t>
      </w:r>
      <w:r w:rsidRPr="000431F7">
        <w:rPr>
          <w:rFonts w:ascii="Times New Roman" w:hAnsi="Times New Roman" w:cs="Times New Roman"/>
          <w:sz w:val="24"/>
          <w:szCs w:val="24"/>
        </w:rPr>
        <w:t>dyrektyw</w:t>
      </w:r>
      <w:r w:rsidR="000C5658" w:rsidRPr="000431F7">
        <w:rPr>
          <w:rFonts w:ascii="Times New Roman" w:hAnsi="Times New Roman" w:cs="Times New Roman"/>
          <w:sz w:val="24"/>
          <w:szCs w:val="24"/>
        </w:rPr>
        <w:t>ą</w:t>
      </w:r>
      <w:r w:rsidRPr="000431F7">
        <w:rPr>
          <w:rFonts w:ascii="Times New Roman" w:hAnsi="Times New Roman" w:cs="Times New Roman"/>
          <w:sz w:val="24"/>
          <w:szCs w:val="24"/>
        </w:rPr>
        <w:t xml:space="preserve"> 2014/65/UE</w:t>
      </w:r>
      <w:r w:rsidR="00FA016D" w:rsidRPr="000431F7">
        <w:rPr>
          <w:rFonts w:ascii="Times New Roman" w:hAnsi="Times New Roman" w:cs="Times New Roman"/>
          <w:sz w:val="24"/>
          <w:szCs w:val="24"/>
        </w:rPr>
        <w:t>”</w:t>
      </w:r>
      <w:r w:rsidRPr="000431F7">
        <w:rPr>
          <w:rFonts w:ascii="Times New Roman" w:hAnsi="Times New Roman" w:cs="Times New Roman"/>
          <w:sz w:val="24"/>
          <w:szCs w:val="24"/>
        </w:rPr>
        <w:t>. Wdrożenie wymienionych dyrektyw w prawie krajowym zostało dokonane, co do zasady, w ustawie z dnia 29 lipca 2005 r. o obrocie instrumentami finansowymi, a zatem zmian</w:t>
      </w:r>
      <w:r w:rsidR="00B204E0" w:rsidRPr="000431F7">
        <w:rPr>
          <w:rFonts w:ascii="Times New Roman" w:hAnsi="Times New Roman" w:cs="Times New Roman"/>
          <w:sz w:val="24"/>
          <w:szCs w:val="24"/>
        </w:rPr>
        <w:t xml:space="preserve">y </w:t>
      </w:r>
      <w:r w:rsidRPr="000431F7">
        <w:rPr>
          <w:rFonts w:ascii="Times New Roman" w:hAnsi="Times New Roman" w:cs="Times New Roman"/>
          <w:sz w:val="24"/>
          <w:szCs w:val="24"/>
        </w:rPr>
        <w:t>powinny znaleźć swoje odzwierciedlenie na poziomie nowelizowanej ustawy. Wprowadzane do ustawy zmiany obejmują:</w:t>
      </w:r>
    </w:p>
    <w:p w14:paraId="384D2E86" w14:textId="73841093" w:rsidR="00983892" w:rsidRPr="000431F7" w:rsidRDefault="003040F4" w:rsidP="004742CC">
      <w:pPr>
        <w:spacing w:before="120" w:after="0" w:line="360" w:lineRule="auto"/>
        <w:ind w:left="426" w:hanging="426"/>
        <w:jc w:val="both"/>
        <w:rPr>
          <w:rFonts w:ascii="Times New Roman" w:hAnsi="Times New Roman" w:cs="Times New Roman"/>
          <w:sz w:val="24"/>
          <w:szCs w:val="24"/>
        </w:rPr>
      </w:pPr>
      <w:r w:rsidRPr="000431F7">
        <w:rPr>
          <w:rStyle w:val="Ppogrubienie"/>
          <w:rFonts w:ascii="Times New Roman" w:hAnsi="Times New Roman" w:cs="Times New Roman"/>
          <w:b w:val="0"/>
          <w:bCs/>
          <w:sz w:val="24"/>
          <w:szCs w:val="24"/>
        </w:rPr>
        <w:t>1)</w:t>
      </w:r>
      <w:r w:rsidR="005F2B39">
        <w:rPr>
          <w:rStyle w:val="Ppogrubienie"/>
          <w:rFonts w:ascii="Times New Roman" w:hAnsi="Times New Roman" w:cs="Times New Roman"/>
          <w:b w:val="0"/>
          <w:bCs/>
          <w:sz w:val="24"/>
          <w:szCs w:val="24"/>
        </w:rPr>
        <w:tab/>
      </w:r>
      <w:r w:rsidRPr="000431F7">
        <w:rPr>
          <w:rFonts w:ascii="Times New Roman" w:hAnsi="Times New Roman" w:cs="Times New Roman"/>
          <w:sz w:val="24"/>
          <w:szCs w:val="24"/>
        </w:rPr>
        <w:t>d</w:t>
      </w:r>
      <w:r w:rsidR="00DC0648" w:rsidRPr="000431F7">
        <w:rPr>
          <w:rFonts w:ascii="Times New Roman" w:hAnsi="Times New Roman" w:cs="Times New Roman"/>
          <w:sz w:val="24"/>
          <w:szCs w:val="24"/>
        </w:rPr>
        <w:t>odanie w art. 3</w:t>
      </w:r>
      <w:r w:rsidR="00983892" w:rsidRPr="000431F7">
        <w:rPr>
          <w:rFonts w:ascii="Times New Roman" w:hAnsi="Times New Roman" w:cs="Times New Roman"/>
          <w:sz w:val="24"/>
          <w:szCs w:val="24"/>
        </w:rPr>
        <w:t>:</w:t>
      </w:r>
    </w:p>
    <w:p w14:paraId="23B79644" w14:textId="493D8B86" w:rsidR="00983892" w:rsidRPr="000431F7" w:rsidRDefault="005F2B39" w:rsidP="004742CC">
      <w:pPr>
        <w:spacing w:before="120" w:after="0" w:line="360" w:lineRule="auto"/>
        <w:ind w:left="851" w:hanging="403"/>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DC0648" w:rsidRPr="000431F7">
        <w:rPr>
          <w:rFonts w:ascii="Times New Roman" w:hAnsi="Times New Roman" w:cs="Times New Roman"/>
          <w:sz w:val="24"/>
          <w:szCs w:val="24"/>
        </w:rPr>
        <w:t xml:space="preserve">pkt 4zg </w:t>
      </w:r>
      <w:r>
        <w:rPr>
          <w:rFonts w:ascii="Times New Roman" w:hAnsi="Times New Roman" w:cs="Times New Roman"/>
          <w:sz w:val="24"/>
          <w:szCs w:val="24"/>
        </w:rPr>
        <w:t>–</w:t>
      </w:r>
      <w:r w:rsidR="00983892" w:rsidRPr="000431F7">
        <w:rPr>
          <w:rFonts w:ascii="Times New Roman" w:hAnsi="Times New Roman" w:cs="Times New Roman"/>
          <w:sz w:val="24"/>
          <w:szCs w:val="24"/>
        </w:rPr>
        <w:t xml:space="preserve"> </w:t>
      </w:r>
      <w:r w:rsidR="00DC0648" w:rsidRPr="000431F7">
        <w:rPr>
          <w:rFonts w:ascii="Times New Roman" w:hAnsi="Times New Roman" w:cs="Times New Roman"/>
          <w:sz w:val="24"/>
          <w:szCs w:val="24"/>
        </w:rPr>
        <w:t xml:space="preserve">ma na celu uzupełnienie słowniczka nowelizowanej ustawy o skróconą nazwę rozporządzenia 2022/2554 </w:t>
      </w:r>
      <w:r w:rsidR="00E43A48" w:rsidRPr="000431F7">
        <w:rPr>
          <w:rFonts w:ascii="Times New Roman" w:hAnsi="Times New Roman" w:cs="Times New Roman"/>
          <w:sz w:val="24"/>
          <w:szCs w:val="24"/>
        </w:rPr>
        <w:t>w celu posługiwania się tym skrótem na potrzeby o</w:t>
      </w:r>
      <w:r w:rsidR="001D579C" w:rsidRPr="000431F7">
        <w:rPr>
          <w:rFonts w:ascii="Times New Roman" w:hAnsi="Times New Roman" w:cs="Times New Roman"/>
          <w:sz w:val="24"/>
          <w:szCs w:val="24"/>
        </w:rPr>
        <w:t>desłań</w:t>
      </w:r>
      <w:r w:rsidR="00E43A48" w:rsidRPr="000431F7">
        <w:rPr>
          <w:rFonts w:ascii="Times New Roman" w:hAnsi="Times New Roman" w:cs="Times New Roman"/>
          <w:sz w:val="24"/>
          <w:szCs w:val="24"/>
        </w:rPr>
        <w:t xml:space="preserve"> do rozporządzenia w dalszych przepisach ustawy</w:t>
      </w:r>
      <w:r w:rsidR="00983892" w:rsidRPr="000431F7">
        <w:rPr>
          <w:rFonts w:ascii="Times New Roman" w:hAnsi="Times New Roman" w:cs="Times New Roman"/>
          <w:sz w:val="24"/>
          <w:szCs w:val="24"/>
        </w:rPr>
        <w:t>,</w:t>
      </w:r>
    </w:p>
    <w:p w14:paraId="5F346BD1" w14:textId="2BFEC363" w:rsidR="00DC0648" w:rsidRPr="000431F7" w:rsidRDefault="005F2B39" w:rsidP="004742CC">
      <w:pPr>
        <w:spacing w:before="120" w:after="0" w:line="360" w:lineRule="auto"/>
        <w:ind w:left="851" w:hanging="403"/>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983892" w:rsidRPr="000431F7">
        <w:rPr>
          <w:rFonts w:ascii="Times New Roman" w:hAnsi="Times New Roman" w:cs="Times New Roman"/>
          <w:sz w:val="24"/>
          <w:szCs w:val="24"/>
        </w:rPr>
        <w:t>pkt 4zh – ma na celu wprowadzenie wyjaśnieni</w:t>
      </w:r>
      <w:r w:rsidR="00FA016D" w:rsidRPr="000431F7">
        <w:rPr>
          <w:rFonts w:ascii="Times New Roman" w:hAnsi="Times New Roman" w:cs="Times New Roman"/>
          <w:sz w:val="24"/>
          <w:szCs w:val="24"/>
        </w:rPr>
        <w:t>a</w:t>
      </w:r>
      <w:r w:rsidR="00983892" w:rsidRPr="000431F7">
        <w:rPr>
          <w:rFonts w:ascii="Times New Roman" w:hAnsi="Times New Roman" w:cs="Times New Roman"/>
          <w:sz w:val="24"/>
          <w:szCs w:val="24"/>
        </w:rPr>
        <w:t xml:space="preserve"> skrótu ICT </w:t>
      </w:r>
      <w:r>
        <w:rPr>
          <w:rFonts w:ascii="Times New Roman" w:hAnsi="Times New Roman" w:cs="Times New Roman"/>
          <w:sz w:val="24"/>
          <w:szCs w:val="24"/>
        </w:rPr>
        <w:t>–</w:t>
      </w:r>
      <w:r w:rsidR="00987740">
        <w:rPr>
          <w:rFonts w:ascii="Times New Roman" w:hAnsi="Times New Roman" w:cs="Times New Roman"/>
          <w:sz w:val="24"/>
          <w:szCs w:val="24"/>
        </w:rPr>
        <w:t xml:space="preserve"> </w:t>
      </w:r>
      <w:r w:rsidR="00983892" w:rsidRPr="000431F7">
        <w:rPr>
          <w:rFonts w:ascii="Times New Roman" w:hAnsi="Times New Roman" w:cs="Times New Roman"/>
          <w:sz w:val="24"/>
          <w:szCs w:val="24"/>
        </w:rPr>
        <w:t xml:space="preserve">technologie informacyjno-komunikacyjne, o których mowa w rozporządzeniu 2022/255, którym posługują się </w:t>
      </w:r>
      <w:r w:rsidR="00B97D3E" w:rsidRPr="000431F7">
        <w:rPr>
          <w:rFonts w:ascii="Times New Roman" w:hAnsi="Times New Roman" w:cs="Times New Roman"/>
          <w:sz w:val="24"/>
          <w:szCs w:val="24"/>
        </w:rPr>
        <w:t xml:space="preserve">dalsze </w:t>
      </w:r>
      <w:r w:rsidR="00983892" w:rsidRPr="000431F7">
        <w:rPr>
          <w:rFonts w:ascii="Times New Roman" w:hAnsi="Times New Roman" w:cs="Times New Roman"/>
          <w:sz w:val="24"/>
          <w:szCs w:val="24"/>
        </w:rPr>
        <w:t>przepisy zmieniające</w:t>
      </w:r>
      <w:r w:rsidR="001D579C" w:rsidRPr="000431F7">
        <w:rPr>
          <w:rFonts w:ascii="Times New Roman" w:hAnsi="Times New Roman" w:cs="Times New Roman"/>
          <w:sz w:val="24"/>
          <w:szCs w:val="24"/>
        </w:rPr>
        <w:t>;</w:t>
      </w:r>
    </w:p>
    <w:p w14:paraId="0D25CEA6" w14:textId="0EC2796B" w:rsidR="000E2BBE" w:rsidRPr="000431F7" w:rsidRDefault="003040F4" w:rsidP="004742CC">
      <w:pPr>
        <w:spacing w:before="120" w:after="0" w:line="360" w:lineRule="auto"/>
        <w:ind w:left="426" w:hanging="426"/>
        <w:jc w:val="both"/>
        <w:rPr>
          <w:rFonts w:ascii="Times New Roman" w:hAnsi="Times New Roman" w:cs="Times New Roman"/>
          <w:szCs w:val="24"/>
        </w:rPr>
      </w:pPr>
      <w:r w:rsidRPr="000431F7">
        <w:rPr>
          <w:rFonts w:ascii="Times New Roman" w:hAnsi="Times New Roman" w:cs="Times New Roman"/>
          <w:sz w:val="24"/>
          <w:szCs w:val="24"/>
        </w:rPr>
        <w:t>2)</w:t>
      </w:r>
      <w:r w:rsidR="005F2B39">
        <w:rPr>
          <w:rFonts w:ascii="Times New Roman" w:hAnsi="Times New Roman" w:cs="Times New Roman"/>
          <w:sz w:val="24"/>
          <w:szCs w:val="24"/>
        </w:rPr>
        <w:tab/>
      </w:r>
      <w:r w:rsidR="00B204E0" w:rsidRPr="000431F7">
        <w:rPr>
          <w:rFonts w:ascii="Times New Roman" w:hAnsi="Times New Roman" w:cs="Times New Roman"/>
          <w:sz w:val="24"/>
          <w:szCs w:val="24"/>
        </w:rPr>
        <w:t>z</w:t>
      </w:r>
      <w:r w:rsidR="00DC0648" w:rsidRPr="000431F7">
        <w:rPr>
          <w:rFonts w:ascii="Times New Roman" w:hAnsi="Times New Roman" w:cs="Times New Roman"/>
          <w:sz w:val="24"/>
          <w:szCs w:val="24"/>
        </w:rPr>
        <w:t xml:space="preserve">miany przewidziane w art. 74e ust. 1 pkt 1 i 4 oraz ust. 2 </w:t>
      </w:r>
      <w:r w:rsidR="001D579C" w:rsidRPr="000431F7">
        <w:rPr>
          <w:rFonts w:ascii="Times New Roman" w:hAnsi="Times New Roman" w:cs="Times New Roman"/>
          <w:sz w:val="24"/>
          <w:szCs w:val="24"/>
        </w:rPr>
        <w:t xml:space="preserve">ustawy o obrocie instrumentami finansowymi </w:t>
      </w:r>
      <w:r w:rsidR="00DC0648" w:rsidRPr="000431F7">
        <w:rPr>
          <w:rFonts w:ascii="Times New Roman" w:hAnsi="Times New Roman" w:cs="Times New Roman"/>
          <w:sz w:val="24"/>
          <w:szCs w:val="24"/>
        </w:rPr>
        <w:t>służą wdrożeniu art. 6 pkt 2 dyrektywy 2022/2556, który zmienia art. 17 ust.</w:t>
      </w:r>
      <w:r w:rsidR="006326CF">
        <w:rPr>
          <w:rFonts w:ascii="Times New Roman" w:hAnsi="Times New Roman" w:cs="Times New Roman"/>
          <w:sz w:val="24"/>
          <w:szCs w:val="24"/>
        </w:rPr>
        <w:t> </w:t>
      </w:r>
      <w:r w:rsidR="00DC0648" w:rsidRPr="000431F7">
        <w:rPr>
          <w:rFonts w:ascii="Times New Roman" w:hAnsi="Times New Roman" w:cs="Times New Roman"/>
          <w:sz w:val="24"/>
          <w:szCs w:val="24"/>
        </w:rPr>
        <w:t xml:space="preserve">1 dyrektywy 2014/65/UE. Zmiana art. 17 ust. 7 lit. a dyrektywy 2014/65/UE nie </w:t>
      </w:r>
      <w:r w:rsidR="00DC0648" w:rsidRPr="000431F7">
        <w:rPr>
          <w:rFonts w:ascii="Times New Roman" w:hAnsi="Times New Roman" w:cs="Times New Roman"/>
          <w:sz w:val="24"/>
          <w:szCs w:val="24"/>
        </w:rPr>
        <w:lastRenderedPageBreak/>
        <w:t>podlega implementacji</w:t>
      </w:r>
      <w:r w:rsidR="00FA016D" w:rsidRPr="000431F7">
        <w:rPr>
          <w:rFonts w:ascii="Times New Roman" w:hAnsi="Times New Roman" w:cs="Times New Roman"/>
          <w:sz w:val="24"/>
          <w:szCs w:val="24"/>
        </w:rPr>
        <w:t>,</w:t>
      </w:r>
      <w:r w:rsidR="00DC0648" w:rsidRPr="000431F7">
        <w:rPr>
          <w:rFonts w:ascii="Times New Roman" w:hAnsi="Times New Roman" w:cs="Times New Roman"/>
          <w:sz w:val="24"/>
          <w:szCs w:val="24"/>
        </w:rPr>
        <w:t xml:space="preserve"> gdyż </w:t>
      </w:r>
      <w:r w:rsidR="00FA016D" w:rsidRPr="000431F7">
        <w:rPr>
          <w:rFonts w:ascii="Times New Roman" w:hAnsi="Times New Roman" w:cs="Times New Roman"/>
          <w:sz w:val="24"/>
          <w:szCs w:val="24"/>
        </w:rPr>
        <w:t xml:space="preserve">jest </w:t>
      </w:r>
      <w:r w:rsidR="00DC0648" w:rsidRPr="000431F7">
        <w:rPr>
          <w:rFonts w:ascii="Times New Roman" w:hAnsi="Times New Roman" w:cs="Times New Roman"/>
          <w:sz w:val="24"/>
          <w:szCs w:val="24"/>
        </w:rPr>
        <w:t>skierowana do Europejskiego Urzędu Nadzoru Giełd i Papierów Wartościowych. Nowelizowany art. 17 dyrektywy 2014/65/UE reguluje kwestie związane z</w:t>
      </w:r>
      <w:r w:rsidR="001D579C" w:rsidRPr="000431F7">
        <w:rPr>
          <w:rFonts w:ascii="Times New Roman" w:hAnsi="Times New Roman" w:cs="Times New Roman"/>
          <w:sz w:val="24"/>
          <w:szCs w:val="24"/>
        </w:rPr>
        <w:t> </w:t>
      </w:r>
      <w:r w:rsidR="00DC0648" w:rsidRPr="000431F7">
        <w:rPr>
          <w:rFonts w:ascii="Times New Roman" w:hAnsi="Times New Roman" w:cs="Times New Roman"/>
          <w:sz w:val="24"/>
          <w:szCs w:val="24"/>
        </w:rPr>
        <w:t>zasadami dokonywania przez firmy inwestycyjne handlu algorytmicznego. Przepisy te zostały transponowane w prawie krajowym w art. 74e nowelizowanej ustawy. W art. 74e ust.</w:t>
      </w:r>
      <w:r w:rsidR="001D579C" w:rsidRPr="000431F7">
        <w:rPr>
          <w:rFonts w:ascii="Times New Roman" w:hAnsi="Times New Roman" w:cs="Times New Roman"/>
          <w:sz w:val="24"/>
          <w:szCs w:val="24"/>
        </w:rPr>
        <w:t> </w:t>
      </w:r>
      <w:r w:rsidR="00DC0648" w:rsidRPr="000431F7">
        <w:rPr>
          <w:rFonts w:ascii="Times New Roman" w:hAnsi="Times New Roman" w:cs="Times New Roman"/>
          <w:sz w:val="24"/>
          <w:szCs w:val="24"/>
        </w:rPr>
        <w:t xml:space="preserve">1 pkt 1 </w:t>
      </w:r>
      <w:r w:rsidR="001D579C" w:rsidRPr="000431F7">
        <w:rPr>
          <w:rFonts w:ascii="Times New Roman" w:hAnsi="Times New Roman" w:cs="Times New Roman"/>
          <w:sz w:val="24"/>
          <w:szCs w:val="24"/>
        </w:rPr>
        <w:t xml:space="preserve">ustawy o obrocie instrumentami finansowymi </w:t>
      </w:r>
      <w:r w:rsidR="00DC0648" w:rsidRPr="000431F7">
        <w:rPr>
          <w:rFonts w:ascii="Times New Roman" w:hAnsi="Times New Roman" w:cs="Times New Roman"/>
          <w:sz w:val="24"/>
          <w:szCs w:val="24"/>
        </w:rPr>
        <w:t>dodano wymaganie</w:t>
      </w:r>
      <w:r w:rsidR="00B204E0" w:rsidRPr="000431F7">
        <w:rPr>
          <w:rFonts w:ascii="Times New Roman" w:hAnsi="Times New Roman" w:cs="Times New Roman"/>
          <w:sz w:val="24"/>
          <w:szCs w:val="24"/>
        </w:rPr>
        <w:t>,</w:t>
      </w:r>
      <w:r w:rsidR="00DC0648" w:rsidRPr="000431F7">
        <w:rPr>
          <w:rFonts w:ascii="Times New Roman" w:hAnsi="Times New Roman" w:cs="Times New Roman"/>
          <w:sz w:val="24"/>
          <w:szCs w:val="24"/>
        </w:rPr>
        <w:t xml:space="preserve"> aby zapewnienie odporności i wydajności </w:t>
      </w:r>
      <w:r w:rsidR="00E43A48" w:rsidRPr="000431F7">
        <w:rPr>
          <w:rFonts w:ascii="Times New Roman" w:hAnsi="Times New Roman" w:cs="Times New Roman"/>
          <w:sz w:val="24"/>
          <w:szCs w:val="24"/>
        </w:rPr>
        <w:t>sieci i systemów informatycznych</w:t>
      </w:r>
      <w:r w:rsidR="00983892" w:rsidRPr="000431F7">
        <w:rPr>
          <w:rFonts w:ascii="Times New Roman" w:hAnsi="Times New Roman" w:cs="Times New Roman"/>
          <w:sz w:val="24"/>
          <w:szCs w:val="24"/>
        </w:rPr>
        <w:t>,</w:t>
      </w:r>
      <w:r w:rsidR="00E43A48" w:rsidRPr="000431F7">
        <w:rPr>
          <w:rFonts w:ascii="Times New Roman" w:hAnsi="Times New Roman" w:cs="Times New Roman"/>
          <w:sz w:val="24"/>
          <w:szCs w:val="24"/>
        </w:rPr>
        <w:t xml:space="preserve"> </w:t>
      </w:r>
      <w:r w:rsidR="00DC0648" w:rsidRPr="000431F7">
        <w:rPr>
          <w:rFonts w:ascii="Times New Roman" w:hAnsi="Times New Roman" w:cs="Times New Roman"/>
          <w:sz w:val="24"/>
          <w:szCs w:val="24"/>
        </w:rPr>
        <w:t>wykorzystywanych przez firmy inwestycyjne na potrzeby handlu algorytmicznego było zgodne z rozdziałem II rozporządzenia 2022/2554, co odpowiada zmianie dokonanej w</w:t>
      </w:r>
      <w:r w:rsidR="006326CF">
        <w:rPr>
          <w:rFonts w:ascii="Times New Roman" w:hAnsi="Times New Roman" w:cs="Times New Roman"/>
          <w:sz w:val="24"/>
          <w:szCs w:val="24"/>
        </w:rPr>
        <w:t> </w:t>
      </w:r>
      <w:r w:rsidR="00DC0648" w:rsidRPr="000431F7">
        <w:rPr>
          <w:rFonts w:ascii="Times New Roman" w:hAnsi="Times New Roman" w:cs="Times New Roman"/>
          <w:sz w:val="24"/>
          <w:szCs w:val="24"/>
        </w:rPr>
        <w:t>art.</w:t>
      </w:r>
      <w:r w:rsidR="006326CF">
        <w:rPr>
          <w:rFonts w:ascii="Times New Roman" w:hAnsi="Times New Roman" w:cs="Times New Roman"/>
          <w:sz w:val="24"/>
          <w:szCs w:val="24"/>
        </w:rPr>
        <w:t> </w:t>
      </w:r>
      <w:r w:rsidR="00DC0648" w:rsidRPr="000431F7">
        <w:rPr>
          <w:rFonts w:ascii="Times New Roman" w:hAnsi="Times New Roman" w:cs="Times New Roman"/>
          <w:sz w:val="24"/>
          <w:szCs w:val="24"/>
        </w:rPr>
        <w:t xml:space="preserve">17 ust. 1 wierszu pierwszym dyrektywy 2014/65/UE. </w:t>
      </w:r>
    </w:p>
    <w:p w14:paraId="79CF6AAB" w14:textId="55B8C14E" w:rsidR="000E2BBE" w:rsidRPr="000431F7" w:rsidRDefault="00DC0648" w:rsidP="004742CC">
      <w:pPr>
        <w:pStyle w:val="ARTartustawynprozporzdzenia"/>
        <w:ind w:left="426" w:firstLine="0"/>
        <w:rPr>
          <w:rFonts w:ascii="Times New Roman" w:hAnsi="Times New Roman" w:cs="Times New Roman"/>
          <w:szCs w:val="24"/>
        </w:rPr>
      </w:pPr>
      <w:r w:rsidRPr="000431F7">
        <w:rPr>
          <w:rFonts w:ascii="Times New Roman" w:hAnsi="Times New Roman" w:cs="Times New Roman"/>
          <w:szCs w:val="24"/>
        </w:rPr>
        <w:t xml:space="preserve">W art. 74e ust. 1 pkt 4 </w:t>
      </w:r>
      <w:r w:rsidR="001D579C" w:rsidRPr="000431F7">
        <w:rPr>
          <w:rFonts w:ascii="Times New Roman" w:hAnsi="Times New Roman" w:cs="Times New Roman"/>
          <w:szCs w:val="24"/>
        </w:rPr>
        <w:t xml:space="preserve">ustawy o obrocie instrumentami finansowymi </w:t>
      </w:r>
      <w:r w:rsidRPr="000431F7">
        <w:rPr>
          <w:rFonts w:ascii="Times New Roman" w:hAnsi="Times New Roman" w:cs="Times New Roman"/>
          <w:szCs w:val="24"/>
        </w:rPr>
        <w:t>dodano wymaganie</w:t>
      </w:r>
      <w:r w:rsidR="001D579C" w:rsidRPr="000431F7">
        <w:rPr>
          <w:rFonts w:ascii="Times New Roman" w:hAnsi="Times New Roman" w:cs="Times New Roman"/>
          <w:szCs w:val="24"/>
        </w:rPr>
        <w:t>,</w:t>
      </w:r>
      <w:r w:rsidRPr="000431F7">
        <w:rPr>
          <w:rFonts w:ascii="Times New Roman" w:hAnsi="Times New Roman" w:cs="Times New Roman"/>
          <w:szCs w:val="24"/>
        </w:rPr>
        <w:t xml:space="preserve"> aby firma inwestycyjna prowadząca handel algorytmiczny posiadała strategię i plany na rzecz ciągłości działania w zakresie ICT oraz pla</w:t>
      </w:r>
      <w:r w:rsidR="00983892" w:rsidRPr="000431F7">
        <w:rPr>
          <w:rFonts w:ascii="Times New Roman" w:hAnsi="Times New Roman" w:cs="Times New Roman"/>
          <w:szCs w:val="24"/>
        </w:rPr>
        <w:t>ny</w:t>
      </w:r>
      <w:r w:rsidRPr="000431F7">
        <w:rPr>
          <w:rFonts w:ascii="Times New Roman" w:hAnsi="Times New Roman" w:cs="Times New Roman"/>
          <w:szCs w:val="24"/>
        </w:rPr>
        <w:t xml:space="preserve"> reagowania i</w:t>
      </w:r>
      <w:r w:rsidR="001D579C" w:rsidRPr="000431F7">
        <w:rPr>
          <w:rFonts w:ascii="Times New Roman" w:hAnsi="Times New Roman" w:cs="Times New Roman"/>
          <w:szCs w:val="24"/>
        </w:rPr>
        <w:t> </w:t>
      </w:r>
      <w:r w:rsidRPr="000431F7">
        <w:rPr>
          <w:rFonts w:ascii="Times New Roman" w:hAnsi="Times New Roman" w:cs="Times New Roman"/>
          <w:szCs w:val="24"/>
        </w:rPr>
        <w:t>przywraca</w:t>
      </w:r>
      <w:r w:rsidR="00983892" w:rsidRPr="000431F7">
        <w:rPr>
          <w:rFonts w:ascii="Times New Roman" w:hAnsi="Times New Roman" w:cs="Times New Roman"/>
          <w:szCs w:val="24"/>
        </w:rPr>
        <w:t>nia</w:t>
      </w:r>
      <w:r w:rsidRPr="000431F7">
        <w:rPr>
          <w:rFonts w:ascii="Times New Roman" w:hAnsi="Times New Roman" w:cs="Times New Roman"/>
          <w:szCs w:val="24"/>
        </w:rPr>
        <w:t xml:space="preserve"> sprawności tej technologii, o których mowa w art. 11 rozporządzenia 2022/2554, co wynika z art. 17 ust. 1 akapitu 3 wiersz</w:t>
      </w:r>
      <w:r w:rsidR="006326CF">
        <w:rPr>
          <w:rFonts w:ascii="Times New Roman" w:hAnsi="Times New Roman" w:cs="Times New Roman"/>
          <w:szCs w:val="24"/>
        </w:rPr>
        <w:t>y</w:t>
      </w:r>
      <w:r w:rsidRPr="000431F7">
        <w:rPr>
          <w:rFonts w:ascii="Times New Roman" w:hAnsi="Times New Roman" w:cs="Times New Roman"/>
          <w:szCs w:val="24"/>
        </w:rPr>
        <w:t xml:space="preserve"> dwa i trzy dyrektywy 2014/65/UE. </w:t>
      </w:r>
    </w:p>
    <w:p w14:paraId="6D50DA41" w14:textId="4DC39B77" w:rsidR="00C35A26" w:rsidRPr="000431F7" w:rsidRDefault="00C35A26" w:rsidP="004742CC">
      <w:pPr>
        <w:pStyle w:val="ARTartustawynprozporzdzenia"/>
        <w:ind w:left="426" w:firstLine="0"/>
        <w:rPr>
          <w:rFonts w:ascii="Times New Roman" w:hAnsi="Times New Roman" w:cs="Times New Roman"/>
          <w:szCs w:val="24"/>
        </w:rPr>
      </w:pPr>
      <w:r w:rsidRPr="000431F7">
        <w:rPr>
          <w:rFonts w:ascii="Times New Roman" w:hAnsi="Times New Roman" w:cs="Times New Roman"/>
          <w:szCs w:val="24"/>
        </w:rPr>
        <w:t>Zmiany w art. 74e ust. 1 pkt 2 i 3 są zmianami wynikowymi podyktowanymi zastąpieniem w nowelizowanym pkt 1 i 4 tego przepisu pojęcia</w:t>
      </w:r>
      <w:r w:rsidR="00987740">
        <w:rPr>
          <w:rFonts w:ascii="Times New Roman" w:hAnsi="Times New Roman" w:cs="Times New Roman"/>
          <w:szCs w:val="24"/>
        </w:rPr>
        <w:t xml:space="preserve"> „</w:t>
      </w:r>
      <w:r w:rsidRPr="000431F7">
        <w:rPr>
          <w:rFonts w:ascii="Times New Roman" w:hAnsi="Times New Roman" w:cs="Times New Roman"/>
          <w:szCs w:val="24"/>
        </w:rPr>
        <w:t>urządzeń i systemów teleinformatycznych” właściwszym pojęciem „sieci i systemów informatycznych”.</w:t>
      </w:r>
    </w:p>
    <w:p w14:paraId="5B621DCD" w14:textId="75F33133" w:rsidR="00DC0648" w:rsidRPr="000431F7" w:rsidRDefault="00DC0648" w:rsidP="004742CC">
      <w:pPr>
        <w:pStyle w:val="ARTartustawynprozporzdzenia"/>
        <w:ind w:left="426" w:firstLine="0"/>
        <w:rPr>
          <w:rFonts w:ascii="Times New Roman" w:hAnsi="Times New Roman" w:cs="Times New Roman"/>
          <w:bCs/>
          <w:szCs w:val="24"/>
        </w:rPr>
      </w:pPr>
      <w:r w:rsidRPr="000431F7">
        <w:rPr>
          <w:rFonts w:ascii="Times New Roman" w:hAnsi="Times New Roman" w:cs="Times New Roman"/>
          <w:szCs w:val="24"/>
        </w:rPr>
        <w:t xml:space="preserve">Z kolei w art. 74e ust. 2 </w:t>
      </w:r>
      <w:r w:rsidR="001D579C" w:rsidRPr="000431F7">
        <w:rPr>
          <w:rFonts w:ascii="Times New Roman" w:hAnsi="Times New Roman" w:cs="Times New Roman"/>
          <w:szCs w:val="24"/>
        </w:rPr>
        <w:t xml:space="preserve">ustawy o obrocie instrumentami finansowymi </w:t>
      </w:r>
      <w:r w:rsidRPr="000431F7">
        <w:rPr>
          <w:rFonts w:ascii="Times New Roman" w:hAnsi="Times New Roman" w:cs="Times New Roman"/>
          <w:szCs w:val="24"/>
        </w:rPr>
        <w:t>nakłada na takie firmy inwestycyjne obowiązek</w:t>
      </w:r>
      <w:r w:rsidR="006326CF">
        <w:rPr>
          <w:rFonts w:ascii="Times New Roman" w:hAnsi="Times New Roman" w:cs="Times New Roman"/>
          <w:szCs w:val="24"/>
        </w:rPr>
        <w:t>,</w:t>
      </w:r>
      <w:r w:rsidRPr="000431F7">
        <w:rPr>
          <w:rFonts w:ascii="Times New Roman" w:hAnsi="Times New Roman" w:cs="Times New Roman"/>
          <w:szCs w:val="24"/>
        </w:rPr>
        <w:t xml:space="preserve"> aby monitorowały one działanie </w:t>
      </w:r>
      <w:r w:rsidR="00730B9D" w:rsidRPr="000431F7">
        <w:rPr>
          <w:rFonts w:ascii="Times New Roman" w:hAnsi="Times New Roman" w:cs="Times New Roman"/>
          <w:szCs w:val="24"/>
        </w:rPr>
        <w:t>sieci</w:t>
      </w:r>
      <w:r w:rsidRPr="000431F7">
        <w:rPr>
          <w:rFonts w:ascii="Times New Roman" w:hAnsi="Times New Roman" w:cs="Times New Roman"/>
          <w:szCs w:val="24"/>
        </w:rPr>
        <w:t xml:space="preserve"> i systemów informatycznych oraz przeprowadzały testy w zakresie oceny prawidłowości ich działania również w celu identyfikowania i eliminacji potencjalnych lub rzeczywistych naruszeń wymogów, o których mowa w rozdziałach II i IV rozporządzenia 2022/2554</w:t>
      </w:r>
      <w:r w:rsidR="001D579C" w:rsidRPr="000431F7">
        <w:rPr>
          <w:rFonts w:ascii="Times New Roman" w:hAnsi="Times New Roman" w:cs="Times New Roman"/>
          <w:szCs w:val="24"/>
        </w:rPr>
        <w:t>;</w:t>
      </w:r>
    </w:p>
    <w:p w14:paraId="28491A64" w14:textId="1EEB18F5" w:rsidR="008E2620" w:rsidRPr="000431F7" w:rsidRDefault="003040F4" w:rsidP="004742CC">
      <w:pPr>
        <w:spacing w:before="120" w:after="0" w:line="360" w:lineRule="auto"/>
        <w:ind w:left="426" w:hanging="426"/>
        <w:jc w:val="both"/>
        <w:rPr>
          <w:rFonts w:ascii="Times New Roman" w:hAnsi="Times New Roman" w:cs="Times New Roman"/>
          <w:sz w:val="24"/>
          <w:szCs w:val="24"/>
        </w:rPr>
      </w:pPr>
      <w:r w:rsidRPr="000431F7">
        <w:rPr>
          <w:rFonts w:ascii="Times New Roman" w:hAnsi="Times New Roman" w:cs="Times New Roman"/>
          <w:sz w:val="24"/>
          <w:szCs w:val="24"/>
        </w:rPr>
        <w:t>3)</w:t>
      </w:r>
      <w:r w:rsidR="005F2B39">
        <w:rPr>
          <w:rFonts w:ascii="Times New Roman" w:hAnsi="Times New Roman" w:cs="Times New Roman"/>
          <w:sz w:val="24"/>
          <w:szCs w:val="24"/>
        </w:rPr>
        <w:tab/>
      </w:r>
      <w:r w:rsidRPr="000431F7">
        <w:rPr>
          <w:rFonts w:ascii="Times New Roman" w:hAnsi="Times New Roman" w:cs="Times New Roman"/>
          <w:sz w:val="24"/>
          <w:szCs w:val="24"/>
        </w:rPr>
        <w:t>z</w:t>
      </w:r>
      <w:r w:rsidR="00DC0648" w:rsidRPr="000431F7">
        <w:rPr>
          <w:rFonts w:ascii="Times New Roman" w:hAnsi="Times New Roman" w:cs="Times New Roman"/>
          <w:sz w:val="24"/>
          <w:szCs w:val="24"/>
        </w:rPr>
        <w:t xml:space="preserve">miana przewidziana w art. 83a ust. 1 </w:t>
      </w:r>
      <w:r w:rsidR="001D579C" w:rsidRPr="000431F7">
        <w:rPr>
          <w:rFonts w:ascii="Times New Roman" w:hAnsi="Times New Roman" w:cs="Times New Roman"/>
          <w:sz w:val="24"/>
          <w:szCs w:val="24"/>
        </w:rPr>
        <w:t xml:space="preserve">ustawy o obrocie instrumentami finansowymi </w:t>
      </w:r>
      <w:r w:rsidR="00DC0648" w:rsidRPr="000431F7">
        <w:rPr>
          <w:rFonts w:ascii="Times New Roman" w:hAnsi="Times New Roman" w:cs="Times New Roman"/>
          <w:sz w:val="24"/>
          <w:szCs w:val="24"/>
        </w:rPr>
        <w:t>ma na celu implementację art. 6 pkt 1 lit. a dyrektywy 2022/2556, który zmienia art. 16 ust. 4 dyrektywy 2014/65/UE. W nowelizowanym art. 83a ust. 1, zgodnie z implementowaną dyrektywą, dodan</w:t>
      </w:r>
      <w:r w:rsidR="009409C1" w:rsidRPr="000431F7">
        <w:rPr>
          <w:rFonts w:ascii="Times New Roman" w:hAnsi="Times New Roman" w:cs="Times New Roman"/>
          <w:sz w:val="24"/>
          <w:szCs w:val="24"/>
        </w:rPr>
        <w:t>o</w:t>
      </w:r>
      <w:r w:rsidR="00DC0648" w:rsidRPr="000431F7">
        <w:rPr>
          <w:rFonts w:ascii="Times New Roman" w:hAnsi="Times New Roman" w:cs="Times New Roman"/>
          <w:sz w:val="24"/>
          <w:szCs w:val="24"/>
        </w:rPr>
        <w:t xml:space="preserve"> wymóg</w:t>
      </w:r>
      <w:r w:rsidR="006326CF">
        <w:rPr>
          <w:rFonts w:ascii="Times New Roman" w:hAnsi="Times New Roman" w:cs="Times New Roman"/>
          <w:sz w:val="24"/>
          <w:szCs w:val="24"/>
        </w:rPr>
        <w:t>,</w:t>
      </w:r>
      <w:r w:rsidR="00DC0648" w:rsidRPr="000431F7">
        <w:rPr>
          <w:rFonts w:ascii="Times New Roman" w:hAnsi="Times New Roman" w:cs="Times New Roman"/>
          <w:sz w:val="24"/>
          <w:szCs w:val="24"/>
        </w:rPr>
        <w:t xml:space="preserve"> aby również stosowane przez firmę inwestycyjną systemy oparte na technologii informacyjno-komunikacyjnej (ITC) ustanowione i zarządzane zgodnie z art. 7 rozporządzenia 2022/2554 zapewniały bezpieczeństwo i ciągłość świadczonych przez firmę inwestycyjną usług maklerskich oraz ochronę interesów klientów i informacji poufnych lub stanowiących tajemnicę zawodową. </w:t>
      </w:r>
      <w:r w:rsidR="009409C1" w:rsidRPr="000431F7">
        <w:rPr>
          <w:rFonts w:ascii="Times New Roman" w:hAnsi="Times New Roman" w:cs="Times New Roman"/>
          <w:sz w:val="24"/>
          <w:szCs w:val="24"/>
        </w:rPr>
        <w:t xml:space="preserve">Zauważenia przy tym wymaga, że projektowane brzmienie art. 83a ust. 1 ustawy o obrocie instrumentami finansowymi odbiega od siatki pojęciowej używanej w art. 7 rozporządzenia 2022/2554, do którego odsyła ten przepis. Wskazany przepis rozporządzenia 2022/2554 nie odnosi się </w:t>
      </w:r>
      <w:r w:rsidR="009409C1" w:rsidRPr="000431F7">
        <w:rPr>
          <w:rFonts w:ascii="Times New Roman" w:hAnsi="Times New Roman" w:cs="Times New Roman"/>
          <w:sz w:val="24"/>
          <w:szCs w:val="24"/>
        </w:rPr>
        <w:lastRenderedPageBreak/>
        <w:t xml:space="preserve">bowiem do zasad ustanowienia systemu ICT i zarządzania nim, tylko do systemów, protokołów i narzędzi ICT. Działanie to ma na celu zapewnienie pełnej zgodności art. 83a ust. 1 ustawy o obrocie instrumentami finansowymi z implementowanym w tym przepisie art. 16 ust. 4 dyrektywy 2014/65/UE, który stwierdza, że „firma inwestycyjna wprowadza odpowiednie i proporcjonalne systemy, w tym systemy oparte na technologiach informacyjno-komunikacyjnych (ICT) ustanowione i zarządzane zgodnie z art. 7 rozporządzenia </w:t>
      </w:r>
      <w:bookmarkStart w:id="9" w:name="_Hlk183434767"/>
      <w:r w:rsidR="009409C1" w:rsidRPr="000431F7">
        <w:rPr>
          <w:rFonts w:ascii="Times New Roman" w:hAnsi="Times New Roman" w:cs="Times New Roman"/>
          <w:sz w:val="24"/>
          <w:szCs w:val="24"/>
        </w:rPr>
        <w:t>2022/2554</w:t>
      </w:r>
      <w:bookmarkEnd w:id="9"/>
      <w:r w:rsidR="009409C1" w:rsidRPr="000431F7">
        <w:rPr>
          <w:rFonts w:ascii="Times New Roman" w:hAnsi="Times New Roman" w:cs="Times New Roman"/>
          <w:sz w:val="24"/>
          <w:szCs w:val="24"/>
        </w:rPr>
        <w:t>.”.</w:t>
      </w:r>
      <w:r w:rsidR="009409C1" w:rsidRPr="004742CC">
        <w:rPr>
          <w:rFonts w:ascii="Times New Roman" w:hAnsi="Times New Roman" w:cs="Times New Roman"/>
          <w:sz w:val="24"/>
          <w:szCs w:val="24"/>
        </w:rPr>
        <w:t xml:space="preserve"> </w:t>
      </w:r>
      <w:r w:rsidR="009409C1" w:rsidRPr="000431F7">
        <w:rPr>
          <w:rFonts w:ascii="Times New Roman" w:hAnsi="Times New Roman" w:cs="Times New Roman"/>
          <w:sz w:val="24"/>
          <w:szCs w:val="24"/>
        </w:rPr>
        <w:t xml:space="preserve">Próby ewentualnego dostosowania brzmienia art. 83a ust. 1 ustawy o obrocie instrumentami finansowymi do art. 7 rozporządzenia 2022/2554 mogłyby stanowić tzw. </w:t>
      </w:r>
      <w:proofErr w:type="spellStart"/>
      <w:r w:rsidR="009409C1" w:rsidRPr="000431F7">
        <w:rPr>
          <w:rFonts w:ascii="Times New Roman" w:hAnsi="Times New Roman" w:cs="Times New Roman"/>
          <w:sz w:val="24"/>
          <w:szCs w:val="24"/>
        </w:rPr>
        <w:t>gold</w:t>
      </w:r>
      <w:proofErr w:type="spellEnd"/>
      <w:r w:rsidR="009409C1" w:rsidRPr="000431F7">
        <w:rPr>
          <w:rFonts w:ascii="Times New Roman" w:hAnsi="Times New Roman" w:cs="Times New Roman"/>
          <w:sz w:val="24"/>
          <w:szCs w:val="24"/>
        </w:rPr>
        <w:t xml:space="preserve"> </w:t>
      </w:r>
      <w:proofErr w:type="spellStart"/>
      <w:r w:rsidR="009409C1" w:rsidRPr="000431F7">
        <w:rPr>
          <w:rFonts w:ascii="Times New Roman" w:hAnsi="Times New Roman" w:cs="Times New Roman"/>
          <w:sz w:val="24"/>
          <w:szCs w:val="24"/>
        </w:rPr>
        <w:t>plating</w:t>
      </w:r>
      <w:proofErr w:type="spellEnd"/>
      <w:r w:rsidR="009409C1" w:rsidRPr="000431F7">
        <w:rPr>
          <w:rFonts w:ascii="Times New Roman" w:hAnsi="Times New Roman" w:cs="Times New Roman"/>
          <w:sz w:val="24"/>
          <w:szCs w:val="24"/>
        </w:rPr>
        <w:t>,</w:t>
      </w:r>
      <w:r w:rsidR="009409C1" w:rsidRPr="004742CC">
        <w:rPr>
          <w:rFonts w:ascii="Times New Roman" w:hAnsi="Times New Roman" w:cs="Times New Roman"/>
          <w:sz w:val="24"/>
          <w:szCs w:val="24"/>
        </w:rPr>
        <w:t xml:space="preserve"> </w:t>
      </w:r>
      <w:r w:rsidR="009409C1" w:rsidRPr="000431F7">
        <w:rPr>
          <w:rFonts w:ascii="Times New Roman" w:hAnsi="Times New Roman" w:cs="Times New Roman"/>
          <w:sz w:val="24"/>
          <w:szCs w:val="24"/>
        </w:rPr>
        <w:t xml:space="preserve">którego unikanie zostało zalecone w przyjętej przez Radę Ministrów 1 października 2019 r. </w:t>
      </w:r>
      <w:r w:rsidR="00322B7F" w:rsidRPr="000431F7">
        <w:rPr>
          <w:rFonts w:ascii="Times New Roman" w:hAnsi="Times New Roman" w:cs="Times New Roman"/>
          <w:sz w:val="24"/>
          <w:szCs w:val="24"/>
        </w:rPr>
        <w:t>Strategii</w:t>
      </w:r>
      <w:r w:rsidR="009409C1" w:rsidRPr="000431F7">
        <w:rPr>
          <w:rFonts w:ascii="Times New Roman" w:hAnsi="Times New Roman" w:cs="Times New Roman"/>
          <w:sz w:val="24"/>
          <w:szCs w:val="24"/>
        </w:rPr>
        <w:t xml:space="preserve"> Rozwoju Rynku Kapitałowego.</w:t>
      </w:r>
    </w:p>
    <w:p w14:paraId="46E24FAC" w14:textId="7F010030" w:rsidR="00DC0648" w:rsidRPr="000431F7" w:rsidRDefault="00DC0648" w:rsidP="004742CC">
      <w:pPr>
        <w:pStyle w:val="Tekstkomentarza"/>
        <w:spacing w:before="120" w:after="0" w:line="360" w:lineRule="auto"/>
        <w:ind w:left="426"/>
        <w:jc w:val="both"/>
        <w:rPr>
          <w:rFonts w:ascii="Times New Roman" w:hAnsi="Times New Roman" w:cs="Times New Roman"/>
          <w:sz w:val="24"/>
          <w:szCs w:val="24"/>
        </w:rPr>
      </w:pPr>
      <w:r w:rsidRPr="000431F7">
        <w:rPr>
          <w:rFonts w:ascii="Times New Roman" w:hAnsi="Times New Roman" w:cs="Times New Roman"/>
          <w:sz w:val="24"/>
          <w:szCs w:val="24"/>
        </w:rPr>
        <w:t xml:space="preserve">Implementacja art. 6 pkt 1 lit b dyrektywy 2022/2556 zostanie dokonana na poziomie rozporządzenia Ministra Finansów z dnia </w:t>
      </w:r>
      <w:r w:rsidR="008678F1" w:rsidRPr="000431F7">
        <w:rPr>
          <w:rFonts w:ascii="Times New Roman" w:hAnsi="Times New Roman" w:cs="Times New Roman"/>
          <w:sz w:val="24"/>
          <w:szCs w:val="24"/>
        </w:rPr>
        <w:t xml:space="preserve">24 września 2004 r. </w:t>
      </w:r>
      <w:r w:rsidRPr="000431F7">
        <w:rPr>
          <w:rFonts w:ascii="Times New Roman" w:hAnsi="Times New Roman" w:cs="Times New Roman"/>
          <w:sz w:val="24"/>
          <w:szCs w:val="24"/>
        </w:rPr>
        <w:t>w</w:t>
      </w:r>
      <w:r w:rsidR="001D579C" w:rsidRPr="000431F7">
        <w:rPr>
          <w:rFonts w:ascii="Times New Roman" w:hAnsi="Times New Roman" w:cs="Times New Roman"/>
          <w:sz w:val="24"/>
          <w:szCs w:val="24"/>
        </w:rPr>
        <w:t> </w:t>
      </w:r>
      <w:r w:rsidRPr="000431F7">
        <w:rPr>
          <w:rFonts w:ascii="Times New Roman" w:hAnsi="Times New Roman" w:cs="Times New Roman"/>
          <w:sz w:val="24"/>
          <w:szCs w:val="24"/>
        </w:rPr>
        <w:t>sprawie szczegółowych warunków technicznych i organizacyjnych dla firm inwestycyjnych, banków, o których mowa w art. 70 ust. 2 ustawy o obrocie instrumentami finansowymi, i</w:t>
      </w:r>
      <w:r w:rsidR="001D579C" w:rsidRPr="000431F7">
        <w:rPr>
          <w:rFonts w:ascii="Times New Roman" w:hAnsi="Times New Roman" w:cs="Times New Roman"/>
          <w:sz w:val="24"/>
          <w:szCs w:val="24"/>
        </w:rPr>
        <w:t> </w:t>
      </w:r>
      <w:r w:rsidRPr="000431F7">
        <w:rPr>
          <w:rFonts w:ascii="Times New Roman" w:hAnsi="Times New Roman" w:cs="Times New Roman"/>
          <w:sz w:val="24"/>
          <w:szCs w:val="24"/>
        </w:rPr>
        <w:t xml:space="preserve">banków powierniczych (Dz. U. poz. </w:t>
      </w:r>
      <w:r w:rsidR="008678F1" w:rsidRPr="000431F7">
        <w:rPr>
          <w:rFonts w:ascii="Times New Roman" w:hAnsi="Times New Roman" w:cs="Times New Roman"/>
          <w:sz w:val="24"/>
          <w:szCs w:val="24"/>
        </w:rPr>
        <w:t>1423</w:t>
      </w:r>
      <w:r w:rsidRPr="000431F7">
        <w:rPr>
          <w:rFonts w:ascii="Times New Roman" w:hAnsi="Times New Roman" w:cs="Times New Roman"/>
          <w:sz w:val="24"/>
          <w:szCs w:val="24"/>
        </w:rPr>
        <w:t>).</w:t>
      </w:r>
    </w:p>
    <w:p w14:paraId="700BE6A4" w14:textId="0951732B" w:rsidR="009B2591" w:rsidRPr="000431F7" w:rsidRDefault="00DC0648" w:rsidP="004742CC">
      <w:pPr>
        <w:pStyle w:val="ARTartustawynprozporzdzenia"/>
        <w:ind w:left="426" w:firstLine="0"/>
        <w:rPr>
          <w:rFonts w:ascii="Times New Roman" w:hAnsi="Times New Roman" w:cs="Times New Roman"/>
          <w:szCs w:val="24"/>
        </w:rPr>
      </w:pPr>
      <w:r w:rsidRPr="000431F7">
        <w:rPr>
          <w:rFonts w:ascii="Times New Roman" w:hAnsi="Times New Roman" w:cs="Times New Roman"/>
          <w:szCs w:val="24"/>
        </w:rPr>
        <w:t xml:space="preserve">Zmiany przewidziane w art. 6 pkt 3 i </w:t>
      </w:r>
      <w:r w:rsidR="00FA016D" w:rsidRPr="000431F7">
        <w:rPr>
          <w:rFonts w:ascii="Times New Roman" w:hAnsi="Times New Roman" w:cs="Times New Roman"/>
          <w:szCs w:val="24"/>
        </w:rPr>
        <w:t xml:space="preserve">pkt </w:t>
      </w:r>
      <w:r w:rsidRPr="000431F7">
        <w:rPr>
          <w:rFonts w:ascii="Times New Roman" w:hAnsi="Times New Roman" w:cs="Times New Roman"/>
          <w:szCs w:val="24"/>
        </w:rPr>
        <w:t xml:space="preserve">4 lit. a </w:t>
      </w:r>
      <w:r w:rsidR="00FA016D" w:rsidRPr="000431F7">
        <w:rPr>
          <w:rFonts w:ascii="Times New Roman" w:hAnsi="Times New Roman" w:cs="Times New Roman"/>
          <w:szCs w:val="24"/>
        </w:rPr>
        <w:t>oraz</w:t>
      </w:r>
      <w:r w:rsidRPr="000431F7">
        <w:rPr>
          <w:rFonts w:ascii="Times New Roman" w:hAnsi="Times New Roman" w:cs="Times New Roman"/>
          <w:szCs w:val="24"/>
        </w:rPr>
        <w:t xml:space="preserve"> b dyrektyw</w:t>
      </w:r>
      <w:r w:rsidR="00C33B77" w:rsidRPr="000431F7">
        <w:rPr>
          <w:rFonts w:ascii="Times New Roman" w:hAnsi="Times New Roman" w:cs="Times New Roman"/>
          <w:szCs w:val="24"/>
        </w:rPr>
        <w:t>y</w:t>
      </w:r>
      <w:r w:rsidRPr="000431F7">
        <w:rPr>
          <w:rFonts w:ascii="Times New Roman" w:hAnsi="Times New Roman" w:cs="Times New Roman"/>
          <w:szCs w:val="24"/>
        </w:rPr>
        <w:t xml:space="preserve"> 2022/2556 zostaną zaimplementowane w rozporządzeniu Ministra Finansów z dnia 19 kwietnia 2019 r. w sprawie szczegółowych warunków, jakie musi spełniać rynek regulowany oraz platforma aukcyjna (Dz.</w:t>
      </w:r>
      <w:r w:rsidR="001D579C" w:rsidRPr="000431F7">
        <w:rPr>
          <w:rFonts w:ascii="Times New Roman" w:hAnsi="Times New Roman" w:cs="Times New Roman"/>
          <w:szCs w:val="24"/>
        </w:rPr>
        <w:t> </w:t>
      </w:r>
      <w:r w:rsidRPr="000431F7">
        <w:rPr>
          <w:rFonts w:ascii="Times New Roman" w:hAnsi="Times New Roman" w:cs="Times New Roman"/>
          <w:szCs w:val="24"/>
        </w:rPr>
        <w:t>U. poz. 726). Natomiast zmiany przewidziane w art. 6 pkt 4 lit. c skierowane są do Europejskiego Urzędu Nadzoru Giełd i Papierów Wartościowych i nie podlegają implementacji do prawa krajowego</w:t>
      </w:r>
      <w:r w:rsidR="00777487" w:rsidRPr="000431F7">
        <w:rPr>
          <w:rFonts w:ascii="Times New Roman" w:hAnsi="Times New Roman" w:cs="Times New Roman"/>
          <w:szCs w:val="24"/>
        </w:rPr>
        <w:t>;</w:t>
      </w:r>
    </w:p>
    <w:p w14:paraId="2D36EC16" w14:textId="61119855" w:rsidR="00EB46C7" w:rsidRPr="000431F7" w:rsidRDefault="003040F4" w:rsidP="004742CC">
      <w:pPr>
        <w:spacing w:before="120" w:after="0" w:line="360" w:lineRule="auto"/>
        <w:ind w:left="426" w:hanging="426"/>
        <w:jc w:val="both"/>
        <w:rPr>
          <w:rFonts w:ascii="Times New Roman" w:hAnsi="Times New Roman" w:cs="Times New Roman"/>
          <w:sz w:val="24"/>
          <w:szCs w:val="24"/>
        </w:rPr>
      </w:pPr>
      <w:r w:rsidRPr="000431F7">
        <w:rPr>
          <w:rFonts w:ascii="Times New Roman" w:hAnsi="Times New Roman" w:cs="Times New Roman"/>
          <w:sz w:val="24"/>
          <w:szCs w:val="24"/>
        </w:rPr>
        <w:t>4)</w:t>
      </w:r>
      <w:r w:rsidR="005F2B39">
        <w:rPr>
          <w:rFonts w:ascii="Times New Roman" w:hAnsi="Times New Roman" w:cs="Times New Roman"/>
          <w:sz w:val="24"/>
          <w:szCs w:val="24"/>
        </w:rPr>
        <w:tab/>
      </w:r>
      <w:r w:rsidR="00A81728" w:rsidRPr="000431F7">
        <w:rPr>
          <w:rFonts w:ascii="Times New Roman" w:hAnsi="Times New Roman" w:cs="Times New Roman"/>
          <w:sz w:val="24"/>
          <w:szCs w:val="24"/>
        </w:rPr>
        <w:t>a</w:t>
      </w:r>
      <w:r w:rsidR="00EB46C7" w:rsidRPr="000431F7">
        <w:rPr>
          <w:rFonts w:ascii="Times New Roman" w:hAnsi="Times New Roman" w:cs="Times New Roman"/>
          <w:sz w:val="24"/>
          <w:szCs w:val="24"/>
        </w:rPr>
        <w:t>rt. 110zj ust. 3 ustawy określa elementy planu naprawy domu maklerskiego</w:t>
      </w:r>
      <w:r w:rsidR="006326CF">
        <w:rPr>
          <w:rFonts w:ascii="Times New Roman" w:hAnsi="Times New Roman" w:cs="Times New Roman"/>
          <w:sz w:val="24"/>
          <w:szCs w:val="24"/>
        </w:rPr>
        <w:t>,</w:t>
      </w:r>
      <w:r w:rsidR="00EB46C7" w:rsidRPr="000431F7">
        <w:rPr>
          <w:rFonts w:ascii="Times New Roman" w:hAnsi="Times New Roman" w:cs="Times New Roman"/>
          <w:sz w:val="24"/>
          <w:szCs w:val="24"/>
        </w:rPr>
        <w:t xml:space="preserve"> o którym mowa w art. 110zj ust. 1 i 2 ustawy. Zmiana w art. 110zj ust. 3 pkt 16 ustawy ma na celu implementację art. 5 pkt 2 </w:t>
      </w:r>
      <w:r w:rsidR="00FA016D" w:rsidRPr="000431F7">
        <w:rPr>
          <w:rFonts w:ascii="Times New Roman" w:hAnsi="Times New Roman" w:cs="Times New Roman"/>
          <w:sz w:val="24"/>
          <w:szCs w:val="24"/>
        </w:rPr>
        <w:t>lit.</w:t>
      </w:r>
      <w:r w:rsidR="00EB46C7" w:rsidRPr="000431F7">
        <w:rPr>
          <w:rFonts w:ascii="Times New Roman" w:hAnsi="Times New Roman" w:cs="Times New Roman"/>
          <w:sz w:val="24"/>
          <w:szCs w:val="24"/>
        </w:rPr>
        <w:t xml:space="preserve"> a dyrektywy 2022/2556, przewidując</w:t>
      </w:r>
      <w:r w:rsidR="006326CF">
        <w:rPr>
          <w:rFonts w:ascii="Times New Roman" w:hAnsi="Times New Roman" w:cs="Times New Roman"/>
          <w:sz w:val="24"/>
          <w:szCs w:val="24"/>
        </w:rPr>
        <w:t>ego</w:t>
      </w:r>
      <w:r w:rsidR="00EB46C7" w:rsidRPr="000431F7">
        <w:rPr>
          <w:rFonts w:ascii="Times New Roman" w:hAnsi="Times New Roman" w:cs="Times New Roman"/>
          <w:sz w:val="24"/>
          <w:szCs w:val="24"/>
        </w:rPr>
        <w:t xml:space="preserve"> zmianę w pkt 16 sekcji A załącznika do dyrektywy 2014/59/UE oraz doprecyzowuje jeden z elementów planu naprawy</w:t>
      </w:r>
      <w:r w:rsidR="006326CF">
        <w:rPr>
          <w:rFonts w:ascii="Times New Roman" w:hAnsi="Times New Roman" w:cs="Times New Roman"/>
          <w:sz w:val="24"/>
          <w:szCs w:val="24"/>
        </w:rPr>
        <w:t>,</w:t>
      </w:r>
      <w:r w:rsidR="00EB46C7" w:rsidRPr="000431F7">
        <w:rPr>
          <w:rFonts w:ascii="Times New Roman" w:hAnsi="Times New Roman" w:cs="Times New Roman"/>
          <w:sz w:val="24"/>
          <w:szCs w:val="24"/>
        </w:rPr>
        <w:t xml:space="preserve"> uwzględniając odniesienie do sieci i systemów informatycznych </w:t>
      </w:r>
      <w:r w:rsidR="00FA016D" w:rsidRPr="000431F7">
        <w:rPr>
          <w:rFonts w:ascii="Times New Roman" w:hAnsi="Times New Roman" w:cs="Times New Roman"/>
          <w:sz w:val="24"/>
          <w:szCs w:val="24"/>
        </w:rPr>
        <w:t>ustanowionych</w:t>
      </w:r>
      <w:r w:rsidR="00EB46C7" w:rsidRPr="000431F7">
        <w:rPr>
          <w:rFonts w:ascii="Times New Roman" w:hAnsi="Times New Roman" w:cs="Times New Roman"/>
          <w:sz w:val="24"/>
          <w:szCs w:val="24"/>
        </w:rPr>
        <w:t xml:space="preserve"> i zarządzanych zgodnie z rozporządzeniem 2022/2554.</w:t>
      </w:r>
    </w:p>
    <w:p w14:paraId="57952381" w14:textId="177C68F2" w:rsidR="00215ED4" w:rsidRPr="000431F7" w:rsidRDefault="00D268A4" w:rsidP="004742CC">
      <w:pPr>
        <w:pStyle w:val="ARTartustawynprozporzdzenia"/>
        <w:tabs>
          <w:tab w:val="left" w:pos="426"/>
        </w:tabs>
        <w:ind w:firstLine="0"/>
        <w:rPr>
          <w:rFonts w:ascii="Times New Roman" w:hAnsi="Times New Roman" w:cs="Times New Roman"/>
          <w:b/>
          <w:szCs w:val="24"/>
        </w:rPr>
      </w:pPr>
      <w:r w:rsidRPr="000431F7">
        <w:rPr>
          <w:rStyle w:val="Ppogrubienie"/>
          <w:rFonts w:ascii="Times New Roman" w:hAnsi="Times New Roman" w:cs="Times New Roman"/>
          <w:szCs w:val="24"/>
        </w:rPr>
        <w:t>8</w:t>
      </w:r>
      <w:r w:rsidR="003C2362" w:rsidRPr="000431F7">
        <w:rPr>
          <w:rStyle w:val="Ppogrubienie"/>
          <w:rFonts w:ascii="Times New Roman" w:hAnsi="Times New Roman" w:cs="Times New Roman"/>
          <w:szCs w:val="24"/>
        </w:rPr>
        <w:t>.</w:t>
      </w:r>
      <w:r w:rsidR="00B66E01">
        <w:rPr>
          <w:rStyle w:val="Ppogrubienie"/>
          <w:rFonts w:ascii="Times New Roman" w:hAnsi="Times New Roman" w:cs="Times New Roman"/>
          <w:szCs w:val="24"/>
        </w:rPr>
        <w:tab/>
      </w:r>
      <w:r w:rsidR="006326CF">
        <w:rPr>
          <w:rFonts w:ascii="Times New Roman" w:hAnsi="Times New Roman" w:cs="Times New Roman"/>
          <w:b/>
          <w:bCs/>
          <w:szCs w:val="24"/>
        </w:rPr>
        <w:t>Z</w:t>
      </w:r>
      <w:r w:rsidR="00215ED4" w:rsidRPr="000431F7">
        <w:rPr>
          <w:rFonts w:ascii="Times New Roman" w:hAnsi="Times New Roman" w:cs="Times New Roman"/>
          <w:b/>
          <w:bCs/>
          <w:szCs w:val="24"/>
        </w:rPr>
        <w:t>miany w ustawie z dnia 21 lipca 2006 r. o nadzorze nad rynkiem finansowym (art.</w:t>
      </w:r>
      <w:r w:rsidR="006326CF">
        <w:rPr>
          <w:rFonts w:ascii="Times New Roman" w:hAnsi="Times New Roman" w:cs="Times New Roman"/>
          <w:b/>
          <w:bCs/>
          <w:szCs w:val="24"/>
        </w:rPr>
        <w:t> </w:t>
      </w:r>
      <w:r w:rsidRPr="000431F7">
        <w:rPr>
          <w:rFonts w:ascii="Times New Roman" w:hAnsi="Times New Roman" w:cs="Times New Roman"/>
          <w:b/>
          <w:bCs/>
          <w:szCs w:val="24"/>
        </w:rPr>
        <w:t>8</w:t>
      </w:r>
      <w:r w:rsidR="00215ED4" w:rsidRPr="000431F7">
        <w:rPr>
          <w:rFonts w:ascii="Times New Roman" w:hAnsi="Times New Roman" w:cs="Times New Roman"/>
          <w:b/>
          <w:bCs/>
          <w:szCs w:val="24"/>
        </w:rPr>
        <w:t>)</w:t>
      </w:r>
    </w:p>
    <w:p w14:paraId="07E899CD" w14:textId="65E09212" w:rsidR="00E311F7" w:rsidRPr="000431F7" w:rsidRDefault="00215ED4" w:rsidP="004742CC">
      <w:pPr>
        <w:spacing w:before="120" w:after="0" w:line="360" w:lineRule="auto"/>
        <w:jc w:val="both"/>
        <w:rPr>
          <w:rFonts w:ascii="Times New Roman" w:hAnsi="Times New Roman" w:cs="Times New Roman"/>
          <w:sz w:val="24"/>
          <w:szCs w:val="24"/>
        </w:rPr>
      </w:pPr>
      <w:r w:rsidRPr="000431F7">
        <w:rPr>
          <w:rFonts w:ascii="Times New Roman" w:hAnsi="Times New Roman" w:cs="Times New Roman"/>
          <w:b/>
          <w:bCs/>
          <w:sz w:val="24"/>
          <w:szCs w:val="24"/>
        </w:rPr>
        <w:t xml:space="preserve">Art. </w:t>
      </w:r>
      <w:r w:rsidR="00D268A4" w:rsidRPr="000431F7">
        <w:rPr>
          <w:rFonts w:ascii="Times New Roman" w:hAnsi="Times New Roman" w:cs="Times New Roman"/>
          <w:b/>
          <w:bCs/>
          <w:sz w:val="24"/>
          <w:szCs w:val="24"/>
        </w:rPr>
        <w:t>8</w:t>
      </w:r>
      <w:r w:rsidRPr="000431F7">
        <w:rPr>
          <w:rFonts w:ascii="Times New Roman" w:hAnsi="Times New Roman" w:cs="Times New Roman"/>
          <w:b/>
          <w:bCs/>
          <w:sz w:val="24"/>
          <w:szCs w:val="24"/>
        </w:rPr>
        <w:t xml:space="preserve"> </w:t>
      </w:r>
      <w:r w:rsidRPr="000431F7">
        <w:rPr>
          <w:rFonts w:ascii="Times New Roman" w:hAnsi="Times New Roman" w:cs="Times New Roman"/>
          <w:sz w:val="24"/>
          <w:szCs w:val="24"/>
        </w:rPr>
        <w:t>wprowadza zmiany w ustawie o nadzorze nad rynkiem finansowym mające na celu zapewnienie stosowania przepisów</w:t>
      </w:r>
      <w:r w:rsidR="00E311F7" w:rsidRPr="000431F7">
        <w:rPr>
          <w:rFonts w:ascii="Times New Roman" w:hAnsi="Times New Roman" w:cs="Times New Roman"/>
          <w:sz w:val="24"/>
          <w:szCs w:val="24"/>
        </w:rPr>
        <w:t>:</w:t>
      </w:r>
    </w:p>
    <w:p w14:paraId="2D325E1F" w14:textId="22DCC74D" w:rsidR="00E311F7" w:rsidRPr="000431F7" w:rsidRDefault="00E311F7" w:rsidP="004742CC">
      <w:pPr>
        <w:tabs>
          <w:tab w:val="left" w:pos="426"/>
        </w:tabs>
        <w:spacing w:before="120" w:after="0" w:line="360" w:lineRule="auto"/>
        <w:jc w:val="both"/>
        <w:rPr>
          <w:rFonts w:ascii="Times New Roman" w:hAnsi="Times New Roman" w:cs="Times New Roman"/>
          <w:sz w:val="24"/>
          <w:szCs w:val="24"/>
        </w:rPr>
      </w:pPr>
      <w:r w:rsidRPr="000431F7">
        <w:rPr>
          <w:rFonts w:ascii="Times New Roman" w:hAnsi="Times New Roman" w:cs="Times New Roman"/>
          <w:sz w:val="24"/>
          <w:szCs w:val="24"/>
        </w:rPr>
        <w:t>I.</w:t>
      </w:r>
      <w:r w:rsidR="00987740">
        <w:rPr>
          <w:rFonts w:ascii="Times New Roman" w:hAnsi="Times New Roman" w:cs="Times New Roman"/>
          <w:sz w:val="24"/>
          <w:szCs w:val="24"/>
        </w:rPr>
        <w:tab/>
      </w:r>
      <w:r w:rsidR="00215ED4" w:rsidRPr="000431F7">
        <w:rPr>
          <w:rFonts w:ascii="Times New Roman" w:hAnsi="Times New Roman" w:cs="Times New Roman"/>
          <w:color w:val="000000"/>
          <w:sz w:val="24"/>
          <w:szCs w:val="24"/>
          <w:shd w:val="clear" w:color="auto" w:fill="FFFFFF"/>
        </w:rPr>
        <w:t xml:space="preserve">rozporządzenia </w:t>
      </w:r>
      <w:r w:rsidR="00215ED4" w:rsidRPr="000431F7">
        <w:rPr>
          <w:rFonts w:ascii="Times New Roman" w:hAnsi="Times New Roman" w:cs="Times New Roman"/>
          <w:sz w:val="24"/>
          <w:szCs w:val="24"/>
        </w:rPr>
        <w:t>2022/2554</w:t>
      </w:r>
      <w:r w:rsidR="00694217" w:rsidRPr="000431F7">
        <w:rPr>
          <w:rFonts w:ascii="Times New Roman" w:hAnsi="Times New Roman" w:cs="Times New Roman"/>
          <w:sz w:val="24"/>
          <w:szCs w:val="24"/>
        </w:rPr>
        <w:t>,</w:t>
      </w:r>
      <w:r w:rsidR="00215ED4" w:rsidRPr="000431F7">
        <w:rPr>
          <w:rFonts w:ascii="Times New Roman" w:hAnsi="Times New Roman" w:cs="Times New Roman"/>
          <w:sz w:val="24"/>
          <w:szCs w:val="24"/>
        </w:rPr>
        <w:t xml:space="preserve"> </w:t>
      </w:r>
    </w:p>
    <w:p w14:paraId="0B68CC59" w14:textId="0AD6AC31" w:rsidR="00E311F7" w:rsidRPr="000431F7" w:rsidRDefault="00E311F7" w:rsidP="004742CC">
      <w:pPr>
        <w:tabs>
          <w:tab w:val="left" w:pos="426"/>
        </w:tabs>
        <w:spacing w:before="120" w:after="0" w:line="360" w:lineRule="auto"/>
        <w:jc w:val="both"/>
        <w:rPr>
          <w:rFonts w:ascii="Times New Roman" w:hAnsi="Times New Roman" w:cs="Times New Roman"/>
          <w:sz w:val="24"/>
          <w:szCs w:val="24"/>
        </w:rPr>
      </w:pPr>
      <w:r w:rsidRPr="000431F7">
        <w:rPr>
          <w:rFonts w:ascii="Times New Roman" w:hAnsi="Times New Roman" w:cs="Times New Roman"/>
          <w:color w:val="000000"/>
          <w:sz w:val="24"/>
          <w:szCs w:val="24"/>
          <w:shd w:val="clear" w:color="auto" w:fill="FFFFFF"/>
        </w:rPr>
        <w:t>II.</w:t>
      </w:r>
      <w:r w:rsidR="00987740">
        <w:rPr>
          <w:rFonts w:ascii="Times New Roman" w:hAnsi="Times New Roman" w:cs="Times New Roman"/>
          <w:color w:val="000000"/>
          <w:sz w:val="24"/>
          <w:szCs w:val="24"/>
          <w:shd w:val="clear" w:color="auto" w:fill="FFFFFF"/>
        </w:rPr>
        <w:tab/>
      </w:r>
      <w:r w:rsidRPr="000431F7">
        <w:rPr>
          <w:rFonts w:ascii="Times New Roman" w:hAnsi="Times New Roman" w:cs="Times New Roman"/>
          <w:color w:val="000000"/>
          <w:sz w:val="24"/>
          <w:szCs w:val="24"/>
          <w:shd w:val="clear" w:color="auto" w:fill="FFFFFF"/>
        </w:rPr>
        <w:t xml:space="preserve">rozporządzenia </w:t>
      </w:r>
      <w:r w:rsidRPr="000431F7">
        <w:rPr>
          <w:rFonts w:ascii="Times New Roman" w:hAnsi="Times New Roman" w:cs="Times New Roman"/>
          <w:sz w:val="24"/>
          <w:szCs w:val="24"/>
        </w:rPr>
        <w:t>2023/2631</w:t>
      </w:r>
    </w:p>
    <w:p w14:paraId="0F7FFCC9" w14:textId="7BE11A5C" w:rsidR="00215ED4" w:rsidRPr="000431F7" w:rsidRDefault="00E311F7" w:rsidP="004742CC">
      <w:pPr>
        <w:spacing w:before="120" w:after="0" w:line="360" w:lineRule="auto"/>
        <w:jc w:val="both"/>
        <w:rPr>
          <w:rFonts w:ascii="Times New Roman" w:hAnsi="Times New Roman" w:cs="Times New Roman"/>
          <w:sz w:val="24"/>
          <w:szCs w:val="24"/>
        </w:rPr>
      </w:pPr>
      <w:r w:rsidRPr="000431F7">
        <w:rPr>
          <w:rFonts w:ascii="Times New Roman" w:hAnsi="Times New Roman" w:cs="Times New Roman"/>
          <w:sz w:val="24"/>
          <w:szCs w:val="24"/>
        </w:rPr>
        <w:lastRenderedPageBreak/>
        <w:t>określających zadania i uprawienia organów odpowiedzialnych za nadzór nad przestrzeganiem tych rozporządzeń</w:t>
      </w:r>
      <w:r w:rsidR="00215ED4" w:rsidRPr="000431F7">
        <w:rPr>
          <w:rFonts w:ascii="Times New Roman" w:hAnsi="Times New Roman" w:cs="Times New Roman"/>
          <w:sz w:val="24"/>
          <w:szCs w:val="24"/>
        </w:rPr>
        <w:t xml:space="preserve">. </w:t>
      </w:r>
    </w:p>
    <w:p w14:paraId="05BD2CF1" w14:textId="4102E403" w:rsidR="00E311F7" w:rsidRPr="000431F7" w:rsidRDefault="00E311F7" w:rsidP="004742CC">
      <w:pPr>
        <w:spacing w:before="120" w:after="0" w:line="360" w:lineRule="auto"/>
        <w:jc w:val="both"/>
        <w:rPr>
          <w:rFonts w:ascii="Times New Roman" w:hAnsi="Times New Roman" w:cs="Times New Roman"/>
          <w:b/>
          <w:bCs/>
          <w:sz w:val="24"/>
          <w:szCs w:val="24"/>
        </w:rPr>
      </w:pPr>
      <w:r w:rsidRPr="000431F7">
        <w:rPr>
          <w:rFonts w:ascii="Times New Roman" w:hAnsi="Times New Roman" w:cs="Times New Roman"/>
          <w:b/>
          <w:bCs/>
          <w:sz w:val="24"/>
          <w:szCs w:val="24"/>
        </w:rPr>
        <w:t xml:space="preserve">Ad I. </w:t>
      </w:r>
      <w:r w:rsidR="008D672C">
        <w:rPr>
          <w:rFonts w:ascii="Times New Roman" w:hAnsi="Times New Roman" w:cs="Times New Roman"/>
          <w:b/>
          <w:bCs/>
          <w:sz w:val="24"/>
          <w:szCs w:val="24"/>
        </w:rPr>
        <w:t>Z</w:t>
      </w:r>
      <w:r w:rsidRPr="000431F7">
        <w:rPr>
          <w:rFonts w:ascii="Times New Roman" w:hAnsi="Times New Roman" w:cs="Times New Roman"/>
          <w:b/>
          <w:bCs/>
          <w:sz w:val="24"/>
          <w:szCs w:val="24"/>
        </w:rPr>
        <w:t xml:space="preserve">miany mające na celu zapewnienie stosowania </w:t>
      </w:r>
      <w:r w:rsidRPr="000431F7">
        <w:rPr>
          <w:rFonts w:ascii="Times New Roman" w:hAnsi="Times New Roman" w:cs="Times New Roman"/>
          <w:b/>
          <w:bCs/>
          <w:color w:val="000000"/>
          <w:sz w:val="24"/>
          <w:szCs w:val="24"/>
          <w:shd w:val="clear" w:color="auto" w:fill="FFFFFF"/>
        </w:rPr>
        <w:t xml:space="preserve">rozporządzenia </w:t>
      </w:r>
      <w:r w:rsidRPr="000431F7">
        <w:rPr>
          <w:rFonts w:ascii="Times New Roman" w:hAnsi="Times New Roman" w:cs="Times New Roman"/>
          <w:b/>
          <w:bCs/>
          <w:sz w:val="24"/>
          <w:szCs w:val="24"/>
        </w:rPr>
        <w:t>2022/2554</w:t>
      </w:r>
    </w:p>
    <w:p w14:paraId="3C11543B" w14:textId="49E165D7" w:rsidR="00215ED4" w:rsidRPr="000431F7" w:rsidRDefault="00215ED4" w:rsidP="004742CC">
      <w:pPr>
        <w:tabs>
          <w:tab w:val="left" w:pos="426"/>
        </w:tabs>
        <w:spacing w:before="120" w:after="0" w:line="360" w:lineRule="auto"/>
        <w:jc w:val="both"/>
        <w:rPr>
          <w:rFonts w:ascii="Times New Roman" w:hAnsi="Times New Roman" w:cs="Times New Roman"/>
          <w:sz w:val="24"/>
          <w:szCs w:val="24"/>
        </w:rPr>
      </w:pPr>
      <w:r w:rsidRPr="000431F7">
        <w:rPr>
          <w:rFonts w:ascii="Times New Roman" w:hAnsi="Times New Roman" w:cs="Times New Roman"/>
          <w:sz w:val="24"/>
          <w:szCs w:val="24"/>
        </w:rPr>
        <w:t>●</w:t>
      </w:r>
      <w:r w:rsidR="00B66E01">
        <w:rPr>
          <w:rFonts w:ascii="Times New Roman" w:hAnsi="Times New Roman" w:cs="Times New Roman"/>
          <w:sz w:val="24"/>
          <w:szCs w:val="24"/>
        </w:rPr>
        <w:tab/>
      </w:r>
      <w:r w:rsidRPr="000431F7">
        <w:rPr>
          <w:rFonts w:ascii="Times New Roman" w:hAnsi="Times New Roman" w:cs="Times New Roman"/>
          <w:b/>
          <w:bCs/>
          <w:sz w:val="24"/>
          <w:szCs w:val="24"/>
        </w:rPr>
        <w:t>regulacje o charakterze ogólnym</w:t>
      </w:r>
      <w:r w:rsidRPr="000431F7">
        <w:rPr>
          <w:rFonts w:ascii="Times New Roman" w:hAnsi="Times New Roman" w:cs="Times New Roman"/>
          <w:sz w:val="24"/>
          <w:szCs w:val="24"/>
        </w:rPr>
        <w:t xml:space="preserve"> (art. </w:t>
      </w:r>
      <w:r w:rsidR="00D268A4" w:rsidRPr="000431F7">
        <w:rPr>
          <w:rFonts w:ascii="Times New Roman" w:hAnsi="Times New Roman" w:cs="Times New Roman"/>
          <w:sz w:val="24"/>
          <w:szCs w:val="24"/>
        </w:rPr>
        <w:t>8</w:t>
      </w:r>
      <w:r w:rsidRPr="000431F7">
        <w:rPr>
          <w:rFonts w:ascii="Times New Roman" w:hAnsi="Times New Roman" w:cs="Times New Roman"/>
          <w:sz w:val="24"/>
          <w:szCs w:val="24"/>
        </w:rPr>
        <w:t xml:space="preserve"> pkt 1–5) </w:t>
      </w:r>
    </w:p>
    <w:p w14:paraId="7FD93186" w14:textId="670CD526" w:rsidR="00215ED4" w:rsidRPr="000431F7" w:rsidRDefault="005C1926" w:rsidP="004742CC">
      <w:pPr>
        <w:pStyle w:val="ZROZDZODDZPRZEDMzmprzedmrozdzoddzartykuempunktem"/>
        <w:spacing w:after="0"/>
        <w:ind w:left="0"/>
        <w:jc w:val="both"/>
        <w:rPr>
          <w:rFonts w:ascii="Times New Roman" w:hAnsi="Times New Roman"/>
        </w:rPr>
      </w:pPr>
      <w:r w:rsidRPr="000431F7">
        <w:rPr>
          <w:rFonts w:ascii="Times New Roman" w:hAnsi="Times New Roman"/>
        </w:rPr>
        <w:t>A</w:t>
      </w:r>
      <w:r w:rsidR="00215ED4" w:rsidRPr="000431F7">
        <w:rPr>
          <w:rFonts w:ascii="Times New Roman" w:hAnsi="Times New Roman"/>
        </w:rPr>
        <w:t xml:space="preserve">rt. </w:t>
      </w:r>
      <w:r w:rsidR="00D268A4" w:rsidRPr="000431F7">
        <w:rPr>
          <w:rFonts w:ascii="Times New Roman" w:hAnsi="Times New Roman"/>
        </w:rPr>
        <w:t>8</w:t>
      </w:r>
      <w:r w:rsidR="00215ED4" w:rsidRPr="000431F7">
        <w:rPr>
          <w:rFonts w:ascii="Times New Roman" w:hAnsi="Times New Roman"/>
        </w:rPr>
        <w:t xml:space="preserve"> pkt 1 wprowadza zmiany w art. 1 w ust. 2 ustawy </w:t>
      </w:r>
      <w:bookmarkStart w:id="10" w:name="_Hlk162004485"/>
      <w:r w:rsidR="00215ED4" w:rsidRPr="000431F7">
        <w:rPr>
          <w:rFonts w:ascii="Times New Roman" w:hAnsi="Times New Roman"/>
        </w:rPr>
        <w:t>o nadzorze nad rynkiem finansowym</w:t>
      </w:r>
      <w:r w:rsidR="00FD4B31" w:rsidRPr="000431F7">
        <w:rPr>
          <w:rFonts w:ascii="Times New Roman" w:hAnsi="Times New Roman"/>
        </w:rPr>
        <w:t>,</w:t>
      </w:r>
      <w:r w:rsidR="00215ED4" w:rsidRPr="000431F7">
        <w:rPr>
          <w:rFonts w:ascii="Times New Roman" w:hAnsi="Times New Roman"/>
        </w:rPr>
        <w:t xml:space="preserve"> </w:t>
      </w:r>
      <w:bookmarkEnd w:id="10"/>
      <w:r w:rsidR="00215ED4" w:rsidRPr="000431F7">
        <w:rPr>
          <w:rFonts w:ascii="Times New Roman" w:hAnsi="Times New Roman"/>
        </w:rPr>
        <w:t>wskazując, w dodawanym</w:t>
      </w:r>
      <w:r w:rsidR="00987740">
        <w:rPr>
          <w:rFonts w:ascii="Times New Roman" w:hAnsi="Times New Roman"/>
        </w:rPr>
        <w:t xml:space="preserve"> </w:t>
      </w:r>
      <w:r w:rsidR="00215ED4" w:rsidRPr="000431F7">
        <w:rPr>
          <w:rFonts w:ascii="Times New Roman" w:hAnsi="Times New Roman"/>
        </w:rPr>
        <w:t>pkt 1</w:t>
      </w:r>
      <w:r w:rsidR="00DC5BFF" w:rsidRPr="000431F7">
        <w:rPr>
          <w:rFonts w:ascii="Times New Roman" w:hAnsi="Times New Roman"/>
        </w:rPr>
        <w:t>6</w:t>
      </w:r>
      <w:r w:rsidR="00215ED4" w:rsidRPr="000431F7">
        <w:rPr>
          <w:rFonts w:ascii="Times New Roman" w:hAnsi="Times New Roman"/>
        </w:rPr>
        <w:t>, że nadzór nad rynkiem finansowym obejmuje również nadzór w zakresie przewidzianym przepisami rozporządzenia 2022/2554.</w:t>
      </w:r>
    </w:p>
    <w:p w14:paraId="4A4DD691" w14:textId="725A1028" w:rsidR="00215ED4" w:rsidRPr="000431F7" w:rsidRDefault="00215ED4" w:rsidP="004742CC">
      <w:pPr>
        <w:pStyle w:val="ZROZDZODDZPRZEDMzmprzedmrozdzoddzartykuempunktem"/>
        <w:spacing w:after="0"/>
        <w:ind w:left="0"/>
        <w:jc w:val="both"/>
        <w:rPr>
          <w:rFonts w:ascii="Times New Roman" w:hAnsi="Times New Roman"/>
        </w:rPr>
      </w:pPr>
      <w:r w:rsidRPr="000431F7">
        <w:rPr>
          <w:rFonts w:ascii="Times New Roman" w:hAnsi="Times New Roman"/>
        </w:rPr>
        <w:t xml:space="preserve">Art. </w:t>
      </w:r>
      <w:r w:rsidR="00D268A4" w:rsidRPr="000431F7">
        <w:rPr>
          <w:rFonts w:ascii="Times New Roman" w:hAnsi="Times New Roman"/>
        </w:rPr>
        <w:t>8</w:t>
      </w:r>
      <w:r w:rsidRPr="000431F7">
        <w:rPr>
          <w:rFonts w:ascii="Times New Roman" w:hAnsi="Times New Roman"/>
        </w:rPr>
        <w:t xml:space="preserve"> pkt 2 wprowadza do ustawy o nadzorze nad rynkiem finansowym art. 3w, który </w:t>
      </w:r>
      <w:r w:rsidR="00694217" w:rsidRPr="000431F7">
        <w:rPr>
          <w:rFonts w:ascii="Times New Roman" w:hAnsi="Times New Roman"/>
        </w:rPr>
        <w:t xml:space="preserve">określa sposób przekazywania KNF </w:t>
      </w:r>
      <w:r w:rsidR="00694217" w:rsidRPr="004742CC">
        <w:rPr>
          <w:rFonts w:ascii="Times New Roman" w:hAnsi="Times New Roman"/>
        </w:rPr>
        <w:t xml:space="preserve">informacji i sprawozdań, określonych w rozporządzeniu 2022/2554 przez podmioty finansowe objęte zakresem regulacji niniejszego rozporządzenia. Ww. informacje i sprawozdania będą przekazywane w postaci elektronicznej za pomocą systemu teleinformatycznego udostępnionego przez </w:t>
      </w:r>
      <w:r w:rsidR="004E65A7" w:rsidRPr="004742CC">
        <w:rPr>
          <w:rFonts w:ascii="Times New Roman" w:hAnsi="Times New Roman"/>
        </w:rPr>
        <w:t>KNF</w:t>
      </w:r>
      <w:bookmarkStart w:id="11" w:name="_Hlk192852427"/>
      <w:r w:rsidR="004E65A7" w:rsidRPr="004742CC">
        <w:rPr>
          <w:rFonts w:ascii="Times New Roman" w:hAnsi="Times New Roman"/>
        </w:rPr>
        <w:t>.</w:t>
      </w:r>
      <w:r w:rsidR="00B06A01" w:rsidRPr="004742CC">
        <w:rPr>
          <w:rFonts w:ascii="Times New Roman" w:hAnsi="Times New Roman"/>
        </w:rPr>
        <w:t xml:space="preserve"> Ponadto w art. 8 pkt </w:t>
      </w:r>
      <w:r w:rsidR="00C35A26" w:rsidRPr="004742CC">
        <w:rPr>
          <w:rFonts w:ascii="Times New Roman" w:hAnsi="Times New Roman"/>
        </w:rPr>
        <w:t xml:space="preserve">2 </w:t>
      </w:r>
      <w:r w:rsidR="00B06A01" w:rsidRPr="004742CC">
        <w:rPr>
          <w:rFonts w:ascii="Times New Roman" w:hAnsi="Times New Roman"/>
        </w:rPr>
        <w:t xml:space="preserve">wprowadzany jest art. 3x ust. 1 wskazujący, że w ramach nadzoru, o którym mowa w art. 1 ust. 2 pkt 16, Komisji przysługują uprawnienia nadzorcze określone w rozdziale 2c. </w:t>
      </w:r>
    </w:p>
    <w:bookmarkEnd w:id="11"/>
    <w:p w14:paraId="272D604E" w14:textId="361B42EF" w:rsidR="00215ED4" w:rsidRPr="000431F7" w:rsidRDefault="00215ED4" w:rsidP="004742CC">
      <w:pPr>
        <w:pStyle w:val="ZARTzmartartykuempunktem"/>
        <w:spacing w:before="120"/>
        <w:ind w:left="0" w:firstLine="0"/>
        <w:rPr>
          <w:rFonts w:ascii="Times New Roman" w:hAnsi="Times New Roman" w:cs="Times New Roman"/>
          <w:szCs w:val="24"/>
        </w:rPr>
      </w:pPr>
      <w:r w:rsidRPr="000431F7">
        <w:rPr>
          <w:rFonts w:ascii="Times New Roman" w:hAnsi="Times New Roman" w:cs="Times New Roman"/>
          <w:szCs w:val="24"/>
        </w:rPr>
        <w:t xml:space="preserve">Ponadto w art. </w:t>
      </w:r>
      <w:r w:rsidR="00D268A4" w:rsidRPr="000431F7">
        <w:rPr>
          <w:rFonts w:ascii="Times New Roman" w:hAnsi="Times New Roman" w:cs="Times New Roman"/>
          <w:szCs w:val="24"/>
        </w:rPr>
        <w:t>8</w:t>
      </w:r>
      <w:r w:rsidRPr="000431F7">
        <w:rPr>
          <w:rFonts w:ascii="Times New Roman" w:hAnsi="Times New Roman" w:cs="Times New Roman"/>
          <w:szCs w:val="24"/>
        </w:rPr>
        <w:t xml:space="preserve"> pkt 3 ustawy o nadzorze nad rynkiem finansowym proponuje się uzupełnić katalog zadań KNF (</w:t>
      </w:r>
      <w:r w:rsidR="00B06A01" w:rsidRPr="000431F7">
        <w:rPr>
          <w:rFonts w:ascii="Times New Roman" w:hAnsi="Times New Roman" w:cs="Times New Roman"/>
          <w:szCs w:val="24"/>
        </w:rPr>
        <w:t>zmieniany</w:t>
      </w:r>
      <w:r w:rsidR="00987740">
        <w:rPr>
          <w:rFonts w:ascii="Times New Roman" w:hAnsi="Times New Roman" w:cs="Times New Roman"/>
          <w:szCs w:val="24"/>
        </w:rPr>
        <w:t xml:space="preserve"> </w:t>
      </w:r>
      <w:r w:rsidRPr="000431F7">
        <w:rPr>
          <w:rFonts w:ascii="Times New Roman" w:hAnsi="Times New Roman" w:cs="Times New Roman"/>
          <w:szCs w:val="24"/>
        </w:rPr>
        <w:t>art. 4 w ust. 1 pkt 3</w:t>
      </w:r>
      <w:r w:rsidR="00B06A01" w:rsidRPr="000431F7">
        <w:rPr>
          <w:rFonts w:ascii="Times New Roman" w:hAnsi="Times New Roman" w:cs="Times New Roman"/>
          <w:szCs w:val="24"/>
        </w:rPr>
        <w:t>b</w:t>
      </w:r>
      <w:r w:rsidRPr="000431F7">
        <w:rPr>
          <w:rFonts w:ascii="Times New Roman" w:hAnsi="Times New Roman" w:cs="Times New Roman"/>
          <w:szCs w:val="24"/>
        </w:rPr>
        <w:t xml:space="preserve">) o zadanie polegające na </w:t>
      </w:r>
      <w:r w:rsidR="00B06A01" w:rsidRPr="004742CC">
        <w:rPr>
          <w:rFonts w:ascii="Times New Roman" w:hAnsi="Times New Roman" w:cs="Times New Roman"/>
          <w:szCs w:val="24"/>
        </w:rPr>
        <w:t xml:space="preserve">przeciwdziałaniu </w:t>
      </w:r>
      <w:proofErr w:type="spellStart"/>
      <w:r w:rsidR="00B06A01" w:rsidRPr="004742CC">
        <w:rPr>
          <w:rFonts w:ascii="Times New Roman" w:hAnsi="Times New Roman" w:cs="Times New Roman"/>
          <w:szCs w:val="24"/>
        </w:rPr>
        <w:t>cyberzagrożeniom</w:t>
      </w:r>
      <w:proofErr w:type="spellEnd"/>
      <w:r w:rsidR="00B06A01" w:rsidRPr="004742CC">
        <w:rPr>
          <w:rFonts w:ascii="Times New Roman" w:hAnsi="Times New Roman" w:cs="Times New Roman"/>
          <w:szCs w:val="24"/>
        </w:rPr>
        <w:t xml:space="preserve"> w zakresie bezpieczeństwa sieci i systemów informatycznych w rozumieniu art. 3 pkt 4 rozporządzenia 2022/2554, wykorzystywanych przez podmioty podlegające nadzorowi KNF, w tym przez wykonywanie zadań organu właściwego do spraw </w:t>
      </w:r>
      <w:proofErr w:type="spellStart"/>
      <w:r w:rsidR="00B06A01" w:rsidRPr="004742CC">
        <w:rPr>
          <w:rFonts w:ascii="Times New Roman" w:hAnsi="Times New Roman" w:cs="Times New Roman"/>
          <w:szCs w:val="24"/>
        </w:rPr>
        <w:t>cyberbezpieczeństwa</w:t>
      </w:r>
      <w:proofErr w:type="spellEnd"/>
      <w:r w:rsidR="00B06A01" w:rsidRPr="004742CC">
        <w:rPr>
          <w:rFonts w:ascii="Times New Roman" w:hAnsi="Times New Roman" w:cs="Times New Roman"/>
          <w:szCs w:val="24"/>
        </w:rPr>
        <w:t xml:space="preserve"> w zakresie określonym przepisami ustawy o krajowym systemie </w:t>
      </w:r>
      <w:proofErr w:type="spellStart"/>
      <w:r w:rsidR="00B06A01" w:rsidRPr="004742CC">
        <w:rPr>
          <w:rFonts w:ascii="Times New Roman" w:hAnsi="Times New Roman" w:cs="Times New Roman"/>
          <w:szCs w:val="24"/>
        </w:rPr>
        <w:t>cyberbezpieczeństwa</w:t>
      </w:r>
      <w:proofErr w:type="spellEnd"/>
      <w:r w:rsidRPr="000431F7">
        <w:rPr>
          <w:rFonts w:ascii="Times New Roman" w:hAnsi="Times New Roman" w:cs="Times New Roman"/>
          <w:szCs w:val="24"/>
        </w:rPr>
        <w:t>.</w:t>
      </w:r>
      <w:r w:rsidR="00B06A01" w:rsidRPr="000431F7">
        <w:rPr>
          <w:rFonts w:ascii="Times New Roman" w:hAnsi="Times New Roman" w:cs="Times New Roman"/>
          <w:szCs w:val="24"/>
        </w:rPr>
        <w:t xml:space="preserve"> Zmiana ma na celu wskazanie zakresu zadań dotyczących odporności cyfrowej sektora finansowego, w tym zadań o charakterze prewencyjnym. Stanowi uzupełnienie dotychczasowej regulacji, zgodnie z którą KNF </w:t>
      </w:r>
      <w:r w:rsidR="00B06A01" w:rsidRPr="004742CC">
        <w:rPr>
          <w:rFonts w:ascii="Times New Roman" w:hAnsi="Times New Roman" w:cs="Times New Roman"/>
          <w:szCs w:val="24"/>
        </w:rPr>
        <w:t xml:space="preserve">podejmuje działania mające na celu przeciwdziałanie zagrożeniom w zakresie bezpieczeństwa systemów teleinformatycznych w rozumieniu art. 3 pkt 3 ustawy z dnia 17 lutego 2005 r. o informatyzacji działalności podmiotów realizujących zadania publiczne. </w:t>
      </w:r>
    </w:p>
    <w:p w14:paraId="12D44BD5" w14:textId="4EE3A975" w:rsidR="00215ED4" w:rsidRPr="000431F7" w:rsidRDefault="00215ED4" w:rsidP="004742CC">
      <w:pPr>
        <w:pStyle w:val="ZARTzmartartykuempunktem"/>
        <w:spacing w:before="120"/>
        <w:ind w:left="0" w:firstLine="0"/>
        <w:rPr>
          <w:rFonts w:ascii="Times New Roman" w:hAnsi="Times New Roman" w:cs="Times New Roman"/>
          <w:szCs w:val="24"/>
        </w:rPr>
      </w:pPr>
      <w:r w:rsidRPr="000431F7">
        <w:rPr>
          <w:rFonts w:ascii="Times New Roman" w:hAnsi="Times New Roman" w:cs="Times New Roman"/>
          <w:szCs w:val="24"/>
        </w:rPr>
        <w:t xml:space="preserve">Art. </w:t>
      </w:r>
      <w:r w:rsidR="00D268A4" w:rsidRPr="000431F7">
        <w:rPr>
          <w:rFonts w:ascii="Times New Roman" w:hAnsi="Times New Roman" w:cs="Times New Roman"/>
          <w:szCs w:val="24"/>
        </w:rPr>
        <w:t>8</w:t>
      </w:r>
      <w:r w:rsidRPr="000431F7">
        <w:rPr>
          <w:rFonts w:ascii="Times New Roman" w:hAnsi="Times New Roman" w:cs="Times New Roman"/>
          <w:szCs w:val="24"/>
        </w:rPr>
        <w:t xml:space="preserve"> pkt 4 projektu ustawy dostosowuje art. 4a</w:t>
      </w:r>
      <w:r w:rsidR="00987740">
        <w:rPr>
          <w:rFonts w:ascii="Times New Roman" w:hAnsi="Times New Roman" w:cs="Times New Roman"/>
          <w:szCs w:val="24"/>
        </w:rPr>
        <w:t xml:space="preserve"> </w:t>
      </w:r>
      <w:r w:rsidRPr="000431F7">
        <w:rPr>
          <w:rFonts w:ascii="Times New Roman" w:hAnsi="Times New Roman" w:cs="Times New Roman"/>
          <w:szCs w:val="24"/>
        </w:rPr>
        <w:t>ustawy o nadzorze nad rynkiem finansowym, określający maksymalny termin przetwarzania danych osobowych, o których mowa w ust. 1 tego przepisu, do art. 56 ust. 2 rozporządzenia 2022/2554, wskazując</w:t>
      </w:r>
      <w:r w:rsidR="00B06A01" w:rsidRPr="000431F7">
        <w:rPr>
          <w:rFonts w:ascii="Times New Roman" w:hAnsi="Times New Roman" w:cs="Times New Roman"/>
          <w:szCs w:val="24"/>
        </w:rPr>
        <w:t xml:space="preserve"> w dodawanym ust. 3a</w:t>
      </w:r>
      <w:r w:rsidRPr="000431F7">
        <w:rPr>
          <w:rFonts w:ascii="Times New Roman" w:hAnsi="Times New Roman" w:cs="Times New Roman"/>
          <w:szCs w:val="24"/>
        </w:rPr>
        <w:t>, że dane osobowe, o których mowa w</w:t>
      </w:r>
      <w:r w:rsidR="00B06A01" w:rsidRPr="004742CC">
        <w:rPr>
          <w:rFonts w:ascii="Times New Roman" w:hAnsi="Times New Roman" w:cs="Times New Roman"/>
          <w:szCs w:val="24"/>
        </w:rPr>
        <w:t xml:space="preserve"> art. 56 ust. 1 rozporządzenia 2022/2554</w:t>
      </w:r>
      <w:r w:rsidRPr="000431F7">
        <w:rPr>
          <w:rFonts w:ascii="Times New Roman" w:hAnsi="Times New Roman" w:cs="Times New Roman"/>
          <w:szCs w:val="24"/>
        </w:rPr>
        <w:t>,</w:t>
      </w:r>
      <w:r w:rsidR="00B06A01" w:rsidRPr="004742CC">
        <w:rPr>
          <w:rFonts w:ascii="Times New Roman" w:hAnsi="Times New Roman" w:cs="Times New Roman"/>
          <w:szCs w:val="24"/>
        </w:rPr>
        <w:t xml:space="preserve"> przetwarza przez okres 15 lat, w celu sprawowania nadzoru w zakresie, o którym mowa w art. 1 ust. 2 pkt 16, </w:t>
      </w:r>
      <w:r w:rsidR="00B06A01" w:rsidRPr="004742CC">
        <w:rPr>
          <w:rFonts w:ascii="Times New Roman" w:hAnsi="Times New Roman" w:cs="Times New Roman"/>
          <w:szCs w:val="24"/>
        </w:rPr>
        <w:lastRenderedPageBreak/>
        <w:t>chyba że toczy się postępowanie sądowe wymagające dalszego przetwarzania tych danych. Projektowana regulacja stanowi wdrożenie art. 56</w:t>
      </w:r>
      <w:r w:rsidR="00B06A01" w:rsidRPr="000431F7">
        <w:rPr>
          <w:rFonts w:ascii="Times New Roman" w:hAnsi="Times New Roman" w:cs="Times New Roman"/>
          <w:szCs w:val="24"/>
        </w:rPr>
        <w:t xml:space="preserve"> rozporządzenia 2022/2554.</w:t>
      </w:r>
    </w:p>
    <w:p w14:paraId="56B8A68C" w14:textId="0EE8D728" w:rsidR="00694217" w:rsidRPr="000431F7" w:rsidRDefault="00D11831" w:rsidP="004742CC">
      <w:pPr>
        <w:spacing w:before="120" w:after="0" w:line="360" w:lineRule="auto"/>
        <w:jc w:val="both"/>
        <w:rPr>
          <w:rFonts w:ascii="Times New Roman" w:hAnsi="Times New Roman" w:cs="Times New Roman"/>
          <w:sz w:val="24"/>
          <w:szCs w:val="24"/>
        </w:rPr>
      </w:pPr>
      <w:r w:rsidRPr="000431F7">
        <w:rPr>
          <w:rFonts w:ascii="Times New Roman" w:hAnsi="Times New Roman" w:cs="Times New Roman"/>
          <w:sz w:val="24"/>
          <w:szCs w:val="24"/>
        </w:rPr>
        <w:t xml:space="preserve">Projekt zakłada także </w:t>
      </w:r>
      <w:r w:rsidR="00694217" w:rsidRPr="000431F7">
        <w:rPr>
          <w:rFonts w:ascii="Times New Roman" w:hAnsi="Times New Roman" w:cs="Times New Roman"/>
          <w:sz w:val="24"/>
          <w:szCs w:val="24"/>
        </w:rPr>
        <w:t>dodanie</w:t>
      </w:r>
      <w:r w:rsidRPr="000431F7">
        <w:rPr>
          <w:rFonts w:ascii="Times New Roman" w:hAnsi="Times New Roman" w:cs="Times New Roman"/>
          <w:sz w:val="24"/>
          <w:szCs w:val="24"/>
        </w:rPr>
        <w:t xml:space="preserve"> w art. 4a ust. 3</w:t>
      </w:r>
      <w:r w:rsidR="00DC5BFF" w:rsidRPr="000431F7">
        <w:rPr>
          <w:rFonts w:ascii="Times New Roman" w:hAnsi="Times New Roman" w:cs="Times New Roman"/>
          <w:sz w:val="24"/>
          <w:szCs w:val="24"/>
        </w:rPr>
        <w:t>b</w:t>
      </w:r>
      <w:r w:rsidR="00694217" w:rsidRPr="000431F7">
        <w:rPr>
          <w:rFonts w:ascii="Times New Roman" w:hAnsi="Times New Roman" w:cs="Times New Roman"/>
          <w:sz w:val="24"/>
          <w:szCs w:val="24"/>
        </w:rPr>
        <w:t xml:space="preserve">, w którym </w:t>
      </w:r>
      <w:r w:rsidR="00FA016D" w:rsidRPr="000431F7">
        <w:rPr>
          <w:rFonts w:ascii="Times New Roman" w:hAnsi="Times New Roman" w:cs="Times New Roman"/>
          <w:sz w:val="24"/>
          <w:szCs w:val="24"/>
        </w:rPr>
        <w:t xml:space="preserve">zostaną </w:t>
      </w:r>
      <w:r w:rsidR="00694217" w:rsidRPr="000431F7">
        <w:rPr>
          <w:rFonts w:ascii="Times New Roman" w:hAnsi="Times New Roman" w:cs="Times New Roman"/>
          <w:sz w:val="24"/>
          <w:szCs w:val="24"/>
        </w:rPr>
        <w:t>wyłączone niektóre obowiązki K</w:t>
      </w:r>
      <w:r w:rsidRPr="000431F7">
        <w:rPr>
          <w:rFonts w:ascii="Times New Roman" w:hAnsi="Times New Roman" w:cs="Times New Roman"/>
          <w:sz w:val="24"/>
          <w:szCs w:val="24"/>
        </w:rPr>
        <w:t>NF</w:t>
      </w:r>
      <w:r w:rsidR="00694217" w:rsidRPr="000431F7">
        <w:rPr>
          <w:rFonts w:ascii="Times New Roman" w:hAnsi="Times New Roman" w:cs="Times New Roman"/>
          <w:sz w:val="24"/>
          <w:szCs w:val="24"/>
        </w:rPr>
        <w:t xml:space="preserve"> jako administratora danyc</w:t>
      </w:r>
      <w:r w:rsidR="00061CB5" w:rsidRPr="000431F7">
        <w:rPr>
          <w:rFonts w:ascii="Times New Roman" w:hAnsi="Times New Roman" w:cs="Times New Roman"/>
          <w:sz w:val="24"/>
          <w:szCs w:val="24"/>
        </w:rPr>
        <w:t>h. Realizacja tych obowiązków</w:t>
      </w:r>
      <w:r w:rsidR="00987740">
        <w:rPr>
          <w:rFonts w:ascii="Times New Roman" w:hAnsi="Times New Roman" w:cs="Times New Roman"/>
          <w:sz w:val="24"/>
          <w:szCs w:val="24"/>
        </w:rPr>
        <w:t xml:space="preserve"> </w:t>
      </w:r>
      <w:r w:rsidR="00061CB5" w:rsidRPr="000431F7">
        <w:rPr>
          <w:rFonts w:ascii="Times New Roman" w:hAnsi="Times New Roman" w:cs="Times New Roman"/>
          <w:sz w:val="24"/>
          <w:szCs w:val="24"/>
        </w:rPr>
        <w:t>będzie możliwa dopiero po zakończeniu obsługi incydentu, w związku z którym dane zostały pozyskane, lub po zakończeniu obsługi incydentu, do której te dane są niezbędne</w:t>
      </w:r>
      <w:r w:rsidR="00694217" w:rsidRPr="000431F7">
        <w:rPr>
          <w:rFonts w:ascii="Times New Roman" w:hAnsi="Times New Roman" w:cs="Times New Roman"/>
          <w:sz w:val="24"/>
          <w:szCs w:val="24"/>
        </w:rPr>
        <w:t xml:space="preserve">. Przepis ten ma na celu dostosowanie zasad przetwarzania danych osobowych w omawianym zakresie z </w:t>
      </w:r>
      <w:r w:rsidR="00DC5BFF" w:rsidRPr="000431F7">
        <w:rPr>
          <w:rFonts w:ascii="Times New Roman" w:hAnsi="Times New Roman" w:cs="Times New Roman"/>
          <w:sz w:val="24"/>
          <w:szCs w:val="24"/>
        </w:rPr>
        <w:t xml:space="preserve">do </w:t>
      </w:r>
      <w:r w:rsidR="00694217" w:rsidRPr="000431F7">
        <w:rPr>
          <w:rFonts w:ascii="Times New Roman" w:hAnsi="Times New Roman" w:cs="Times New Roman"/>
          <w:sz w:val="24"/>
          <w:szCs w:val="24"/>
        </w:rPr>
        <w:t>przepis</w:t>
      </w:r>
      <w:r w:rsidR="00DC5BFF" w:rsidRPr="000431F7">
        <w:rPr>
          <w:rFonts w:ascii="Times New Roman" w:hAnsi="Times New Roman" w:cs="Times New Roman"/>
          <w:sz w:val="24"/>
          <w:szCs w:val="24"/>
        </w:rPr>
        <w:t>ów</w:t>
      </w:r>
      <w:r w:rsidR="00694217" w:rsidRPr="000431F7">
        <w:rPr>
          <w:rFonts w:ascii="Times New Roman" w:hAnsi="Times New Roman" w:cs="Times New Roman"/>
          <w:sz w:val="24"/>
          <w:szCs w:val="24"/>
        </w:rPr>
        <w:t xml:space="preserve"> </w:t>
      </w:r>
      <w:r w:rsidRPr="000431F7">
        <w:rPr>
          <w:rFonts w:ascii="Times New Roman" w:hAnsi="Times New Roman" w:cs="Times New Roman"/>
          <w:sz w:val="24"/>
          <w:szCs w:val="24"/>
        </w:rPr>
        <w:t xml:space="preserve">ustawy o krajowym systemie </w:t>
      </w:r>
      <w:proofErr w:type="spellStart"/>
      <w:r w:rsidRPr="000431F7">
        <w:rPr>
          <w:rFonts w:ascii="Times New Roman" w:hAnsi="Times New Roman" w:cs="Times New Roman"/>
          <w:sz w:val="24"/>
          <w:szCs w:val="24"/>
        </w:rPr>
        <w:t>cyberbezpieczeństwa</w:t>
      </w:r>
      <w:proofErr w:type="spellEnd"/>
      <w:r w:rsidR="00694217" w:rsidRPr="000431F7">
        <w:rPr>
          <w:rFonts w:ascii="Times New Roman" w:hAnsi="Times New Roman" w:cs="Times New Roman"/>
          <w:sz w:val="24"/>
          <w:szCs w:val="24"/>
        </w:rPr>
        <w:t xml:space="preserve"> (art. 39 ust. 8 tej ustawy)</w:t>
      </w:r>
      <w:r w:rsidRPr="000431F7">
        <w:rPr>
          <w:rFonts w:ascii="Times New Roman" w:hAnsi="Times New Roman" w:cs="Times New Roman"/>
          <w:sz w:val="24"/>
          <w:szCs w:val="24"/>
        </w:rPr>
        <w:t>, w odni</w:t>
      </w:r>
      <w:r w:rsidR="006F65DF" w:rsidRPr="000431F7">
        <w:rPr>
          <w:rFonts w:ascii="Times New Roman" w:hAnsi="Times New Roman" w:cs="Times New Roman"/>
          <w:sz w:val="24"/>
          <w:szCs w:val="24"/>
        </w:rPr>
        <w:t>e</w:t>
      </w:r>
      <w:r w:rsidRPr="000431F7">
        <w:rPr>
          <w:rFonts w:ascii="Times New Roman" w:hAnsi="Times New Roman" w:cs="Times New Roman"/>
          <w:sz w:val="24"/>
          <w:szCs w:val="24"/>
        </w:rPr>
        <w:t xml:space="preserve">sieniu do danych </w:t>
      </w:r>
      <w:r w:rsidR="00694217" w:rsidRPr="000431F7">
        <w:rPr>
          <w:rFonts w:ascii="Times New Roman" w:hAnsi="Times New Roman" w:cs="Times New Roman"/>
          <w:sz w:val="24"/>
          <w:szCs w:val="24"/>
        </w:rPr>
        <w:t xml:space="preserve">osobowych przetwarzanych w związku </w:t>
      </w:r>
      <w:r w:rsidRPr="000431F7">
        <w:rPr>
          <w:rFonts w:ascii="Times New Roman" w:hAnsi="Times New Roman" w:cs="Times New Roman"/>
          <w:sz w:val="24"/>
          <w:szCs w:val="24"/>
        </w:rPr>
        <w:t xml:space="preserve">z poważnymi incydentami związanymi z ICT w rozumieniu art. 3 pkt 10 rozporządzenia 2022/2554 i znaczącymi </w:t>
      </w:r>
      <w:proofErr w:type="spellStart"/>
      <w:r w:rsidRPr="000431F7">
        <w:rPr>
          <w:rFonts w:ascii="Times New Roman" w:hAnsi="Times New Roman" w:cs="Times New Roman"/>
          <w:sz w:val="24"/>
          <w:szCs w:val="24"/>
        </w:rPr>
        <w:t>cyberzagrożeniami</w:t>
      </w:r>
      <w:proofErr w:type="spellEnd"/>
      <w:r w:rsidRPr="000431F7">
        <w:rPr>
          <w:rFonts w:ascii="Times New Roman" w:hAnsi="Times New Roman" w:cs="Times New Roman"/>
          <w:sz w:val="24"/>
          <w:szCs w:val="24"/>
        </w:rPr>
        <w:t xml:space="preserve"> w rozumieniu art. 3 pkt 13 rozporządzenia 2022/2554</w:t>
      </w:r>
      <w:r w:rsidR="00694217" w:rsidRPr="000431F7">
        <w:rPr>
          <w:rFonts w:ascii="Times New Roman" w:hAnsi="Times New Roman" w:cs="Times New Roman"/>
          <w:sz w:val="24"/>
          <w:szCs w:val="24"/>
        </w:rPr>
        <w:t xml:space="preserve">, które przetwarzane będą także w ramach przepisów </w:t>
      </w:r>
      <w:r w:rsidRPr="000431F7">
        <w:rPr>
          <w:rFonts w:ascii="Times New Roman" w:hAnsi="Times New Roman" w:cs="Times New Roman"/>
          <w:sz w:val="24"/>
          <w:szCs w:val="24"/>
        </w:rPr>
        <w:t xml:space="preserve">ustawy o krajowym systemie </w:t>
      </w:r>
      <w:proofErr w:type="spellStart"/>
      <w:r w:rsidRPr="000431F7">
        <w:rPr>
          <w:rFonts w:ascii="Times New Roman" w:hAnsi="Times New Roman" w:cs="Times New Roman"/>
          <w:sz w:val="24"/>
          <w:szCs w:val="24"/>
        </w:rPr>
        <w:t>cyberbezpieczeństwa</w:t>
      </w:r>
      <w:proofErr w:type="spellEnd"/>
      <w:r w:rsidRPr="000431F7">
        <w:rPr>
          <w:rFonts w:ascii="Times New Roman" w:hAnsi="Times New Roman" w:cs="Times New Roman"/>
          <w:sz w:val="24"/>
          <w:szCs w:val="24"/>
        </w:rPr>
        <w:t xml:space="preserve"> </w:t>
      </w:r>
      <w:r w:rsidR="00694217" w:rsidRPr="000431F7">
        <w:rPr>
          <w:rFonts w:ascii="Times New Roman" w:hAnsi="Times New Roman" w:cs="Times New Roman"/>
          <w:sz w:val="24"/>
          <w:szCs w:val="24"/>
        </w:rPr>
        <w:t>(</w:t>
      </w:r>
      <w:r w:rsidR="00694217" w:rsidRPr="000431F7">
        <w:rPr>
          <w:rFonts w:ascii="Times New Roman" w:hAnsi="Times New Roman" w:cs="Times New Roman"/>
          <w:i/>
          <w:sz w:val="24"/>
          <w:szCs w:val="24"/>
        </w:rPr>
        <w:t>vide</w:t>
      </w:r>
      <w:r w:rsidR="00694217" w:rsidRPr="000431F7">
        <w:rPr>
          <w:rFonts w:ascii="Times New Roman" w:hAnsi="Times New Roman" w:cs="Times New Roman"/>
          <w:sz w:val="24"/>
          <w:szCs w:val="24"/>
        </w:rPr>
        <w:t xml:space="preserve"> art. 19 ust. 6 rozporządzenia 2022/2554</w:t>
      </w:r>
      <w:r w:rsidRPr="000431F7">
        <w:rPr>
          <w:rFonts w:ascii="Times New Roman" w:hAnsi="Times New Roman" w:cs="Times New Roman"/>
          <w:sz w:val="24"/>
          <w:szCs w:val="24"/>
        </w:rPr>
        <w:t xml:space="preserve">). </w:t>
      </w:r>
    </w:p>
    <w:p w14:paraId="1FB9A3A8" w14:textId="1592D15B" w:rsidR="00EC6C43" w:rsidRPr="000431F7" w:rsidRDefault="00215ED4" w:rsidP="004742CC">
      <w:pPr>
        <w:pStyle w:val="ZARTzmartartykuempunktem"/>
        <w:spacing w:before="120"/>
        <w:ind w:left="0" w:firstLine="0"/>
        <w:rPr>
          <w:rFonts w:ascii="Times New Roman" w:hAnsi="Times New Roman" w:cs="Times New Roman"/>
          <w:szCs w:val="24"/>
        </w:rPr>
      </w:pPr>
      <w:r w:rsidRPr="000431F7">
        <w:rPr>
          <w:rFonts w:ascii="Times New Roman" w:hAnsi="Times New Roman" w:cs="Times New Roman"/>
          <w:szCs w:val="24"/>
        </w:rPr>
        <w:t xml:space="preserve">Art. </w:t>
      </w:r>
      <w:r w:rsidR="00D268A4" w:rsidRPr="000431F7">
        <w:rPr>
          <w:rFonts w:ascii="Times New Roman" w:hAnsi="Times New Roman" w:cs="Times New Roman"/>
          <w:szCs w:val="24"/>
        </w:rPr>
        <w:t>8</w:t>
      </w:r>
      <w:r w:rsidRPr="000431F7">
        <w:rPr>
          <w:rFonts w:ascii="Times New Roman" w:hAnsi="Times New Roman" w:cs="Times New Roman"/>
          <w:szCs w:val="24"/>
        </w:rPr>
        <w:t xml:space="preserve"> pkt </w:t>
      </w:r>
      <w:r w:rsidR="002213EE" w:rsidRPr="000431F7">
        <w:rPr>
          <w:rFonts w:ascii="Times New Roman" w:hAnsi="Times New Roman" w:cs="Times New Roman"/>
          <w:szCs w:val="24"/>
        </w:rPr>
        <w:t>5</w:t>
      </w:r>
      <w:r w:rsidRPr="000431F7">
        <w:rPr>
          <w:rFonts w:ascii="Times New Roman" w:hAnsi="Times New Roman" w:cs="Times New Roman"/>
          <w:szCs w:val="24"/>
        </w:rPr>
        <w:t xml:space="preserve"> wprowadza zmiany w art. 17cc ustawy o nadzorze nad rynkiem finansowym, który w obowiązującym stanie prawnym </w:t>
      </w:r>
      <w:r w:rsidR="00EC6C43" w:rsidRPr="000431F7">
        <w:rPr>
          <w:rFonts w:ascii="Times New Roman" w:hAnsi="Times New Roman" w:cs="Times New Roman"/>
          <w:szCs w:val="24"/>
        </w:rPr>
        <w:t>wskazuje, że w zakresie niezbędnym do wykonywania zadania, o którym mowa w art. 4 ust. 1 pkt 3b, KNF może przekazywać informacje, w tym chronione na podstawie odrębnych ustaw, podmiotowi podlegającemu nadzorowi KNF, jeżeli ich przekazanie jest niezbędne do podjęcia przez ten podmiot działań polegających na przeciwdziałaniu zagrożeniom w zakresie bezpieczeństwa systemów teleinformatycznych, w rozumieniu art. 3 pkt 3 ustawy z dnia 17 lutego 2005 r. o informatyzacji działalności podmiotów realizujących zadania publiczne</w:t>
      </w:r>
      <w:r w:rsidRPr="000431F7">
        <w:rPr>
          <w:rFonts w:ascii="Times New Roman" w:hAnsi="Times New Roman" w:cs="Times New Roman"/>
          <w:szCs w:val="24"/>
        </w:rPr>
        <w:t xml:space="preserve">. </w:t>
      </w:r>
      <w:r w:rsidR="006F65DF" w:rsidRPr="000431F7">
        <w:rPr>
          <w:rFonts w:ascii="Times New Roman" w:hAnsi="Times New Roman" w:cs="Times New Roman"/>
          <w:szCs w:val="24"/>
        </w:rPr>
        <w:t xml:space="preserve">Należy podkreślić, że dotychczasowe zadania </w:t>
      </w:r>
      <w:r w:rsidR="00964638" w:rsidRPr="000431F7">
        <w:rPr>
          <w:rFonts w:ascii="Times New Roman" w:hAnsi="Times New Roman" w:cs="Times New Roman"/>
          <w:szCs w:val="24"/>
        </w:rPr>
        <w:t xml:space="preserve">i uprawnienia </w:t>
      </w:r>
      <w:r w:rsidR="006F65DF" w:rsidRPr="000431F7">
        <w:rPr>
          <w:rFonts w:ascii="Times New Roman" w:hAnsi="Times New Roman" w:cs="Times New Roman"/>
          <w:szCs w:val="24"/>
        </w:rPr>
        <w:t xml:space="preserve">KNF w zakresie bezpieczeństwa systemów teleinformatycznych w rozumieniu art. 3 pkt 3 ustawy z dnia 17 lutego 2005 r. o informatyzacji działalności podmiotów realizujących zadania publiczne, </w:t>
      </w:r>
      <w:r w:rsidR="00EC6C43" w:rsidRPr="000431F7">
        <w:rPr>
          <w:rFonts w:ascii="Times New Roman" w:hAnsi="Times New Roman" w:cs="Times New Roman"/>
          <w:szCs w:val="24"/>
        </w:rPr>
        <w:t xml:space="preserve">w zakresie publicznych systemów teleinformatycznych, w tym służących do wymiany danych z podmiotami niebędącymi organami administracji rządowej, </w:t>
      </w:r>
      <w:r w:rsidR="006F65DF" w:rsidRPr="000431F7">
        <w:rPr>
          <w:rFonts w:ascii="Times New Roman" w:hAnsi="Times New Roman" w:cs="Times New Roman"/>
          <w:szCs w:val="24"/>
        </w:rPr>
        <w:t xml:space="preserve">pozostają bez zmian. </w:t>
      </w:r>
    </w:p>
    <w:p w14:paraId="5406FBBC" w14:textId="2190A36B" w:rsidR="00BE667E" w:rsidRPr="000431F7" w:rsidRDefault="00215ED4" w:rsidP="004742CC">
      <w:pPr>
        <w:spacing w:before="120" w:after="0" w:line="360" w:lineRule="auto"/>
        <w:jc w:val="both"/>
        <w:rPr>
          <w:rFonts w:ascii="Times New Roman" w:hAnsi="Times New Roman" w:cs="Times New Roman"/>
          <w:sz w:val="24"/>
          <w:szCs w:val="24"/>
        </w:rPr>
      </w:pPr>
      <w:r w:rsidRPr="000431F7">
        <w:rPr>
          <w:rFonts w:ascii="Times New Roman" w:hAnsi="Times New Roman" w:cs="Times New Roman"/>
          <w:sz w:val="24"/>
          <w:szCs w:val="24"/>
        </w:rPr>
        <w:t>Proponuje się uzupełnienie art. 17cc ust. 1 ustawy o nadzorze nad rynkiem finansowym</w:t>
      </w:r>
      <w:r w:rsidR="00BE667E" w:rsidRPr="000431F7">
        <w:rPr>
          <w:rFonts w:ascii="Times New Roman" w:hAnsi="Times New Roman" w:cs="Times New Roman"/>
          <w:sz w:val="24"/>
          <w:szCs w:val="24"/>
        </w:rPr>
        <w:t xml:space="preserve"> </w:t>
      </w:r>
      <w:r w:rsidR="00853A87" w:rsidRPr="000431F7">
        <w:rPr>
          <w:rFonts w:ascii="Times New Roman" w:hAnsi="Times New Roman" w:cs="Times New Roman"/>
          <w:sz w:val="24"/>
          <w:szCs w:val="24"/>
        </w:rPr>
        <w:t xml:space="preserve">w </w:t>
      </w:r>
      <w:r w:rsidRPr="000431F7">
        <w:rPr>
          <w:rFonts w:ascii="Times New Roman" w:hAnsi="Times New Roman" w:cs="Times New Roman"/>
          <w:sz w:val="24"/>
          <w:szCs w:val="24"/>
        </w:rPr>
        <w:t xml:space="preserve">celu </w:t>
      </w:r>
      <w:r w:rsidR="00853A87" w:rsidRPr="000431F7">
        <w:rPr>
          <w:rFonts w:ascii="Times New Roman" w:hAnsi="Times New Roman" w:cs="Times New Roman"/>
          <w:sz w:val="24"/>
          <w:szCs w:val="24"/>
        </w:rPr>
        <w:t>zapewnienia</w:t>
      </w:r>
      <w:r w:rsidRPr="000431F7">
        <w:rPr>
          <w:rFonts w:ascii="Times New Roman" w:hAnsi="Times New Roman" w:cs="Times New Roman"/>
          <w:sz w:val="24"/>
          <w:szCs w:val="24"/>
        </w:rPr>
        <w:t xml:space="preserve"> możliwości przekazywania przez KNF informacji,</w:t>
      </w:r>
      <w:r w:rsidR="00853A87" w:rsidRPr="000431F7">
        <w:rPr>
          <w:rFonts w:ascii="Times New Roman" w:hAnsi="Times New Roman" w:cs="Times New Roman"/>
          <w:sz w:val="24"/>
          <w:szCs w:val="24"/>
        </w:rPr>
        <w:t xml:space="preserve"> w tym chronionych na podstawie odrębnych ustaw, podmiotowi podlegającemu nadzorowi K</w:t>
      </w:r>
      <w:r w:rsidR="00BE667E" w:rsidRPr="000431F7">
        <w:rPr>
          <w:rFonts w:ascii="Times New Roman" w:hAnsi="Times New Roman" w:cs="Times New Roman"/>
          <w:sz w:val="24"/>
          <w:szCs w:val="24"/>
        </w:rPr>
        <w:t>NF</w:t>
      </w:r>
      <w:r w:rsidR="00853A87" w:rsidRPr="000431F7">
        <w:rPr>
          <w:rFonts w:ascii="Times New Roman" w:hAnsi="Times New Roman" w:cs="Times New Roman"/>
          <w:sz w:val="24"/>
          <w:szCs w:val="24"/>
        </w:rPr>
        <w:t xml:space="preserve">, jeżeli ich przekazanie jest niezbędne do podjęcia przez ten podmiot działań polegających na przeciwdziałaniu </w:t>
      </w:r>
      <w:proofErr w:type="spellStart"/>
      <w:r w:rsidR="002A68F1" w:rsidRPr="000431F7">
        <w:rPr>
          <w:rFonts w:ascii="Times New Roman" w:hAnsi="Times New Roman" w:cs="Times New Roman"/>
          <w:sz w:val="24"/>
          <w:szCs w:val="24"/>
        </w:rPr>
        <w:t>cyber</w:t>
      </w:r>
      <w:r w:rsidR="00853A87" w:rsidRPr="000431F7">
        <w:rPr>
          <w:rFonts w:ascii="Times New Roman" w:hAnsi="Times New Roman" w:cs="Times New Roman"/>
          <w:sz w:val="24"/>
          <w:szCs w:val="24"/>
        </w:rPr>
        <w:t>zagrożeniom</w:t>
      </w:r>
      <w:proofErr w:type="spellEnd"/>
      <w:r w:rsidR="00853A87" w:rsidRPr="000431F7">
        <w:rPr>
          <w:rFonts w:ascii="Times New Roman" w:hAnsi="Times New Roman" w:cs="Times New Roman"/>
          <w:sz w:val="24"/>
          <w:szCs w:val="24"/>
        </w:rPr>
        <w:t xml:space="preserve"> w zakresie bezpieczeństwa sieci i systemów informatycznych w rozumieniu </w:t>
      </w:r>
      <w:r w:rsidR="002A68F1" w:rsidRPr="000431F7">
        <w:rPr>
          <w:rFonts w:ascii="Times New Roman" w:hAnsi="Times New Roman" w:cs="Times New Roman"/>
          <w:sz w:val="24"/>
          <w:szCs w:val="24"/>
        </w:rPr>
        <w:t xml:space="preserve">art. 3 pkt 4 </w:t>
      </w:r>
      <w:r w:rsidR="00853A87" w:rsidRPr="000431F7">
        <w:rPr>
          <w:rFonts w:ascii="Times New Roman" w:hAnsi="Times New Roman" w:cs="Times New Roman"/>
          <w:sz w:val="24"/>
          <w:szCs w:val="24"/>
        </w:rPr>
        <w:t>rozporządzenia 2022/2554.</w:t>
      </w:r>
    </w:p>
    <w:p w14:paraId="142C9D7E" w14:textId="4224F866" w:rsidR="00215ED4" w:rsidRPr="000431F7" w:rsidRDefault="002A68F1" w:rsidP="004742CC">
      <w:pPr>
        <w:spacing w:before="120" w:after="0" w:line="360" w:lineRule="auto"/>
        <w:jc w:val="both"/>
        <w:rPr>
          <w:rFonts w:ascii="Times New Roman" w:hAnsi="Times New Roman" w:cs="Times New Roman"/>
          <w:sz w:val="24"/>
          <w:szCs w:val="24"/>
        </w:rPr>
      </w:pPr>
      <w:r w:rsidRPr="000431F7">
        <w:rPr>
          <w:rFonts w:ascii="Times New Roman" w:hAnsi="Times New Roman" w:cs="Times New Roman"/>
          <w:sz w:val="24"/>
          <w:szCs w:val="24"/>
        </w:rPr>
        <w:lastRenderedPageBreak/>
        <w:t xml:space="preserve">Dodatkowo zmiany wprowadzane w </w:t>
      </w:r>
      <w:r w:rsidR="00215ED4" w:rsidRPr="000431F7">
        <w:rPr>
          <w:rFonts w:ascii="Times New Roman" w:hAnsi="Times New Roman" w:cs="Times New Roman"/>
          <w:sz w:val="24"/>
          <w:szCs w:val="24"/>
        </w:rPr>
        <w:t xml:space="preserve">art. 17cc ust. </w:t>
      </w:r>
      <w:r w:rsidRPr="000431F7">
        <w:rPr>
          <w:rFonts w:ascii="Times New Roman" w:hAnsi="Times New Roman" w:cs="Times New Roman"/>
          <w:sz w:val="24"/>
          <w:szCs w:val="24"/>
        </w:rPr>
        <w:t>2</w:t>
      </w:r>
      <w:r w:rsidR="00215ED4" w:rsidRPr="000431F7">
        <w:rPr>
          <w:rFonts w:ascii="Times New Roman" w:hAnsi="Times New Roman" w:cs="Times New Roman"/>
          <w:sz w:val="24"/>
          <w:szCs w:val="24"/>
        </w:rPr>
        <w:t xml:space="preserve"> ustawy o nadzorze nad rynkiem finansowym ma</w:t>
      </w:r>
      <w:r w:rsidRPr="000431F7">
        <w:rPr>
          <w:rFonts w:ascii="Times New Roman" w:hAnsi="Times New Roman" w:cs="Times New Roman"/>
          <w:sz w:val="24"/>
          <w:szCs w:val="24"/>
        </w:rPr>
        <w:t>ją</w:t>
      </w:r>
      <w:r w:rsidR="00215ED4" w:rsidRPr="000431F7">
        <w:rPr>
          <w:rFonts w:ascii="Times New Roman" w:hAnsi="Times New Roman" w:cs="Times New Roman"/>
          <w:sz w:val="24"/>
          <w:szCs w:val="24"/>
        </w:rPr>
        <w:t xml:space="preserve"> na celu rozszerzenie możliwości pozyskiwania przez KNF informacji, dokumentów lub wyjaśnień w</w:t>
      </w:r>
      <w:r w:rsidR="00777487" w:rsidRPr="000431F7">
        <w:rPr>
          <w:rFonts w:ascii="Times New Roman" w:hAnsi="Times New Roman" w:cs="Times New Roman"/>
          <w:sz w:val="24"/>
          <w:szCs w:val="24"/>
        </w:rPr>
        <w:t> </w:t>
      </w:r>
      <w:r w:rsidR="00215ED4" w:rsidRPr="000431F7">
        <w:rPr>
          <w:rFonts w:ascii="Times New Roman" w:hAnsi="Times New Roman" w:cs="Times New Roman"/>
          <w:sz w:val="24"/>
          <w:szCs w:val="24"/>
        </w:rPr>
        <w:t>zakresie niezbędnym do wykonywania zadania, o którym mowa w art. 4 ust. 1 pkt 3</w:t>
      </w:r>
      <w:r w:rsidRPr="000431F7">
        <w:rPr>
          <w:rFonts w:ascii="Times New Roman" w:hAnsi="Times New Roman" w:cs="Times New Roman"/>
          <w:sz w:val="24"/>
          <w:szCs w:val="24"/>
        </w:rPr>
        <w:t>b</w:t>
      </w:r>
      <w:r w:rsidR="00215ED4" w:rsidRPr="000431F7">
        <w:rPr>
          <w:rFonts w:ascii="Times New Roman" w:hAnsi="Times New Roman" w:cs="Times New Roman"/>
          <w:sz w:val="24"/>
          <w:szCs w:val="24"/>
        </w:rPr>
        <w:t xml:space="preserve">, co uwzględnia </w:t>
      </w:r>
      <w:r w:rsidR="005C1926" w:rsidRPr="000431F7">
        <w:rPr>
          <w:rFonts w:ascii="Times New Roman" w:hAnsi="Times New Roman" w:cs="Times New Roman"/>
          <w:sz w:val="24"/>
          <w:szCs w:val="24"/>
        </w:rPr>
        <w:t xml:space="preserve">wdrożenie </w:t>
      </w:r>
      <w:r w:rsidR="00215ED4" w:rsidRPr="000431F7">
        <w:rPr>
          <w:rFonts w:ascii="Times New Roman" w:hAnsi="Times New Roman" w:cs="Times New Roman"/>
          <w:sz w:val="24"/>
          <w:szCs w:val="24"/>
        </w:rPr>
        <w:t>przepisów rozporządzenia</w:t>
      </w:r>
      <w:r w:rsidR="00DC5BFF" w:rsidRPr="000431F7">
        <w:rPr>
          <w:rFonts w:ascii="Times New Roman" w:hAnsi="Times New Roman" w:cs="Times New Roman"/>
          <w:sz w:val="24"/>
          <w:szCs w:val="24"/>
        </w:rPr>
        <w:t xml:space="preserve"> 2022/2554</w:t>
      </w:r>
      <w:r w:rsidR="005C1926" w:rsidRPr="000431F7">
        <w:rPr>
          <w:rFonts w:ascii="Times New Roman" w:hAnsi="Times New Roman" w:cs="Times New Roman"/>
          <w:sz w:val="24"/>
          <w:szCs w:val="24"/>
        </w:rPr>
        <w:t>,</w:t>
      </w:r>
      <w:r w:rsidR="00215ED4" w:rsidRPr="000431F7">
        <w:rPr>
          <w:rFonts w:ascii="Times New Roman" w:hAnsi="Times New Roman" w:cs="Times New Roman"/>
          <w:sz w:val="24"/>
          <w:szCs w:val="24"/>
        </w:rPr>
        <w:t xml:space="preserve"> upoważniających właściwe organy do pozyskiwania stosownych informacji w celu zapewnienia przestrzegania postanowień </w:t>
      </w:r>
      <w:r w:rsidR="00DC5BFF" w:rsidRPr="000431F7">
        <w:rPr>
          <w:rFonts w:ascii="Times New Roman" w:hAnsi="Times New Roman" w:cs="Times New Roman"/>
          <w:sz w:val="24"/>
          <w:szCs w:val="24"/>
        </w:rPr>
        <w:t xml:space="preserve">tego </w:t>
      </w:r>
      <w:r w:rsidR="00215ED4" w:rsidRPr="000431F7">
        <w:rPr>
          <w:rFonts w:ascii="Times New Roman" w:hAnsi="Times New Roman" w:cs="Times New Roman"/>
          <w:sz w:val="24"/>
          <w:szCs w:val="24"/>
        </w:rPr>
        <w:t>rozporządzenia. Wskazanie podstawy prawnej do żądania od podmiotu podlegającego nadzorowi KNF informacji, dokumentów lub wyjaśnień, w zakresie określonym w przepisach rozporządzenia 2022/2554, jest konieczne dla zapewnienia stosowania przepisów rozporządzenia wskazujących, że podmioty finansowe przedstawiają określone informacje, dokumenty etc. na żądanie organu właściwego w rozumieniu art. 46 rozporządzenia 2022/2554</w:t>
      </w:r>
      <w:r w:rsidR="005C1926" w:rsidRPr="000431F7">
        <w:rPr>
          <w:rFonts w:ascii="Times New Roman" w:hAnsi="Times New Roman" w:cs="Times New Roman"/>
          <w:sz w:val="24"/>
          <w:szCs w:val="24"/>
        </w:rPr>
        <w:t>, dotyczy to</w:t>
      </w:r>
      <w:r w:rsidR="00215ED4" w:rsidRPr="000431F7">
        <w:rPr>
          <w:rFonts w:ascii="Times New Roman" w:hAnsi="Times New Roman" w:cs="Times New Roman"/>
          <w:sz w:val="24"/>
          <w:szCs w:val="24"/>
        </w:rPr>
        <w:t xml:space="preserve"> np. art. 6 ust. 3 i 5, art. 11 ust. 10, art.</w:t>
      </w:r>
      <w:r w:rsidR="00540746">
        <w:rPr>
          <w:rFonts w:ascii="Times New Roman" w:hAnsi="Times New Roman" w:cs="Times New Roman"/>
          <w:sz w:val="24"/>
          <w:szCs w:val="24"/>
        </w:rPr>
        <w:t> </w:t>
      </w:r>
      <w:r w:rsidR="00215ED4" w:rsidRPr="000431F7">
        <w:rPr>
          <w:rFonts w:ascii="Times New Roman" w:hAnsi="Times New Roman" w:cs="Times New Roman"/>
          <w:sz w:val="24"/>
          <w:szCs w:val="24"/>
        </w:rPr>
        <w:t>13 ust. 2 akapit 2</w:t>
      </w:r>
      <w:r w:rsidR="00964638" w:rsidRPr="000431F7">
        <w:rPr>
          <w:rFonts w:ascii="Times New Roman" w:hAnsi="Times New Roman" w:cs="Times New Roman"/>
          <w:sz w:val="24"/>
          <w:szCs w:val="24"/>
        </w:rPr>
        <w:t xml:space="preserve"> rozporządzenia 2022/2554</w:t>
      </w:r>
      <w:r w:rsidR="00215ED4" w:rsidRPr="000431F7">
        <w:rPr>
          <w:rFonts w:ascii="Times New Roman" w:hAnsi="Times New Roman" w:cs="Times New Roman"/>
          <w:sz w:val="24"/>
          <w:szCs w:val="24"/>
        </w:rPr>
        <w:t xml:space="preserve">. </w:t>
      </w:r>
    </w:p>
    <w:p w14:paraId="0E225FFF" w14:textId="40CBCA1C" w:rsidR="00215ED4" w:rsidRPr="000431F7" w:rsidRDefault="00215ED4" w:rsidP="004742CC">
      <w:pPr>
        <w:tabs>
          <w:tab w:val="left" w:pos="426"/>
        </w:tabs>
        <w:spacing w:before="120" w:after="0" w:line="360" w:lineRule="auto"/>
        <w:jc w:val="both"/>
        <w:rPr>
          <w:rFonts w:ascii="Times New Roman" w:hAnsi="Times New Roman" w:cs="Times New Roman"/>
          <w:b/>
          <w:bCs/>
          <w:sz w:val="24"/>
          <w:szCs w:val="24"/>
        </w:rPr>
      </w:pPr>
      <w:r w:rsidRPr="000431F7">
        <w:rPr>
          <w:rFonts w:ascii="Times New Roman" w:hAnsi="Times New Roman" w:cs="Times New Roman"/>
          <w:sz w:val="24"/>
          <w:szCs w:val="24"/>
        </w:rPr>
        <w:t>●</w:t>
      </w:r>
      <w:r w:rsidR="00B66E01">
        <w:rPr>
          <w:rFonts w:ascii="Times New Roman" w:hAnsi="Times New Roman" w:cs="Times New Roman"/>
          <w:sz w:val="24"/>
          <w:szCs w:val="24"/>
        </w:rPr>
        <w:tab/>
      </w:r>
      <w:r w:rsidRPr="000431F7">
        <w:rPr>
          <w:rFonts w:ascii="Times New Roman" w:hAnsi="Times New Roman" w:cs="Times New Roman"/>
          <w:b/>
          <w:bCs/>
          <w:sz w:val="24"/>
          <w:szCs w:val="24"/>
        </w:rPr>
        <w:t xml:space="preserve">szczegółowe regulacje dotyczące nadzoru nad podmiotami finansowymi w zakresie zapewnienia operacyjnej odporności cyfrowej sektora finansowego (art. </w:t>
      </w:r>
      <w:r w:rsidR="00D268A4" w:rsidRPr="000431F7">
        <w:rPr>
          <w:rFonts w:ascii="Times New Roman" w:hAnsi="Times New Roman" w:cs="Times New Roman"/>
          <w:b/>
          <w:bCs/>
          <w:sz w:val="24"/>
          <w:szCs w:val="24"/>
        </w:rPr>
        <w:t>8</w:t>
      </w:r>
      <w:r w:rsidRPr="000431F7">
        <w:rPr>
          <w:rFonts w:ascii="Times New Roman" w:hAnsi="Times New Roman" w:cs="Times New Roman"/>
          <w:b/>
          <w:bCs/>
          <w:sz w:val="24"/>
          <w:szCs w:val="24"/>
        </w:rPr>
        <w:t xml:space="preserve"> pkt </w:t>
      </w:r>
      <w:r w:rsidR="00D268A4" w:rsidRPr="000431F7">
        <w:rPr>
          <w:rFonts w:ascii="Times New Roman" w:hAnsi="Times New Roman" w:cs="Times New Roman"/>
          <w:b/>
          <w:bCs/>
          <w:sz w:val="24"/>
          <w:szCs w:val="24"/>
        </w:rPr>
        <w:t>6</w:t>
      </w:r>
      <w:r w:rsidR="00A93715" w:rsidRPr="000431F7">
        <w:rPr>
          <w:rFonts w:ascii="Times New Roman" w:hAnsi="Times New Roman" w:cs="Times New Roman"/>
          <w:b/>
          <w:bCs/>
          <w:sz w:val="24"/>
          <w:szCs w:val="24"/>
        </w:rPr>
        <w:t>: projektowane art. 18za–18z</w:t>
      </w:r>
      <w:r w:rsidR="00063F39" w:rsidRPr="000431F7">
        <w:rPr>
          <w:rFonts w:ascii="Times New Roman" w:hAnsi="Times New Roman" w:cs="Times New Roman"/>
          <w:b/>
          <w:bCs/>
          <w:sz w:val="24"/>
          <w:szCs w:val="24"/>
        </w:rPr>
        <w:t>o</w:t>
      </w:r>
      <w:r w:rsidRPr="000431F7">
        <w:rPr>
          <w:rFonts w:ascii="Times New Roman" w:hAnsi="Times New Roman" w:cs="Times New Roman"/>
          <w:b/>
          <w:bCs/>
          <w:sz w:val="24"/>
          <w:szCs w:val="24"/>
        </w:rPr>
        <w:t>)</w:t>
      </w:r>
    </w:p>
    <w:p w14:paraId="57C9738E" w14:textId="17447104" w:rsidR="00215ED4" w:rsidRPr="000431F7" w:rsidRDefault="00215ED4" w:rsidP="004742CC">
      <w:pPr>
        <w:pStyle w:val="ZROZDZODDZPRZEDMzmprzedmrozdzoddzartykuempunktem"/>
        <w:spacing w:after="0"/>
        <w:ind w:left="0"/>
        <w:jc w:val="both"/>
        <w:rPr>
          <w:rFonts w:ascii="Times New Roman" w:hAnsi="Times New Roman"/>
        </w:rPr>
      </w:pPr>
      <w:r w:rsidRPr="000431F7">
        <w:rPr>
          <w:rFonts w:ascii="Times New Roman" w:hAnsi="Times New Roman"/>
        </w:rPr>
        <w:t xml:space="preserve">Art. </w:t>
      </w:r>
      <w:r w:rsidR="00D268A4" w:rsidRPr="000431F7">
        <w:rPr>
          <w:rFonts w:ascii="Times New Roman" w:hAnsi="Times New Roman"/>
        </w:rPr>
        <w:t>8</w:t>
      </w:r>
      <w:r w:rsidRPr="000431F7">
        <w:rPr>
          <w:rFonts w:ascii="Times New Roman" w:hAnsi="Times New Roman"/>
        </w:rPr>
        <w:t xml:space="preserve"> pkt </w:t>
      </w:r>
      <w:r w:rsidR="00D268A4" w:rsidRPr="000431F7">
        <w:rPr>
          <w:rFonts w:ascii="Times New Roman" w:hAnsi="Times New Roman"/>
        </w:rPr>
        <w:t>6</w:t>
      </w:r>
      <w:r w:rsidRPr="000431F7">
        <w:rPr>
          <w:rFonts w:ascii="Times New Roman" w:hAnsi="Times New Roman"/>
        </w:rPr>
        <w:t xml:space="preserve"> projektu wprowadza do ustawy o nadzorze nad rynkiem finansowym rozdział 2c pt. „Nadzór </w:t>
      </w:r>
      <w:r w:rsidR="00063F39" w:rsidRPr="000431F7">
        <w:rPr>
          <w:rFonts w:ascii="Times New Roman" w:hAnsi="Times New Roman"/>
        </w:rPr>
        <w:t xml:space="preserve">i </w:t>
      </w:r>
      <w:r w:rsidR="00115A2D" w:rsidRPr="000431F7">
        <w:rPr>
          <w:rFonts w:ascii="Times New Roman" w:hAnsi="Times New Roman"/>
        </w:rPr>
        <w:t>obowiązki</w:t>
      </w:r>
      <w:r w:rsidRPr="000431F7">
        <w:rPr>
          <w:rFonts w:ascii="Times New Roman" w:hAnsi="Times New Roman"/>
        </w:rPr>
        <w:t xml:space="preserve"> </w:t>
      </w:r>
      <w:r w:rsidR="00CB3FF7" w:rsidRPr="000431F7">
        <w:rPr>
          <w:rFonts w:ascii="Times New Roman" w:hAnsi="Times New Roman"/>
        </w:rPr>
        <w:t xml:space="preserve">w </w:t>
      </w:r>
      <w:r w:rsidRPr="000431F7">
        <w:rPr>
          <w:rFonts w:ascii="Times New Roman" w:hAnsi="Times New Roman"/>
        </w:rPr>
        <w:t>zakresie zapewnienia operacyjnej odporności cyfrowej sektora finansowego” (</w:t>
      </w:r>
      <w:bookmarkStart w:id="12" w:name="_Hlk177649670"/>
      <w:r w:rsidRPr="000431F7">
        <w:rPr>
          <w:rFonts w:ascii="Times New Roman" w:hAnsi="Times New Roman"/>
        </w:rPr>
        <w:t>projektowane art. 18za–18z</w:t>
      </w:r>
      <w:r w:rsidR="00063F39" w:rsidRPr="000431F7">
        <w:rPr>
          <w:rFonts w:ascii="Times New Roman" w:hAnsi="Times New Roman"/>
        </w:rPr>
        <w:t>o</w:t>
      </w:r>
      <w:bookmarkEnd w:id="12"/>
      <w:r w:rsidRPr="000431F7">
        <w:rPr>
          <w:rFonts w:ascii="Times New Roman" w:hAnsi="Times New Roman"/>
        </w:rPr>
        <w:t xml:space="preserve">), w którym zostaną umieszczone przepisy szczegółowo regulujące kompetencje i zadania KNF wynikające z rozporządzenia 2022/2554, w szczególności zapewniające wdrożenie art. 26, art. 42 oraz art. 50 i </w:t>
      </w:r>
      <w:r w:rsidR="00540746">
        <w:rPr>
          <w:rFonts w:ascii="Times New Roman" w:hAnsi="Times New Roman"/>
        </w:rPr>
        <w:t xml:space="preserve">art. </w:t>
      </w:r>
      <w:r w:rsidRPr="000431F7">
        <w:rPr>
          <w:rFonts w:ascii="Times New Roman" w:hAnsi="Times New Roman"/>
        </w:rPr>
        <w:t xml:space="preserve">51. </w:t>
      </w:r>
    </w:p>
    <w:p w14:paraId="6662F815" w14:textId="37B0670B" w:rsidR="00215ED4" w:rsidRPr="000431F7" w:rsidRDefault="00215ED4" w:rsidP="004742CC">
      <w:pPr>
        <w:pStyle w:val="ZARTzmartartykuempunktem"/>
        <w:numPr>
          <w:ilvl w:val="0"/>
          <w:numId w:val="10"/>
        </w:numPr>
        <w:tabs>
          <w:tab w:val="left" w:pos="426"/>
        </w:tabs>
        <w:spacing w:before="120"/>
        <w:ind w:left="0" w:firstLine="0"/>
        <w:rPr>
          <w:rFonts w:ascii="Times New Roman" w:hAnsi="Times New Roman" w:cs="Times New Roman"/>
          <w:b/>
          <w:bCs/>
          <w:szCs w:val="24"/>
        </w:rPr>
      </w:pPr>
      <w:r w:rsidRPr="000431F7">
        <w:rPr>
          <w:rFonts w:ascii="Times New Roman" w:hAnsi="Times New Roman" w:cs="Times New Roman"/>
          <w:b/>
          <w:bCs/>
          <w:szCs w:val="24"/>
        </w:rPr>
        <w:t>kontrola działalności podmiotów finansowych, w zakresie zapewnienia operacyjnej odporności cyfrowej sektora finansowego</w:t>
      </w:r>
    </w:p>
    <w:p w14:paraId="0FF99BB9" w14:textId="2CD20D18" w:rsidR="00063F39" w:rsidRPr="000431F7" w:rsidRDefault="00063F39" w:rsidP="004742CC">
      <w:pPr>
        <w:pStyle w:val="ZARTzmartartykuempunktem"/>
        <w:spacing w:before="120"/>
        <w:ind w:left="0" w:firstLine="0"/>
        <w:rPr>
          <w:rFonts w:ascii="Times New Roman" w:hAnsi="Times New Roman" w:cs="Times New Roman"/>
          <w:szCs w:val="24"/>
        </w:rPr>
      </w:pPr>
      <w:r w:rsidRPr="000431F7">
        <w:rPr>
          <w:rFonts w:ascii="Times New Roman" w:hAnsi="Times New Roman" w:cs="Times New Roman"/>
          <w:szCs w:val="24"/>
        </w:rPr>
        <w:t xml:space="preserve">W celu zapewnienia przejrzystości regulacji definicja podmiotu finansowego, odsyłająca do art. 2 ust. 2 rozporządzenia 2022/2554, została umieszczona w projektowanym art. 18za. Przepis ten określa także zakres </w:t>
      </w:r>
      <w:proofErr w:type="spellStart"/>
      <w:r w:rsidRPr="000431F7">
        <w:rPr>
          <w:rFonts w:ascii="Times New Roman" w:hAnsi="Times New Roman" w:cs="Times New Roman"/>
          <w:szCs w:val="24"/>
        </w:rPr>
        <w:t>wyłączeń</w:t>
      </w:r>
      <w:proofErr w:type="spellEnd"/>
      <w:r w:rsidRPr="000431F7">
        <w:rPr>
          <w:rFonts w:ascii="Times New Roman" w:hAnsi="Times New Roman" w:cs="Times New Roman"/>
          <w:szCs w:val="24"/>
        </w:rPr>
        <w:t xml:space="preserve"> ze stosowania rozporządzenia 2022/2554, wskazując na podmioty finansowe, o których mowa w art. 2 ust. 3 rozporządzenia 2022/2554.</w:t>
      </w:r>
      <w:r w:rsidR="00F21EE5" w:rsidRPr="000431F7">
        <w:rPr>
          <w:rFonts w:ascii="Times New Roman" w:hAnsi="Times New Roman" w:cs="Times New Roman"/>
          <w:szCs w:val="24"/>
        </w:rPr>
        <w:t xml:space="preserve"> </w:t>
      </w:r>
    </w:p>
    <w:p w14:paraId="2DB6269A" w14:textId="44080EC8" w:rsidR="009374E0" w:rsidRPr="000431F7" w:rsidRDefault="00215ED4" w:rsidP="004742CC">
      <w:pPr>
        <w:pStyle w:val="ZPKTzmpktartykuempunktem"/>
        <w:spacing w:before="120"/>
        <w:ind w:left="0" w:firstLine="0"/>
        <w:rPr>
          <w:rFonts w:ascii="Times New Roman" w:hAnsi="Times New Roman" w:cs="Times New Roman"/>
          <w:szCs w:val="24"/>
        </w:rPr>
      </w:pPr>
      <w:r w:rsidRPr="000431F7">
        <w:rPr>
          <w:rFonts w:ascii="Times New Roman" w:hAnsi="Times New Roman" w:cs="Times New Roman"/>
          <w:szCs w:val="24"/>
        </w:rPr>
        <w:t>W tym miejscu należy również wskazać, że ustawodawca krajowy nie zdecydował się na wdrożenie do polskiego porządku prawnego wyłączenia, o którym mowa w art. 2 ust. 4 rozporządzenia 2022/2554, tj. wyłączenia podmiotów,</w:t>
      </w:r>
      <w:r w:rsidRPr="000431F7">
        <w:rPr>
          <w:rFonts w:ascii="Times New Roman" w:hAnsi="Times New Roman" w:cs="Times New Roman"/>
          <w:color w:val="000000"/>
          <w:szCs w:val="24"/>
          <w:shd w:val="clear" w:color="auto" w:fill="FFFFFF"/>
        </w:rPr>
        <w:t xml:space="preserve"> o których mowa w art. 2 ust. 5 pkt 4–23 dyrektywy 2013/36/UE, mających siedzibę na ich odpowiednich terytoriach. W polskim systemie prawnym ww. podmiotom odpowiadają </w:t>
      </w:r>
      <w:r w:rsidRPr="000431F7">
        <w:rPr>
          <w:rFonts w:ascii="Times New Roman" w:hAnsi="Times New Roman" w:cs="Times New Roman"/>
          <w:szCs w:val="24"/>
        </w:rPr>
        <w:t>spółdzielcze kasy oszczędnościowo</w:t>
      </w:r>
      <w:r w:rsidR="00540746">
        <w:noBreakHyphen/>
      </w:r>
      <w:r w:rsidRPr="000431F7">
        <w:rPr>
          <w:rFonts w:ascii="Times New Roman" w:hAnsi="Times New Roman" w:cs="Times New Roman"/>
          <w:szCs w:val="24"/>
        </w:rPr>
        <w:t xml:space="preserve">kredytowe w rozumieniu ustawy z dnia 5 listopada 2009 r. o spółdzielczych </w:t>
      </w:r>
      <w:r w:rsidRPr="000431F7">
        <w:rPr>
          <w:rFonts w:ascii="Times New Roman" w:hAnsi="Times New Roman" w:cs="Times New Roman"/>
          <w:szCs w:val="24"/>
        </w:rPr>
        <w:lastRenderedPageBreak/>
        <w:t>kasach oszczędnościowo</w:t>
      </w:r>
      <w:r w:rsidR="00987740">
        <w:rPr>
          <w:rFonts w:ascii="Times New Roman" w:hAnsi="Times New Roman" w:cs="Times New Roman"/>
          <w:szCs w:val="24"/>
        </w:rPr>
        <w:t>-</w:t>
      </w:r>
      <w:r w:rsidRPr="000431F7">
        <w:rPr>
          <w:rFonts w:ascii="Times New Roman" w:hAnsi="Times New Roman" w:cs="Times New Roman"/>
          <w:szCs w:val="24"/>
        </w:rPr>
        <w:t>kredytowych</w:t>
      </w:r>
      <w:r w:rsidR="0024523A" w:rsidRPr="000431F7">
        <w:rPr>
          <w:rFonts w:ascii="Times New Roman" w:hAnsi="Times New Roman" w:cs="Times New Roman"/>
          <w:szCs w:val="24"/>
        </w:rPr>
        <w:t xml:space="preserve"> oraz </w:t>
      </w:r>
      <w:r w:rsidR="00D36DA0" w:rsidRPr="000431F7">
        <w:rPr>
          <w:rFonts w:ascii="Times New Roman" w:hAnsi="Times New Roman" w:cs="Times New Roman"/>
          <w:szCs w:val="24"/>
        </w:rPr>
        <w:t>banki państwowe</w:t>
      </w:r>
      <w:r w:rsidR="00540746">
        <w:rPr>
          <w:rFonts w:ascii="Times New Roman" w:hAnsi="Times New Roman" w:cs="Times New Roman"/>
          <w:szCs w:val="24"/>
        </w:rPr>
        <w:t>,</w:t>
      </w:r>
      <w:r w:rsidR="00D36DA0" w:rsidRPr="000431F7">
        <w:rPr>
          <w:rFonts w:ascii="Times New Roman" w:hAnsi="Times New Roman" w:cs="Times New Roman"/>
          <w:szCs w:val="24"/>
        </w:rPr>
        <w:t xml:space="preserve"> tj. </w:t>
      </w:r>
      <w:r w:rsidR="00E776FD" w:rsidRPr="000431F7">
        <w:rPr>
          <w:rFonts w:ascii="Times New Roman" w:hAnsi="Times New Roman" w:cs="Times New Roman"/>
          <w:szCs w:val="24"/>
        </w:rPr>
        <w:t>BGK</w:t>
      </w:r>
      <w:r w:rsidRPr="000431F7">
        <w:rPr>
          <w:rFonts w:ascii="Times New Roman" w:hAnsi="Times New Roman" w:cs="Times New Roman"/>
          <w:szCs w:val="24"/>
        </w:rPr>
        <w:t>. Z uwagi na zakres działalności ww. podmiotów</w:t>
      </w:r>
      <w:r w:rsidR="009374E0" w:rsidRPr="000431F7">
        <w:rPr>
          <w:rFonts w:ascii="Times New Roman" w:hAnsi="Times New Roman" w:cs="Times New Roman"/>
          <w:szCs w:val="24"/>
        </w:rPr>
        <w:t xml:space="preserve"> wskazana jest rezygnacja z zastosowania opcji narodowe</w:t>
      </w:r>
      <w:r w:rsidR="00BB10B7" w:rsidRPr="000431F7">
        <w:rPr>
          <w:rFonts w:ascii="Times New Roman" w:hAnsi="Times New Roman" w:cs="Times New Roman"/>
          <w:szCs w:val="24"/>
        </w:rPr>
        <w:t>j</w:t>
      </w:r>
      <w:r w:rsidR="009374E0" w:rsidRPr="000431F7">
        <w:rPr>
          <w:rFonts w:ascii="Times New Roman" w:hAnsi="Times New Roman" w:cs="Times New Roman"/>
          <w:szCs w:val="24"/>
        </w:rPr>
        <w:t>, o której mowa w art. 2 ust. 4.</w:t>
      </w:r>
      <w:r w:rsidR="00987740">
        <w:rPr>
          <w:rFonts w:ascii="Times New Roman" w:hAnsi="Times New Roman" w:cs="Times New Roman"/>
          <w:szCs w:val="24"/>
        </w:rPr>
        <w:t xml:space="preserve"> </w:t>
      </w:r>
    </w:p>
    <w:p w14:paraId="2788E82A" w14:textId="35BB6863" w:rsidR="00215ED4" w:rsidRPr="000431F7" w:rsidRDefault="009374E0" w:rsidP="004742CC">
      <w:pPr>
        <w:pStyle w:val="ZPKTzmpktartykuempunktem"/>
        <w:spacing w:before="120"/>
        <w:ind w:left="0" w:firstLine="0"/>
        <w:rPr>
          <w:rFonts w:ascii="Times New Roman" w:hAnsi="Times New Roman" w:cs="Times New Roman"/>
          <w:szCs w:val="24"/>
        </w:rPr>
      </w:pPr>
      <w:r w:rsidRPr="000431F7">
        <w:rPr>
          <w:rFonts w:ascii="Times New Roman" w:hAnsi="Times New Roman" w:cs="Times New Roman"/>
          <w:szCs w:val="24"/>
        </w:rPr>
        <w:t xml:space="preserve">W przypadku działalności </w:t>
      </w:r>
      <w:r w:rsidR="00E776FD" w:rsidRPr="000431F7">
        <w:rPr>
          <w:rFonts w:ascii="Times New Roman" w:hAnsi="Times New Roman" w:cs="Times New Roman"/>
          <w:szCs w:val="24"/>
        </w:rPr>
        <w:t>spółdzielczych kas oszczędnościowo</w:t>
      </w:r>
      <w:r w:rsidR="00987740">
        <w:rPr>
          <w:rFonts w:ascii="Times New Roman" w:hAnsi="Times New Roman" w:cs="Times New Roman"/>
          <w:szCs w:val="24"/>
        </w:rPr>
        <w:t>-</w:t>
      </w:r>
      <w:r w:rsidR="00E776FD" w:rsidRPr="000431F7">
        <w:rPr>
          <w:rFonts w:ascii="Times New Roman" w:hAnsi="Times New Roman" w:cs="Times New Roman"/>
          <w:szCs w:val="24"/>
        </w:rPr>
        <w:t>kredytowych (</w:t>
      </w:r>
      <w:r w:rsidRPr="000431F7">
        <w:rPr>
          <w:rFonts w:ascii="Times New Roman" w:hAnsi="Times New Roman" w:cs="Times New Roman"/>
          <w:szCs w:val="24"/>
        </w:rPr>
        <w:t>SKOK</w:t>
      </w:r>
      <w:r w:rsidR="00E776FD" w:rsidRPr="000431F7">
        <w:rPr>
          <w:rFonts w:ascii="Times New Roman" w:hAnsi="Times New Roman" w:cs="Times New Roman"/>
          <w:szCs w:val="24"/>
        </w:rPr>
        <w:t>)</w:t>
      </w:r>
      <w:r w:rsidRPr="000431F7">
        <w:rPr>
          <w:rFonts w:ascii="Times New Roman" w:hAnsi="Times New Roman" w:cs="Times New Roman"/>
          <w:szCs w:val="24"/>
        </w:rPr>
        <w:t xml:space="preserve"> należy podkreślić, że </w:t>
      </w:r>
      <w:r w:rsidR="00215ED4" w:rsidRPr="000431F7">
        <w:rPr>
          <w:rFonts w:ascii="Times New Roman" w:hAnsi="Times New Roman" w:cs="Times New Roman"/>
          <w:szCs w:val="24"/>
        </w:rPr>
        <w:t>określony art. 3 ustawy</w:t>
      </w:r>
      <w:r w:rsidRPr="000431F7">
        <w:rPr>
          <w:rFonts w:ascii="Times New Roman" w:hAnsi="Times New Roman" w:cs="Times New Roman"/>
          <w:szCs w:val="24"/>
        </w:rPr>
        <w:t xml:space="preserve"> </w:t>
      </w:r>
      <w:r w:rsidR="0062322C" w:rsidRPr="000431F7">
        <w:rPr>
          <w:rFonts w:ascii="Times New Roman" w:hAnsi="Times New Roman" w:cs="Times New Roman"/>
          <w:szCs w:val="24"/>
        </w:rPr>
        <w:t xml:space="preserve">z dnia 5 listopada 2009 r. </w:t>
      </w:r>
      <w:r w:rsidRPr="000431F7">
        <w:rPr>
          <w:rFonts w:ascii="Times New Roman" w:hAnsi="Times New Roman" w:cs="Times New Roman"/>
          <w:szCs w:val="24"/>
        </w:rPr>
        <w:t>o spółdzielczych kasach oszczędnościowo-kredytowych</w:t>
      </w:r>
      <w:r w:rsidR="00215ED4" w:rsidRPr="000431F7">
        <w:rPr>
          <w:rFonts w:ascii="Times New Roman" w:hAnsi="Times New Roman" w:cs="Times New Roman"/>
          <w:szCs w:val="24"/>
        </w:rPr>
        <w:t xml:space="preserve"> </w:t>
      </w:r>
      <w:r w:rsidRPr="000431F7">
        <w:rPr>
          <w:rFonts w:ascii="Times New Roman" w:hAnsi="Times New Roman" w:cs="Times New Roman"/>
          <w:szCs w:val="24"/>
        </w:rPr>
        <w:t xml:space="preserve">zakres czynności, </w:t>
      </w:r>
      <w:r w:rsidR="00215ED4" w:rsidRPr="000431F7">
        <w:rPr>
          <w:rFonts w:ascii="Times New Roman" w:hAnsi="Times New Roman" w:cs="Times New Roman"/>
          <w:szCs w:val="24"/>
        </w:rPr>
        <w:t xml:space="preserve">który obejmuje gromadzenie środków pieniężnych wyłącznie swoich członków, udzielanie im pożyczek i kredytów, przeprowadzanie na ich zlecenie rozliczeń finansowych oraz wykonywanie dystrybucji ubezpieczeń na zasadach określonych w ustawie z dnia 15 grudnia 2017 r. o dystrybucji ubezpieczeń, wyłączenie tych podmiotów z zakresu stosowania wdrażanego rozporządzenia 2022/2554, a co za tym idzie, kontroli, nie wydaje się zasadne, ponieważ zakres czynności </w:t>
      </w:r>
      <w:r w:rsidR="00E776FD" w:rsidRPr="000431F7">
        <w:rPr>
          <w:rFonts w:ascii="Times New Roman" w:hAnsi="Times New Roman" w:cs="Times New Roman"/>
          <w:szCs w:val="24"/>
        </w:rPr>
        <w:t>SKOK</w:t>
      </w:r>
      <w:r w:rsidR="00215ED4" w:rsidRPr="000431F7">
        <w:rPr>
          <w:rFonts w:ascii="Times New Roman" w:hAnsi="Times New Roman" w:cs="Times New Roman"/>
          <w:szCs w:val="24"/>
        </w:rPr>
        <w:t xml:space="preserve"> jest zbliżony do zakresu czynności innych podmiotów finansowych</w:t>
      </w:r>
      <w:r w:rsidR="001346AC">
        <w:rPr>
          <w:rFonts w:ascii="Times New Roman" w:hAnsi="Times New Roman" w:cs="Times New Roman"/>
          <w:szCs w:val="24"/>
        </w:rPr>
        <w:t>,</w:t>
      </w:r>
      <w:r w:rsidR="00215ED4" w:rsidRPr="000431F7">
        <w:rPr>
          <w:rFonts w:ascii="Times New Roman" w:hAnsi="Times New Roman" w:cs="Times New Roman"/>
          <w:szCs w:val="24"/>
        </w:rPr>
        <w:t xml:space="preserve"> np. banków, które zostały objęte zakresem regulacji rozporządzenia i obarczone są podobnym ryzykiem. </w:t>
      </w:r>
      <w:r w:rsidRPr="000431F7">
        <w:rPr>
          <w:rFonts w:ascii="Times New Roman" w:hAnsi="Times New Roman" w:cs="Times New Roman"/>
          <w:szCs w:val="24"/>
        </w:rPr>
        <w:t xml:space="preserve">Należy wskazać, </w:t>
      </w:r>
      <w:r w:rsidR="001346AC">
        <w:rPr>
          <w:rFonts w:ascii="Times New Roman" w:hAnsi="Times New Roman" w:cs="Times New Roman"/>
          <w:szCs w:val="24"/>
        </w:rPr>
        <w:t xml:space="preserve">że </w:t>
      </w:r>
      <w:r w:rsidRPr="000431F7">
        <w:rPr>
          <w:rFonts w:ascii="Times New Roman" w:hAnsi="Times New Roman" w:cs="Times New Roman"/>
          <w:szCs w:val="24"/>
        </w:rPr>
        <w:t>w dotychczasowym stanie prawnym SKOK</w:t>
      </w:r>
      <w:r w:rsidR="00E776FD" w:rsidRPr="000431F7">
        <w:rPr>
          <w:rFonts w:ascii="Times New Roman" w:hAnsi="Times New Roman" w:cs="Times New Roman"/>
          <w:szCs w:val="24"/>
        </w:rPr>
        <w:t>-</w:t>
      </w:r>
      <w:r w:rsidRPr="000431F7">
        <w:rPr>
          <w:rFonts w:ascii="Times New Roman" w:hAnsi="Times New Roman" w:cs="Times New Roman"/>
          <w:szCs w:val="24"/>
        </w:rPr>
        <w:t xml:space="preserve">i są wymienione w załączniku 1 do ustawy o krajowym systemie </w:t>
      </w:r>
      <w:proofErr w:type="spellStart"/>
      <w:r w:rsidRPr="000431F7">
        <w:rPr>
          <w:rFonts w:ascii="Times New Roman" w:hAnsi="Times New Roman" w:cs="Times New Roman"/>
          <w:szCs w:val="24"/>
        </w:rPr>
        <w:t>cyberbezpieczeństwa</w:t>
      </w:r>
      <w:proofErr w:type="spellEnd"/>
      <w:r w:rsidRPr="000431F7">
        <w:rPr>
          <w:rFonts w:ascii="Times New Roman" w:hAnsi="Times New Roman" w:cs="Times New Roman"/>
          <w:szCs w:val="24"/>
        </w:rPr>
        <w:t xml:space="preserve"> jako podmioty objęte regulacją</w:t>
      </w:r>
      <w:r w:rsidR="00116C25" w:rsidRPr="000431F7">
        <w:rPr>
          <w:rFonts w:ascii="Times New Roman" w:hAnsi="Times New Roman" w:cs="Times New Roman"/>
          <w:szCs w:val="24"/>
        </w:rPr>
        <w:t xml:space="preserve"> </w:t>
      </w:r>
      <w:r w:rsidRPr="000431F7">
        <w:rPr>
          <w:rFonts w:ascii="Times New Roman" w:hAnsi="Times New Roman" w:cs="Times New Roman"/>
          <w:szCs w:val="24"/>
        </w:rPr>
        <w:t>tej ustawy</w:t>
      </w:r>
      <w:r w:rsidR="00116C25" w:rsidRPr="000431F7">
        <w:rPr>
          <w:rFonts w:ascii="Times New Roman" w:hAnsi="Times New Roman" w:cs="Times New Roman"/>
          <w:szCs w:val="24"/>
        </w:rPr>
        <w:t>. W</w:t>
      </w:r>
      <w:r w:rsidRPr="000431F7">
        <w:rPr>
          <w:rFonts w:ascii="Times New Roman" w:hAnsi="Times New Roman" w:cs="Times New Roman"/>
          <w:szCs w:val="24"/>
        </w:rPr>
        <w:t xml:space="preserve"> przypadku nowej regulacji dyrektywy 2022/2555, </w:t>
      </w:r>
      <w:r w:rsidR="00116C25" w:rsidRPr="000431F7">
        <w:rPr>
          <w:rFonts w:ascii="Times New Roman" w:hAnsi="Times New Roman" w:cs="Times New Roman"/>
          <w:szCs w:val="24"/>
        </w:rPr>
        <w:t>część SKOK</w:t>
      </w:r>
      <w:r w:rsidR="00E776FD" w:rsidRPr="000431F7">
        <w:rPr>
          <w:rFonts w:ascii="Times New Roman" w:hAnsi="Times New Roman" w:cs="Times New Roman"/>
          <w:szCs w:val="24"/>
        </w:rPr>
        <w:t>-</w:t>
      </w:r>
      <w:r w:rsidR="00116C25" w:rsidRPr="000431F7">
        <w:rPr>
          <w:rFonts w:ascii="Times New Roman" w:hAnsi="Times New Roman" w:cs="Times New Roman"/>
          <w:szCs w:val="24"/>
        </w:rPr>
        <w:t xml:space="preserve">ów </w:t>
      </w:r>
      <w:r w:rsidRPr="000431F7">
        <w:rPr>
          <w:rFonts w:ascii="Times New Roman" w:hAnsi="Times New Roman" w:cs="Times New Roman"/>
          <w:szCs w:val="24"/>
        </w:rPr>
        <w:t>spełni kryteria kwalifikacji art. 3 tej dyrektywy, jako podmioty kluczowe</w:t>
      </w:r>
      <w:r w:rsidR="001346AC">
        <w:rPr>
          <w:rFonts w:ascii="Times New Roman" w:hAnsi="Times New Roman" w:cs="Times New Roman"/>
          <w:szCs w:val="24"/>
        </w:rPr>
        <w:t>,</w:t>
      </w:r>
      <w:r w:rsidR="00116C25" w:rsidRPr="000431F7">
        <w:rPr>
          <w:rFonts w:ascii="Times New Roman" w:hAnsi="Times New Roman" w:cs="Times New Roman"/>
          <w:szCs w:val="24"/>
        </w:rPr>
        <w:t xml:space="preserve"> tj. objęte zakresem regulacji ww. </w:t>
      </w:r>
      <w:r w:rsidR="00964638" w:rsidRPr="000431F7">
        <w:rPr>
          <w:rFonts w:ascii="Times New Roman" w:hAnsi="Times New Roman" w:cs="Times New Roman"/>
          <w:szCs w:val="24"/>
        </w:rPr>
        <w:t>dyrektywy</w:t>
      </w:r>
      <w:r w:rsidRPr="000431F7">
        <w:rPr>
          <w:rFonts w:ascii="Times New Roman" w:hAnsi="Times New Roman" w:cs="Times New Roman"/>
          <w:szCs w:val="24"/>
        </w:rPr>
        <w:t xml:space="preserve">. </w:t>
      </w:r>
    </w:p>
    <w:p w14:paraId="46148365" w14:textId="471A6AB5" w:rsidR="00D13833" w:rsidRPr="000431F7" w:rsidRDefault="009374E0" w:rsidP="004742CC">
      <w:pPr>
        <w:pStyle w:val="ZUSTzmustartykuempunktem"/>
        <w:spacing w:before="120"/>
        <w:ind w:left="0" w:firstLine="0"/>
        <w:rPr>
          <w:rFonts w:ascii="Times New Roman" w:hAnsi="Times New Roman" w:cs="Times New Roman"/>
          <w:szCs w:val="24"/>
        </w:rPr>
      </w:pPr>
      <w:r w:rsidRPr="000431F7">
        <w:rPr>
          <w:rFonts w:ascii="Times New Roman" w:hAnsi="Times New Roman" w:cs="Times New Roman"/>
          <w:szCs w:val="24"/>
        </w:rPr>
        <w:t xml:space="preserve">Z uwagi na powyższe, </w:t>
      </w:r>
      <w:r w:rsidR="00116C25" w:rsidRPr="000431F7">
        <w:rPr>
          <w:rFonts w:ascii="Times New Roman" w:hAnsi="Times New Roman" w:cs="Times New Roman"/>
          <w:szCs w:val="24"/>
        </w:rPr>
        <w:t>kierując</w:t>
      </w:r>
      <w:r w:rsidR="00722EF7" w:rsidRPr="000431F7">
        <w:rPr>
          <w:rFonts w:ascii="Times New Roman" w:hAnsi="Times New Roman" w:cs="Times New Roman"/>
          <w:szCs w:val="24"/>
        </w:rPr>
        <w:t xml:space="preserve"> </w:t>
      </w:r>
      <w:r w:rsidR="00116C25" w:rsidRPr="000431F7">
        <w:rPr>
          <w:rFonts w:ascii="Times New Roman" w:hAnsi="Times New Roman" w:cs="Times New Roman"/>
          <w:szCs w:val="24"/>
        </w:rPr>
        <w:t>się także, jako wskazówką interpretacyjną</w:t>
      </w:r>
      <w:r w:rsidR="00A93715" w:rsidRPr="000431F7">
        <w:rPr>
          <w:rFonts w:ascii="Times New Roman" w:hAnsi="Times New Roman" w:cs="Times New Roman"/>
          <w:szCs w:val="24"/>
        </w:rPr>
        <w:t>,</w:t>
      </w:r>
      <w:r w:rsidR="00116C25" w:rsidRPr="000431F7">
        <w:rPr>
          <w:rFonts w:ascii="Times New Roman" w:hAnsi="Times New Roman" w:cs="Times New Roman"/>
          <w:szCs w:val="24"/>
        </w:rPr>
        <w:t xml:space="preserve"> </w:t>
      </w:r>
      <w:r w:rsidRPr="000431F7">
        <w:rPr>
          <w:rFonts w:ascii="Times New Roman" w:hAnsi="Times New Roman" w:cs="Times New Roman"/>
          <w:szCs w:val="24"/>
        </w:rPr>
        <w:t>zasad</w:t>
      </w:r>
      <w:r w:rsidR="00116C25" w:rsidRPr="000431F7">
        <w:rPr>
          <w:rFonts w:ascii="Times New Roman" w:hAnsi="Times New Roman" w:cs="Times New Roman"/>
          <w:szCs w:val="24"/>
        </w:rPr>
        <w:t xml:space="preserve">ą </w:t>
      </w:r>
      <w:r w:rsidRPr="000431F7">
        <w:rPr>
          <w:rFonts w:ascii="Times New Roman" w:hAnsi="Times New Roman" w:cs="Times New Roman"/>
          <w:szCs w:val="24"/>
        </w:rPr>
        <w:t xml:space="preserve">równoważności </w:t>
      </w:r>
      <w:r w:rsidR="00116C25" w:rsidRPr="000431F7">
        <w:rPr>
          <w:rFonts w:ascii="Times New Roman" w:hAnsi="Times New Roman" w:cs="Times New Roman"/>
          <w:szCs w:val="24"/>
        </w:rPr>
        <w:t xml:space="preserve">wymogów, </w:t>
      </w:r>
      <w:r w:rsidRPr="000431F7">
        <w:rPr>
          <w:rFonts w:ascii="Times New Roman" w:hAnsi="Times New Roman" w:cs="Times New Roman"/>
          <w:szCs w:val="24"/>
        </w:rPr>
        <w:t xml:space="preserve">wyrażoną w art. 4 dyrektywy 2022/2555, zgodnie z którą </w:t>
      </w:r>
      <w:r w:rsidRPr="000431F7">
        <w:rPr>
          <w:rFonts w:ascii="Times New Roman" w:hAnsi="Times New Roman" w:cs="Times New Roman"/>
          <w:color w:val="000000"/>
          <w:szCs w:val="24"/>
          <w:shd w:val="clear" w:color="auto" w:fill="FFFFFF"/>
        </w:rPr>
        <w:t xml:space="preserve">w przypadku </w:t>
      </w:r>
      <w:r w:rsidR="00116C25" w:rsidRPr="000431F7">
        <w:rPr>
          <w:rFonts w:ascii="Times New Roman" w:hAnsi="Times New Roman" w:cs="Times New Roman"/>
          <w:color w:val="000000"/>
          <w:szCs w:val="24"/>
          <w:shd w:val="clear" w:color="auto" w:fill="FFFFFF"/>
        </w:rPr>
        <w:t xml:space="preserve">braku równoważności co do skutku, wymogów w zakresie zarządzania </w:t>
      </w:r>
      <w:r w:rsidR="009D2C7A" w:rsidRPr="000431F7">
        <w:rPr>
          <w:rFonts w:ascii="Times New Roman" w:hAnsi="Times New Roman" w:cs="Times New Roman"/>
          <w:color w:val="000000"/>
          <w:szCs w:val="24"/>
          <w:shd w:val="clear" w:color="auto" w:fill="FFFFFF"/>
        </w:rPr>
        <w:t>ryzyk</w:t>
      </w:r>
      <w:r w:rsidR="00116C25" w:rsidRPr="000431F7">
        <w:rPr>
          <w:rFonts w:ascii="Times New Roman" w:hAnsi="Times New Roman" w:cs="Times New Roman"/>
          <w:color w:val="000000"/>
          <w:szCs w:val="24"/>
          <w:shd w:val="clear" w:color="auto" w:fill="FFFFFF"/>
        </w:rPr>
        <w:t xml:space="preserve">iem lub zgłaszania poważnych incydentów, określonych w </w:t>
      </w:r>
      <w:r w:rsidRPr="000431F7">
        <w:rPr>
          <w:rFonts w:ascii="Times New Roman" w:hAnsi="Times New Roman" w:cs="Times New Roman"/>
          <w:color w:val="000000"/>
          <w:szCs w:val="24"/>
          <w:shd w:val="clear" w:color="auto" w:fill="FFFFFF"/>
        </w:rPr>
        <w:t>sektorowych akt</w:t>
      </w:r>
      <w:r w:rsidR="00116C25" w:rsidRPr="000431F7">
        <w:rPr>
          <w:rFonts w:ascii="Times New Roman" w:hAnsi="Times New Roman" w:cs="Times New Roman"/>
          <w:color w:val="000000"/>
          <w:szCs w:val="24"/>
          <w:shd w:val="clear" w:color="auto" w:fill="FFFFFF"/>
        </w:rPr>
        <w:t xml:space="preserve">ach </w:t>
      </w:r>
      <w:r w:rsidRPr="000431F7">
        <w:rPr>
          <w:rFonts w:ascii="Times New Roman" w:hAnsi="Times New Roman" w:cs="Times New Roman"/>
          <w:color w:val="000000"/>
          <w:szCs w:val="24"/>
          <w:shd w:val="clear" w:color="auto" w:fill="FFFFFF"/>
        </w:rPr>
        <w:t>prawnych U</w:t>
      </w:r>
      <w:r w:rsidR="00E776FD" w:rsidRPr="000431F7">
        <w:rPr>
          <w:rFonts w:ascii="Times New Roman" w:hAnsi="Times New Roman" w:cs="Times New Roman"/>
          <w:color w:val="000000"/>
          <w:szCs w:val="24"/>
          <w:shd w:val="clear" w:color="auto" w:fill="FFFFFF"/>
        </w:rPr>
        <w:t>E</w:t>
      </w:r>
      <w:r w:rsidR="00116C25" w:rsidRPr="000431F7">
        <w:rPr>
          <w:rFonts w:ascii="Times New Roman" w:hAnsi="Times New Roman" w:cs="Times New Roman"/>
          <w:color w:val="000000"/>
          <w:szCs w:val="24"/>
          <w:shd w:val="clear" w:color="auto" w:fill="FFFFFF"/>
        </w:rPr>
        <w:t xml:space="preserve">, w odniesieniu do podmiotów kluczowych i ważnych w rozumieniu art. 3 tej dyrektywy, powinna znaleźć, w tym zakresie, zastosowanie regulacja dyrektywy </w:t>
      </w:r>
      <w:r w:rsidR="00116C25" w:rsidRPr="000431F7">
        <w:rPr>
          <w:rFonts w:ascii="Times New Roman" w:hAnsi="Times New Roman" w:cs="Times New Roman"/>
          <w:szCs w:val="24"/>
        </w:rPr>
        <w:t>2022/2555</w:t>
      </w:r>
      <w:r w:rsidR="00F21EE5" w:rsidRPr="000431F7">
        <w:rPr>
          <w:rFonts w:ascii="Times New Roman" w:hAnsi="Times New Roman" w:cs="Times New Roman"/>
          <w:color w:val="000000"/>
          <w:szCs w:val="24"/>
          <w:shd w:val="clear" w:color="auto" w:fill="FFFFFF"/>
        </w:rPr>
        <w:t xml:space="preserve">. </w:t>
      </w:r>
      <w:r w:rsidR="00CB3FF7" w:rsidRPr="000431F7">
        <w:rPr>
          <w:rFonts w:ascii="Times New Roman" w:hAnsi="Times New Roman" w:cs="Times New Roman"/>
          <w:color w:val="000000"/>
          <w:szCs w:val="24"/>
          <w:shd w:val="clear" w:color="auto" w:fill="FFFFFF"/>
        </w:rPr>
        <w:t>P</w:t>
      </w:r>
      <w:r w:rsidR="00722EF7" w:rsidRPr="000431F7">
        <w:rPr>
          <w:rFonts w:ascii="Times New Roman" w:hAnsi="Times New Roman" w:cs="Times New Roman"/>
          <w:color w:val="000000"/>
          <w:szCs w:val="24"/>
          <w:shd w:val="clear" w:color="auto" w:fill="FFFFFF"/>
        </w:rPr>
        <w:t xml:space="preserve">rojektodawca zdecydował się </w:t>
      </w:r>
      <w:r w:rsidR="00CB3FF7" w:rsidRPr="000431F7">
        <w:rPr>
          <w:rFonts w:ascii="Times New Roman" w:hAnsi="Times New Roman" w:cs="Times New Roman"/>
          <w:color w:val="000000"/>
          <w:szCs w:val="24"/>
          <w:shd w:val="clear" w:color="auto" w:fill="FFFFFF"/>
        </w:rPr>
        <w:t xml:space="preserve">zatem </w:t>
      </w:r>
      <w:r w:rsidR="00722EF7" w:rsidRPr="000431F7">
        <w:rPr>
          <w:rFonts w:ascii="Times New Roman" w:hAnsi="Times New Roman" w:cs="Times New Roman"/>
          <w:color w:val="000000"/>
          <w:szCs w:val="24"/>
          <w:shd w:val="clear" w:color="auto" w:fill="FFFFFF"/>
        </w:rPr>
        <w:t>wprowadzić</w:t>
      </w:r>
      <w:r w:rsidR="00116C25" w:rsidRPr="000431F7">
        <w:rPr>
          <w:rFonts w:ascii="Times New Roman" w:hAnsi="Times New Roman" w:cs="Times New Roman"/>
          <w:color w:val="000000"/>
          <w:szCs w:val="24"/>
          <w:shd w:val="clear" w:color="auto" w:fill="FFFFFF"/>
        </w:rPr>
        <w:t xml:space="preserve"> </w:t>
      </w:r>
      <w:r w:rsidR="00722EF7" w:rsidRPr="000431F7">
        <w:rPr>
          <w:rFonts w:ascii="Times New Roman" w:hAnsi="Times New Roman" w:cs="Times New Roman"/>
          <w:szCs w:val="24"/>
        </w:rPr>
        <w:t xml:space="preserve">projektowany art. </w:t>
      </w:r>
      <w:r w:rsidR="00605555" w:rsidRPr="000431F7">
        <w:rPr>
          <w:rFonts w:ascii="Times New Roman" w:hAnsi="Times New Roman" w:cs="Times New Roman"/>
          <w:szCs w:val="24"/>
        </w:rPr>
        <w:t xml:space="preserve">4a </w:t>
      </w:r>
      <w:r w:rsidR="00CB3FF7" w:rsidRPr="000431F7">
        <w:rPr>
          <w:rFonts w:ascii="Times New Roman" w:hAnsi="Times New Roman" w:cs="Times New Roman"/>
          <w:szCs w:val="24"/>
        </w:rPr>
        <w:t xml:space="preserve">do </w:t>
      </w:r>
      <w:r w:rsidR="00722EF7" w:rsidRPr="000431F7">
        <w:rPr>
          <w:rFonts w:ascii="Times New Roman" w:hAnsi="Times New Roman" w:cs="Times New Roman"/>
          <w:szCs w:val="24"/>
        </w:rPr>
        <w:t xml:space="preserve">ustawy </w:t>
      </w:r>
      <w:r w:rsidR="00E776FD" w:rsidRPr="000431F7">
        <w:rPr>
          <w:rFonts w:ascii="Times New Roman" w:hAnsi="Times New Roman" w:cs="Times New Roman"/>
          <w:szCs w:val="24"/>
        </w:rPr>
        <w:t xml:space="preserve">z dnia 5 listopada 2009 r. </w:t>
      </w:r>
      <w:r w:rsidR="00722EF7" w:rsidRPr="000431F7">
        <w:rPr>
          <w:rFonts w:ascii="Times New Roman" w:hAnsi="Times New Roman" w:cs="Times New Roman"/>
          <w:szCs w:val="24"/>
        </w:rPr>
        <w:t>o spółdzielczych kasach oszczędnościowo-kredytowych</w:t>
      </w:r>
      <w:r w:rsidR="00722EF7" w:rsidRPr="000431F7">
        <w:rPr>
          <w:rFonts w:ascii="Times New Roman" w:hAnsi="Times New Roman" w:cs="Times New Roman"/>
          <w:color w:val="000000"/>
          <w:szCs w:val="24"/>
          <w:shd w:val="clear" w:color="auto" w:fill="FFFFFF"/>
        </w:rPr>
        <w:t>, który rozszerzy zakres obowiązków niektórych SKOK, w stosunku do obowiązków wynikających z rozporządzenia 2022/2554. SKOK</w:t>
      </w:r>
      <w:r w:rsidR="00E776FD" w:rsidRPr="000431F7">
        <w:rPr>
          <w:rFonts w:ascii="Times New Roman" w:hAnsi="Times New Roman" w:cs="Times New Roman"/>
          <w:color w:val="000000"/>
          <w:szCs w:val="24"/>
          <w:shd w:val="clear" w:color="auto" w:fill="FFFFFF"/>
        </w:rPr>
        <w:t>-</w:t>
      </w:r>
      <w:r w:rsidR="00722EF7" w:rsidRPr="000431F7">
        <w:rPr>
          <w:rFonts w:ascii="Times New Roman" w:hAnsi="Times New Roman" w:cs="Times New Roman"/>
          <w:color w:val="000000"/>
          <w:szCs w:val="24"/>
          <w:shd w:val="clear" w:color="auto" w:fill="FFFFFF"/>
        </w:rPr>
        <w:t xml:space="preserve">i, jako podmioty objęte opcjonalnym wyłączeniem art. 2 ust. 4, w zakresie zarządzania </w:t>
      </w:r>
      <w:r w:rsidR="009D2C7A" w:rsidRPr="000431F7">
        <w:rPr>
          <w:rFonts w:ascii="Times New Roman" w:hAnsi="Times New Roman" w:cs="Times New Roman"/>
          <w:color w:val="000000"/>
          <w:szCs w:val="24"/>
          <w:shd w:val="clear" w:color="auto" w:fill="FFFFFF"/>
        </w:rPr>
        <w:t>ryzyk</w:t>
      </w:r>
      <w:r w:rsidR="00722EF7" w:rsidRPr="000431F7">
        <w:rPr>
          <w:rFonts w:ascii="Times New Roman" w:hAnsi="Times New Roman" w:cs="Times New Roman"/>
          <w:color w:val="000000"/>
          <w:szCs w:val="24"/>
          <w:shd w:val="clear" w:color="auto" w:fill="FFFFFF"/>
        </w:rPr>
        <w:t xml:space="preserve">iem, stosują jedynie art. 16 rozporządzenia 2022/2554, stanowiący obowiązki o podstawowym charakterze, co nie wydaje się adekwatne w przypadku podmiotów spełniających kryteria dla podmiotów kluczowych w rozumieniu art. 3 dyrektywy 2022/2555, regulujących zagadnienia z zakresu </w:t>
      </w:r>
      <w:proofErr w:type="spellStart"/>
      <w:r w:rsidR="00722EF7" w:rsidRPr="000431F7">
        <w:rPr>
          <w:rFonts w:ascii="Times New Roman" w:hAnsi="Times New Roman" w:cs="Times New Roman"/>
          <w:color w:val="000000"/>
          <w:szCs w:val="24"/>
          <w:shd w:val="clear" w:color="auto" w:fill="FFFFFF"/>
        </w:rPr>
        <w:t>cyberbezpieczeństwa</w:t>
      </w:r>
      <w:proofErr w:type="spellEnd"/>
      <w:r w:rsidR="00722EF7" w:rsidRPr="000431F7">
        <w:rPr>
          <w:rFonts w:ascii="Times New Roman" w:hAnsi="Times New Roman" w:cs="Times New Roman"/>
          <w:color w:val="000000"/>
          <w:szCs w:val="24"/>
          <w:shd w:val="clear" w:color="auto" w:fill="FFFFFF"/>
        </w:rPr>
        <w:t xml:space="preserve">. </w:t>
      </w:r>
      <w:r w:rsidR="00F21EE5" w:rsidRPr="000431F7">
        <w:rPr>
          <w:rFonts w:ascii="Times New Roman" w:hAnsi="Times New Roman" w:cs="Times New Roman"/>
          <w:szCs w:val="24"/>
        </w:rPr>
        <w:t xml:space="preserve">Analogiczne zmiany wprowadzane są w art. 9 w zakresie BGK. </w:t>
      </w:r>
    </w:p>
    <w:p w14:paraId="6518D9CB" w14:textId="77777777" w:rsidR="00A44AC8" w:rsidRPr="000431F7" w:rsidRDefault="00A44AC8" w:rsidP="004742CC">
      <w:pPr>
        <w:pStyle w:val="ZARTzmartartykuempunktem"/>
        <w:spacing w:before="120"/>
        <w:ind w:left="0" w:firstLine="0"/>
        <w:rPr>
          <w:rFonts w:ascii="Times New Roman" w:hAnsi="Times New Roman" w:cs="Times New Roman"/>
          <w:szCs w:val="24"/>
        </w:rPr>
      </w:pPr>
      <w:r w:rsidRPr="000431F7">
        <w:rPr>
          <w:rFonts w:ascii="Times New Roman" w:hAnsi="Times New Roman" w:cs="Times New Roman"/>
          <w:szCs w:val="24"/>
        </w:rPr>
        <w:lastRenderedPageBreak/>
        <w:t xml:space="preserve">Dodatkowo projektowany art. 18zb wprowadza regulację umożliwiającą, w ramach wykonywania nadzoru, o którym mowa w art. 1 ust. 2 pkt 16, żądanie przez KNF informacji, dokumentów lub wyjaśnień w zakresie określonym w przepisach rozporządzenia 2022/2554. </w:t>
      </w:r>
    </w:p>
    <w:p w14:paraId="5F621250" w14:textId="14D54CB4" w:rsidR="00F21EE5" w:rsidRPr="000431F7" w:rsidRDefault="00F21EE5" w:rsidP="004742CC">
      <w:pPr>
        <w:pStyle w:val="ZARTzmartartykuempunktem"/>
        <w:spacing w:before="120"/>
        <w:ind w:left="0" w:firstLine="0"/>
        <w:rPr>
          <w:rFonts w:ascii="Times New Roman" w:hAnsi="Times New Roman" w:cs="Times New Roman"/>
          <w:szCs w:val="24"/>
        </w:rPr>
      </w:pPr>
      <w:r w:rsidRPr="000431F7">
        <w:rPr>
          <w:rFonts w:ascii="Times New Roman" w:hAnsi="Times New Roman" w:cs="Times New Roman"/>
          <w:szCs w:val="24"/>
        </w:rPr>
        <w:t xml:space="preserve">Projektowany art. 18zc stanowi podstawę do wszczęcia przez KNF kontroli zgodności działalności z przepisami rozporządzenia 2022/2554, w zakresie zapewnienia operacyjnej odporności cyfrowej sektora finansowego w odniesieniu do podmiotów finansowych, o których mowa w projektowanym art. 18za. </w:t>
      </w:r>
    </w:p>
    <w:p w14:paraId="40179007" w14:textId="51DD6828" w:rsidR="00364DC9" w:rsidRPr="000431F7" w:rsidRDefault="00215ED4" w:rsidP="004742CC">
      <w:pPr>
        <w:pStyle w:val="ZPKTzmpktartykuempunktem"/>
        <w:spacing w:before="120"/>
        <w:ind w:left="0" w:firstLine="0"/>
        <w:rPr>
          <w:rFonts w:ascii="Times New Roman" w:hAnsi="Times New Roman" w:cs="Times New Roman"/>
          <w:szCs w:val="24"/>
        </w:rPr>
      </w:pPr>
      <w:r w:rsidRPr="000431F7">
        <w:rPr>
          <w:rFonts w:ascii="Times New Roman" w:hAnsi="Times New Roman" w:cs="Times New Roman"/>
          <w:szCs w:val="24"/>
        </w:rPr>
        <w:t>Ponadto przepis art. 18z</w:t>
      </w:r>
      <w:r w:rsidR="00C21DF9" w:rsidRPr="000431F7">
        <w:rPr>
          <w:rFonts w:ascii="Times New Roman" w:hAnsi="Times New Roman" w:cs="Times New Roman"/>
          <w:szCs w:val="24"/>
        </w:rPr>
        <w:t>c</w:t>
      </w:r>
      <w:r w:rsidRPr="000431F7">
        <w:rPr>
          <w:rFonts w:ascii="Times New Roman" w:hAnsi="Times New Roman" w:cs="Times New Roman"/>
          <w:szCs w:val="24"/>
        </w:rPr>
        <w:t xml:space="preserve"> ustawy o nadzorze nad rynkiem finansowym określi osoby uprawnione do kontroli (art. 18z</w:t>
      </w:r>
      <w:r w:rsidR="00C21DF9" w:rsidRPr="000431F7">
        <w:rPr>
          <w:rFonts w:ascii="Times New Roman" w:hAnsi="Times New Roman" w:cs="Times New Roman"/>
          <w:szCs w:val="24"/>
        </w:rPr>
        <w:t>c</w:t>
      </w:r>
      <w:r w:rsidRPr="000431F7">
        <w:rPr>
          <w:rFonts w:ascii="Times New Roman" w:hAnsi="Times New Roman" w:cs="Times New Roman"/>
          <w:szCs w:val="24"/>
        </w:rPr>
        <w:t xml:space="preserve"> ust.</w:t>
      </w:r>
      <w:r w:rsidR="00840241" w:rsidRPr="000431F7">
        <w:rPr>
          <w:rFonts w:ascii="Times New Roman" w:hAnsi="Times New Roman" w:cs="Times New Roman"/>
          <w:szCs w:val="24"/>
        </w:rPr>
        <w:t xml:space="preserve"> 2</w:t>
      </w:r>
      <w:r w:rsidRPr="000431F7">
        <w:rPr>
          <w:rFonts w:ascii="Times New Roman" w:hAnsi="Times New Roman" w:cs="Times New Roman"/>
          <w:szCs w:val="24"/>
        </w:rPr>
        <w:t>)</w:t>
      </w:r>
      <w:r w:rsidR="00032F68" w:rsidRPr="000431F7">
        <w:rPr>
          <w:rFonts w:ascii="Times New Roman" w:hAnsi="Times New Roman" w:cs="Times New Roman"/>
          <w:szCs w:val="24"/>
        </w:rPr>
        <w:t>, elementy upoważnienia do kontroli (art. 18z</w:t>
      </w:r>
      <w:r w:rsidR="00C21DF9" w:rsidRPr="000431F7">
        <w:rPr>
          <w:rFonts w:ascii="Times New Roman" w:hAnsi="Times New Roman" w:cs="Times New Roman"/>
          <w:szCs w:val="24"/>
        </w:rPr>
        <w:t>c</w:t>
      </w:r>
      <w:r w:rsidR="00032F68" w:rsidRPr="000431F7">
        <w:rPr>
          <w:rFonts w:ascii="Times New Roman" w:hAnsi="Times New Roman" w:cs="Times New Roman"/>
          <w:szCs w:val="24"/>
        </w:rPr>
        <w:t xml:space="preserve"> ust.</w:t>
      </w:r>
      <w:r w:rsidR="00840241" w:rsidRPr="000431F7">
        <w:rPr>
          <w:rFonts w:ascii="Times New Roman" w:hAnsi="Times New Roman" w:cs="Times New Roman"/>
          <w:szCs w:val="24"/>
        </w:rPr>
        <w:t xml:space="preserve"> 3</w:t>
      </w:r>
      <w:r w:rsidR="00032F68" w:rsidRPr="000431F7">
        <w:rPr>
          <w:rFonts w:ascii="Times New Roman" w:hAnsi="Times New Roman" w:cs="Times New Roman"/>
          <w:szCs w:val="24"/>
        </w:rPr>
        <w:t>),</w:t>
      </w:r>
      <w:r w:rsidR="00BB10B7" w:rsidRPr="000431F7">
        <w:rPr>
          <w:rFonts w:ascii="Times New Roman" w:hAnsi="Times New Roman" w:cs="Times New Roman"/>
          <w:szCs w:val="24"/>
        </w:rPr>
        <w:t xml:space="preserve"> </w:t>
      </w:r>
      <w:r w:rsidRPr="000431F7">
        <w:rPr>
          <w:rFonts w:ascii="Times New Roman" w:hAnsi="Times New Roman" w:cs="Times New Roman"/>
          <w:szCs w:val="24"/>
        </w:rPr>
        <w:t>uprawnienia w toku kontroli (art. 18z</w:t>
      </w:r>
      <w:r w:rsidR="00C21DF9" w:rsidRPr="000431F7">
        <w:rPr>
          <w:rFonts w:ascii="Times New Roman" w:hAnsi="Times New Roman" w:cs="Times New Roman"/>
          <w:szCs w:val="24"/>
        </w:rPr>
        <w:t>c</w:t>
      </w:r>
      <w:r w:rsidR="00115A2D" w:rsidRPr="000431F7">
        <w:rPr>
          <w:rFonts w:ascii="Times New Roman" w:hAnsi="Times New Roman" w:cs="Times New Roman"/>
          <w:szCs w:val="24"/>
        </w:rPr>
        <w:t xml:space="preserve"> </w:t>
      </w:r>
      <w:r w:rsidRPr="000431F7">
        <w:rPr>
          <w:rFonts w:ascii="Times New Roman" w:hAnsi="Times New Roman" w:cs="Times New Roman"/>
          <w:szCs w:val="24"/>
        </w:rPr>
        <w:t xml:space="preserve">ust. </w:t>
      </w:r>
      <w:r w:rsidR="00840241" w:rsidRPr="000431F7">
        <w:rPr>
          <w:rFonts w:ascii="Times New Roman" w:hAnsi="Times New Roman" w:cs="Times New Roman"/>
          <w:szCs w:val="24"/>
        </w:rPr>
        <w:t>4</w:t>
      </w:r>
      <w:r w:rsidRPr="000431F7">
        <w:rPr>
          <w:rFonts w:ascii="Times New Roman" w:hAnsi="Times New Roman" w:cs="Times New Roman"/>
          <w:szCs w:val="24"/>
        </w:rPr>
        <w:t>)</w:t>
      </w:r>
      <w:r w:rsidR="00032F68" w:rsidRPr="000431F7">
        <w:rPr>
          <w:rFonts w:ascii="Times New Roman" w:hAnsi="Times New Roman" w:cs="Times New Roman"/>
          <w:szCs w:val="24"/>
        </w:rPr>
        <w:t xml:space="preserve">, formy </w:t>
      </w:r>
      <w:r w:rsidR="00C21DF9" w:rsidRPr="000431F7">
        <w:rPr>
          <w:rFonts w:ascii="Times New Roman" w:hAnsi="Times New Roman" w:cs="Times New Roman"/>
          <w:szCs w:val="24"/>
        </w:rPr>
        <w:t xml:space="preserve">sporządzania </w:t>
      </w:r>
      <w:r w:rsidR="00032F68" w:rsidRPr="000431F7">
        <w:rPr>
          <w:rFonts w:ascii="Times New Roman" w:hAnsi="Times New Roman" w:cs="Times New Roman"/>
          <w:szCs w:val="24"/>
        </w:rPr>
        <w:t>dokumentów i informacji przekazywanych w toku kontroli oraz sposobu ich przekazywania (art. 18z</w:t>
      </w:r>
      <w:r w:rsidR="00C21DF9" w:rsidRPr="000431F7">
        <w:rPr>
          <w:rFonts w:ascii="Times New Roman" w:hAnsi="Times New Roman" w:cs="Times New Roman"/>
          <w:szCs w:val="24"/>
        </w:rPr>
        <w:t>c</w:t>
      </w:r>
      <w:r w:rsidR="00032F68" w:rsidRPr="000431F7">
        <w:rPr>
          <w:rFonts w:ascii="Times New Roman" w:hAnsi="Times New Roman" w:cs="Times New Roman"/>
          <w:szCs w:val="24"/>
        </w:rPr>
        <w:t xml:space="preserve"> ust. </w:t>
      </w:r>
      <w:r w:rsidR="00840241" w:rsidRPr="000431F7">
        <w:rPr>
          <w:rFonts w:ascii="Times New Roman" w:hAnsi="Times New Roman" w:cs="Times New Roman"/>
          <w:szCs w:val="24"/>
        </w:rPr>
        <w:t>5 i 6</w:t>
      </w:r>
      <w:r w:rsidR="00032F68" w:rsidRPr="000431F7">
        <w:rPr>
          <w:rFonts w:ascii="Times New Roman" w:hAnsi="Times New Roman" w:cs="Times New Roman"/>
          <w:szCs w:val="24"/>
        </w:rPr>
        <w:t>)</w:t>
      </w:r>
      <w:r w:rsidRPr="000431F7">
        <w:rPr>
          <w:rFonts w:ascii="Times New Roman" w:hAnsi="Times New Roman" w:cs="Times New Roman"/>
          <w:szCs w:val="24"/>
        </w:rPr>
        <w:t xml:space="preserve">. </w:t>
      </w:r>
    </w:p>
    <w:p w14:paraId="1ACFDDBF" w14:textId="71A0704F" w:rsidR="000C31C4" w:rsidRPr="000431F7" w:rsidRDefault="00364DC9" w:rsidP="004742CC">
      <w:pPr>
        <w:pStyle w:val="ZPKTzmpktartykuempunktem"/>
        <w:spacing w:before="120"/>
        <w:ind w:left="0" w:firstLine="0"/>
        <w:rPr>
          <w:rFonts w:ascii="Times New Roman" w:hAnsi="Times New Roman" w:cs="Times New Roman"/>
          <w:szCs w:val="24"/>
        </w:rPr>
      </w:pPr>
      <w:r w:rsidRPr="000431F7">
        <w:rPr>
          <w:rFonts w:ascii="Times New Roman" w:hAnsi="Times New Roman" w:cs="Times New Roman"/>
          <w:szCs w:val="24"/>
        </w:rPr>
        <w:t>P</w:t>
      </w:r>
      <w:r w:rsidR="00032F68" w:rsidRPr="000431F7">
        <w:rPr>
          <w:rFonts w:ascii="Times New Roman" w:hAnsi="Times New Roman" w:cs="Times New Roman"/>
          <w:szCs w:val="24"/>
        </w:rPr>
        <w:t>rojektowany art. 18z</w:t>
      </w:r>
      <w:r w:rsidR="00C21DF9" w:rsidRPr="000431F7">
        <w:rPr>
          <w:rFonts w:ascii="Times New Roman" w:hAnsi="Times New Roman" w:cs="Times New Roman"/>
          <w:szCs w:val="24"/>
        </w:rPr>
        <w:t>d</w:t>
      </w:r>
      <w:r w:rsidR="00032F68" w:rsidRPr="000431F7">
        <w:rPr>
          <w:rFonts w:ascii="Times New Roman" w:hAnsi="Times New Roman" w:cs="Times New Roman"/>
          <w:szCs w:val="24"/>
        </w:rPr>
        <w:t xml:space="preserve"> wprowadza regulację dotyczącą protokołu kontroli, określającą termin i sposób sporządzenia i doręczenia protokołu, </w:t>
      </w:r>
      <w:r w:rsidR="000C31C4" w:rsidRPr="000431F7">
        <w:rPr>
          <w:rFonts w:ascii="Times New Roman" w:hAnsi="Times New Roman" w:cs="Times New Roman"/>
          <w:szCs w:val="24"/>
        </w:rPr>
        <w:t>zawartość</w:t>
      </w:r>
      <w:r w:rsidR="00032F68" w:rsidRPr="000431F7">
        <w:rPr>
          <w:rFonts w:ascii="Times New Roman" w:hAnsi="Times New Roman" w:cs="Times New Roman"/>
          <w:szCs w:val="24"/>
        </w:rPr>
        <w:t xml:space="preserve"> protokołu oraz możliwość i sposób zgłoszenia </w:t>
      </w:r>
      <w:r w:rsidR="000C31C4" w:rsidRPr="000431F7">
        <w:rPr>
          <w:rFonts w:ascii="Times New Roman" w:hAnsi="Times New Roman" w:cs="Times New Roman"/>
          <w:szCs w:val="24"/>
        </w:rPr>
        <w:t>zastrzeżeń</w:t>
      </w:r>
      <w:r w:rsidR="00032F68" w:rsidRPr="000431F7">
        <w:rPr>
          <w:rFonts w:ascii="Times New Roman" w:hAnsi="Times New Roman" w:cs="Times New Roman"/>
          <w:szCs w:val="24"/>
        </w:rPr>
        <w:t xml:space="preserve"> do protokołu.</w:t>
      </w:r>
      <w:r w:rsidR="00987740">
        <w:rPr>
          <w:rFonts w:ascii="Times New Roman" w:hAnsi="Times New Roman" w:cs="Times New Roman"/>
          <w:szCs w:val="24"/>
        </w:rPr>
        <w:t xml:space="preserve"> </w:t>
      </w:r>
    </w:p>
    <w:p w14:paraId="75669B60" w14:textId="33017871" w:rsidR="00032F68" w:rsidRPr="000431F7" w:rsidRDefault="00032F68" w:rsidP="004742CC">
      <w:pPr>
        <w:pStyle w:val="ZPKTzmpktartykuempunktem"/>
        <w:spacing w:before="120"/>
        <w:ind w:left="0" w:firstLine="0"/>
        <w:rPr>
          <w:rFonts w:ascii="Times New Roman" w:hAnsi="Times New Roman" w:cs="Times New Roman"/>
          <w:szCs w:val="24"/>
        </w:rPr>
      </w:pPr>
      <w:r w:rsidRPr="000431F7">
        <w:rPr>
          <w:rFonts w:ascii="Times New Roman" w:hAnsi="Times New Roman" w:cs="Times New Roman"/>
          <w:szCs w:val="24"/>
        </w:rPr>
        <w:t>Projektowany art. 18z</w:t>
      </w:r>
      <w:r w:rsidR="00C21DF9" w:rsidRPr="000431F7">
        <w:rPr>
          <w:rFonts w:ascii="Times New Roman" w:hAnsi="Times New Roman" w:cs="Times New Roman"/>
          <w:szCs w:val="24"/>
        </w:rPr>
        <w:t>e</w:t>
      </w:r>
      <w:r w:rsidR="000C31C4" w:rsidRPr="000431F7">
        <w:rPr>
          <w:rFonts w:ascii="Times New Roman" w:hAnsi="Times New Roman" w:cs="Times New Roman"/>
          <w:szCs w:val="24"/>
        </w:rPr>
        <w:t xml:space="preserve"> stanowi regulację dotyczącą wydawania </w:t>
      </w:r>
      <w:r w:rsidRPr="000431F7">
        <w:rPr>
          <w:rFonts w:ascii="Times New Roman" w:hAnsi="Times New Roman" w:cs="Times New Roman"/>
          <w:szCs w:val="24"/>
        </w:rPr>
        <w:t>zaleceń pokontrolnych</w:t>
      </w:r>
      <w:r w:rsidR="000C31C4" w:rsidRPr="000431F7">
        <w:rPr>
          <w:rFonts w:ascii="Times New Roman" w:hAnsi="Times New Roman" w:cs="Times New Roman"/>
          <w:szCs w:val="24"/>
        </w:rPr>
        <w:t xml:space="preserve">, w szczególności określającą przesłanki wydania zaleceń oraz sposób komunikacji między KNF a kontrolowanym podmiotem finansowym, którego te zalecenia dotyczą. </w:t>
      </w:r>
    </w:p>
    <w:p w14:paraId="7A4CB7A9" w14:textId="5A7656B3" w:rsidR="00215ED4" w:rsidRPr="000431F7" w:rsidRDefault="00215ED4" w:rsidP="004742CC">
      <w:pPr>
        <w:pStyle w:val="ZARTzmartartykuempunktem"/>
        <w:spacing w:before="120"/>
        <w:ind w:left="0" w:firstLine="0"/>
        <w:rPr>
          <w:rFonts w:ascii="Times New Roman" w:hAnsi="Times New Roman" w:cs="Times New Roman"/>
          <w:szCs w:val="24"/>
        </w:rPr>
      </w:pPr>
      <w:r w:rsidRPr="000431F7">
        <w:rPr>
          <w:rFonts w:ascii="Times New Roman" w:hAnsi="Times New Roman" w:cs="Times New Roman"/>
          <w:szCs w:val="24"/>
        </w:rPr>
        <w:t>Projektowany art. 18z</w:t>
      </w:r>
      <w:r w:rsidR="00C21DF9" w:rsidRPr="000431F7">
        <w:rPr>
          <w:rFonts w:ascii="Times New Roman" w:hAnsi="Times New Roman" w:cs="Times New Roman"/>
          <w:szCs w:val="24"/>
        </w:rPr>
        <w:t>o</w:t>
      </w:r>
      <w:r w:rsidRPr="000431F7">
        <w:rPr>
          <w:rFonts w:ascii="Times New Roman" w:hAnsi="Times New Roman" w:cs="Times New Roman"/>
          <w:szCs w:val="24"/>
        </w:rPr>
        <w:t xml:space="preserve"> ustawy o nadzorze nad rynkiem finansowym wskazuje, że do kontroli, o której mowa w art. 18z</w:t>
      </w:r>
      <w:r w:rsidR="00C21DF9" w:rsidRPr="000431F7">
        <w:rPr>
          <w:rFonts w:ascii="Times New Roman" w:hAnsi="Times New Roman" w:cs="Times New Roman"/>
          <w:szCs w:val="24"/>
        </w:rPr>
        <w:t>c</w:t>
      </w:r>
      <w:r w:rsidRPr="000431F7">
        <w:rPr>
          <w:rFonts w:ascii="Times New Roman" w:hAnsi="Times New Roman" w:cs="Times New Roman"/>
          <w:szCs w:val="24"/>
        </w:rPr>
        <w:t xml:space="preserve"> ust. 1 tej ustawy, </w:t>
      </w:r>
      <w:r w:rsidR="001E58AD" w:rsidRPr="000431F7">
        <w:rPr>
          <w:rFonts w:ascii="Times New Roman" w:hAnsi="Times New Roman" w:cs="Times New Roman"/>
          <w:szCs w:val="24"/>
        </w:rPr>
        <w:t>w zakresie nieuregulowanym, stosuje się przepisy ustawy z dnia 6 marca 2018 r.</w:t>
      </w:r>
      <w:r w:rsidR="004E1301" w:rsidRPr="000431F7">
        <w:rPr>
          <w:rFonts w:ascii="Times New Roman" w:hAnsi="Times New Roman" w:cs="Times New Roman"/>
          <w:szCs w:val="24"/>
        </w:rPr>
        <w:t xml:space="preserve"> </w:t>
      </w:r>
      <w:r w:rsidR="00AC35F5">
        <w:rPr>
          <w:rFonts w:ascii="Times New Roman" w:hAnsi="Times New Roman" w:cs="Times New Roman"/>
          <w:szCs w:val="24"/>
        </w:rPr>
        <w:t>–</w:t>
      </w:r>
      <w:r w:rsidR="001E58AD" w:rsidRPr="000431F7">
        <w:rPr>
          <w:rFonts w:ascii="Times New Roman" w:hAnsi="Times New Roman" w:cs="Times New Roman"/>
          <w:szCs w:val="24"/>
        </w:rPr>
        <w:t xml:space="preserve"> Prawo przedsiębiorców. </w:t>
      </w:r>
    </w:p>
    <w:p w14:paraId="6C2ED351" w14:textId="3D955CAC" w:rsidR="00215ED4" w:rsidRPr="000431F7" w:rsidRDefault="00215ED4" w:rsidP="004742CC">
      <w:pPr>
        <w:pStyle w:val="ZARTzmartartykuempunktem"/>
        <w:spacing w:before="120"/>
        <w:ind w:left="0" w:firstLine="0"/>
        <w:rPr>
          <w:rFonts w:ascii="Times New Roman" w:hAnsi="Times New Roman" w:cs="Times New Roman"/>
          <w:szCs w:val="24"/>
        </w:rPr>
      </w:pPr>
      <w:r w:rsidRPr="000431F7">
        <w:rPr>
          <w:rFonts w:ascii="Times New Roman" w:hAnsi="Times New Roman" w:cs="Times New Roman"/>
          <w:szCs w:val="24"/>
        </w:rPr>
        <w:t xml:space="preserve">Wynikiem zmian wprowadzających nowy rodzaj kontroli, określony </w:t>
      </w:r>
      <w:r w:rsidR="00695793" w:rsidRPr="000431F7">
        <w:rPr>
          <w:rFonts w:ascii="Times New Roman" w:hAnsi="Times New Roman" w:cs="Times New Roman"/>
          <w:szCs w:val="24"/>
        </w:rPr>
        <w:t xml:space="preserve">w </w:t>
      </w:r>
      <w:r w:rsidRPr="000431F7">
        <w:rPr>
          <w:rFonts w:ascii="Times New Roman" w:hAnsi="Times New Roman" w:cs="Times New Roman"/>
          <w:szCs w:val="24"/>
        </w:rPr>
        <w:t>projektowanym art.</w:t>
      </w:r>
      <w:r w:rsidR="002562D9" w:rsidRPr="000431F7">
        <w:rPr>
          <w:rFonts w:ascii="Times New Roman" w:hAnsi="Times New Roman" w:cs="Times New Roman"/>
          <w:szCs w:val="24"/>
        </w:rPr>
        <w:t> </w:t>
      </w:r>
      <w:r w:rsidRPr="000431F7">
        <w:rPr>
          <w:rFonts w:ascii="Times New Roman" w:hAnsi="Times New Roman" w:cs="Times New Roman"/>
          <w:szCs w:val="24"/>
        </w:rPr>
        <w:t>18z</w:t>
      </w:r>
      <w:r w:rsidR="00C21DF9" w:rsidRPr="000431F7">
        <w:rPr>
          <w:rFonts w:ascii="Times New Roman" w:hAnsi="Times New Roman" w:cs="Times New Roman"/>
          <w:szCs w:val="24"/>
        </w:rPr>
        <w:t>c</w:t>
      </w:r>
      <w:r w:rsidRPr="000431F7">
        <w:rPr>
          <w:rFonts w:ascii="Times New Roman" w:hAnsi="Times New Roman" w:cs="Times New Roman"/>
          <w:szCs w:val="24"/>
        </w:rPr>
        <w:t xml:space="preserve"> ustawy o nadzorze nad rynkiem finansowym</w:t>
      </w:r>
      <w:r w:rsidR="00527444" w:rsidRPr="000431F7">
        <w:rPr>
          <w:rFonts w:ascii="Times New Roman" w:hAnsi="Times New Roman" w:cs="Times New Roman"/>
          <w:szCs w:val="24"/>
        </w:rPr>
        <w:t>,</w:t>
      </w:r>
      <w:r w:rsidRPr="000431F7">
        <w:rPr>
          <w:rFonts w:ascii="Times New Roman" w:hAnsi="Times New Roman" w:cs="Times New Roman"/>
          <w:szCs w:val="24"/>
        </w:rPr>
        <w:t xml:space="preserve"> jest wprowadzenie zmian w art. 20b tej ustawy (art. </w:t>
      </w:r>
      <w:r w:rsidR="001F6E3C" w:rsidRPr="000431F7">
        <w:rPr>
          <w:rFonts w:ascii="Times New Roman" w:hAnsi="Times New Roman" w:cs="Times New Roman"/>
          <w:szCs w:val="24"/>
        </w:rPr>
        <w:t>8</w:t>
      </w:r>
      <w:r w:rsidRPr="000431F7">
        <w:rPr>
          <w:rFonts w:ascii="Times New Roman" w:hAnsi="Times New Roman" w:cs="Times New Roman"/>
          <w:szCs w:val="24"/>
        </w:rPr>
        <w:t xml:space="preserve"> pkt. </w:t>
      </w:r>
      <w:r w:rsidR="001F6E3C" w:rsidRPr="000431F7">
        <w:rPr>
          <w:rFonts w:ascii="Times New Roman" w:hAnsi="Times New Roman" w:cs="Times New Roman"/>
          <w:szCs w:val="24"/>
        </w:rPr>
        <w:t>9</w:t>
      </w:r>
      <w:r w:rsidR="00A93715" w:rsidRPr="000431F7">
        <w:rPr>
          <w:rFonts w:ascii="Times New Roman" w:hAnsi="Times New Roman" w:cs="Times New Roman"/>
          <w:szCs w:val="24"/>
        </w:rPr>
        <w:t>)</w:t>
      </w:r>
      <w:r w:rsidR="001E58AD" w:rsidRPr="000431F7">
        <w:rPr>
          <w:rFonts w:ascii="Times New Roman" w:hAnsi="Times New Roman" w:cs="Times New Roman"/>
          <w:szCs w:val="24"/>
        </w:rPr>
        <w:t>, polegających na dodaniu art. 18z</w:t>
      </w:r>
      <w:r w:rsidR="00C21DF9" w:rsidRPr="000431F7">
        <w:rPr>
          <w:rFonts w:ascii="Times New Roman" w:hAnsi="Times New Roman" w:cs="Times New Roman"/>
          <w:szCs w:val="24"/>
        </w:rPr>
        <w:t>c</w:t>
      </w:r>
      <w:r w:rsidR="001E58AD" w:rsidRPr="000431F7">
        <w:rPr>
          <w:rFonts w:ascii="Times New Roman" w:hAnsi="Times New Roman" w:cs="Times New Roman"/>
          <w:szCs w:val="24"/>
        </w:rPr>
        <w:t xml:space="preserve"> ust.</w:t>
      </w:r>
      <w:r w:rsidR="001346AC">
        <w:rPr>
          <w:rFonts w:ascii="Times New Roman" w:hAnsi="Times New Roman" w:cs="Times New Roman"/>
          <w:szCs w:val="24"/>
        </w:rPr>
        <w:t xml:space="preserve"> </w:t>
      </w:r>
      <w:r w:rsidR="001E58AD" w:rsidRPr="000431F7">
        <w:rPr>
          <w:rFonts w:ascii="Times New Roman" w:hAnsi="Times New Roman" w:cs="Times New Roman"/>
          <w:szCs w:val="24"/>
        </w:rPr>
        <w:t>1, w celu</w:t>
      </w:r>
      <w:r w:rsidRPr="000431F7">
        <w:rPr>
          <w:rFonts w:ascii="Times New Roman" w:hAnsi="Times New Roman" w:cs="Times New Roman"/>
          <w:szCs w:val="24"/>
        </w:rPr>
        <w:t xml:space="preserve"> </w:t>
      </w:r>
      <w:r w:rsidR="00C8766D" w:rsidRPr="000431F7">
        <w:rPr>
          <w:rFonts w:ascii="Times New Roman" w:hAnsi="Times New Roman" w:cs="Times New Roman"/>
          <w:szCs w:val="24"/>
        </w:rPr>
        <w:t>uzupełnienia przepisu określającego</w:t>
      </w:r>
      <w:r w:rsidRPr="000431F7">
        <w:rPr>
          <w:rFonts w:ascii="Times New Roman" w:hAnsi="Times New Roman" w:cs="Times New Roman"/>
          <w:szCs w:val="24"/>
        </w:rPr>
        <w:t xml:space="preserve"> odpowiedzialność karną za utrudnianie lub udaremnianie przeprowadzenia kontroli. </w:t>
      </w:r>
    </w:p>
    <w:p w14:paraId="5B6DAD41" w14:textId="77777777" w:rsidR="00215ED4" w:rsidRPr="000431F7" w:rsidRDefault="00215ED4" w:rsidP="004742CC">
      <w:pPr>
        <w:pStyle w:val="ZARTzmartartykuempunktem"/>
        <w:numPr>
          <w:ilvl w:val="0"/>
          <w:numId w:val="10"/>
        </w:numPr>
        <w:tabs>
          <w:tab w:val="left" w:pos="426"/>
        </w:tabs>
        <w:spacing w:before="120"/>
        <w:ind w:left="0" w:firstLine="0"/>
        <w:rPr>
          <w:rFonts w:ascii="Times New Roman" w:hAnsi="Times New Roman" w:cs="Times New Roman"/>
          <w:b/>
          <w:bCs/>
          <w:szCs w:val="24"/>
        </w:rPr>
      </w:pPr>
      <w:r w:rsidRPr="000431F7">
        <w:rPr>
          <w:rFonts w:ascii="Times New Roman" w:hAnsi="Times New Roman" w:cs="Times New Roman"/>
          <w:b/>
          <w:bCs/>
          <w:szCs w:val="24"/>
        </w:rPr>
        <w:t xml:space="preserve">uprawnienie do żądania udostępnienia rejestrów </w:t>
      </w:r>
      <w:proofErr w:type="spellStart"/>
      <w:r w:rsidRPr="000431F7">
        <w:rPr>
          <w:rFonts w:ascii="Times New Roman" w:hAnsi="Times New Roman" w:cs="Times New Roman"/>
          <w:b/>
          <w:bCs/>
          <w:szCs w:val="24"/>
        </w:rPr>
        <w:t>przesyłu</w:t>
      </w:r>
      <w:proofErr w:type="spellEnd"/>
      <w:r w:rsidRPr="000431F7">
        <w:rPr>
          <w:rFonts w:ascii="Times New Roman" w:hAnsi="Times New Roman" w:cs="Times New Roman"/>
          <w:b/>
          <w:bCs/>
          <w:szCs w:val="24"/>
        </w:rPr>
        <w:t xml:space="preserve"> danych</w:t>
      </w:r>
    </w:p>
    <w:p w14:paraId="1BDECB45" w14:textId="08E8EE18" w:rsidR="001F402B" w:rsidRPr="004742CC" w:rsidRDefault="00370049" w:rsidP="004742CC">
      <w:pPr>
        <w:pStyle w:val="ZARTzmartartykuempunktem"/>
        <w:spacing w:before="120"/>
        <w:ind w:left="0" w:firstLine="0"/>
        <w:rPr>
          <w:rFonts w:ascii="Times New Roman" w:hAnsi="Times New Roman" w:cs="Times New Roman"/>
          <w:szCs w:val="24"/>
        </w:rPr>
      </w:pPr>
      <w:r w:rsidRPr="000431F7">
        <w:rPr>
          <w:rFonts w:ascii="Times New Roman" w:hAnsi="Times New Roman" w:cs="Times New Roman"/>
          <w:szCs w:val="24"/>
        </w:rPr>
        <w:t>N</w:t>
      </w:r>
      <w:r w:rsidR="00215ED4" w:rsidRPr="000431F7">
        <w:rPr>
          <w:rFonts w:ascii="Times New Roman" w:hAnsi="Times New Roman" w:cs="Times New Roman"/>
          <w:szCs w:val="24"/>
        </w:rPr>
        <w:t>a mocy projektowanego art. 18z</w:t>
      </w:r>
      <w:r w:rsidR="00E754CD" w:rsidRPr="000431F7">
        <w:rPr>
          <w:rFonts w:ascii="Times New Roman" w:hAnsi="Times New Roman" w:cs="Times New Roman"/>
          <w:szCs w:val="24"/>
        </w:rPr>
        <w:t>f</w:t>
      </w:r>
      <w:r w:rsidR="00527444" w:rsidRPr="000431F7">
        <w:rPr>
          <w:rFonts w:ascii="Times New Roman" w:hAnsi="Times New Roman" w:cs="Times New Roman"/>
          <w:szCs w:val="24"/>
        </w:rPr>
        <w:t xml:space="preserve"> </w:t>
      </w:r>
      <w:r w:rsidR="00215ED4" w:rsidRPr="000431F7">
        <w:rPr>
          <w:rFonts w:ascii="Times New Roman" w:hAnsi="Times New Roman" w:cs="Times New Roman"/>
          <w:szCs w:val="24"/>
        </w:rPr>
        <w:t>ustawy o nadzorze nad rynkiem finansowym</w:t>
      </w:r>
      <w:r w:rsidRPr="000431F7">
        <w:rPr>
          <w:rFonts w:ascii="Times New Roman" w:hAnsi="Times New Roman" w:cs="Times New Roman"/>
          <w:szCs w:val="24"/>
        </w:rPr>
        <w:t>,</w:t>
      </w:r>
      <w:r w:rsidR="00215ED4" w:rsidRPr="000431F7">
        <w:rPr>
          <w:rFonts w:ascii="Times New Roman" w:hAnsi="Times New Roman" w:cs="Times New Roman"/>
          <w:szCs w:val="24"/>
        </w:rPr>
        <w:t xml:space="preserve"> </w:t>
      </w:r>
      <w:r w:rsidR="005E30BE" w:rsidRPr="000431F7">
        <w:rPr>
          <w:rFonts w:ascii="Times New Roman" w:hAnsi="Times New Roman" w:cs="Times New Roman"/>
          <w:szCs w:val="24"/>
        </w:rPr>
        <w:t xml:space="preserve">Przewodniczący </w:t>
      </w:r>
      <w:r w:rsidR="00215ED4" w:rsidRPr="000431F7">
        <w:rPr>
          <w:rFonts w:ascii="Times New Roman" w:hAnsi="Times New Roman" w:cs="Times New Roman"/>
          <w:szCs w:val="24"/>
        </w:rPr>
        <w:t>KNF będzie uprawnion</w:t>
      </w:r>
      <w:r w:rsidR="005E30BE" w:rsidRPr="000431F7">
        <w:rPr>
          <w:rFonts w:ascii="Times New Roman" w:hAnsi="Times New Roman" w:cs="Times New Roman"/>
          <w:szCs w:val="24"/>
        </w:rPr>
        <w:t>y</w:t>
      </w:r>
      <w:r w:rsidR="00215ED4" w:rsidRPr="000431F7">
        <w:rPr>
          <w:rFonts w:ascii="Times New Roman" w:hAnsi="Times New Roman" w:cs="Times New Roman"/>
          <w:szCs w:val="24"/>
        </w:rPr>
        <w:t xml:space="preserve">, </w:t>
      </w:r>
      <w:r w:rsidRPr="004742CC">
        <w:rPr>
          <w:rFonts w:ascii="Times New Roman" w:hAnsi="Times New Roman" w:cs="Times New Roman"/>
          <w:szCs w:val="24"/>
        </w:rPr>
        <w:t>w postępowaniu wyjaśniającym, o którym mowa w art. 18a ustawy o nadzorze nad rynkiem finansowym, prowadzonym w celu ustalenia</w:t>
      </w:r>
      <w:r w:rsidR="004E1301" w:rsidRPr="004742CC">
        <w:rPr>
          <w:rFonts w:ascii="Times New Roman" w:hAnsi="Times New Roman" w:cs="Times New Roman"/>
          <w:szCs w:val="24"/>
        </w:rPr>
        <w:t>,</w:t>
      </w:r>
      <w:r w:rsidRPr="004742CC">
        <w:rPr>
          <w:rFonts w:ascii="Times New Roman" w:hAnsi="Times New Roman" w:cs="Times New Roman"/>
          <w:szCs w:val="24"/>
        </w:rPr>
        <w:t xml:space="preserve"> czy istnieją podstawy do wszczęcia postępowania administracyjnego w sprawie naruszeń przepisów rozporządzenia </w:t>
      </w:r>
      <w:r w:rsidRPr="000431F7">
        <w:rPr>
          <w:rFonts w:ascii="Times New Roman" w:hAnsi="Times New Roman" w:cs="Times New Roman"/>
          <w:szCs w:val="24"/>
        </w:rPr>
        <w:t>2022/2554</w:t>
      </w:r>
      <w:r w:rsidR="00E754CD" w:rsidRPr="000431F7">
        <w:rPr>
          <w:rFonts w:ascii="Times New Roman" w:hAnsi="Times New Roman" w:cs="Times New Roman"/>
          <w:szCs w:val="24"/>
        </w:rPr>
        <w:t xml:space="preserve"> lub aktów wykonawczych i delegowanych wydanych na </w:t>
      </w:r>
      <w:r w:rsidR="00E754CD" w:rsidRPr="000431F7">
        <w:rPr>
          <w:rFonts w:ascii="Times New Roman" w:hAnsi="Times New Roman" w:cs="Times New Roman"/>
          <w:szCs w:val="24"/>
        </w:rPr>
        <w:lastRenderedPageBreak/>
        <w:t>jego podstawie</w:t>
      </w:r>
      <w:r w:rsidRPr="000431F7">
        <w:rPr>
          <w:rFonts w:ascii="Times New Roman" w:hAnsi="Times New Roman" w:cs="Times New Roman"/>
          <w:szCs w:val="24"/>
        </w:rPr>
        <w:t xml:space="preserve">, </w:t>
      </w:r>
      <w:r w:rsidRPr="004742CC">
        <w:rPr>
          <w:rFonts w:ascii="Times New Roman" w:hAnsi="Times New Roman" w:cs="Times New Roman"/>
          <w:szCs w:val="24"/>
        </w:rPr>
        <w:t xml:space="preserve">zażądać </w:t>
      </w:r>
      <w:r w:rsidR="005E30BE" w:rsidRPr="004742CC">
        <w:rPr>
          <w:rFonts w:ascii="Times New Roman" w:hAnsi="Times New Roman" w:cs="Times New Roman"/>
          <w:szCs w:val="24"/>
        </w:rPr>
        <w:t xml:space="preserve">od </w:t>
      </w:r>
      <w:r w:rsidR="001F6E3C" w:rsidRPr="004742CC">
        <w:rPr>
          <w:rFonts w:ascii="Times New Roman" w:hAnsi="Times New Roman" w:cs="Times New Roman"/>
          <w:szCs w:val="24"/>
        </w:rPr>
        <w:t xml:space="preserve">dostawcy usług telekomunikacyjnych </w:t>
      </w:r>
      <w:r w:rsidR="005E30BE" w:rsidRPr="004742CC">
        <w:rPr>
          <w:rFonts w:ascii="Times New Roman" w:hAnsi="Times New Roman" w:cs="Times New Roman"/>
          <w:szCs w:val="24"/>
        </w:rPr>
        <w:t xml:space="preserve">udostępnienia </w:t>
      </w:r>
      <w:bookmarkStart w:id="13" w:name="_Hlk179960461"/>
      <w:r w:rsidR="005E30BE" w:rsidRPr="004742CC">
        <w:rPr>
          <w:rFonts w:ascii="Times New Roman" w:hAnsi="Times New Roman" w:cs="Times New Roman"/>
          <w:szCs w:val="24"/>
        </w:rPr>
        <w:t>informacji stanowiących tajemnicę komunikacji elektronicznej w rozumieniu art. 386 ust. 1 ustawy z dnia 12 lipca 2024 r. – Prawo komunikacji elektronicznej</w:t>
      </w:r>
      <w:r w:rsidR="00CB3FF7" w:rsidRPr="004742CC">
        <w:rPr>
          <w:rFonts w:ascii="Times New Roman" w:hAnsi="Times New Roman" w:cs="Times New Roman"/>
          <w:szCs w:val="24"/>
        </w:rPr>
        <w:t xml:space="preserve">, </w:t>
      </w:r>
      <w:r w:rsidR="001F6E3C" w:rsidRPr="004742CC">
        <w:rPr>
          <w:rFonts w:ascii="Times New Roman" w:hAnsi="Times New Roman" w:cs="Times New Roman"/>
          <w:szCs w:val="24"/>
        </w:rPr>
        <w:t xml:space="preserve">przechowywanych przez dostawcę usług telekomunikacyjnych, </w:t>
      </w:r>
      <w:r w:rsidR="005E30BE" w:rsidRPr="004742CC">
        <w:rPr>
          <w:rFonts w:ascii="Times New Roman" w:hAnsi="Times New Roman" w:cs="Times New Roman"/>
          <w:szCs w:val="24"/>
        </w:rPr>
        <w:t xml:space="preserve">dotyczących podmiotu dokonującego czynności faktycznych lub prawnych mających związek z wyjaśnianymi faktami, </w:t>
      </w:r>
      <w:r w:rsidR="001F6E3C" w:rsidRPr="004742CC">
        <w:rPr>
          <w:rFonts w:ascii="Times New Roman" w:hAnsi="Times New Roman" w:cs="Times New Roman"/>
          <w:szCs w:val="24"/>
        </w:rPr>
        <w:t xml:space="preserve">w tym </w:t>
      </w:r>
      <w:r w:rsidR="005E30BE" w:rsidRPr="004742CC">
        <w:rPr>
          <w:rFonts w:ascii="Times New Roman" w:hAnsi="Times New Roman" w:cs="Times New Roman"/>
          <w:szCs w:val="24"/>
        </w:rPr>
        <w:t xml:space="preserve">danych abonenta pozwalających na jego identyfikację, czasu ich dokonania i innych informacji związanych z połączeniem lub przekazem, niestanowiących </w:t>
      </w:r>
      <w:r w:rsidR="00504696" w:rsidRPr="004742CC">
        <w:rPr>
          <w:rFonts w:ascii="Times New Roman" w:hAnsi="Times New Roman" w:cs="Times New Roman"/>
          <w:szCs w:val="24"/>
        </w:rPr>
        <w:t>treści komunikatu</w:t>
      </w:r>
      <w:r w:rsidR="001F6E3C" w:rsidRPr="004742CC">
        <w:rPr>
          <w:rFonts w:ascii="Times New Roman" w:hAnsi="Times New Roman" w:cs="Times New Roman"/>
          <w:szCs w:val="24"/>
        </w:rPr>
        <w:t xml:space="preserve"> elektronicznego</w:t>
      </w:r>
      <w:bookmarkEnd w:id="13"/>
      <w:r w:rsidRPr="004742CC">
        <w:rPr>
          <w:rFonts w:ascii="Times New Roman" w:hAnsi="Times New Roman" w:cs="Times New Roman"/>
          <w:szCs w:val="24"/>
        </w:rPr>
        <w:t>.</w:t>
      </w:r>
      <w:r w:rsidR="00987740">
        <w:rPr>
          <w:rFonts w:ascii="Times New Roman" w:hAnsi="Times New Roman" w:cs="Times New Roman"/>
          <w:szCs w:val="24"/>
        </w:rPr>
        <w:t xml:space="preserve"> </w:t>
      </w:r>
    </w:p>
    <w:p w14:paraId="76AE6ABB" w14:textId="180B8F6F" w:rsidR="00BB10B7" w:rsidRPr="004742CC" w:rsidRDefault="00BB10B7" w:rsidP="004742CC">
      <w:pPr>
        <w:pStyle w:val="ZARTzmartartykuempunktem"/>
        <w:spacing w:before="120"/>
        <w:ind w:left="0" w:firstLine="0"/>
        <w:rPr>
          <w:rFonts w:ascii="Times New Roman" w:hAnsi="Times New Roman" w:cs="Times New Roman"/>
          <w:szCs w:val="24"/>
        </w:rPr>
      </w:pPr>
      <w:r w:rsidRPr="004742CC">
        <w:rPr>
          <w:rFonts w:ascii="Times New Roman" w:hAnsi="Times New Roman" w:cs="Times New Roman"/>
          <w:szCs w:val="24"/>
        </w:rPr>
        <w:t>Przepis art. 18z</w:t>
      </w:r>
      <w:r w:rsidR="00E754CD" w:rsidRPr="004742CC">
        <w:rPr>
          <w:rFonts w:ascii="Times New Roman" w:hAnsi="Times New Roman" w:cs="Times New Roman"/>
          <w:szCs w:val="24"/>
        </w:rPr>
        <w:t>f</w:t>
      </w:r>
      <w:r w:rsidRPr="004742CC">
        <w:rPr>
          <w:rFonts w:ascii="Times New Roman" w:hAnsi="Times New Roman" w:cs="Times New Roman"/>
          <w:szCs w:val="24"/>
        </w:rPr>
        <w:t xml:space="preserve"> był wzorowany na obowiązującym </w:t>
      </w:r>
      <w:r w:rsidR="00607A69" w:rsidRPr="004742CC">
        <w:rPr>
          <w:rFonts w:ascii="Times New Roman" w:hAnsi="Times New Roman" w:cs="Times New Roman"/>
          <w:szCs w:val="24"/>
        </w:rPr>
        <w:t xml:space="preserve">art. 38 ust. 5 pkt 1 ustawy o nadzorze nad rynkiem kapitałowym, w celu zapewnienia spójności systemowej w zakresie wprowadzania analogicznych rozwiązań. </w:t>
      </w:r>
    </w:p>
    <w:p w14:paraId="199C86EF" w14:textId="1D02FCF0" w:rsidR="00215ED4" w:rsidRPr="004742CC" w:rsidRDefault="00215ED4" w:rsidP="004742CC">
      <w:pPr>
        <w:autoSpaceDE w:val="0"/>
        <w:autoSpaceDN w:val="0"/>
        <w:adjustRightInd w:val="0"/>
        <w:spacing w:before="120" w:after="0" w:line="360" w:lineRule="auto"/>
        <w:jc w:val="both"/>
        <w:rPr>
          <w:rFonts w:ascii="Times New Roman" w:hAnsi="Times New Roman" w:cs="Times New Roman"/>
          <w:sz w:val="24"/>
          <w:szCs w:val="24"/>
        </w:rPr>
      </w:pPr>
      <w:r w:rsidRPr="000431F7">
        <w:rPr>
          <w:rFonts w:ascii="Times New Roman" w:hAnsi="Times New Roman" w:cs="Times New Roman"/>
          <w:sz w:val="24"/>
          <w:szCs w:val="24"/>
        </w:rPr>
        <w:t xml:space="preserve">Wskazane uprawnienie stanowi </w:t>
      </w:r>
      <w:bookmarkStart w:id="14" w:name="_Hlk181946178"/>
      <w:r w:rsidRPr="000431F7">
        <w:rPr>
          <w:rFonts w:ascii="Times New Roman" w:hAnsi="Times New Roman" w:cs="Times New Roman"/>
          <w:sz w:val="24"/>
          <w:szCs w:val="24"/>
        </w:rPr>
        <w:t>transpozycję art. 50 ust. 4 lit. d rozporządzenia 2022/2554</w:t>
      </w:r>
      <w:bookmarkEnd w:id="14"/>
      <w:r w:rsidRPr="000431F7">
        <w:rPr>
          <w:rFonts w:ascii="Times New Roman" w:hAnsi="Times New Roman" w:cs="Times New Roman"/>
          <w:sz w:val="24"/>
          <w:szCs w:val="24"/>
        </w:rPr>
        <w:t xml:space="preserve">. </w:t>
      </w:r>
      <w:r w:rsidR="009C76B5" w:rsidRPr="000431F7">
        <w:rPr>
          <w:rFonts w:ascii="Times New Roman" w:hAnsi="Times New Roman" w:cs="Times New Roman"/>
          <w:kern w:val="0"/>
          <w:sz w:val="24"/>
          <w:szCs w:val="24"/>
        </w:rPr>
        <w:t>Udostępnienie informacji stanowiących tajemnicę komunikacji elektronicznej może mieć kluczowe znaczenie dla: wykrywania cyberataku i zapobiegania</w:t>
      </w:r>
      <w:r w:rsidR="000047F4" w:rsidRPr="000431F7">
        <w:rPr>
          <w:rFonts w:ascii="Times New Roman" w:hAnsi="Times New Roman" w:cs="Times New Roman"/>
          <w:kern w:val="0"/>
          <w:sz w:val="24"/>
          <w:szCs w:val="24"/>
        </w:rPr>
        <w:t xml:space="preserve"> </w:t>
      </w:r>
      <w:r w:rsidR="009C76B5" w:rsidRPr="000431F7">
        <w:rPr>
          <w:rFonts w:ascii="Times New Roman" w:hAnsi="Times New Roman" w:cs="Times New Roman"/>
          <w:kern w:val="0"/>
          <w:sz w:val="24"/>
          <w:szCs w:val="24"/>
        </w:rPr>
        <w:t>jego wystąpieniu, identyfikacji wektora ataku, czyli np. ustalenia, czy atak został</w:t>
      </w:r>
      <w:r w:rsidR="000047F4" w:rsidRPr="000431F7">
        <w:rPr>
          <w:rFonts w:ascii="Times New Roman" w:hAnsi="Times New Roman" w:cs="Times New Roman"/>
          <w:kern w:val="0"/>
          <w:sz w:val="24"/>
          <w:szCs w:val="24"/>
        </w:rPr>
        <w:t xml:space="preserve"> </w:t>
      </w:r>
      <w:r w:rsidR="009C76B5" w:rsidRPr="000431F7">
        <w:rPr>
          <w:rFonts w:ascii="Times New Roman" w:hAnsi="Times New Roman" w:cs="Times New Roman"/>
          <w:kern w:val="0"/>
          <w:sz w:val="24"/>
          <w:szCs w:val="24"/>
        </w:rPr>
        <w:t xml:space="preserve">przeprowadzony z użyciem </w:t>
      </w:r>
      <w:proofErr w:type="spellStart"/>
      <w:r w:rsidR="009C76B5" w:rsidRPr="000431F7">
        <w:rPr>
          <w:rFonts w:ascii="Times New Roman" w:hAnsi="Times New Roman" w:cs="Times New Roman"/>
          <w:kern w:val="0"/>
          <w:sz w:val="24"/>
          <w:szCs w:val="24"/>
        </w:rPr>
        <w:t>malwere</w:t>
      </w:r>
      <w:proofErr w:type="spellEnd"/>
      <w:r w:rsidR="009C76B5" w:rsidRPr="000431F7">
        <w:rPr>
          <w:rFonts w:ascii="Times New Roman" w:hAnsi="Times New Roman" w:cs="Times New Roman"/>
          <w:kern w:val="0"/>
          <w:sz w:val="24"/>
          <w:szCs w:val="24"/>
        </w:rPr>
        <w:t xml:space="preserve">, </w:t>
      </w:r>
      <w:proofErr w:type="spellStart"/>
      <w:r w:rsidR="009C76B5" w:rsidRPr="000431F7">
        <w:rPr>
          <w:rFonts w:ascii="Times New Roman" w:hAnsi="Times New Roman" w:cs="Times New Roman"/>
          <w:kern w:val="0"/>
          <w:sz w:val="24"/>
          <w:szCs w:val="24"/>
        </w:rPr>
        <w:t>DDOs</w:t>
      </w:r>
      <w:proofErr w:type="spellEnd"/>
      <w:r w:rsidR="009C76B5" w:rsidRPr="000431F7">
        <w:rPr>
          <w:rFonts w:ascii="Times New Roman" w:hAnsi="Times New Roman" w:cs="Times New Roman"/>
          <w:kern w:val="0"/>
          <w:sz w:val="24"/>
          <w:szCs w:val="24"/>
        </w:rPr>
        <w:t xml:space="preserve"> czy </w:t>
      </w:r>
      <w:proofErr w:type="spellStart"/>
      <w:r w:rsidR="009C76B5" w:rsidRPr="000431F7">
        <w:rPr>
          <w:rFonts w:ascii="Times New Roman" w:hAnsi="Times New Roman" w:cs="Times New Roman"/>
          <w:kern w:val="0"/>
          <w:sz w:val="24"/>
          <w:szCs w:val="24"/>
        </w:rPr>
        <w:t>phishing</w:t>
      </w:r>
      <w:proofErr w:type="spellEnd"/>
      <w:r w:rsidR="009C76B5" w:rsidRPr="000431F7">
        <w:rPr>
          <w:rFonts w:ascii="Times New Roman" w:hAnsi="Times New Roman" w:cs="Times New Roman"/>
          <w:kern w:val="0"/>
          <w:sz w:val="24"/>
          <w:szCs w:val="24"/>
        </w:rPr>
        <w:t>, ustalenia podmiotu</w:t>
      </w:r>
      <w:r w:rsidR="000047F4" w:rsidRPr="000431F7">
        <w:rPr>
          <w:rFonts w:ascii="Times New Roman" w:hAnsi="Times New Roman" w:cs="Times New Roman"/>
          <w:kern w:val="0"/>
          <w:sz w:val="24"/>
          <w:szCs w:val="24"/>
        </w:rPr>
        <w:t xml:space="preserve"> </w:t>
      </w:r>
      <w:r w:rsidR="009C76B5" w:rsidRPr="000431F7">
        <w:rPr>
          <w:rFonts w:ascii="Times New Roman" w:hAnsi="Times New Roman" w:cs="Times New Roman"/>
          <w:kern w:val="0"/>
          <w:sz w:val="24"/>
          <w:szCs w:val="24"/>
        </w:rPr>
        <w:t>odpowiedzialnego lub skali naruszenia, zabezpieczenia sieci i systemów informatycznych</w:t>
      </w:r>
      <w:r w:rsidR="00C22445" w:rsidRPr="000431F7">
        <w:rPr>
          <w:rFonts w:ascii="Times New Roman" w:hAnsi="Times New Roman" w:cs="Times New Roman"/>
          <w:kern w:val="0"/>
          <w:sz w:val="24"/>
          <w:szCs w:val="24"/>
        </w:rPr>
        <w:t xml:space="preserve"> </w:t>
      </w:r>
      <w:r w:rsidR="009C76B5" w:rsidRPr="000431F7">
        <w:rPr>
          <w:rFonts w:ascii="Times New Roman" w:hAnsi="Times New Roman" w:cs="Times New Roman"/>
          <w:kern w:val="0"/>
          <w:sz w:val="24"/>
          <w:szCs w:val="24"/>
        </w:rPr>
        <w:t>przed atakiem i zablokowania rozprzestrzenienia się zagrożenia, a także pozyskania</w:t>
      </w:r>
      <w:r w:rsidR="000047F4" w:rsidRPr="000431F7">
        <w:rPr>
          <w:rFonts w:ascii="Times New Roman" w:hAnsi="Times New Roman" w:cs="Times New Roman"/>
          <w:kern w:val="0"/>
          <w:sz w:val="24"/>
          <w:szCs w:val="24"/>
        </w:rPr>
        <w:t xml:space="preserve"> </w:t>
      </w:r>
      <w:r w:rsidR="009C76B5" w:rsidRPr="000431F7">
        <w:rPr>
          <w:rFonts w:ascii="Times New Roman" w:hAnsi="Times New Roman" w:cs="Times New Roman"/>
          <w:kern w:val="0"/>
          <w:sz w:val="24"/>
          <w:szCs w:val="24"/>
        </w:rPr>
        <w:t>dowodów koniecznych do skutecznego prowadzenia postępowania dotyczącego</w:t>
      </w:r>
      <w:r w:rsidR="000047F4" w:rsidRPr="000431F7">
        <w:rPr>
          <w:rFonts w:ascii="Times New Roman" w:hAnsi="Times New Roman" w:cs="Times New Roman"/>
          <w:kern w:val="0"/>
          <w:sz w:val="24"/>
          <w:szCs w:val="24"/>
        </w:rPr>
        <w:t xml:space="preserve"> </w:t>
      </w:r>
      <w:r w:rsidR="009C76B5" w:rsidRPr="000431F7">
        <w:rPr>
          <w:rFonts w:ascii="Times New Roman" w:hAnsi="Times New Roman" w:cs="Times New Roman"/>
          <w:kern w:val="0"/>
          <w:sz w:val="24"/>
          <w:szCs w:val="24"/>
        </w:rPr>
        <w:t>naruszenia przepisów rozporządzenia 2022/2554</w:t>
      </w:r>
      <w:r w:rsidR="009C76B5" w:rsidRPr="000431F7">
        <w:rPr>
          <w:rFonts w:ascii="Times New Roman" w:hAnsi="Times New Roman" w:cs="Times New Roman"/>
          <w:sz w:val="24"/>
          <w:szCs w:val="24"/>
        </w:rPr>
        <w:t>.</w:t>
      </w:r>
    </w:p>
    <w:p w14:paraId="085860FE" w14:textId="6B02B2C2" w:rsidR="000047F4" w:rsidRPr="000431F7" w:rsidRDefault="009C76B5" w:rsidP="004742CC">
      <w:pPr>
        <w:autoSpaceDE w:val="0"/>
        <w:autoSpaceDN w:val="0"/>
        <w:adjustRightInd w:val="0"/>
        <w:spacing w:before="120" w:after="0" w:line="360" w:lineRule="auto"/>
        <w:jc w:val="both"/>
        <w:rPr>
          <w:rFonts w:ascii="Times New Roman" w:hAnsi="Times New Roman" w:cs="Times New Roman"/>
          <w:kern w:val="0"/>
          <w:sz w:val="24"/>
          <w:szCs w:val="24"/>
        </w:rPr>
      </w:pPr>
      <w:r w:rsidRPr="000431F7">
        <w:rPr>
          <w:rFonts w:ascii="Times New Roman" w:hAnsi="Times New Roman" w:cs="Times New Roman"/>
          <w:kern w:val="0"/>
          <w:sz w:val="24"/>
          <w:szCs w:val="24"/>
        </w:rPr>
        <w:t>Udostępnienie danych,</w:t>
      </w:r>
      <w:r w:rsidR="000047F4" w:rsidRPr="000431F7">
        <w:rPr>
          <w:rFonts w:ascii="Times New Roman" w:hAnsi="Times New Roman" w:cs="Times New Roman"/>
          <w:kern w:val="0"/>
          <w:sz w:val="24"/>
          <w:szCs w:val="24"/>
        </w:rPr>
        <w:t xml:space="preserve"> </w:t>
      </w:r>
      <w:r w:rsidRPr="000431F7">
        <w:rPr>
          <w:rFonts w:ascii="Times New Roman" w:hAnsi="Times New Roman" w:cs="Times New Roman"/>
          <w:kern w:val="0"/>
          <w:sz w:val="24"/>
          <w:szCs w:val="24"/>
        </w:rPr>
        <w:t>określonych w projektowanym art. 18z</w:t>
      </w:r>
      <w:r w:rsidR="00E754CD" w:rsidRPr="000431F7">
        <w:rPr>
          <w:rFonts w:ascii="Times New Roman" w:hAnsi="Times New Roman" w:cs="Times New Roman"/>
          <w:kern w:val="0"/>
          <w:sz w:val="24"/>
          <w:szCs w:val="24"/>
        </w:rPr>
        <w:t>f</w:t>
      </w:r>
      <w:r w:rsidRPr="000431F7">
        <w:rPr>
          <w:rFonts w:ascii="Times New Roman" w:hAnsi="Times New Roman" w:cs="Times New Roman"/>
          <w:kern w:val="0"/>
          <w:sz w:val="24"/>
          <w:szCs w:val="24"/>
        </w:rPr>
        <w:t xml:space="preserve"> jest konieczne w celu zapewnienia skutecznego</w:t>
      </w:r>
      <w:r w:rsidR="000047F4" w:rsidRPr="000431F7">
        <w:rPr>
          <w:rFonts w:ascii="Times New Roman" w:hAnsi="Times New Roman" w:cs="Times New Roman"/>
          <w:kern w:val="0"/>
          <w:sz w:val="24"/>
          <w:szCs w:val="24"/>
        </w:rPr>
        <w:t xml:space="preserve"> </w:t>
      </w:r>
      <w:r w:rsidRPr="000431F7">
        <w:rPr>
          <w:rFonts w:ascii="Times New Roman" w:hAnsi="Times New Roman" w:cs="Times New Roman"/>
          <w:kern w:val="0"/>
          <w:sz w:val="24"/>
          <w:szCs w:val="24"/>
        </w:rPr>
        <w:t>działania w zakresie obsługi poważnych incydentów związanych z ICT w rozumieniu art.</w:t>
      </w:r>
      <w:r w:rsidR="000047F4" w:rsidRPr="000431F7">
        <w:rPr>
          <w:rFonts w:ascii="Times New Roman" w:hAnsi="Times New Roman" w:cs="Times New Roman"/>
          <w:kern w:val="0"/>
          <w:sz w:val="24"/>
          <w:szCs w:val="24"/>
        </w:rPr>
        <w:t xml:space="preserve"> </w:t>
      </w:r>
      <w:r w:rsidRPr="000431F7">
        <w:rPr>
          <w:rFonts w:ascii="Times New Roman" w:hAnsi="Times New Roman" w:cs="Times New Roman"/>
          <w:kern w:val="0"/>
          <w:sz w:val="24"/>
          <w:szCs w:val="24"/>
        </w:rPr>
        <w:t xml:space="preserve">3 pkt 10 rozporządzenia 2022/2554 lub znaczących </w:t>
      </w:r>
      <w:proofErr w:type="spellStart"/>
      <w:r w:rsidRPr="000431F7">
        <w:rPr>
          <w:rFonts w:ascii="Times New Roman" w:hAnsi="Times New Roman" w:cs="Times New Roman"/>
          <w:kern w:val="0"/>
          <w:sz w:val="24"/>
          <w:szCs w:val="24"/>
        </w:rPr>
        <w:t>cyberzagrożeń</w:t>
      </w:r>
      <w:proofErr w:type="spellEnd"/>
      <w:r w:rsidRPr="000431F7">
        <w:rPr>
          <w:rFonts w:ascii="Times New Roman" w:hAnsi="Times New Roman" w:cs="Times New Roman"/>
          <w:kern w:val="0"/>
          <w:sz w:val="24"/>
          <w:szCs w:val="24"/>
        </w:rPr>
        <w:t xml:space="preserve"> w rozumieniu art. 3</w:t>
      </w:r>
      <w:r w:rsidR="000047F4" w:rsidRPr="000431F7">
        <w:rPr>
          <w:rFonts w:ascii="Times New Roman" w:hAnsi="Times New Roman" w:cs="Times New Roman"/>
          <w:kern w:val="0"/>
          <w:sz w:val="24"/>
          <w:szCs w:val="24"/>
        </w:rPr>
        <w:t xml:space="preserve"> </w:t>
      </w:r>
      <w:r w:rsidRPr="000431F7">
        <w:rPr>
          <w:rFonts w:ascii="Times New Roman" w:hAnsi="Times New Roman" w:cs="Times New Roman"/>
          <w:kern w:val="0"/>
          <w:sz w:val="24"/>
          <w:szCs w:val="24"/>
        </w:rPr>
        <w:t>pkt 13 tego rozporządzenia. Nadrzędnym interesem publicznym wymagającym</w:t>
      </w:r>
      <w:r w:rsidR="000047F4" w:rsidRPr="000431F7">
        <w:rPr>
          <w:rFonts w:ascii="Times New Roman" w:hAnsi="Times New Roman" w:cs="Times New Roman"/>
          <w:kern w:val="0"/>
          <w:sz w:val="24"/>
          <w:szCs w:val="24"/>
        </w:rPr>
        <w:t xml:space="preserve"> </w:t>
      </w:r>
      <w:r w:rsidRPr="000431F7">
        <w:rPr>
          <w:rFonts w:ascii="Times New Roman" w:hAnsi="Times New Roman" w:cs="Times New Roman"/>
          <w:kern w:val="0"/>
          <w:sz w:val="24"/>
          <w:szCs w:val="24"/>
        </w:rPr>
        <w:t>pozyskania przez organ nadzoru danych stanowiących tajemnicę komunikacji</w:t>
      </w:r>
      <w:r w:rsidR="000047F4" w:rsidRPr="000431F7">
        <w:rPr>
          <w:rFonts w:ascii="Times New Roman" w:hAnsi="Times New Roman" w:cs="Times New Roman"/>
          <w:kern w:val="0"/>
          <w:sz w:val="24"/>
          <w:szCs w:val="24"/>
        </w:rPr>
        <w:t xml:space="preserve"> </w:t>
      </w:r>
      <w:r w:rsidRPr="000431F7">
        <w:rPr>
          <w:rFonts w:ascii="Times New Roman" w:hAnsi="Times New Roman" w:cs="Times New Roman"/>
          <w:kern w:val="0"/>
          <w:sz w:val="24"/>
          <w:szCs w:val="24"/>
        </w:rPr>
        <w:t>elektronicznej jest ochrona bezpieczeństwa systemu finansowego, środków finansowych</w:t>
      </w:r>
      <w:r w:rsidR="000047F4" w:rsidRPr="000431F7">
        <w:rPr>
          <w:rFonts w:ascii="Times New Roman" w:hAnsi="Times New Roman" w:cs="Times New Roman"/>
          <w:kern w:val="0"/>
          <w:sz w:val="24"/>
          <w:szCs w:val="24"/>
        </w:rPr>
        <w:t xml:space="preserve"> </w:t>
      </w:r>
      <w:r w:rsidRPr="000431F7">
        <w:rPr>
          <w:rFonts w:ascii="Times New Roman" w:hAnsi="Times New Roman" w:cs="Times New Roman"/>
          <w:kern w:val="0"/>
          <w:sz w:val="24"/>
          <w:szCs w:val="24"/>
        </w:rPr>
        <w:t>oraz</w:t>
      </w:r>
      <w:r w:rsidR="000047F4" w:rsidRPr="000431F7">
        <w:rPr>
          <w:rFonts w:ascii="Times New Roman" w:hAnsi="Times New Roman" w:cs="Times New Roman"/>
          <w:kern w:val="0"/>
          <w:sz w:val="24"/>
          <w:szCs w:val="24"/>
        </w:rPr>
        <w:t xml:space="preserve"> </w:t>
      </w:r>
      <w:r w:rsidRPr="000431F7">
        <w:rPr>
          <w:rFonts w:ascii="Times New Roman" w:hAnsi="Times New Roman" w:cs="Times New Roman"/>
          <w:kern w:val="0"/>
          <w:sz w:val="24"/>
          <w:szCs w:val="24"/>
        </w:rPr>
        <w:t xml:space="preserve">konsumentów korzystających z usług podmiotów finansowych. </w:t>
      </w:r>
    </w:p>
    <w:p w14:paraId="1503DEC5" w14:textId="0502BAA9" w:rsidR="00AC35F5" w:rsidRDefault="009C76B5">
      <w:pPr>
        <w:autoSpaceDE w:val="0"/>
        <w:autoSpaceDN w:val="0"/>
        <w:adjustRightInd w:val="0"/>
        <w:spacing w:before="120" w:after="0" w:line="360" w:lineRule="auto"/>
        <w:jc w:val="both"/>
        <w:rPr>
          <w:rFonts w:ascii="Times New Roman" w:hAnsi="Times New Roman" w:cs="Times New Roman"/>
          <w:kern w:val="0"/>
          <w:sz w:val="24"/>
          <w:szCs w:val="24"/>
        </w:rPr>
      </w:pPr>
      <w:r w:rsidRPr="000431F7">
        <w:rPr>
          <w:rFonts w:ascii="Times New Roman" w:hAnsi="Times New Roman" w:cs="Times New Roman"/>
          <w:kern w:val="0"/>
          <w:sz w:val="24"/>
          <w:szCs w:val="24"/>
        </w:rPr>
        <w:t>Należy podkreślić, że</w:t>
      </w:r>
      <w:r w:rsidR="000047F4" w:rsidRPr="000431F7">
        <w:rPr>
          <w:rFonts w:ascii="Times New Roman" w:hAnsi="Times New Roman" w:cs="Times New Roman"/>
          <w:kern w:val="0"/>
          <w:sz w:val="24"/>
          <w:szCs w:val="24"/>
        </w:rPr>
        <w:t xml:space="preserve"> </w:t>
      </w:r>
      <w:r w:rsidRPr="000431F7">
        <w:rPr>
          <w:rFonts w:ascii="Times New Roman" w:hAnsi="Times New Roman" w:cs="Times New Roman"/>
          <w:kern w:val="0"/>
          <w:sz w:val="24"/>
          <w:szCs w:val="24"/>
        </w:rPr>
        <w:t>zgodnie z informacjami przedstawionymi przez Ministerstwo Cyfryzacji w projekcie</w:t>
      </w:r>
      <w:r w:rsidR="000047F4" w:rsidRPr="000431F7">
        <w:rPr>
          <w:rFonts w:ascii="Times New Roman" w:hAnsi="Times New Roman" w:cs="Times New Roman"/>
          <w:kern w:val="0"/>
          <w:sz w:val="24"/>
          <w:szCs w:val="24"/>
        </w:rPr>
        <w:t xml:space="preserve"> </w:t>
      </w:r>
      <w:r w:rsidRPr="000431F7">
        <w:rPr>
          <w:rFonts w:ascii="Times New Roman" w:hAnsi="Times New Roman" w:cs="Times New Roman"/>
          <w:kern w:val="0"/>
          <w:sz w:val="24"/>
          <w:szCs w:val="24"/>
        </w:rPr>
        <w:t xml:space="preserve">dokumentu </w:t>
      </w:r>
      <w:r w:rsidR="00987740">
        <w:rPr>
          <w:rFonts w:ascii="Times New Roman" w:hAnsi="Times New Roman" w:cs="Times New Roman"/>
          <w:kern w:val="0"/>
          <w:sz w:val="24"/>
          <w:szCs w:val="24"/>
        </w:rPr>
        <w:t>„</w:t>
      </w:r>
      <w:r w:rsidRPr="000431F7">
        <w:rPr>
          <w:rFonts w:ascii="Times New Roman" w:hAnsi="Times New Roman" w:cs="Times New Roman"/>
          <w:kern w:val="0"/>
          <w:sz w:val="24"/>
          <w:szCs w:val="24"/>
        </w:rPr>
        <w:t xml:space="preserve">Strategia cyfryzacji państwa”, znaczenie ochrony </w:t>
      </w:r>
      <w:proofErr w:type="spellStart"/>
      <w:r w:rsidRPr="000431F7">
        <w:rPr>
          <w:rFonts w:ascii="Times New Roman" w:hAnsi="Times New Roman" w:cs="Times New Roman"/>
          <w:kern w:val="0"/>
          <w:sz w:val="24"/>
          <w:szCs w:val="24"/>
        </w:rPr>
        <w:t>cyberbezpieczeństwa</w:t>
      </w:r>
      <w:proofErr w:type="spellEnd"/>
      <w:r w:rsidR="000047F4" w:rsidRPr="000431F7">
        <w:rPr>
          <w:rFonts w:ascii="Times New Roman" w:hAnsi="Times New Roman" w:cs="Times New Roman"/>
          <w:kern w:val="0"/>
          <w:sz w:val="24"/>
          <w:szCs w:val="24"/>
        </w:rPr>
        <w:t xml:space="preserve"> </w:t>
      </w:r>
      <w:r w:rsidRPr="000431F7">
        <w:rPr>
          <w:rFonts w:ascii="Times New Roman" w:hAnsi="Times New Roman" w:cs="Times New Roman"/>
          <w:kern w:val="0"/>
          <w:sz w:val="24"/>
          <w:szCs w:val="24"/>
        </w:rPr>
        <w:t>będzie wzrastać w kolejnych latach, co przekłada się na konieczność zwrócenia większej</w:t>
      </w:r>
      <w:r w:rsidR="000047F4" w:rsidRPr="000431F7">
        <w:rPr>
          <w:rFonts w:ascii="Times New Roman" w:hAnsi="Times New Roman" w:cs="Times New Roman"/>
          <w:kern w:val="0"/>
          <w:sz w:val="24"/>
          <w:szCs w:val="24"/>
        </w:rPr>
        <w:t xml:space="preserve"> </w:t>
      </w:r>
      <w:r w:rsidRPr="000431F7">
        <w:rPr>
          <w:rFonts w:ascii="Times New Roman" w:hAnsi="Times New Roman" w:cs="Times New Roman"/>
          <w:kern w:val="0"/>
          <w:sz w:val="24"/>
          <w:szCs w:val="24"/>
        </w:rPr>
        <w:t xml:space="preserve">uwagi na problem </w:t>
      </w:r>
      <w:proofErr w:type="spellStart"/>
      <w:r w:rsidRPr="000431F7">
        <w:rPr>
          <w:rFonts w:ascii="Times New Roman" w:hAnsi="Times New Roman" w:cs="Times New Roman"/>
          <w:kern w:val="0"/>
          <w:sz w:val="24"/>
          <w:szCs w:val="24"/>
        </w:rPr>
        <w:t>cyberbezpieczeństwa</w:t>
      </w:r>
      <w:proofErr w:type="spellEnd"/>
      <w:r w:rsidRPr="000431F7">
        <w:rPr>
          <w:rFonts w:ascii="Times New Roman" w:hAnsi="Times New Roman" w:cs="Times New Roman"/>
          <w:kern w:val="0"/>
          <w:sz w:val="24"/>
          <w:szCs w:val="24"/>
        </w:rPr>
        <w:t>, zwłaszcza w sektorach krytycznych. Zgodnie</w:t>
      </w:r>
      <w:r w:rsidR="000047F4" w:rsidRPr="000431F7">
        <w:rPr>
          <w:rFonts w:ascii="Times New Roman" w:hAnsi="Times New Roman" w:cs="Times New Roman"/>
          <w:kern w:val="0"/>
          <w:sz w:val="24"/>
          <w:szCs w:val="24"/>
        </w:rPr>
        <w:t xml:space="preserve"> </w:t>
      </w:r>
      <w:r w:rsidRPr="000431F7">
        <w:rPr>
          <w:rFonts w:ascii="Times New Roman" w:hAnsi="Times New Roman" w:cs="Times New Roman"/>
          <w:kern w:val="0"/>
          <w:sz w:val="24"/>
          <w:szCs w:val="24"/>
        </w:rPr>
        <w:t xml:space="preserve">z ww. dokumentem rokrocznie rośnie liczba </w:t>
      </w:r>
      <w:proofErr w:type="spellStart"/>
      <w:r w:rsidRPr="000431F7">
        <w:rPr>
          <w:rFonts w:ascii="Times New Roman" w:hAnsi="Times New Roman" w:cs="Times New Roman"/>
          <w:kern w:val="0"/>
          <w:sz w:val="24"/>
          <w:szCs w:val="24"/>
        </w:rPr>
        <w:t>cyberincydentów</w:t>
      </w:r>
      <w:proofErr w:type="spellEnd"/>
      <w:r w:rsidRPr="000431F7">
        <w:rPr>
          <w:rFonts w:ascii="Times New Roman" w:hAnsi="Times New Roman" w:cs="Times New Roman"/>
          <w:kern w:val="0"/>
          <w:sz w:val="24"/>
          <w:szCs w:val="24"/>
        </w:rPr>
        <w:t>, co związane jest z rozwojem</w:t>
      </w:r>
      <w:r w:rsidR="000047F4" w:rsidRPr="000431F7">
        <w:rPr>
          <w:rFonts w:ascii="Times New Roman" w:hAnsi="Times New Roman" w:cs="Times New Roman"/>
          <w:kern w:val="0"/>
          <w:sz w:val="24"/>
          <w:szCs w:val="24"/>
        </w:rPr>
        <w:t xml:space="preserve"> </w:t>
      </w:r>
      <w:r w:rsidRPr="000431F7">
        <w:rPr>
          <w:rFonts w:ascii="Times New Roman" w:hAnsi="Times New Roman" w:cs="Times New Roman"/>
          <w:kern w:val="0"/>
          <w:sz w:val="24"/>
          <w:szCs w:val="24"/>
        </w:rPr>
        <w:t>AI, ale także atakami hybrydowymi innych państw. Należy podkreślić szczególne</w:t>
      </w:r>
      <w:r w:rsidR="000047F4" w:rsidRPr="000431F7">
        <w:rPr>
          <w:rFonts w:ascii="Times New Roman" w:hAnsi="Times New Roman" w:cs="Times New Roman"/>
          <w:kern w:val="0"/>
          <w:sz w:val="24"/>
          <w:szCs w:val="24"/>
        </w:rPr>
        <w:t xml:space="preserve"> </w:t>
      </w:r>
      <w:r w:rsidRPr="000431F7">
        <w:rPr>
          <w:rFonts w:ascii="Times New Roman" w:hAnsi="Times New Roman" w:cs="Times New Roman"/>
          <w:kern w:val="0"/>
          <w:sz w:val="24"/>
          <w:szCs w:val="24"/>
        </w:rPr>
        <w:t xml:space="preserve">znaczenie </w:t>
      </w:r>
      <w:proofErr w:type="spellStart"/>
      <w:r w:rsidRPr="000431F7">
        <w:rPr>
          <w:rFonts w:ascii="Times New Roman" w:hAnsi="Times New Roman" w:cs="Times New Roman"/>
          <w:kern w:val="0"/>
          <w:sz w:val="24"/>
          <w:szCs w:val="24"/>
        </w:rPr>
        <w:t>cybrebezpieczeństwa</w:t>
      </w:r>
      <w:proofErr w:type="spellEnd"/>
      <w:r w:rsidRPr="000431F7">
        <w:rPr>
          <w:rFonts w:ascii="Times New Roman" w:hAnsi="Times New Roman" w:cs="Times New Roman"/>
          <w:kern w:val="0"/>
          <w:sz w:val="24"/>
          <w:szCs w:val="24"/>
        </w:rPr>
        <w:t xml:space="preserve"> sektora finansowego, również z uwagi na jego</w:t>
      </w:r>
      <w:r w:rsidR="000047F4" w:rsidRPr="000431F7">
        <w:rPr>
          <w:rFonts w:ascii="Times New Roman" w:hAnsi="Times New Roman" w:cs="Times New Roman"/>
          <w:kern w:val="0"/>
          <w:sz w:val="24"/>
          <w:szCs w:val="24"/>
        </w:rPr>
        <w:t xml:space="preserve"> </w:t>
      </w:r>
      <w:r w:rsidRPr="000431F7">
        <w:rPr>
          <w:rFonts w:ascii="Times New Roman" w:hAnsi="Times New Roman" w:cs="Times New Roman"/>
          <w:kern w:val="0"/>
          <w:sz w:val="24"/>
          <w:szCs w:val="24"/>
        </w:rPr>
        <w:t xml:space="preserve">transgraniczny charakter, co podkreśla pkt 3 preambuły rozporządzenia 2022/2554: </w:t>
      </w:r>
    </w:p>
    <w:p w14:paraId="2A5A098A" w14:textId="3E9FD6E5" w:rsidR="009C76B5" w:rsidRPr="004742CC" w:rsidRDefault="000047F4" w:rsidP="004742CC">
      <w:pPr>
        <w:autoSpaceDE w:val="0"/>
        <w:autoSpaceDN w:val="0"/>
        <w:adjustRightInd w:val="0"/>
        <w:spacing w:before="120" w:after="0" w:line="360" w:lineRule="auto"/>
        <w:jc w:val="both"/>
        <w:rPr>
          <w:rFonts w:ascii="Times New Roman" w:hAnsi="Times New Roman" w:cs="Times New Roman"/>
          <w:sz w:val="24"/>
          <w:szCs w:val="24"/>
        </w:rPr>
      </w:pPr>
      <w:r w:rsidRPr="000431F7">
        <w:rPr>
          <w:rFonts w:ascii="Times New Roman" w:hAnsi="Times New Roman" w:cs="Times New Roman"/>
          <w:kern w:val="0"/>
          <w:sz w:val="24"/>
          <w:szCs w:val="24"/>
        </w:rPr>
        <w:lastRenderedPageBreak/>
        <w:t>„</w:t>
      </w:r>
      <w:r w:rsidR="009C76B5" w:rsidRPr="000431F7">
        <w:rPr>
          <w:rFonts w:ascii="Times New Roman" w:hAnsi="Times New Roman" w:cs="Times New Roman"/>
          <w:kern w:val="0"/>
          <w:sz w:val="24"/>
          <w:szCs w:val="24"/>
        </w:rPr>
        <w:t>W sprawozdaniu z 2020 r. dotyczącym systemowego ryzyka w cyberprzestrzeni</w:t>
      </w:r>
      <w:r w:rsidRPr="000431F7">
        <w:rPr>
          <w:rFonts w:ascii="Times New Roman" w:hAnsi="Times New Roman" w:cs="Times New Roman"/>
          <w:kern w:val="0"/>
          <w:sz w:val="24"/>
          <w:szCs w:val="24"/>
        </w:rPr>
        <w:t xml:space="preserve"> </w:t>
      </w:r>
      <w:r w:rsidR="009C76B5" w:rsidRPr="000431F7">
        <w:rPr>
          <w:rFonts w:ascii="Times New Roman" w:hAnsi="Times New Roman" w:cs="Times New Roman"/>
          <w:kern w:val="0"/>
          <w:sz w:val="24"/>
          <w:szCs w:val="24"/>
        </w:rPr>
        <w:t>Europejska Rada ds. Ryzyka Systemowego (ERRS) potwierdziła, że istniejący wysoki</w:t>
      </w:r>
      <w:r w:rsidRPr="000431F7">
        <w:rPr>
          <w:rFonts w:ascii="Times New Roman" w:hAnsi="Times New Roman" w:cs="Times New Roman"/>
          <w:kern w:val="0"/>
          <w:sz w:val="24"/>
          <w:szCs w:val="24"/>
        </w:rPr>
        <w:t xml:space="preserve"> </w:t>
      </w:r>
      <w:r w:rsidR="009C76B5" w:rsidRPr="000431F7">
        <w:rPr>
          <w:rFonts w:ascii="Times New Roman" w:hAnsi="Times New Roman" w:cs="Times New Roman"/>
          <w:kern w:val="0"/>
          <w:sz w:val="24"/>
          <w:szCs w:val="24"/>
        </w:rPr>
        <w:t>poziom wzajemnych powiązań między podmiotami finansowymi, rynkami finansowymi</w:t>
      </w:r>
      <w:r w:rsidRPr="000431F7">
        <w:rPr>
          <w:rFonts w:ascii="Times New Roman" w:hAnsi="Times New Roman" w:cs="Times New Roman"/>
          <w:kern w:val="0"/>
          <w:sz w:val="24"/>
          <w:szCs w:val="24"/>
        </w:rPr>
        <w:t xml:space="preserve"> </w:t>
      </w:r>
      <w:r w:rsidR="009C76B5" w:rsidRPr="000431F7">
        <w:rPr>
          <w:rFonts w:ascii="Times New Roman" w:hAnsi="Times New Roman" w:cs="Times New Roman"/>
          <w:kern w:val="0"/>
          <w:sz w:val="24"/>
          <w:szCs w:val="24"/>
        </w:rPr>
        <w:t>i infrastrukturami rynku finansowego, a w szczególności współzależności między ich</w:t>
      </w:r>
      <w:r w:rsidRPr="000431F7">
        <w:rPr>
          <w:rFonts w:ascii="Times New Roman" w:hAnsi="Times New Roman" w:cs="Times New Roman"/>
          <w:kern w:val="0"/>
          <w:sz w:val="24"/>
          <w:szCs w:val="24"/>
        </w:rPr>
        <w:t xml:space="preserve"> </w:t>
      </w:r>
      <w:r w:rsidR="009C76B5" w:rsidRPr="000431F7">
        <w:rPr>
          <w:rFonts w:ascii="Times New Roman" w:hAnsi="Times New Roman" w:cs="Times New Roman"/>
          <w:kern w:val="0"/>
          <w:sz w:val="24"/>
          <w:szCs w:val="24"/>
        </w:rPr>
        <w:t>systemami ICT mogą stanowić podatność o charakterze systemowym, ponieważ lokalne</w:t>
      </w:r>
      <w:r w:rsidRPr="000431F7">
        <w:rPr>
          <w:rFonts w:ascii="Times New Roman" w:hAnsi="Times New Roman" w:cs="Times New Roman"/>
          <w:kern w:val="0"/>
          <w:sz w:val="24"/>
          <w:szCs w:val="24"/>
        </w:rPr>
        <w:t xml:space="preserve"> </w:t>
      </w:r>
      <w:proofErr w:type="spellStart"/>
      <w:r w:rsidR="009C76B5" w:rsidRPr="000431F7">
        <w:rPr>
          <w:rFonts w:ascii="Times New Roman" w:hAnsi="Times New Roman" w:cs="Times New Roman"/>
          <w:kern w:val="0"/>
          <w:sz w:val="24"/>
          <w:szCs w:val="24"/>
        </w:rPr>
        <w:t>cyberincydenty</w:t>
      </w:r>
      <w:proofErr w:type="spellEnd"/>
      <w:r w:rsidR="009C76B5" w:rsidRPr="000431F7">
        <w:rPr>
          <w:rFonts w:ascii="Times New Roman" w:hAnsi="Times New Roman" w:cs="Times New Roman"/>
          <w:kern w:val="0"/>
          <w:sz w:val="24"/>
          <w:szCs w:val="24"/>
        </w:rPr>
        <w:t xml:space="preserve"> mogłyby szybko rozprzestrzenić się z każdego z około 22 000 unijnych</w:t>
      </w:r>
      <w:r w:rsidRPr="000431F7">
        <w:rPr>
          <w:rFonts w:ascii="Times New Roman" w:hAnsi="Times New Roman" w:cs="Times New Roman"/>
          <w:kern w:val="0"/>
          <w:sz w:val="24"/>
          <w:szCs w:val="24"/>
        </w:rPr>
        <w:t xml:space="preserve"> </w:t>
      </w:r>
      <w:r w:rsidR="009C76B5" w:rsidRPr="000431F7">
        <w:rPr>
          <w:rFonts w:ascii="Times New Roman" w:hAnsi="Times New Roman" w:cs="Times New Roman"/>
          <w:kern w:val="0"/>
          <w:sz w:val="24"/>
          <w:szCs w:val="24"/>
        </w:rPr>
        <w:t>podmiotów finansowych na cały system finansowy, bez żadnych przeszkód związanych</w:t>
      </w:r>
      <w:r w:rsidRPr="000431F7">
        <w:rPr>
          <w:rFonts w:ascii="Times New Roman" w:hAnsi="Times New Roman" w:cs="Times New Roman"/>
          <w:kern w:val="0"/>
          <w:sz w:val="24"/>
          <w:szCs w:val="24"/>
        </w:rPr>
        <w:t xml:space="preserve"> </w:t>
      </w:r>
      <w:r w:rsidR="009C76B5" w:rsidRPr="000431F7">
        <w:rPr>
          <w:rFonts w:ascii="Times New Roman" w:hAnsi="Times New Roman" w:cs="Times New Roman"/>
          <w:kern w:val="0"/>
          <w:sz w:val="24"/>
          <w:szCs w:val="24"/>
        </w:rPr>
        <w:t>z granicami geograficznymi. Poważne naruszenia związane z ICT występujące w sektorze</w:t>
      </w:r>
      <w:r w:rsidRPr="000431F7">
        <w:rPr>
          <w:rFonts w:ascii="Times New Roman" w:hAnsi="Times New Roman" w:cs="Times New Roman"/>
          <w:kern w:val="0"/>
          <w:sz w:val="24"/>
          <w:szCs w:val="24"/>
        </w:rPr>
        <w:t xml:space="preserve"> </w:t>
      </w:r>
      <w:r w:rsidR="009C76B5" w:rsidRPr="000431F7">
        <w:rPr>
          <w:rFonts w:ascii="Times New Roman" w:hAnsi="Times New Roman" w:cs="Times New Roman"/>
          <w:kern w:val="0"/>
          <w:sz w:val="24"/>
          <w:szCs w:val="24"/>
        </w:rPr>
        <w:t>finansowym nie dotyczą wyłącznie samych podmiotów finansowych. Naruszenia te</w:t>
      </w:r>
      <w:r w:rsidRPr="000431F7">
        <w:rPr>
          <w:rFonts w:ascii="Times New Roman" w:hAnsi="Times New Roman" w:cs="Times New Roman"/>
          <w:kern w:val="0"/>
          <w:sz w:val="24"/>
          <w:szCs w:val="24"/>
        </w:rPr>
        <w:t xml:space="preserve"> </w:t>
      </w:r>
      <w:r w:rsidR="009C76B5" w:rsidRPr="000431F7">
        <w:rPr>
          <w:rFonts w:ascii="Times New Roman" w:hAnsi="Times New Roman" w:cs="Times New Roman"/>
          <w:kern w:val="0"/>
          <w:sz w:val="24"/>
          <w:szCs w:val="24"/>
        </w:rPr>
        <w:t>zwiększają również ryzyko rozpowszechnienia lokalnych podatności we wszystkich</w:t>
      </w:r>
      <w:r w:rsidRPr="000431F7">
        <w:rPr>
          <w:rFonts w:ascii="Times New Roman" w:hAnsi="Times New Roman" w:cs="Times New Roman"/>
          <w:kern w:val="0"/>
          <w:sz w:val="24"/>
          <w:szCs w:val="24"/>
        </w:rPr>
        <w:t xml:space="preserve"> </w:t>
      </w:r>
      <w:r w:rsidR="009C76B5" w:rsidRPr="000431F7">
        <w:rPr>
          <w:rFonts w:ascii="Times New Roman" w:hAnsi="Times New Roman" w:cs="Times New Roman"/>
          <w:kern w:val="0"/>
          <w:sz w:val="24"/>
          <w:szCs w:val="24"/>
        </w:rPr>
        <w:t>kanałach oddziaływania finansowego oraz potencjalnie wywołują negatywne</w:t>
      </w:r>
      <w:r w:rsidRPr="000431F7">
        <w:rPr>
          <w:rFonts w:ascii="Times New Roman" w:hAnsi="Times New Roman" w:cs="Times New Roman"/>
          <w:kern w:val="0"/>
          <w:sz w:val="24"/>
          <w:szCs w:val="24"/>
        </w:rPr>
        <w:t xml:space="preserve"> </w:t>
      </w:r>
      <w:r w:rsidR="009C76B5" w:rsidRPr="000431F7">
        <w:rPr>
          <w:rFonts w:ascii="Times New Roman" w:hAnsi="Times New Roman" w:cs="Times New Roman"/>
          <w:kern w:val="0"/>
          <w:sz w:val="24"/>
          <w:szCs w:val="24"/>
        </w:rPr>
        <w:t>konsekwencje dla stabilności unijnego systemu finansowego, takie jak utrata płynności</w:t>
      </w:r>
      <w:r w:rsidRPr="000431F7">
        <w:rPr>
          <w:rFonts w:ascii="Times New Roman" w:hAnsi="Times New Roman" w:cs="Times New Roman"/>
          <w:kern w:val="0"/>
          <w:sz w:val="24"/>
          <w:szCs w:val="24"/>
        </w:rPr>
        <w:t xml:space="preserve"> </w:t>
      </w:r>
      <w:r w:rsidR="009C76B5" w:rsidRPr="000431F7">
        <w:rPr>
          <w:rFonts w:ascii="Times New Roman" w:hAnsi="Times New Roman" w:cs="Times New Roman"/>
          <w:kern w:val="0"/>
          <w:sz w:val="24"/>
          <w:szCs w:val="24"/>
        </w:rPr>
        <w:t>i ogólna utrata pewności i zaufania w odniesieniu do rynków finansowych</w:t>
      </w:r>
      <w:r w:rsidR="009C76B5" w:rsidRPr="000431F7">
        <w:rPr>
          <w:rFonts w:ascii="Times New Roman" w:hAnsi="Times New Roman" w:cs="Times New Roman"/>
          <w:sz w:val="24"/>
          <w:szCs w:val="24"/>
        </w:rPr>
        <w:t>.</w:t>
      </w:r>
      <w:r w:rsidRPr="000431F7">
        <w:rPr>
          <w:rFonts w:ascii="Times New Roman" w:hAnsi="Times New Roman" w:cs="Times New Roman"/>
          <w:sz w:val="24"/>
          <w:szCs w:val="24"/>
        </w:rPr>
        <w:t xml:space="preserve">”. </w:t>
      </w:r>
    </w:p>
    <w:p w14:paraId="21F063F9" w14:textId="29706B8B" w:rsidR="00964BE0" w:rsidRPr="000431F7" w:rsidRDefault="00964BE0" w:rsidP="004742CC">
      <w:pPr>
        <w:pStyle w:val="ZARTzmartartykuempunktem"/>
        <w:numPr>
          <w:ilvl w:val="0"/>
          <w:numId w:val="10"/>
        </w:numPr>
        <w:tabs>
          <w:tab w:val="left" w:pos="426"/>
        </w:tabs>
        <w:spacing w:before="120"/>
        <w:ind w:left="0" w:firstLine="0"/>
        <w:rPr>
          <w:rFonts w:ascii="Times New Roman" w:hAnsi="Times New Roman" w:cs="Times New Roman"/>
          <w:szCs w:val="24"/>
        </w:rPr>
      </w:pPr>
      <w:r w:rsidRPr="000431F7">
        <w:rPr>
          <w:rFonts w:ascii="Times New Roman" w:eastAsia="Times New Roman" w:hAnsi="Times New Roman" w:cs="Times New Roman"/>
          <w:b/>
          <w:bCs/>
          <w:szCs w:val="24"/>
        </w:rPr>
        <w:t xml:space="preserve">zgłaszanie poważnych incydentów i </w:t>
      </w:r>
      <w:r w:rsidRPr="000431F7">
        <w:rPr>
          <w:rFonts w:ascii="Times New Roman" w:hAnsi="Times New Roman" w:cs="Times New Roman"/>
          <w:b/>
          <w:bCs/>
          <w:szCs w:val="24"/>
        </w:rPr>
        <w:t xml:space="preserve">znaczących zagrożeń </w:t>
      </w:r>
      <w:r w:rsidRPr="000431F7">
        <w:rPr>
          <w:rFonts w:ascii="Times New Roman" w:eastAsia="Times New Roman" w:hAnsi="Times New Roman" w:cs="Times New Roman"/>
          <w:b/>
          <w:bCs/>
          <w:szCs w:val="24"/>
        </w:rPr>
        <w:t>związanych z ICT</w:t>
      </w:r>
    </w:p>
    <w:p w14:paraId="7B9BFC42" w14:textId="54BF8CCE" w:rsidR="00964BE0" w:rsidRPr="000431F7" w:rsidRDefault="00964BE0" w:rsidP="004742CC">
      <w:pPr>
        <w:tabs>
          <w:tab w:val="left" w:pos="426"/>
        </w:tabs>
        <w:spacing w:before="120" w:after="0" w:line="360" w:lineRule="auto"/>
        <w:jc w:val="both"/>
        <w:rPr>
          <w:rFonts w:ascii="Times New Roman" w:eastAsia="Times New Roman" w:hAnsi="Times New Roman" w:cs="Times New Roman"/>
          <w:b/>
          <w:bCs/>
          <w:sz w:val="24"/>
          <w:szCs w:val="24"/>
        </w:rPr>
      </w:pPr>
      <w:r w:rsidRPr="000431F7">
        <w:rPr>
          <w:rFonts w:ascii="Times New Roman" w:eastAsia="Times New Roman" w:hAnsi="Times New Roman" w:cs="Times New Roman"/>
          <w:b/>
          <w:bCs/>
          <w:sz w:val="24"/>
          <w:szCs w:val="24"/>
        </w:rPr>
        <w:t>●</w:t>
      </w:r>
      <w:r w:rsidR="00B66E01">
        <w:rPr>
          <w:rFonts w:ascii="Times New Roman" w:eastAsia="Times New Roman" w:hAnsi="Times New Roman" w:cs="Times New Roman"/>
          <w:b/>
          <w:bCs/>
          <w:sz w:val="24"/>
          <w:szCs w:val="24"/>
        </w:rPr>
        <w:tab/>
      </w:r>
      <w:r w:rsidRPr="000431F7">
        <w:rPr>
          <w:rFonts w:ascii="Times New Roman" w:eastAsia="Times New Roman" w:hAnsi="Times New Roman" w:cs="Times New Roman"/>
          <w:b/>
          <w:bCs/>
          <w:sz w:val="24"/>
          <w:szCs w:val="24"/>
        </w:rPr>
        <w:t>zgłaszanie poważnych incydentów związanych z ICT</w:t>
      </w:r>
    </w:p>
    <w:p w14:paraId="2A297B1F" w14:textId="726037B7" w:rsidR="00964BE0" w:rsidRPr="000431F7" w:rsidRDefault="00964BE0" w:rsidP="004742CC">
      <w:pPr>
        <w:pStyle w:val="ZUSTzmustartykuempunktem"/>
        <w:spacing w:before="120"/>
        <w:ind w:left="0" w:firstLine="0"/>
        <w:rPr>
          <w:rFonts w:ascii="Times New Roman" w:eastAsia="Times New Roman" w:hAnsi="Times New Roman" w:cs="Times New Roman"/>
          <w:szCs w:val="24"/>
        </w:rPr>
      </w:pPr>
      <w:r w:rsidRPr="000431F7">
        <w:rPr>
          <w:rFonts w:ascii="Times New Roman" w:eastAsia="Times New Roman" w:hAnsi="Times New Roman" w:cs="Times New Roman"/>
          <w:szCs w:val="24"/>
        </w:rPr>
        <w:t>Rozwiązania w tym zakresie (projektowany art. 18z</w:t>
      </w:r>
      <w:r w:rsidR="00583364" w:rsidRPr="000431F7">
        <w:rPr>
          <w:rFonts w:ascii="Times New Roman" w:eastAsia="Times New Roman" w:hAnsi="Times New Roman" w:cs="Times New Roman"/>
          <w:szCs w:val="24"/>
        </w:rPr>
        <w:t>g</w:t>
      </w:r>
      <w:r w:rsidRPr="000431F7">
        <w:rPr>
          <w:rFonts w:ascii="Times New Roman" w:eastAsia="Times New Roman" w:hAnsi="Times New Roman" w:cs="Times New Roman"/>
          <w:szCs w:val="24"/>
        </w:rPr>
        <w:t xml:space="preserve">) wskazują na obowiązek podmiotów finansowych </w:t>
      </w:r>
      <w:r w:rsidRPr="000431F7">
        <w:rPr>
          <w:rFonts w:ascii="Times New Roman" w:hAnsi="Times New Roman" w:cs="Times New Roman"/>
          <w:szCs w:val="24"/>
        </w:rPr>
        <w:t>zgłaszania poważnych incydentów</w:t>
      </w:r>
      <w:r w:rsidRPr="004742CC">
        <w:rPr>
          <w:rFonts w:ascii="Times New Roman" w:hAnsi="Times New Roman" w:cs="Times New Roman"/>
          <w:szCs w:val="24"/>
        </w:rPr>
        <w:t xml:space="preserve"> </w:t>
      </w:r>
      <w:r w:rsidRPr="000431F7">
        <w:rPr>
          <w:rFonts w:ascii="Times New Roman" w:hAnsi="Times New Roman" w:cs="Times New Roman"/>
          <w:szCs w:val="24"/>
        </w:rPr>
        <w:t>związanych z ICT</w:t>
      </w:r>
      <w:r w:rsidRPr="004742CC">
        <w:rPr>
          <w:rFonts w:ascii="Times New Roman" w:hAnsi="Times New Roman" w:cs="Times New Roman"/>
          <w:szCs w:val="24"/>
        </w:rPr>
        <w:t>, w rozumieniu art. 3 pkt 10 rozporządzenia 2022/2554</w:t>
      </w:r>
      <w:r w:rsidRPr="000431F7">
        <w:rPr>
          <w:rFonts w:ascii="Times New Roman" w:hAnsi="Times New Roman" w:cs="Times New Roman"/>
          <w:szCs w:val="24"/>
        </w:rPr>
        <w:t>, zgodnie z art. 19 ust. 1 tego rozporządzenia</w:t>
      </w:r>
      <w:r w:rsidRPr="000431F7">
        <w:rPr>
          <w:rFonts w:ascii="Times New Roman" w:eastAsia="Times New Roman" w:hAnsi="Times New Roman" w:cs="Times New Roman"/>
          <w:szCs w:val="24"/>
        </w:rPr>
        <w:t xml:space="preserve">, </w:t>
      </w:r>
      <w:r w:rsidR="00A44AC8" w:rsidRPr="000431F7">
        <w:rPr>
          <w:rFonts w:ascii="Times New Roman" w:eastAsia="Times New Roman" w:hAnsi="Times New Roman" w:cs="Times New Roman"/>
          <w:szCs w:val="24"/>
        </w:rPr>
        <w:t xml:space="preserve">przez </w:t>
      </w:r>
      <w:r w:rsidR="00583364" w:rsidRPr="000431F7">
        <w:rPr>
          <w:rFonts w:ascii="Times New Roman" w:eastAsia="Times New Roman" w:hAnsi="Times New Roman" w:cs="Times New Roman"/>
          <w:szCs w:val="24"/>
        </w:rPr>
        <w:t>przekaz</w:t>
      </w:r>
      <w:r w:rsidR="00A44AC8" w:rsidRPr="000431F7">
        <w:rPr>
          <w:rFonts w:ascii="Times New Roman" w:eastAsia="Times New Roman" w:hAnsi="Times New Roman" w:cs="Times New Roman"/>
          <w:szCs w:val="24"/>
        </w:rPr>
        <w:t>anie</w:t>
      </w:r>
      <w:r w:rsidR="00583364" w:rsidRPr="000431F7">
        <w:rPr>
          <w:rFonts w:ascii="Times New Roman" w:eastAsia="Times New Roman" w:hAnsi="Times New Roman" w:cs="Times New Roman"/>
          <w:szCs w:val="24"/>
        </w:rPr>
        <w:t xml:space="preserve"> </w:t>
      </w:r>
      <w:r w:rsidRPr="000431F7">
        <w:rPr>
          <w:rFonts w:ascii="Times New Roman" w:hAnsi="Times New Roman" w:cs="Times New Roman"/>
          <w:szCs w:val="24"/>
        </w:rPr>
        <w:t>wstępn</w:t>
      </w:r>
      <w:r w:rsidR="00A44AC8" w:rsidRPr="000431F7">
        <w:rPr>
          <w:rFonts w:ascii="Times New Roman" w:hAnsi="Times New Roman" w:cs="Times New Roman"/>
          <w:szCs w:val="24"/>
        </w:rPr>
        <w:t>ego</w:t>
      </w:r>
      <w:r w:rsidRPr="000431F7">
        <w:rPr>
          <w:rFonts w:ascii="Times New Roman" w:hAnsi="Times New Roman" w:cs="Times New Roman"/>
          <w:szCs w:val="24"/>
        </w:rPr>
        <w:t xml:space="preserve"> powiadomie</w:t>
      </w:r>
      <w:r w:rsidR="00583364" w:rsidRPr="000431F7">
        <w:rPr>
          <w:rFonts w:ascii="Times New Roman" w:hAnsi="Times New Roman" w:cs="Times New Roman"/>
          <w:szCs w:val="24"/>
        </w:rPr>
        <w:t>ni</w:t>
      </w:r>
      <w:r w:rsidR="00A44AC8" w:rsidRPr="000431F7">
        <w:rPr>
          <w:rFonts w:ascii="Times New Roman" w:hAnsi="Times New Roman" w:cs="Times New Roman"/>
          <w:szCs w:val="24"/>
        </w:rPr>
        <w:t>a,</w:t>
      </w:r>
      <w:r w:rsidRPr="000431F7">
        <w:rPr>
          <w:rFonts w:ascii="Times New Roman" w:hAnsi="Times New Roman" w:cs="Times New Roman"/>
          <w:szCs w:val="24"/>
        </w:rPr>
        <w:t xml:space="preserve"> i </w:t>
      </w:r>
      <w:r w:rsidR="00A44AC8" w:rsidRPr="000431F7">
        <w:rPr>
          <w:rFonts w:ascii="Times New Roman" w:hAnsi="Times New Roman" w:cs="Times New Roman"/>
          <w:szCs w:val="24"/>
        </w:rPr>
        <w:t>obowiązek przekazania s</w:t>
      </w:r>
      <w:r w:rsidRPr="000431F7">
        <w:rPr>
          <w:rFonts w:ascii="Times New Roman" w:hAnsi="Times New Roman" w:cs="Times New Roman"/>
          <w:szCs w:val="24"/>
        </w:rPr>
        <w:t>prawozda</w:t>
      </w:r>
      <w:r w:rsidR="00583364" w:rsidRPr="000431F7">
        <w:rPr>
          <w:rFonts w:ascii="Times New Roman" w:hAnsi="Times New Roman" w:cs="Times New Roman"/>
          <w:szCs w:val="24"/>
        </w:rPr>
        <w:t>nia</w:t>
      </w:r>
      <w:r w:rsidRPr="000431F7">
        <w:rPr>
          <w:rFonts w:ascii="Times New Roman" w:hAnsi="Times New Roman" w:cs="Times New Roman"/>
          <w:szCs w:val="24"/>
        </w:rPr>
        <w:t xml:space="preserve">, o których mowa w art. 19 ust. 4 rozporządzenia 2022/2554 KNF. </w:t>
      </w:r>
    </w:p>
    <w:p w14:paraId="14651394" w14:textId="301B9DE5" w:rsidR="00964BE0" w:rsidRPr="000431F7" w:rsidRDefault="00583364" w:rsidP="004742CC">
      <w:pPr>
        <w:pStyle w:val="ZUSTzmustartykuempunktem"/>
        <w:spacing w:before="120"/>
        <w:ind w:left="0" w:firstLine="0"/>
        <w:rPr>
          <w:rFonts w:ascii="Times New Roman" w:hAnsi="Times New Roman" w:cs="Times New Roman"/>
          <w:szCs w:val="24"/>
        </w:rPr>
      </w:pPr>
      <w:r w:rsidRPr="000431F7">
        <w:rPr>
          <w:rFonts w:ascii="Times New Roman" w:hAnsi="Times New Roman" w:cs="Times New Roman"/>
          <w:szCs w:val="24"/>
        </w:rPr>
        <w:t xml:space="preserve">KNF </w:t>
      </w:r>
      <w:r w:rsidR="00964BE0" w:rsidRPr="000431F7">
        <w:rPr>
          <w:rFonts w:ascii="Times New Roman" w:hAnsi="Times New Roman" w:cs="Times New Roman"/>
          <w:szCs w:val="24"/>
        </w:rPr>
        <w:t>niezwłocznie przekazuje wstępne powiadomienie i sprawozdania, pochodzące od podmiotu finansowego będącego podmiotem kluczowym lub podmiotem ważnym</w:t>
      </w:r>
      <w:r w:rsidR="00247307" w:rsidRPr="000431F7">
        <w:rPr>
          <w:rFonts w:ascii="Times New Roman" w:hAnsi="Times New Roman" w:cs="Times New Roman"/>
          <w:szCs w:val="24"/>
        </w:rPr>
        <w:t xml:space="preserve"> </w:t>
      </w:r>
      <w:r w:rsidR="00964BE0" w:rsidRPr="000431F7">
        <w:rPr>
          <w:rFonts w:ascii="Times New Roman" w:hAnsi="Times New Roman" w:cs="Times New Roman"/>
          <w:szCs w:val="24"/>
        </w:rPr>
        <w:t>właściwemu CSIRT MON, CSIRT NASK albo CSIRT GOV. Projektowane rozwiązania zapewniają też możliwość przekazania przez zespół sektorowy właściwemu CSIRT MON, CSIRT NASK albo CSIRT GOV ww. powiadomień i sprawozdań pochodzących od innych niż kluczowe lub ważne podmioty finansowe.</w:t>
      </w:r>
    </w:p>
    <w:p w14:paraId="45F04B6C" w14:textId="63389E91" w:rsidR="00247307" w:rsidRPr="000431F7" w:rsidRDefault="00247307" w:rsidP="004742CC">
      <w:pPr>
        <w:pStyle w:val="ZUSTzmustartykuempunktem"/>
        <w:spacing w:before="120"/>
        <w:ind w:left="0" w:firstLine="0"/>
        <w:rPr>
          <w:rFonts w:ascii="Times New Roman" w:hAnsi="Times New Roman" w:cs="Times New Roman"/>
          <w:szCs w:val="24"/>
        </w:rPr>
      </w:pPr>
      <w:r w:rsidRPr="004742CC">
        <w:rPr>
          <w:rFonts w:ascii="Times New Roman" w:hAnsi="Times New Roman" w:cs="Times New Roman"/>
          <w:szCs w:val="24"/>
        </w:rPr>
        <w:t xml:space="preserve">Z uwagi na brak wdrożenia dyrektywy </w:t>
      </w:r>
      <w:r w:rsidR="007B137A" w:rsidRPr="000431F7">
        <w:rPr>
          <w:rFonts w:ascii="Times New Roman" w:hAnsi="Times New Roman" w:cs="Times New Roman"/>
          <w:szCs w:val="24"/>
        </w:rPr>
        <w:t>2022/2555</w:t>
      </w:r>
      <w:r w:rsidRPr="004742CC">
        <w:rPr>
          <w:rFonts w:ascii="Times New Roman" w:hAnsi="Times New Roman" w:cs="Times New Roman"/>
          <w:szCs w:val="24"/>
        </w:rPr>
        <w:t>, projektodawca wskazał podmioty ważne i kluczowe z sektora bankowość i infrastruktura rynków finansowych w projektowanym art.</w:t>
      </w:r>
      <w:r w:rsidR="00241836">
        <w:rPr>
          <w:rFonts w:ascii="Times New Roman" w:hAnsi="Times New Roman" w:cs="Times New Roman"/>
          <w:szCs w:val="24"/>
        </w:rPr>
        <w:t> </w:t>
      </w:r>
      <w:r w:rsidRPr="004742CC">
        <w:rPr>
          <w:rFonts w:ascii="Times New Roman" w:hAnsi="Times New Roman" w:cs="Times New Roman"/>
          <w:szCs w:val="24"/>
        </w:rPr>
        <w:t>18z</w:t>
      </w:r>
      <w:r w:rsidR="00583364" w:rsidRPr="004742CC">
        <w:rPr>
          <w:rFonts w:ascii="Times New Roman" w:hAnsi="Times New Roman" w:cs="Times New Roman"/>
          <w:szCs w:val="24"/>
        </w:rPr>
        <w:t>g</w:t>
      </w:r>
      <w:r w:rsidRPr="004742CC">
        <w:rPr>
          <w:rFonts w:ascii="Times New Roman" w:hAnsi="Times New Roman" w:cs="Times New Roman"/>
          <w:szCs w:val="24"/>
        </w:rPr>
        <w:t xml:space="preserve"> ust. 5 i 6</w:t>
      </w:r>
      <w:r w:rsidR="007B137A" w:rsidRPr="004742CC">
        <w:rPr>
          <w:rFonts w:ascii="Times New Roman" w:hAnsi="Times New Roman" w:cs="Times New Roman"/>
          <w:szCs w:val="24"/>
        </w:rPr>
        <w:t xml:space="preserve">, określając kryteria ich wyznaczenia zgodne z art. 3 </w:t>
      </w:r>
      <w:r w:rsidR="006226D6" w:rsidRPr="004742CC">
        <w:rPr>
          <w:rFonts w:ascii="Times New Roman" w:hAnsi="Times New Roman" w:cs="Times New Roman"/>
          <w:szCs w:val="24"/>
        </w:rPr>
        <w:t>ww. dyrektywy</w:t>
      </w:r>
      <w:r w:rsidRPr="004742CC">
        <w:rPr>
          <w:rFonts w:ascii="Times New Roman" w:hAnsi="Times New Roman" w:cs="Times New Roman"/>
          <w:szCs w:val="24"/>
        </w:rPr>
        <w:t>. Katalog podmiotów finansowych będących podmiotami kluczowymi i ważnymi, określony w projektowanym art. 18z</w:t>
      </w:r>
      <w:r w:rsidR="00583364" w:rsidRPr="004742CC">
        <w:rPr>
          <w:rFonts w:ascii="Times New Roman" w:hAnsi="Times New Roman" w:cs="Times New Roman"/>
          <w:szCs w:val="24"/>
        </w:rPr>
        <w:t>g</w:t>
      </w:r>
      <w:r w:rsidRPr="004742CC">
        <w:rPr>
          <w:rFonts w:ascii="Times New Roman" w:hAnsi="Times New Roman" w:cs="Times New Roman"/>
          <w:szCs w:val="24"/>
        </w:rPr>
        <w:t xml:space="preserve"> ust. 5 i 6 </w:t>
      </w:r>
      <w:r w:rsidR="00583364" w:rsidRPr="004742CC">
        <w:rPr>
          <w:rFonts w:ascii="Times New Roman" w:hAnsi="Times New Roman" w:cs="Times New Roman"/>
          <w:szCs w:val="24"/>
        </w:rPr>
        <w:t xml:space="preserve">powinien </w:t>
      </w:r>
      <w:r w:rsidR="00115A2D" w:rsidRPr="004742CC">
        <w:rPr>
          <w:rFonts w:ascii="Times New Roman" w:hAnsi="Times New Roman" w:cs="Times New Roman"/>
          <w:szCs w:val="24"/>
        </w:rPr>
        <w:t>być tożsamy</w:t>
      </w:r>
      <w:r w:rsidRPr="004742CC">
        <w:rPr>
          <w:rFonts w:ascii="Times New Roman" w:hAnsi="Times New Roman" w:cs="Times New Roman"/>
          <w:szCs w:val="24"/>
        </w:rPr>
        <w:t xml:space="preserve"> z katalogiem podmiotów wskazanym </w:t>
      </w:r>
      <w:r w:rsidRPr="004742CC">
        <w:rPr>
          <w:rFonts w:ascii="Times New Roman" w:hAnsi="Times New Roman" w:cs="Times New Roman"/>
          <w:szCs w:val="24"/>
        </w:rPr>
        <w:lastRenderedPageBreak/>
        <w:t xml:space="preserve">w zał. 1 do projektu ustawy o zmianie ustawy o krajowym systemie </w:t>
      </w:r>
      <w:proofErr w:type="spellStart"/>
      <w:r w:rsidRPr="004742CC">
        <w:rPr>
          <w:rFonts w:ascii="Times New Roman" w:hAnsi="Times New Roman" w:cs="Times New Roman"/>
          <w:szCs w:val="24"/>
        </w:rPr>
        <w:t>cyberbezpieczeństwa</w:t>
      </w:r>
      <w:proofErr w:type="spellEnd"/>
      <w:r w:rsidRPr="004742CC">
        <w:rPr>
          <w:rFonts w:ascii="Times New Roman" w:hAnsi="Times New Roman" w:cs="Times New Roman"/>
          <w:szCs w:val="24"/>
        </w:rPr>
        <w:t xml:space="preserve"> oraz niektórych innych ustaw (UC32).</w:t>
      </w:r>
    </w:p>
    <w:p w14:paraId="04ACDAE7" w14:textId="2F7A6359" w:rsidR="00964BE0" w:rsidRPr="000431F7" w:rsidRDefault="00964BE0" w:rsidP="004742CC">
      <w:pPr>
        <w:pStyle w:val="ZUSTzmustartykuempunktem"/>
        <w:spacing w:before="120"/>
        <w:ind w:left="0" w:firstLine="0"/>
        <w:rPr>
          <w:rFonts w:ascii="Times New Roman" w:hAnsi="Times New Roman" w:cs="Times New Roman"/>
          <w:szCs w:val="24"/>
        </w:rPr>
      </w:pPr>
      <w:r w:rsidRPr="000431F7">
        <w:rPr>
          <w:rFonts w:ascii="Times New Roman" w:hAnsi="Times New Roman" w:cs="Times New Roman"/>
          <w:szCs w:val="24"/>
        </w:rPr>
        <w:t xml:space="preserve">Zgodnie z projektowanym art. </w:t>
      </w:r>
      <w:r w:rsidR="004B17EE" w:rsidRPr="000431F7">
        <w:rPr>
          <w:rFonts w:ascii="Times New Roman" w:hAnsi="Times New Roman" w:cs="Times New Roman"/>
          <w:szCs w:val="24"/>
        </w:rPr>
        <w:t>18z</w:t>
      </w:r>
      <w:r w:rsidR="00583364" w:rsidRPr="000431F7">
        <w:rPr>
          <w:rFonts w:ascii="Times New Roman" w:hAnsi="Times New Roman" w:cs="Times New Roman"/>
          <w:szCs w:val="24"/>
        </w:rPr>
        <w:t>g</w:t>
      </w:r>
      <w:r w:rsidR="004B17EE" w:rsidRPr="000431F7">
        <w:rPr>
          <w:rFonts w:ascii="Times New Roman" w:hAnsi="Times New Roman" w:cs="Times New Roman"/>
          <w:szCs w:val="24"/>
        </w:rPr>
        <w:t xml:space="preserve"> </w:t>
      </w:r>
      <w:r w:rsidRPr="000431F7">
        <w:rPr>
          <w:rFonts w:ascii="Times New Roman" w:hAnsi="Times New Roman" w:cs="Times New Roman"/>
          <w:szCs w:val="24"/>
        </w:rPr>
        <w:t xml:space="preserve">ustawy o krajowym systemie </w:t>
      </w:r>
      <w:proofErr w:type="spellStart"/>
      <w:r w:rsidRPr="000431F7">
        <w:rPr>
          <w:rFonts w:ascii="Times New Roman" w:hAnsi="Times New Roman" w:cs="Times New Roman"/>
          <w:szCs w:val="24"/>
        </w:rPr>
        <w:t>cyberbezpieczeństwa</w:t>
      </w:r>
      <w:proofErr w:type="spellEnd"/>
      <w:r w:rsidR="00840241" w:rsidRPr="000431F7">
        <w:rPr>
          <w:rFonts w:ascii="Times New Roman" w:hAnsi="Times New Roman" w:cs="Times New Roman"/>
          <w:szCs w:val="24"/>
        </w:rPr>
        <w:t xml:space="preserve"> </w:t>
      </w:r>
      <w:r w:rsidR="001F6E3C" w:rsidRPr="000431F7">
        <w:rPr>
          <w:rFonts w:ascii="Times New Roman" w:hAnsi="Times New Roman" w:cs="Times New Roman"/>
          <w:szCs w:val="24"/>
        </w:rPr>
        <w:t>z</w:t>
      </w:r>
      <w:r w:rsidRPr="000431F7">
        <w:rPr>
          <w:rFonts w:ascii="Times New Roman" w:hAnsi="Times New Roman" w:cs="Times New Roman"/>
          <w:szCs w:val="24"/>
        </w:rPr>
        <w:t>głoszenie poważnego incydentu związanego z ICT oraz wstępne powiadomieni</w:t>
      </w:r>
      <w:r w:rsidR="00CB3FF7" w:rsidRPr="000431F7">
        <w:rPr>
          <w:rFonts w:ascii="Times New Roman" w:hAnsi="Times New Roman" w:cs="Times New Roman"/>
          <w:szCs w:val="24"/>
        </w:rPr>
        <w:t>e</w:t>
      </w:r>
      <w:r w:rsidRPr="000431F7">
        <w:rPr>
          <w:rFonts w:ascii="Times New Roman" w:hAnsi="Times New Roman" w:cs="Times New Roman"/>
          <w:szCs w:val="24"/>
        </w:rPr>
        <w:t xml:space="preserve"> i sprawozdania są przekazywane w terminach i z wykorzystaniem wzorów, określonych we wspólnych regulacyjnych standardach technicznych i wspólnych wykonawczych standardach technicznych, o których mowa w art. 20 rozporządzenia 2022/2554, w postaci elektronicznej, a w przypadku braku możliwości przekazania ich w postaci elektronicznej </w:t>
      </w:r>
      <w:r w:rsidR="00AC35F5">
        <w:rPr>
          <w:rFonts w:ascii="Times New Roman" w:hAnsi="Times New Roman" w:cs="Times New Roman"/>
          <w:szCs w:val="24"/>
        </w:rPr>
        <w:t>–</w:t>
      </w:r>
      <w:r w:rsidRPr="000431F7">
        <w:rPr>
          <w:rFonts w:ascii="Times New Roman" w:hAnsi="Times New Roman" w:cs="Times New Roman"/>
          <w:szCs w:val="24"/>
        </w:rPr>
        <w:t xml:space="preserve"> przy użyciu innych dostępnych środków komunikacji, co zapewnia wdrożenie art. 20 rozporządzenia 2022/2554. </w:t>
      </w:r>
    </w:p>
    <w:p w14:paraId="765683FD" w14:textId="05422B85" w:rsidR="00964BE0" w:rsidRPr="000431F7" w:rsidRDefault="00964BE0" w:rsidP="004742CC">
      <w:pPr>
        <w:pStyle w:val="ZUSTzmustartykuempunktem"/>
        <w:tabs>
          <w:tab w:val="left" w:pos="426"/>
        </w:tabs>
        <w:spacing w:before="120"/>
        <w:ind w:left="0" w:firstLine="0"/>
        <w:rPr>
          <w:rFonts w:ascii="Times New Roman" w:eastAsia="Times New Roman" w:hAnsi="Times New Roman" w:cs="Times New Roman"/>
          <w:b/>
          <w:bCs/>
          <w:szCs w:val="24"/>
        </w:rPr>
      </w:pPr>
      <w:r w:rsidRPr="000431F7">
        <w:rPr>
          <w:rFonts w:ascii="Times New Roman" w:hAnsi="Times New Roman" w:cs="Times New Roman"/>
          <w:b/>
          <w:bCs/>
          <w:szCs w:val="24"/>
        </w:rPr>
        <w:t>●</w:t>
      </w:r>
      <w:r w:rsidR="00B66E01">
        <w:rPr>
          <w:rFonts w:ascii="Times New Roman" w:hAnsi="Times New Roman" w:cs="Times New Roman"/>
          <w:b/>
          <w:bCs/>
          <w:szCs w:val="24"/>
        </w:rPr>
        <w:tab/>
      </w:r>
      <w:r w:rsidRPr="000431F7">
        <w:rPr>
          <w:rFonts w:ascii="Times New Roman" w:hAnsi="Times New Roman" w:cs="Times New Roman"/>
          <w:b/>
          <w:bCs/>
          <w:szCs w:val="24"/>
        </w:rPr>
        <w:t xml:space="preserve">zgłaszanie znaczących zagrożeń związanych z ICT </w:t>
      </w:r>
    </w:p>
    <w:p w14:paraId="70128A53" w14:textId="10DE0FFD" w:rsidR="00964BE0" w:rsidRPr="000431F7" w:rsidRDefault="00964BE0" w:rsidP="004742CC">
      <w:pPr>
        <w:pStyle w:val="ZUSTzmustartykuempunktem"/>
        <w:spacing w:before="120"/>
        <w:ind w:left="0" w:firstLine="0"/>
        <w:rPr>
          <w:rFonts w:ascii="Times New Roman" w:hAnsi="Times New Roman" w:cs="Times New Roman"/>
          <w:szCs w:val="24"/>
        </w:rPr>
      </w:pPr>
      <w:r w:rsidRPr="000431F7">
        <w:rPr>
          <w:rFonts w:ascii="Times New Roman" w:eastAsia="Times New Roman" w:hAnsi="Times New Roman" w:cs="Times New Roman"/>
          <w:szCs w:val="24"/>
        </w:rPr>
        <w:t>Projektowany art. 18z</w:t>
      </w:r>
      <w:r w:rsidR="00E704DD" w:rsidRPr="000431F7">
        <w:rPr>
          <w:rFonts w:ascii="Times New Roman" w:eastAsia="Times New Roman" w:hAnsi="Times New Roman" w:cs="Times New Roman"/>
          <w:szCs w:val="24"/>
        </w:rPr>
        <w:t>h</w:t>
      </w:r>
      <w:r w:rsidRPr="000431F7">
        <w:rPr>
          <w:rFonts w:ascii="Times New Roman" w:eastAsia="Times New Roman" w:hAnsi="Times New Roman" w:cs="Times New Roman"/>
          <w:szCs w:val="24"/>
        </w:rPr>
        <w:t xml:space="preserve"> stanowi wdrożenie art. </w:t>
      </w:r>
      <w:r w:rsidRPr="000431F7">
        <w:rPr>
          <w:rFonts w:ascii="Times New Roman" w:hAnsi="Times New Roman" w:cs="Times New Roman"/>
          <w:szCs w:val="24"/>
        </w:rPr>
        <w:t>19 ust. 2 akapit pierwszy rozporządzenia 2022/2554</w:t>
      </w:r>
      <w:r w:rsidRPr="000431F7">
        <w:rPr>
          <w:rFonts w:ascii="Times New Roman" w:eastAsia="Times New Roman" w:hAnsi="Times New Roman" w:cs="Times New Roman"/>
          <w:szCs w:val="24"/>
        </w:rPr>
        <w:t xml:space="preserve">, zgodnie z którym podmiot finansowy może </w:t>
      </w:r>
      <w:r w:rsidRPr="000431F7">
        <w:rPr>
          <w:rFonts w:ascii="Times New Roman" w:hAnsi="Times New Roman" w:cs="Times New Roman"/>
          <w:szCs w:val="24"/>
        </w:rPr>
        <w:t xml:space="preserve">przekazać właściwemu organowi w rozumieniu rozporządzenia 2022/2554 powiadomienie o znaczącym </w:t>
      </w:r>
      <w:proofErr w:type="spellStart"/>
      <w:r w:rsidRPr="000431F7">
        <w:rPr>
          <w:rFonts w:ascii="Times New Roman" w:hAnsi="Times New Roman" w:cs="Times New Roman"/>
          <w:szCs w:val="24"/>
        </w:rPr>
        <w:t>cyberzagrożeniu</w:t>
      </w:r>
      <w:proofErr w:type="spellEnd"/>
      <w:r w:rsidR="00FB4340" w:rsidRPr="000431F7">
        <w:rPr>
          <w:rFonts w:ascii="Times New Roman" w:hAnsi="Times New Roman" w:cs="Times New Roman"/>
          <w:szCs w:val="24"/>
        </w:rPr>
        <w:t xml:space="preserve"> w rozumieniu art. 3 pkt 13 tego rozporządzenia</w:t>
      </w:r>
      <w:r w:rsidRPr="000431F7">
        <w:rPr>
          <w:rFonts w:ascii="Times New Roman" w:eastAsia="Times New Roman" w:hAnsi="Times New Roman" w:cs="Times New Roman"/>
          <w:szCs w:val="24"/>
        </w:rPr>
        <w:t xml:space="preserve">. </w:t>
      </w:r>
    </w:p>
    <w:p w14:paraId="12519774" w14:textId="568C4D27" w:rsidR="00964BE0" w:rsidRPr="000431F7" w:rsidRDefault="00E704DD" w:rsidP="004742CC">
      <w:pPr>
        <w:pStyle w:val="ZUSTzmustartykuempunktem"/>
        <w:spacing w:before="120"/>
        <w:ind w:left="0" w:firstLine="0"/>
        <w:rPr>
          <w:rFonts w:ascii="Times New Roman" w:hAnsi="Times New Roman" w:cs="Times New Roman"/>
          <w:szCs w:val="24"/>
        </w:rPr>
      </w:pPr>
      <w:r w:rsidRPr="000431F7">
        <w:rPr>
          <w:rFonts w:ascii="Times New Roman" w:hAnsi="Times New Roman" w:cs="Times New Roman"/>
          <w:szCs w:val="24"/>
        </w:rPr>
        <w:t xml:space="preserve">Komisja </w:t>
      </w:r>
      <w:r w:rsidR="00964BE0" w:rsidRPr="000431F7">
        <w:rPr>
          <w:rFonts w:ascii="Times New Roman" w:hAnsi="Times New Roman" w:cs="Times New Roman"/>
          <w:szCs w:val="24"/>
        </w:rPr>
        <w:t xml:space="preserve">niezwłocznie przekazuje powiadomienie o znaczącym </w:t>
      </w:r>
      <w:proofErr w:type="spellStart"/>
      <w:r w:rsidR="00964BE0" w:rsidRPr="000431F7">
        <w:rPr>
          <w:rFonts w:ascii="Times New Roman" w:hAnsi="Times New Roman" w:cs="Times New Roman"/>
          <w:szCs w:val="24"/>
        </w:rPr>
        <w:t>cyberzagrożeniu</w:t>
      </w:r>
      <w:proofErr w:type="spellEnd"/>
      <w:r w:rsidR="00964BE0" w:rsidRPr="000431F7">
        <w:rPr>
          <w:rFonts w:ascii="Times New Roman" w:hAnsi="Times New Roman" w:cs="Times New Roman"/>
          <w:szCs w:val="24"/>
        </w:rPr>
        <w:t>, pochodzące od podmiotu finansowego będącego podmiotem kluczowym, o którym mowa w art.</w:t>
      </w:r>
      <w:r w:rsidR="007B137A" w:rsidRPr="000431F7">
        <w:rPr>
          <w:rFonts w:ascii="Times New Roman" w:hAnsi="Times New Roman" w:cs="Times New Roman"/>
          <w:szCs w:val="24"/>
        </w:rPr>
        <w:t>18z</w:t>
      </w:r>
      <w:r w:rsidRPr="000431F7">
        <w:rPr>
          <w:rFonts w:ascii="Times New Roman" w:hAnsi="Times New Roman" w:cs="Times New Roman"/>
          <w:szCs w:val="24"/>
        </w:rPr>
        <w:t>g</w:t>
      </w:r>
      <w:r w:rsidR="007B137A" w:rsidRPr="000431F7">
        <w:rPr>
          <w:rFonts w:ascii="Times New Roman" w:hAnsi="Times New Roman" w:cs="Times New Roman"/>
          <w:szCs w:val="24"/>
        </w:rPr>
        <w:t xml:space="preserve"> ust.</w:t>
      </w:r>
      <w:r w:rsidR="00241836">
        <w:rPr>
          <w:rFonts w:ascii="Times New Roman" w:hAnsi="Times New Roman" w:cs="Times New Roman"/>
          <w:szCs w:val="24"/>
        </w:rPr>
        <w:t> </w:t>
      </w:r>
      <w:r w:rsidR="007B137A" w:rsidRPr="000431F7">
        <w:rPr>
          <w:rFonts w:ascii="Times New Roman" w:hAnsi="Times New Roman" w:cs="Times New Roman"/>
          <w:szCs w:val="24"/>
        </w:rPr>
        <w:t>5</w:t>
      </w:r>
      <w:r w:rsidR="00964BE0" w:rsidRPr="000431F7">
        <w:rPr>
          <w:rFonts w:ascii="Times New Roman" w:hAnsi="Times New Roman" w:cs="Times New Roman"/>
          <w:szCs w:val="24"/>
        </w:rPr>
        <w:t xml:space="preserve">, lub podmiotem ważnym, o którym mowa w art. </w:t>
      </w:r>
      <w:r w:rsidR="007B137A" w:rsidRPr="000431F7">
        <w:rPr>
          <w:rFonts w:ascii="Times New Roman" w:hAnsi="Times New Roman" w:cs="Times New Roman"/>
          <w:szCs w:val="24"/>
        </w:rPr>
        <w:t>18z</w:t>
      </w:r>
      <w:r w:rsidRPr="000431F7">
        <w:rPr>
          <w:rFonts w:ascii="Times New Roman" w:hAnsi="Times New Roman" w:cs="Times New Roman"/>
          <w:szCs w:val="24"/>
        </w:rPr>
        <w:t>g</w:t>
      </w:r>
      <w:r w:rsidR="007B137A" w:rsidRPr="000431F7">
        <w:rPr>
          <w:rFonts w:ascii="Times New Roman" w:hAnsi="Times New Roman" w:cs="Times New Roman"/>
          <w:szCs w:val="24"/>
        </w:rPr>
        <w:t xml:space="preserve"> ust. 6</w:t>
      </w:r>
      <w:r w:rsidR="00964BE0" w:rsidRPr="000431F7">
        <w:rPr>
          <w:rFonts w:ascii="Times New Roman" w:hAnsi="Times New Roman" w:cs="Times New Roman"/>
          <w:szCs w:val="24"/>
        </w:rPr>
        <w:t xml:space="preserve"> dyrektywy 2022/2555, właściwemu CSIRT MON, CSIRT NASK albo CSIRT GOV. Przekazanie powiadomienia o znaczącym zagrożeniu pochodzącego od podmiotu niebędącego podmiotem kluczowym lub podmiotem ważnym jest fakultatywne. </w:t>
      </w:r>
    </w:p>
    <w:p w14:paraId="5F2BF602" w14:textId="5F78C814" w:rsidR="00964BE0" w:rsidRPr="000431F7" w:rsidRDefault="00964BE0" w:rsidP="004742CC">
      <w:pPr>
        <w:pStyle w:val="ZUSTzmustartykuempunktem"/>
        <w:spacing w:before="120"/>
        <w:ind w:left="0" w:firstLine="0"/>
        <w:rPr>
          <w:rFonts w:ascii="Times New Roman" w:hAnsi="Times New Roman" w:cs="Times New Roman"/>
          <w:szCs w:val="24"/>
        </w:rPr>
      </w:pPr>
      <w:r w:rsidRPr="000431F7">
        <w:rPr>
          <w:rFonts w:ascii="Times New Roman" w:hAnsi="Times New Roman" w:cs="Times New Roman"/>
          <w:szCs w:val="24"/>
        </w:rPr>
        <w:t xml:space="preserve">Powiadomienie, o którym mowa w art. 19 ust. 2 rozporządzenia 2022/2554, jest przekazywane w terminach i z wykorzystaniem wzorów, określonych we wspólnych regulacyjnych standardach technicznych i wspólnych wykonawczych standardach technicznych, o których mowa w art. 20 rozporządzenia 2022/2554, w postaci elektronicznej, a w przypadku braku możliwości przekazania go w postaci elektronicznej </w:t>
      </w:r>
      <w:r w:rsidR="00AC35F5">
        <w:rPr>
          <w:rFonts w:ascii="Times New Roman" w:hAnsi="Times New Roman" w:cs="Times New Roman"/>
          <w:szCs w:val="24"/>
        </w:rPr>
        <w:t>–</w:t>
      </w:r>
      <w:r w:rsidRPr="000431F7">
        <w:rPr>
          <w:rFonts w:ascii="Times New Roman" w:hAnsi="Times New Roman" w:cs="Times New Roman"/>
          <w:szCs w:val="24"/>
        </w:rPr>
        <w:t xml:space="preserve"> przy użyciu innych dostępnych środków komunikacji.</w:t>
      </w:r>
    </w:p>
    <w:p w14:paraId="1FA8E70F" w14:textId="0B722BC7" w:rsidR="00964BE0" w:rsidRPr="000431F7" w:rsidRDefault="00964BE0" w:rsidP="004742CC">
      <w:pPr>
        <w:pStyle w:val="Tekstkomentarza"/>
        <w:spacing w:before="120" w:after="0" w:line="360" w:lineRule="auto"/>
        <w:jc w:val="both"/>
        <w:rPr>
          <w:rFonts w:ascii="Times New Roman" w:hAnsi="Times New Roman" w:cs="Times New Roman"/>
          <w:sz w:val="24"/>
          <w:szCs w:val="24"/>
        </w:rPr>
      </w:pPr>
      <w:r w:rsidRPr="000431F7">
        <w:rPr>
          <w:rFonts w:ascii="Times New Roman" w:hAnsi="Times New Roman" w:cs="Times New Roman"/>
          <w:sz w:val="24"/>
          <w:szCs w:val="24"/>
        </w:rPr>
        <w:t xml:space="preserve">Projektowane rozwiązania wdrażające kluczowe dla zapewnienia </w:t>
      </w:r>
      <w:proofErr w:type="spellStart"/>
      <w:r w:rsidRPr="000431F7">
        <w:rPr>
          <w:rFonts w:ascii="Times New Roman" w:hAnsi="Times New Roman" w:cs="Times New Roman"/>
          <w:sz w:val="24"/>
          <w:szCs w:val="24"/>
        </w:rPr>
        <w:t>cyberbezpieczeństwa</w:t>
      </w:r>
      <w:proofErr w:type="spellEnd"/>
      <w:r w:rsidRPr="000431F7">
        <w:rPr>
          <w:rFonts w:ascii="Times New Roman" w:hAnsi="Times New Roman" w:cs="Times New Roman"/>
          <w:sz w:val="24"/>
          <w:szCs w:val="24"/>
        </w:rPr>
        <w:t xml:space="preserve"> regulacje, dotyczące zgłaszania organom właściwym informacji o poważnych incydentach lub znaczących </w:t>
      </w:r>
      <w:proofErr w:type="spellStart"/>
      <w:r w:rsidRPr="000431F7">
        <w:rPr>
          <w:rFonts w:ascii="Times New Roman" w:hAnsi="Times New Roman" w:cs="Times New Roman"/>
          <w:sz w:val="24"/>
          <w:szCs w:val="24"/>
        </w:rPr>
        <w:t>cybrezagrożeniach</w:t>
      </w:r>
      <w:proofErr w:type="spellEnd"/>
      <w:r w:rsidRPr="000431F7">
        <w:rPr>
          <w:rFonts w:ascii="Times New Roman" w:hAnsi="Times New Roman" w:cs="Times New Roman"/>
          <w:sz w:val="24"/>
          <w:szCs w:val="24"/>
        </w:rPr>
        <w:t xml:space="preserve"> mają na celu</w:t>
      </w:r>
      <w:r w:rsidR="00A44AC8" w:rsidRPr="000431F7">
        <w:rPr>
          <w:rFonts w:ascii="Times New Roman" w:hAnsi="Times New Roman" w:cs="Times New Roman"/>
          <w:sz w:val="24"/>
          <w:szCs w:val="24"/>
        </w:rPr>
        <w:t xml:space="preserve"> </w:t>
      </w:r>
      <w:r w:rsidRPr="000431F7">
        <w:rPr>
          <w:rFonts w:ascii="Times New Roman" w:hAnsi="Times New Roman" w:cs="Times New Roman"/>
          <w:sz w:val="24"/>
          <w:szCs w:val="24"/>
        </w:rPr>
        <w:t>lepszą koordynację przepływu informacji między podmiotami finansowymi</w:t>
      </w:r>
      <w:r w:rsidR="00A44AC8" w:rsidRPr="000431F7">
        <w:rPr>
          <w:rFonts w:ascii="Times New Roman" w:hAnsi="Times New Roman" w:cs="Times New Roman"/>
          <w:sz w:val="24"/>
          <w:szCs w:val="24"/>
        </w:rPr>
        <w:t xml:space="preserve"> a </w:t>
      </w:r>
      <w:r w:rsidR="00E704DD" w:rsidRPr="000431F7">
        <w:rPr>
          <w:rFonts w:ascii="Times New Roman" w:hAnsi="Times New Roman" w:cs="Times New Roman"/>
          <w:sz w:val="24"/>
          <w:szCs w:val="24"/>
        </w:rPr>
        <w:t>KNF</w:t>
      </w:r>
      <w:r w:rsidR="00A44AC8" w:rsidRPr="000431F7">
        <w:rPr>
          <w:rFonts w:ascii="Times New Roman" w:hAnsi="Times New Roman" w:cs="Times New Roman"/>
          <w:sz w:val="24"/>
          <w:szCs w:val="24"/>
        </w:rPr>
        <w:t>.</w:t>
      </w:r>
    </w:p>
    <w:p w14:paraId="45662B68" w14:textId="37A08B39" w:rsidR="00964BE0" w:rsidRPr="000431F7" w:rsidRDefault="00964BE0" w:rsidP="004742CC">
      <w:pPr>
        <w:pStyle w:val="Tekstkomentarza"/>
        <w:spacing w:before="120" w:after="0" w:line="360" w:lineRule="auto"/>
        <w:jc w:val="both"/>
        <w:rPr>
          <w:rFonts w:ascii="Times New Roman" w:hAnsi="Times New Roman" w:cs="Times New Roman"/>
          <w:sz w:val="24"/>
          <w:szCs w:val="24"/>
        </w:rPr>
      </w:pPr>
      <w:r w:rsidRPr="000431F7">
        <w:rPr>
          <w:rFonts w:ascii="Times New Roman" w:hAnsi="Times New Roman" w:cs="Times New Roman"/>
          <w:sz w:val="24"/>
          <w:szCs w:val="24"/>
        </w:rPr>
        <w:t>Przekazywanie powiadomień w postaci elektronicznej przyspiesza obieg informacji, pozwala na automatyzacj</w:t>
      </w:r>
      <w:r w:rsidR="00E704DD" w:rsidRPr="000431F7">
        <w:rPr>
          <w:rFonts w:ascii="Times New Roman" w:hAnsi="Times New Roman" w:cs="Times New Roman"/>
          <w:sz w:val="24"/>
          <w:szCs w:val="24"/>
        </w:rPr>
        <w:t>ę</w:t>
      </w:r>
      <w:r w:rsidRPr="000431F7">
        <w:rPr>
          <w:rFonts w:ascii="Times New Roman" w:hAnsi="Times New Roman" w:cs="Times New Roman"/>
          <w:sz w:val="24"/>
          <w:szCs w:val="24"/>
        </w:rPr>
        <w:t xml:space="preserve"> procesu dalszego przetwarzania danych, </w:t>
      </w:r>
      <w:r w:rsidR="007B5E93" w:rsidRPr="000431F7">
        <w:rPr>
          <w:rFonts w:ascii="Times New Roman" w:hAnsi="Times New Roman" w:cs="Times New Roman"/>
          <w:sz w:val="24"/>
          <w:szCs w:val="24"/>
        </w:rPr>
        <w:t>wskazane jest</w:t>
      </w:r>
      <w:r w:rsidR="00B432FE" w:rsidRPr="000431F7">
        <w:rPr>
          <w:rFonts w:ascii="Times New Roman" w:hAnsi="Times New Roman" w:cs="Times New Roman"/>
          <w:sz w:val="24"/>
          <w:szCs w:val="24"/>
        </w:rPr>
        <w:t xml:space="preserve"> zatem</w:t>
      </w:r>
      <w:r w:rsidR="007B5E93" w:rsidRPr="000431F7">
        <w:rPr>
          <w:rFonts w:ascii="Times New Roman" w:hAnsi="Times New Roman" w:cs="Times New Roman"/>
          <w:sz w:val="24"/>
          <w:szCs w:val="24"/>
        </w:rPr>
        <w:t>, aby</w:t>
      </w:r>
      <w:r w:rsidRPr="000431F7">
        <w:rPr>
          <w:rFonts w:ascii="Times New Roman" w:hAnsi="Times New Roman" w:cs="Times New Roman"/>
          <w:sz w:val="24"/>
          <w:szCs w:val="24"/>
        </w:rPr>
        <w:t xml:space="preserve"> </w:t>
      </w:r>
      <w:r w:rsidRPr="000431F7">
        <w:rPr>
          <w:rFonts w:ascii="Times New Roman" w:hAnsi="Times New Roman" w:cs="Times New Roman"/>
          <w:sz w:val="24"/>
          <w:szCs w:val="24"/>
        </w:rPr>
        <w:lastRenderedPageBreak/>
        <w:t>komunikacja w zakresie obowiązków wynikających rozporządzenia 2022/2554</w:t>
      </w:r>
      <w:r w:rsidR="00987740">
        <w:rPr>
          <w:rFonts w:ascii="Times New Roman" w:hAnsi="Times New Roman" w:cs="Times New Roman"/>
          <w:sz w:val="24"/>
          <w:szCs w:val="24"/>
        </w:rPr>
        <w:t xml:space="preserve"> </w:t>
      </w:r>
      <w:r w:rsidR="004B17EE" w:rsidRPr="000431F7">
        <w:rPr>
          <w:rFonts w:ascii="Times New Roman" w:hAnsi="Times New Roman" w:cs="Times New Roman"/>
          <w:sz w:val="24"/>
          <w:szCs w:val="24"/>
        </w:rPr>
        <w:t xml:space="preserve">była </w:t>
      </w:r>
      <w:r w:rsidRPr="000431F7">
        <w:rPr>
          <w:rFonts w:ascii="Times New Roman" w:hAnsi="Times New Roman" w:cs="Times New Roman"/>
          <w:sz w:val="24"/>
          <w:szCs w:val="24"/>
        </w:rPr>
        <w:t>realizowana w postaci elektronicznej.</w:t>
      </w:r>
    </w:p>
    <w:p w14:paraId="058D2373" w14:textId="2509C906" w:rsidR="00CC58F7" w:rsidRPr="000431F7" w:rsidRDefault="00700C2F" w:rsidP="004742CC">
      <w:pPr>
        <w:pStyle w:val="ZARTzmartartykuempunktem"/>
        <w:tabs>
          <w:tab w:val="left" w:pos="426"/>
        </w:tabs>
        <w:spacing w:before="120"/>
        <w:ind w:left="0" w:firstLine="0"/>
        <w:rPr>
          <w:rFonts w:ascii="Times New Roman" w:hAnsi="Times New Roman" w:cs="Times New Roman"/>
          <w:b/>
          <w:bCs/>
          <w:szCs w:val="24"/>
        </w:rPr>
      </w:pPr>
      <w:r w:rsidRPr="000431F7">
        <w:rPr>
          <w:rFonts w:ascii="Times New Roman" w:hAnsi="Times New Roman" w:cs="Times New Roman"/>
          <w:b/>
          <w:bCs/>
          <w:szCs w:val="24"/>
        </w:rPr>
        <w:t>d)</w:t>
      </w:r>
      <w:r w:rsidR="00B66E01">
        <w:rPr>
          <w:rFonts w:ascii="Times New Roman" w:hAnsi="Times New Roman" w:cs="Times New Roman"/>
          <w:b/>
          <w:bCs/>
          <w:szCs w:val="24"/>
        </w:rPr>
        <w:tab/>
      </w:r>
      <w:r w:rsidR="00CC58F7" w:rsidRPr="000431F7">
        <w:rPr>
          <w:rFonts w:ascii="Times New Roman" w:hAnsi="Times New Roman" w:cs="Times New Roman"/>
          <w:b/>
          <w:bCs/>
          <w:szCs w:val="24"/>
        </w:rPr>
        <w:t xml:space="preserve">wdrożenie art. 26 (zaawansowane testowanie) i </w:t>
      </w:r>
      <w:r w:rsidR="00241836">
        <w:rPr>
          <w:rFonts w:ascii="Times New Roman" w:hAnsi="Times New Roman" w:cs="Times New Roman"/>
          <w:b/>
          <w:bCs/>
          <w:szCs w:val="24"/>
        </w:rPr>
        <w:t xml:space="preserve">art. </w:t>
      </w:r>
      <w:r w:rsidR="00CC58F7" w:rsidRPr="000431F7">
        <w:rPr>
          <w:rFonts w:ascii="Times New Roman" w:hAnsi="Times New Roman" w:cs="Times New Roman"/>
          <w:b/>
          <w:bCs/>
          <w:szCs w:val="24"/>
        </w:rPr>
        <w:t>28 (obowiązki informacyjne podmiotów finansowych w zakresie zarządzania ryzykiem) rozporządzenia 2022/2554</w:t>
      </w:r>
      <w:r w:rsidR="00E704DD" w:rsidRPr="000431F7">
        <w:rPr>
          <w:rFonts w:ascii="Times New Roman" w:hAnsi="Times New Roman" w:cs="Times New Roman"/>
          <w:b/>
          <w:bCs/>
          <w:szCs w:val="24"/>
        </w:rPr>
        <w:t xml:space="preserve"> oraz inne obowiązki informacyjne podmiotów finansowych</w:t>
      </w:r>
    </w:p>
    <w:p w14:paraId="1295A834" w14:textId="5601258E" w:rsidR="00CC58F7" w:rsidRPr="000431F7" w:rsidRDefault="00CC58F7" w:rsidP="004742CC">
      <w:pPr>
        <w:pStyle w:val="ZARTzmartartykuempunktem"/>
        <w:spacing w:before="120"/>
        <w:ind w:left="0" w:firstLine="0"/>
        <w:rPr>
          <w:rFonts w:ascii="Times New Roman" w:hAnsi="Times New Roman" w:cs="Times New Roman"/>
          <w:szCs w:val="24"/>
        </w:rPr>
      </w:pPr>
      <w:r w:rsidRPr="000431F7">
        <w:rPr>
          <w:rFonts w:ascii="Times New Roman" w:hAnsi="Times New Roman" w:cs="Times New Roman"/>
          <w:szCs w:val="24"/>
        </w:rPr>
        <w:t>Projektowany art. 18z</w:t>
      </w:r>
      <w:r w:rsidR="00E704DD" w:rsidRPr="000431F7">
        <w:rPr>
          <w:rFonts w:ascii="Times New Roman" w:hAnsi="Times New Roman" w:cs="Times New Roman"/>
          <w:szCs w:val="24"/>
        </w:rPr>
        <w:t>i ust. 1</w:t>
      </w:r>
      <w:r w:rsidR="00987740">
        <w:rPr>
          <w:rFonts w:ascii="Times New Roman" w:hAnsi="Times New Roman" w:cs="Times New Roman"/>
          <w:szCs w:val="24"/>
        </w:rPr>
        <w:t xml:space="preserve"> </w:t>
      </w:r>
      <w:r w:rsidRPr="000431F7">
        <w:rPr>
          <w:rFonts w:ascii="Times New Roman" w:hAnsi="Times New Roman" w:cs="Times New Roman"/>
          <w:szCs w:val="24"/>
        </w:rPr>
        <w:t>ma na celu zapewnienie wdrożenia art. 28 rozporządzenia 2022/2554, z uwagi na powyższe zobowiązuje podmioty finansowe do przekazywania informacji i sprawozdań</w:t>
      </w:r>
      <w:r w:rsidR="00FB4340" w:rsidRPr="000431F7">
        <w:rPr>
          <w:rFonts w:ascii="Times New Roman" w:hAnsi="Times New Roman" w:cs="Times New Roman"/>
          <w:szCs w:val="24"/>
        </w:rPr>
        <w:t xml:space="preserve"> dotyczących ustaleń umownych w zakresie korzystania z usług ICT, rodzaju usług ICT i zewnętrznych dostawców usług ICT</w:t>
      </w:r>
      <w:r w:rsidRPr="000431F7">
        <w:rPr>
          <w:rFonts w:ascii="Times New Roman" w:hAnsi="Times New Roman" w:cs="Times New Roman"/>
          <w:szCs w:val="24"/>
        </w:rPr>
        <w:t xml:space="preserve"> organowi nadzoru, tj. KNF. Zgodnie z projektowanym art. 18z</w:t>
      </w:r>
      <w:r w:rsidR="00E704DD" w:rsidRPr="000431F7">
        <w:rPr>
          <w:rFonts w:ascii="Times New Roman" w:hAnsi="Times New Roman" w:cs="Times New Roman"/>
          <w:szCs w:val="24"/>
        </w:rPr>
        <w:t>i</w:t>
      </w:r>
      <w:r w:rsidRPr="000431F7">
        <w:rPr>
          <w:rFonts w:ascii="Times New Roman" w:hAnsi="Times New Roman" w:cs="Times New Roman"/>
          <w:szCs w:val="24"/>
        </w:rPr>
        <w:t xml:space="preserve"> ust. 1 podmioty finansowe przekazują KNF następujące informacje:</w:t>
      </w:r>
    </w:p>
    <w:p w14:paraId="126299ED" w14:textId="025DE8BD" w:rsidR="00CC58F7" w:rsidRPr="000431F7" w:rsidRDefault="00987740" w:rsidP="004742CC">
      <w:pPr>
        <w:pStyle w:val="ZARTzmartartykuempunktem"/>
        <w:spacing w:before="120"/>
        <w:ind w:left="426" w:hanging="426"/>
        <w:rPr>
          <w:rFonts w:ascii="Times New Roman" w:hAnsi="Times New Roman" w:cs="Times New Roman"/>
          <w:szCs w:val="24"/>
          <w:highlight w:val="lightGray"/>
        </w:rPr>
      </w:pPr>
      <w:r>
        <w:rPr>
          <w:rFonts w:ascii="Times New Roman" w:hAnsi="Times New Roman" w:cs="Times New Roman"/>
          <w:szCs w:val="24"/>
        </w:rPr>
        <w:t>–</w:t>
      </w:r>
      <w:r>
        <w:rPr>
          <w:rFonts w:ascii="Times New Roman" w:hAnsi="Times New Roman" w:cs="Times New Roman"/>
          <w:szCs w:val="24"/>
        </w:rPr>
        <w:tab/>
      </w:r>
      <w:r w:rsidR="00CC58F7" w:rsidRPr="000431F7">
        <w:rPr>
          <w:rFonts w:ascii="Times New Roman" w:hAnsi="Times New Roman" w:cs="Times New Roman"/>
          <w:szCs w:val="24"/>
        </w:rPr>
        <w:t>o których mowa w art. 28 ust. 3 akapit trzeci rozporządzenia 2022/2554</w:t>
      </w:r>
      <w:r w:rsidR="00BA3D05">
        <w:rPr>
          <w:rFonts w:ascii="Times New Roman" w:hAnsi="Times New Roman" w:cs="Times New Roman"/>
          <w:szCs w:val="24"/>
        </w:rPr>
        <w:t>,</w:t>
      </w:r>
      <w:r w:rsidR="00B41A0A" w:rsidRPr="000431F7">
        <w:rPr>
          <w:rFonts w:ascii="Times New Roman" w:hAnsi="Times New Roman" w:cs="Times New Roman"/>
          <w:szCs w:val="24"/>
        </w:rPr>
        <w:t xml:space="preserve"> w terminie</w:t>
      </w:r>
      <w:r w:rsidR="00504696" w:rsidRPr="000431F7">
        <w:rPr>
          <w:rFonts w:ascii="Times New Roman" w:hAnsi="Times New Roman" w:cs="Times New Roman"/>
          <w:szCs w:val="24"/>
        </w:rPr>
        <w:t xml:space="preserve"> określonym w decyzji Europejskiego Urzędu Nadzoru Bankowego, Europejskiego Urzędu Nadzoru Ubezpieczeń i Pracowniczych Programów Emerytalnych i Europejskiego Urzędu Nadzoru Giełd i Papierów Wartościowych,</w:t>
      </w:r>
    </w:p>
    <w:p w14:paraId="6BB7D410" w14:textId="67B64A3D" w:rsidR="00CC58F7" w:rsidRPr="000431F7" w:rsidRDefault="00987740" w:rsidP="004742CC">
      <w:pPr>
        <w:pStyle w:val="ZUSTzmustartykuempunktem"/>
        <w:spacing w:before="120"/>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CC58F7" w:rsidRPr="000431F7">
        <w:rPr>
          <w:rFonts w:ascii="Times New Roman" w:hAnsi="Times New Roman" w:cs="Times New Roman"/>
          <w:szCs w:val="24"/>
        </w:rPr>
        <w:t>o których mowa w art. 28 ust. 3 akapit piąty rozporządzenia 2022/2554, niezwłocznie, nie później niż w terminie 14 dni przed dniem związania się postanowieniami umownymi albo od dnia</w:t>
      </w:r>
      <w:r w:rsidR="009921FF" w:rsidRPr="000431F7">
        <w:rPr>
          <w:rFonts w:ascii="Times New Roman" w:hAnsi="Times New Roman" w:cs="Times New Roman"/>
          <w:szCs w:val="24"/>
        </w:rPr>
        <w:t>, w którym dana funkcja stała się krytyczna lub istotna</w:t>
      </w:r>
      <w:r w:rsidR="00CC58F7" w:rsidRPr="000431F7">
        <w:rPr>
          <w:rFonts w:ascii="Times New Roman" w:hAnsi="Times New Roman" w:cs="Times New Roman"/>
          <w:szCs w:val="24"/>
        </w:rPr>
        <w:t xml:space="preserve">. </w:t>
      </w:r>
    </w:p>
    <w:p w14:paraId="2F5B1082" w14:textId="574AED1D" w:rsidR="00CC58F7" w:rsidRPr="000431F7" w:rsidRDefault="00CC58F7" w:rsidP="004742CC">
      <w:pPr>
        <w:pStyle w:val="ZUSTzmustartykuempunktem"/>
        <w:spacing w:before="120"/>
        <w:ind w:left="0" w:firstLine="0"/>
        <w:rPr>
          <w:rFonts w:ascii="Times New Roman" w:hAnsi="Times New Roman" w:cs="Times New Roman"/>
          <w:szCs w:val="24"/>
        </w:rPr>
      </w:pPr>
      <w:r w:rsidRPr="000431F7">
        <w:rPr>
          <w:rFonts w:ascii="Times New Roman" w:hAnsi="Times New Roman" w:cs="Times New Roman"/>
          <w:szCs w:val="24"/>
        </w:rPr>
        <w:t>Terminy wskazane w tym przepisie zapewniają realizację obowiązków informacyjnych w optymalnym czasie, w szczególności obowiązek poinformowania KNF o planowanych ustaleniach umownych dotyczących korzystania z usług ICT wspierających krytyczne lub istotne funkcje oraz o tym, że dana funkcja stała się krytyczna lub istotna, wyznaczony na 14</w:t>
      </w:r>
      <w:r w:rsidR="00BA3D05">
        <w:rPr>
          <w:rFonts w:ascii="Times New Roman" w:hAnsi="Times New Roman" w:cs="Times New Roman"/>
          <w:szCs w:val="24"/>
        </w:rPr>
        <w:t> </w:t>
      </w:r>
      <w:r w:rsidRPr="000431F7">
        <w:rPr>
          <w:rFonts w:ascii="Times New Roman" w:hAnsi="Times New Roman" w:cs="Times New Roman"/>
          <w:szCs w:val="24"/>
        </w:rPr>
        <w:t xml:space="preserve">dni przed dniem związania się postanowieniami umownymi albo </w:t>
      </w:r>
      <w:r w:rsidR="009921FF" w:rsidRPr="000431F7">
        <w:rPr>
          <w:rFonts w:ascii="Times New Roman" w:hAnsi="Times New Roman" w:cs="Times New Roman"/>
          <w:szCs w:val="24"/>
        </w:rPr>
        <w:t>od dnia, w którym dana funkcja stała się krytyczna lub istotna</w:t>
      </w:r>
      <w:r w:rsidRPr="000431F7">
        <w:rPr>
          <w:rFonts w:ascii="Times New Roman" w:hAnsi="Times New Roman" w:cs="Times New Roman"/>
          <w:szCs w:val="24"/>
        </w:rPr>
        <w:t xml:space="preserve">, jest w ocenie projektodawcy, terminem odpowiednim i wystarczającym dla zapewnienia nadzoru w zakresie wskazanym w art. 28 rozporządzenia 2022/2554. </w:t>
      </w:r>
    </w:p>
    <w:p w14:paraId="28FBB5F0" w14:textId="2C93480A" w:rsidR="00E704DD" w:rsidRPr="004742CC" w:rsidRDefault="00E704DD" w:rsidP="004742CC">
      <w:pPr>
        <w:pStyle w:val="ZUSTzmustartykuempunktem"/>
        <w:spacing w:before="120"/>
        <w:ind w:left="0" w:firstLine="0"/>
        <w:rPr>
          <w:rFonts w:ascii="Times New Roman" w:hAnsi="Times New Roman" w:cs="Times New Roman"/>
          <w:szCs w:val="24"/>
        </w:rPr>
      </w:pPr>
      <w:r w:rsidRPr="000431F7">
        <w:rPr>
          <w:rFonts w:ascii="Times New Roman" w:hAnsi="Times New Roman" w:cs="Times New Roman"/>
          <w:szCs w:val="24"/>
        </w:rPr>
        <w:t>Dodatkowo, w celu wdrożenia art. 11</w:t>
      </w:r>
      <w:r w:rsidR="006D48F2" w:rsidRPr="000431F7">
        <w:rPr>
          <w:rFonts w:ascii="Times New Roman" w:hAnsi="Times New Roman" w:cs="Times New Roman"/>
          <w:szCs w:val="24"/>
        </w:rPr>
        <w:t xml:space="preserve"> </w:t>
      </w:r>
      <w:r w:rsidRPr="000431F7">
        <w:rPr>
          <w:rFonts w:ascii="Times New Roman" w:hAnsi="Times New Roman" w:cs="Times New Roman"/>
          <w:szCs w:val="24"/>
        </w:rPr>
        <w:t xml:space="preserve">ust. 9, </w:t>
      </w:r>
      <w:r w:rsidR="006D48F2" w:rsidRPr="000431F7">
        <w:rPr>
          <w:rFonts w:ascii="Times New Roman" w:hAnsi="Times New Roman" w:cs="Times New Roman"/>
          <w:szCs w:val="24"/>
        </w:rPr>
        <w:t xml:space="preserve">w </w:t>
      </w:r>
      <w:r w:rsidRPr="000431F7">
        <w:rPr>
          <w:rFonts w:ascii="Times New Roman" w:hAnsi="Times New Roman" w:cs="Times New Roman"/>
          <w:szCs w:val="24"/>
        </w:rPr>
        <w:t>projektowany</w:t>
      </w:r>
      <w:r w:rsidR="006D48F2" w:rsidRPr="000431F7">
        <w:rPr>
          <w:rFonts w:ascii="Times New Roman" w:hAnsi="Times New Roman" w:cs="Times New Roman"/>
          <w:szCs w:val="24"/>
        </w:rPr>
        <w:t>m</w:t>
      </w:r>
      <w:r w:rsidRPr="000431F7">
        <w:rPr>
          <w:rFonts w:ascii="Times New Roman" w:hAnsi="Times New Roman" w:cs="Times New Roman"/>
          <w:szCs w:val="24"/>
        </w:rPr>
        <w:t xml:space="preserve"> art. 18zi ust. 2 określono obowiązek przekazywania przez </w:t>
      </w:r>
      <w:r w:rsidRPr="004742CC">
        <w:rPr>
          <w:rFonts w:ascii="Times New Roman" w:hAnsi="Times New Roman" w:cs="Times New Roman"/>
          <w:szCs w:val="24"/>
        </w:rPr>
        <w:t>centralne depozyty papierów wartościowych w rozumieniu art. 3 pkt 21a ustawy z dnia 29 lipca 2005 r. o obrocie instrumentami finansowymi kopii wyników testów ciągłości działania w zakresie ICT</w:t>
      </w:r>
      <w:r w:rsidR="00987740">
        <w:rPr>
          <w:rFonts w:ascii="Times New Roman" w:hAnsi="Times New Roman" w:cs="Times New Roman"/>
          <w:szCs w:val="24"/>
        </w:rPr>
        <w:t xml:space="preserve"> </w:t>
      </w:r>
      <w:r w:rsidRPr="004742CC">
        <w:rPr>
          <w:rFonts w:ascii="Times New Roman" w:hAnsi="Times New Roman" w:cs="Times New Roman"/>
          <w:szCs w:val="24"/>
        </w:rPr>
        <w:t xml:space="preserve">lub podobnych testów. </w:t>
      </w:r>
    </w:p>
    <w:p w14:paraId="65AA9F1C" w14:textId="2F4C3CC2" w:rsidR="00E704DD" w:rsidRPr="000431F7" w:rsidRDefault="00E704DD" w:rsidP="004742CC">
      <w:pPr>
        <w:pStyle w:val="ZUSTzmustartykuempunktem"/>
        <w:spacing w:before="120"/>
        <w:ind w:left="0" w:firstLine="0"/>
        <w:rPr>
          <w:rFonts w:ascii="Times New Roman" w:hAnsi="Times New Roman" w:cs="Times New Roman"/>
          <w:szCs w:val="24"/>
        </w:rPr>
      </w:pPr>
      <w:r w:rsidRPr="004742CC">
        <w:rPr>
          <w:rFonts w:ascii="Times New Roman" w:hAnsi="Times New Roman" w:cs="Times New Roman"/>
          <w:szCs w:val="24"/>
        </w:rPr>
        <w:t xml:space="preserve">Ponadto projektowany art. 18zj, </w:t>
      </w:r>
      <w:r w:rsidRPr="000431F7">
        <w:rPr>
          <w:rFonts w:ascii="Times New Roman" w:hAnsi="Times New Roman" w:cs="Times New Roman"/>
          <w:szCs w:val="24"/>
        </w:rPr>
        <w:t xml:space="preserve">w celu wdrożenia </w:t>
      </w:r>
      <w:bookmarkStart w:id="15" w:name="_Hlk192667820"/>
      <w:r w:rsidRPr="004742CC">
        <w:rPr>
          <w:rFonts w:ascii="Times New Roman" w:hAnsi="Times New Roman" w:cs="Times New Roman"/>
          <w:szCs w:val="24"/>
        </w:rPr>
        <w:t xml:space="preserve">art. 45 ust. 1 </w:t>
      </w:r>
      <w:bookmarkEnd w:id="15"/>
      <w:r w:rsidRPr="004742CC">
        <w:rPr>
          <w:rFonts w:ascii="Times New Roman" w:hAnsi="Times New Roman" w:cs="Times New Roman"/>
          <w:szCs w:val="24"/>
        </w:rPr>
        <w:t xml:space="preserve">i ust. 3 rozporządzenia 2022/2554, nakłada na podmioty finansowe obowiązek powiadamiania KNF o przystąpieniu </w:t>
      </w:r>
      <w:r w:rsidRPr="004742CC">
        <w:rPr>
          <w:rFonts w:ascii="Times New Roman" w:hAnsi="Times New Roman" w:cs="Times New Roman"/>
          <w:szCs w:val="24"/>
        </w:rPr>
        <w:lastRenderedPageBreak/>
        <w:t xml:space="preserve">do ustaleń dotyczących wymiany informacji, o których mowa w </w:t>
      </w:r>
      <w:bookmarkStart w:id="16" w:name="_Hlk192682610"/>
      <w:r w:rsidRPr="004742CC">
        <w:rPr>
          <w:rFonts w:ascii="Times New Roman" w:hAnsi="Times New Roman" w:cs="Times New Roman"/>
          <w:szCs w:val="24"/>
        </w:rPr>
        <w:t>art. 45 ust. 1 rozporządzenia 2022/2554</w:t>
      </w:r>
      <w:bookmarkEnd w:id="16"/>
      <w:r w:rsidR="00BA3D05">
        <w:rPr>
          <w:rFonts w:ascii="Times New Roman" w:hAnsi="Times New Roman" w:cs="Times New Roman"/>
          <w:szCs w:val="24"/>
        </w:rPr>
        <w:t>,</w:t>
      </w:r>
      <w:r w:rsidRPr="004742CC">
        <w:rPr>
          <w:rFonts w:ascii="Times New Roman" w:hAnsi="Times New Roman" w:cs="Times New Roman"/>
          <w:szCs w:val="24"/>
        </w:rPr>
        <w:t xml:space="preserve"> bądź o ustaniu ich członkostwa. </w:t>
      </w:r>
    </w:p>
    <w:p w14:paraId="29AA4E5E" w14:textId="6140CFC1" w:rsidR="00CC58F7" w:rsidRPr="000431F7" w:rsidRDefault="00CC58F7" w:rsidP="004742CC">
      <w:pPr>
        <w:pStyle w:val="ZARTzmartartykuempunktem"/>
        <w:spacing w:before="120"/>
        <w:ind w:left="0" w:firstLine="0"/>
        <w:rPr>
          <w:rFonts w:ascii="Times New Roman" w:hAnsi="Times New Roman" w:cs="Times New Roman"/>
          <w:color w:val="000000"/>
          <w:szCs w:val="24"/>
          <w:shd w:val="clear" w:color="auto" w:fill="FFFFFF"/>
        </w:rPr>
      </w:pPr>
      <w:r w:rsidRPr="000431F7">
        <w:rPr>
          <w:rFonts w:ascii="Times New Roman" w:hAnsi="Times New Roman" w:cs="Times New Roman"/>
          <w:szCs w:val="24"/>
        </w:rPr>
        <w:t>W celu zapewnienia wdrożenia p</w:t>
      </w:r>
      <w:r w:rsidR="00840241" w:rsidRPr="000431F7">
        <w:rPr>
          <w:rFonts w:ascii="Times New Roman" w:hAnsi="Times New Roman" w:cs="Times New Roman"/>
          <w:szCs w:val="24"/>
        </w:rPr>
        <w:t>rzepisów</w:t>
      </w:r>
      <w:r w:rsidRPr="000431F7">
        <w:rPr>
          <w:rFonts w:ascii="Times New Roman" w:hAnsi="Times New Roman" w:cs="Times New Roman"/>
          <w:szCs w:val="24"/>
        </w:rPr>
        <w:t xml:space="preserve"> art. 26 rozporządzenia 2022/2554 proponuje się wprowadzenie art. 18z</w:t>
      </w:r>
      <w:r w:rsidR="00E704DD" w:rsidRPr="000431F7">
        <w:rPr>
          <w:rFonts w:ascii="Times New Roman" w:hAnsi="Times New Roman" w:cs="Times New Roman"/>
          <w:szCs w:val="24"/>
        </w:rPr>
        <w:t>k</w:t>
      </w:r>
      <w:r w:rsidRPr="000431F7">
        <w:rPr>
          <w:rFonts w:ascii="Times New Roman" w:hAnsi="Times New Roman" w:cs="Times New Roman"/>
          <w:szCs w:val="24"/>
        </w:rPr>
        <w:t xml:space="preserve"> ustawy o nadzorze nad rynkiem finansowym</w:t>
      </w:r>
      <w:r w:rsidR="00FB4340" w:rsidRPr="000431F7">
        <w:rPr>
          <w:rFonts w:ascii="Times New Roman" w:hAnsi="Times New Roman" w:cs="Times New Roman"/>
          <w:szCs w:val="24"/>
        </w:rPr>
        <w:t>,</w:t>
      </w:r>
      <w:r w:rsidRPr="000431F7">
        <w:rPr>
          <w:rFonts w:ascii="Times New Roman" w:hAnsi="Times New Roman" w:cs="Times New Roman"/>
          <w:szCs w:val="24"/>
        </w:rPr>
        <w:t xml:space="preserve"> regulującego zadania KNF dotyczące przeprowadzenia zaawansowanych testów, o których mowa w art. 26 rozporządzenia 2022/2554, oraz sposób postępowania podmiotów finansowych zobowiązanych do przeprowadzania tych testów. </w:t>
      </w:r>
      <w:r w:rsidR="008803EC" w:rsidRPr="000431F7">
        <w:rPr>
          <w:rFonts w:ascii="Times New Roman" w:hAnsi="Times New Roman" w:cs="Times New Roman"/>
          <w:szCs w:val="24"/>
        </w:rPr>
        <w:t xml:space="preserve">KNF </w:t>
      </w:r>
      <w:r w:rsidR="009921FF" w:rsidRPr="000431F7">
        <w:rPr>
          <w:rFonts w:ascii="Times New Roman" w:hAnsi="Times New Roman" w:cs="Times New Roman"/>
          <w:szCs w:val="24"/>
        </w:rPr>
        <w:t>na mocy projektowanego art. 18z</w:t>
      </w:r>
      <w:r w:rsidR="00E704DD" w:rsidRPr="000431F7">
        <w:rPr>
          <w:rFonts w:ascii="Times New Roman" w:hAnsi="Times New Roman" w:cs="Times New Roman"/>
          <w:szCs w:val="24"/>
        </w:rPr>
        <w:t>k</w:t>
      </w:r>
      <w:r w:rsidR="009921FF" w:rsidRPr="000431F7">
        <w:rPr>
          <w:rFonts w:ascii="Times New Roman" w:hAnsi="Times New Roman" w:cs="Times New Roman"/>
          <w:szCs w:val="24"/>
        </w:rPr>
        <w:t xml:space="preserve"> </w:t>
      </w:r>
      <w:r w:rsidRPr="000431F7">
        <w:rPr>
          <w:rFonts w:ascii="Times New Roman" w:hAnsi="Times New Roman" w:cs="Times New Roman"/>
          <w:szCs w:val="24"/>
        </w:rPr>
        <w:t>będzie organem odpowiedzialnym za realizację obowiązków organu właściwego, wskazanych w art. 26 i art. 27 rozporządzenia 2022/2554, w zw</w:t>
      </w:r>
      <w:r w:rsidR="00996612" w:rsidRPr="000431F7">
        <w:rPr>
          <w:rFonts w:ascii="Times New Roman" w:hAnsi="Times New Roman" w:cs="Times New Roman"/>
          <w:szCs w:val="24"/>
        </w:rPr>
        <w:t>iązku</w:t>
      </w:r>
      <w:r w:rsidRPr="000431F7">
        <w:rPr>
          <w:rFonts w:ascii="Times New Roman" w:hAnsi="Times New Roman" w:cs="Times New Roman"/>
          <w:szCs w:val="24"/>
        </w:rPr>
        <w:t xml:space="preserve"> z powyższym zostanie także wyposażona w uprawnienie do wyznaczania</w:t>
      </w:r>
      <w:r w:rsidR="00BA3D05">
        <w:rPr>
          <w:rFonts w:ascii="Times New Roman" w:hAnsi="Times New Roman" w:cs="Times New Roman"/>
          <w:szCs w:val="24"/>
        </w:rPr>
        <w:t>,</w:t>
      </w:r>
      <w:r w:rsidRPr="000431F7">
        <w:rPr>
          <w:rFonts w:ascii="Times New Roman" w:hAnsi="Times New Roman" w:cs="Times New Roman"/>
          <w:szCs w:val="24"/>
        </w:rPr>
        <w:t xml:space="preserve"> w drodze decyzji</w:t>
      </w:r>
      <w:r w:rsidR="00BA3D05">
        <w:rPr>
          <w:rFonts w:ascii="Times New Roman" w:hAnsi="Times New Roman" w:cs="Times New Roman"/>
          <w:szCs w:val="24"/>
        </w:rPr>
        <w:t>,</w:t>
      </w:r>
      <w:r w:rsidRPr="000431F7">
        <w:rPr>
          <w:rFonts w:ascii="Times New Roman" w:hAnsi="Times New Roman" w:cs="Times New Roman"/>
          <w:szCs w:val="24"/>
        </w:rPr>
        <w:t xml:space="preserve"> podmiot</w:t>
      </w:r>
      <w:r w:rsidR="00C3458E" w:rsidRPr="000431F7">
        <w:rPr>
          <w:rFonts w:ascii="Times New Roman" w:hAnsi="Times New Roman" w:cs="Times New Roman"/>
          <w:szCs w:val="24"/>
        </w:rPr>
        <w:t>u</w:t>
      </w:r>
      <w:r w:rsidRPr="000431F7">
        <w:rPr>
          <w:rFonts w:ascii="Times New Roman" w:hAnsi="Times New Roman" w:cs="Times New Roman"/>
          <w:szCs w:val="24"/>
        </w:rPr>
        <w:t xml:space="preserve"> finansow</w:t>
      </w:r>
      <w:r w:rsidR="00C3458E" w:rsidRPr="000431F7">
        <w:rPr>
          <w:rFonts w:ascii="Times New Roman" w:hAnsi="Times New Roman" w:cs="Times New Roman"/>
          <w:szCs w:val="24"/>
        </w:rPr>
        <w:t>ego</w:t>
      </w:r>
      <w:r w:rsidRPr="000431F7">
        <w:rPr>
          <w:rFonts w:ascii="Times New Roman" w:hAnsi="Times New Roman" w:cs="Times New Roman"/>
          <w:szCs w:val="24"/>
        </w:rPr>
        <w:t xml:space="preserve"> zobowiązan</w:t>
      </w:r>
      <w:r w:rsidR="00C3458E" w:rsidRPr="000431F7">
        <w:rPr>
          <w:rFonts w:ascii="Times New Roman" w:hAnsi="Times New Roman" w:cs="Times New Roman"/>
          <w:szCs w:val="24"/>
        </w:rPr>
        <w:t>ego</w:t>
      </w:r>
      <w:r w:rsidRPr="000431F7">
        <w:rPr>
          <w:rFonts w:ascii="Times New Roman" w:hAnsi="Times New Roman" w:cs="Times New Roman"/>
          <w:szCs w:val="24"/>
        </w:rPr>
        <w:t xml:space="preserve"> do przeprowadzenia zaawansowanych testów z wykorzystaniem TLPT, o których mowa w art. 26</w:t>
      </w:r>
      <w:r w:rsidRPr="000431F7">
        <w:rPr>
          <w:rFonts w:ascii="Times New Roman" w:hAnsi="Times New Roman" w:cs="Times New Roman"/>
          <w:color w:val="000000"/>
          <w:szCs w:val="24"/>
          <w:shd w:val="clear" w:color="auto" w:fill="FFFFFF"/>
        </w:rPr>
        <w:t>.</w:t>
      </w:r>
      <w:r w:rsidR="005376BF" w:rsidRPr="000431F7">
        <w:rPr>
          <w:rFonts w:ascii="Times New Roman" w:hAnsi="Times New Roman" w:cs="Times New Roman"/>
          <w:color w:val="000000"/>
          <w:szCs w:val="24"/>
          <w:shd w:val="clear" w:color="auto" w:fill="FFFFFF"/>
        </w:rPr>
        <w:t xml:space="preserve"> Należy podkreślić, że kryteria wyboru podmiotów obowiązanych do przeprowadzenia </w:t>
      </w:r>
      <w:r w:rsidR="005376BF" w:rsidRPr="000431F7">
        <w:rPr>
          <w:rFonts w:ascii="Times New Roman" w:hAnsi="Times New Roman" w:cs="Times New Roman"/>
          <w:szCs w:val="24"/>
        </w:rPr>
        <w:t>zaawansowanych testów, o których mowa w art. 26 rozporządzenia 2022/2554, wskazane są w art. 26 ust. 8 akapit trzeci rozporządzenia 2022/2554. Zgodnie z</w:t>
      </w:r>
      <w:r w:rsidR="00BA3D05">
        <w:rPr>
          <w:rFonts w:ascii="Times New Roman" w:hAnsi="Times New Roman" w:cs="Times New Roman"/>
          <w:szCs w:val="24"/>
        </w:rPr>
        <w:t> </w:t>
      </w:r>
      <w:r w:rsidR="005376BF" w:rsidRPr="000431F7">
        <w:rPr>
          <w:rFonts w:ascii="Times New Roman" w:hAnsi="Times New Roman" w:cs="Times New Roman"/>
          <w:szCs w:val="24"/>
        </w:rPr>
        <w:t>art.</w:t>
      </w:r>
      <w:r w:rsidR="00BA3D05">
        <w:rPr>
          <w:rFonts w:ascii="Times New Roman" w:hAnsi="Times New Roman" w:cs="Times New Roman"/>
          <w:szCs w:val="24"/>
        </w:rPr>
        <w:t> </w:t>
      </w:r>
      <w:r w:rsidR="005376BF" w:rsidRPr="000431F7">
        <w:rPr>
          <w:rFonts w:ascii="Times New Roman" w:hAnsi="Times New Roman" w:cs="Times New Roman"/>
          <w:szCs w:val="24"/>
        </w:rPr>
        <w:t xml:space="preserve">26 ust. 8 akapitem trzecim rozporządzenia 2022/2554, właściwy organ określa podmioty finansowe, od których wymaga się przeprowadzenia zaawansowanych testów, z uwzględnieniem kryteriów </w:t>
      </w:r>
      <w:r w:rsidR="005376BF" w:rsidRPr="000431F7">
        <w:rPr>
          <w:rFonts w:ascii="Times New Roman" w:hAnsi="Times New Roman" w:cs="Times New Roman"/>
          <w:color w:val="000000"/>
          <w:szCs w:val="24"/>
          <w:shd w:val="clear" w:color="auto" w:fill="FFFFFF"/>
        </w:rPr>
        <w:t>określonych w art. 4 ust. 2, w oparciu o ocenę następujących elementów:</w:t>
      </w:r>
    </w:p>
    <w:p w14:paraId="06F9D561" w14:textId="0080193C" w:rsidR="005376BF" w:rsidRPr="000431F7" w:rsidRDefault="005376BF" w:rsidP="004742CC">
      <w:pPr>
        <w:pStyle w:val="ZARTzmartartykuempunktem"/>
        <w:spacing w:before="120"/>
        <w:ind w:left="426" w:hanging="426"/>
        <w:rPr>
          <w:rFonts w:ascii="Times New Roman" w:hAnsi="Times New Roman" w:cs="Times New Roman"/>
          <w:color w:val="000000"/>
          <w:szCs w:val="24"/>
          <w:shd w:val="clear" w:color="auto" w:fill="FFFFFF"/>
        </w:rPr>
      </w:pPr>
      <w:r w:rsidRPr="000431F7">
        <w:rPr>
          <w:rFonts w:ascii="Times New Roman" w:hAnsi="Times New Roman" w:cs="Times New Roman"/>
          <w:color w:val="000000"/>
          <w:szCs w:val="24"/>
          <w:shd w:val="clear" w:color="auto" w:fill="FFFFFF"/>
        </w:rPr>
        <w:t>a)</w:t>
      </w:r>
      <w:r w:rsidR="00B66E01">
        <w:rPr>
          <w:rFonts w:ascii="Times New Roman" w:hAnsi="Times New Roman" w:cs="Times New Roman"/>
          <w:color w:val="000000"/>
          <w:szCs w:val="24"/>
          <w:shd w:val="clear" w:color="auto" w:fill="FFFFFF"/>
        </w:rPr>
        <w:tab/>
      </w:r>
      <w:r w:rsidRPr="000431F7">
        <w:rPr>
          <w:rFonts w:ascii="Times New Roman" w:hAnsi="Times New Roman" w:cs="Times New Roman"/>
          <w:color w:val="000000"/>
          <w:szCs w:val="24"/>
          <w:shd w:val="clear" w:color="auto" w:fill="FFFFFF"/>
        </w:rPr>
        <w:t>czynników związanych z wpływem, w szczególności zakresu, w jakim świadczone usługi i działania podejmowane przez podmiot finansowy mają wpływ na sektor finansowy</w:t>
      </w:r>
      <w:r w:rsidR="00BA3D05">
        <w:rPr>
          <w:rFonts w:ascii="Times New Roman" w:hAnsi="Times New Roman" w:cs="Times New Roman"/>
          <w:color w:val="000000"/>
          <w:szCs w:val="24"/>
          <w:shd w:val="clear" w:color="auto" w:fill="FFFFFF"/>
        </w:rPr>
        <w:t>,</w:t>
      </w:r>
    </w:p>
    <w:p w14:paraId="6175E808" w14:textId="4A74E403" w:rsidR="005376BF" w:rsidRPr="000431F7" w:rsidRDefault="005376BF" w:rsidP="004742CC">
      <w:pPr>
        <w:pStyle w:val="ZARTzmartartykuempunktem"/>
        <w:spacing w:before="120"/>
        <w:ind w:left="426" w:hanging="426"/>
        <w:rPr>
          <w:rFonts w:ascii="Times New Roman" w:hAnsi="Times New Roman" w:cs="Times New Roman"/>
          <w:color w:val="000000"/>
          <w:szCs w:val="24"/>
          <w:shd w:val="clear" w:color="auto" w:fill="FFFFFF"/>
        </w:rPr>
      </w:pPr>
      <w:r w:rsidRPr="000431F7">
        <w:rPr>
          <w:rFonts w:ascii="Times New Roman" w:hAnsi="Times New Roman" w:cs="Times New Roman"/>
          <w:color w:val="000000"/>
          <w:szCs w:val="24"/>
          <w:shd w:val="clear" w:color="auto" w:fill="FFFFFF"/>
        </w:rPr>
        <w:t>b)</w:t>
      </w:r>
      <w:r w:rsidR="00B66E01">
        <w:rPr>
          <w:rFonts w:ascii="Times New Roman" w:hAnsi="Times New Roman" w:cs="Times New Roman"/>
          <w:color w:val="000000"/>
          <w:szCs w:val="24"/>
          <w:shd w:val="clear" w:color="auto" w:fill="FFFFFF"/>
        </w:rPr>
        <w:tab/>
      </w:r>
      <w:r w:rsidRPr="000431F7">
        <w:rPr>
          <w:rFonts w:ascii="Times New Roman" w:hAnsi="Times New Roman" w:cs="Times New Roman"/>
          <w:color w:val="000000"/>
          <w:szCs w:val="24"/>
          <w:shd w:val="clear" w:color="auto" w:fill="FFFFFF"/>
        </w:rPr>
        <w:t>ewentualnych obaw dotyczących stabilności finansowej, w tym systemowego charakteru podmiotu finansowego na poziomie unijnym lub krajowym, stosownie do przypadku</w:t>
      </w:r>
      <w:r w:rsidR="00BA3D05">
        <w:rPr>
          <w:rFonts w:ascii="Times New Roman" w:hAnsi="Times New Roman" w:cs="Times New Roman"/>
          <w:color w:val="000000"/>
          <w:szCs w:val="24"/>
          <w:shd w:val="clear" w:color="auto" w:fill="FFFFFF"/>
        </w:rPr>
        <w:t>,</w:t>
      </w:r>
    </w:p>
    <w:p w14:paraId="7B661FA0" w14:textId="015C3217" w:rsidR="00E704DD" w:rsidRPr="000431F7" w:rsidRDefault="005376BF" w:rsidP="004742CC">
      <w:pPr>
        <w:pStyle w:val="ZARTzmartartykuempunktem"/>
        <w:spacing w:before="120"/>
        <w:ind w:left="426" w:hanging="426"/>
        <w:rPr>
          <w:rFonts w:ascii="Times New Roman" w:hAnsi="Times New Roman" w:cs="Times New Roman"/>
          <w:color w:val="000000"/>
          <w:szCs w:val="24"/>
          <w:shd w:val="clear" w:color="auto" w:fill="FFFFFF"/>
        </w:rPr>
      </w:pPr>
      <w:r w:rsidRPr="000431F7">
        <w:rPr>
          <w:rFonts w:ascii="Times New Roman" w:hAnsi="Times New Roman" w:cs="Times New Roman"/>
          <w:color w:val="000000"/>
          <w:szCs w:val="24"/>
          <w:shd w:val="clear" w:color="auto" w:fill="FFFFFF"/>
        </w:rPr>
        <w:t>c)</w:t>
      </w:r>
      <w:r w:rsidR="00B66E01">
        <w:rPr>
          <w:rFonts w:ascii="Times New Roman" w:hAnsi="Times New Roman" w:cs="Times New Roman"/>
          <w:color w:val="000000"/>
          <w:szCs w:val="24"/>
          <w:shd w:val="clear" w:color="auto" w:fill="FFFFFF"/>
        </w:rPr>
        <w:tab/>
      </w:r>
      <w:r w:rsidRPr="000431F7">
        <w:rPr>
          <w:rFonts w:ascii="Times New Roman" w:hAnsi="Times New Roman" w:cs="Times New Roman"/>
          <w:color w:val="000000"/>
          <w:szCs w:val="24"/>
          <w:shd w:val="clear" w:color="auto" w:fill="FFFFFF"/>
        </w:rPr>
        <w:t>specyficznego profilu ryzyka związanego z ICT, poziomu zaawansowania podmiotu finansowego pod względem ICT lub zastosowanych rozwiązań technologicznych.</w:t>
      </w:r>
    </w:p>
    <w:p w14:paraId="24F13D04" w14:textId="48FA5E84" w:rsidR="00215ED4" w:rsidRPr="000431F7" w:rsidRDefault="00700C2F" w:rsidP="004742CC">
      <w:pPr>
        <w:pStyle w:val="ZARTzmartartykuempunktem"/>
        <w:tabs>
          <w:tab w:val="left" w:pos="426"/>
        </w:tabs>
        <w:spacing w:before="120"/>
        <w:ind w:left="0" w:firstLine="0"/>
        <w:rPr>
          <w:rFonts w:ascii="Times New Roman" w:hAnsi="Times New Roman" w:cs="Times New Roman"/>
          <w:b/>
          <w:bCs/>
          <w:szCs w:val="24"/>
        </w:rPr>
      </w:pPr>
      <w:r w:rsidRPr="000431F7">
        <w:rPr>
          <w:rFonts w:ascii="Times New Roman" w:hAnsi="Times New Roman" w:cs="Times New Roman"/>
          <w:b/>
          <w:bCs/>
          <w:szCs w:val="24"/>
        </w:rPr>
        <w:t>e)</w:t>
      </w:r>
      <w:r w:rsidR="00B66E01">
        <w:rPr>
          <w:rFonts w:ascii="Times New Roman" w:hAnsi="Times New Roman" w:cs="Times New Roman"/>
          <w:b/>
          <w:bCs/>
          <w:szCs w:val="24"/>
        </w:rPr>
        <w:tab/>
      </w:r>
      <w:r w:rsidR="00215ED4" w:rsidRPr="000431F7">
        <w:rPr>
          <w:rFonts w:ascii="Times New Roman" w:hAnsi="Times New Roman" w:cs="Times New Roman"/>
          <w:b/>
          <w:bCs/>
          <w:szCs w:val="24"/>
        </w:rPr>
        <w:t>decyzje KNF w przypadku naruszenia obowiązków określonych w rozporządzeniu 2022/2554</w:t>
      </w:r>
    </w:p>
    <w:p w14:paraId="58FF9FFC" w14:textId="7E6571E1" w:rsidR="00614BB1" w:rsidRPr="000431F7" w:rsidRDefault="00215ED4" w:rsidP="004742CC">
      <w:pPr>
        <w:pStyle w:val="ZARTzmartartykuempunktem"/>
        <w:spacing w:before="120"/>
        <w:ind w:left="0" w:firstLine="0"/>
        <w:rPr>
          <w:rFonts w:ascii="Times New Roman" w:hAnsi="Times New Roman" w:cs="Times New Roman"/>
          <w:szCs w:val="24"/>
        </w:rPr>
      </w:pPr>
      <w:r w:rsidRPr="000431F7">
        <w:rPr>
          <w:rFonts w:ascii="Times New Roman" w:hAnsi="Times New Roman" w:cs="Times New Roman"/>
          <w:szCs w:val="24"/>
        </w:rPr>
        <w:t>Projektowany art. 18z</w:t>
      </w:r>
      <w:r w:rsidR="00E704DD" w:rsidRPr="000431F7">
        <w:rPr>
          <w:rFonts w:ascii="Times New Roman" w:hAnsi="Times New Roman" w:cs="Times New Roman"/>
          <w:szCs w:val="24"/>
        </w:rPr>
        <w:t>m</w:t>
      </w:r>
      <w:r w:rsidRPr="000431F7">
        <w:rPr>
          <w:rFonts w:ascii="Times New Roman" w:hAnsi="Times New Roman" w:cs="Times New Roman"/>
          <w:szCs w:val="24"/>
        </w:rPr>
        <w:t xml:space="preserve"> ust. 1 ustawy o nadzorze nad rynkiem finansowym wskazuje rodzaje decyzji, jakie KNF może podjąć </w:t>
      </w:r>
      <w:r w:rsidR="00E704DD" w:rsidRPr="000431F7">
        <w:rPr>
          <w:rFonts w:ascii="Times New Roman" w:hAnsi="Times New Roman" w:cs="Times New Roman"/>
          <w:szCs w:val="24"/>
        </w:rPr>
        <w:t xml:space="preserve">w przypadku naruszenia obowiązków określonych w </w:t>
      </w:r>
      <w:r w:rsidRPr="000431F7">
        <w:rPr>
          <w:rFonts w:ascii="Times New Roman" w:hAnsi="Times New Roman" w:cs="Times New Roman"/>
          <w:szCs w:val="24"/>
        </w:rPr>
        <w:t>przepis</w:t>
      </w:r>
      <w:r w:rsidR="00E704DD" w:rsidRPr="000431F7">
        <w:rPr>
          <w:rFonts w:ascii="Times New Roman" w:hAnsi="Times New Roman" w:cs="Times New Roman"/>
          <w:szCs w:val="24"/>
        </w:rPr>
        <w:t>ach</w:t>
      </w:r>
      <w:r w:rsidRPr="000431F7">
        <w:rPr>
          <w:rFonts w:ascii="Times New Roman" w:hAnsi="Times New Roman" w:cs="Times New Roman"/>
          <w:szCs w:val="24"/>
        </w:rPr>
        <w:t xml:space="preserve"> </w:t>
      </w:r>
      <w:r w:rsidR="00E704DD" w:rsidRPr="004742CC">
        <w:rPr>
          <w:rFonts w:ascii="Times New Roman" w:hAnsi="Times New Roman" w:cs="Times New Roman"/>
          <w:szCs w:val="24"/>
        </w:rPr>
        <w:t>art. 5</w:t>
      </w:r>
      <w:r w:rsidR="00AC35F5">
        <w:rPr>
          <w:rFonts w:ascii="Times New Roman" w:hAnsi="Times New Roman" w:cs="Times New Roman"/>
          <w:szCs w:val="24"/>
        </w:rPr>
        <w:t>–</w:t>
      </w:r>
      <w:r w:rsidR="00E704DD" w:rsidRPr="004742CC">
        <w:rPr>
          <w:rFonts w:ascii="Times New Roman" w:hAnsi="Times New Roman" w:cs="Times New Roman"/>
          <w:szCs w:val="24"/>
        </w:rPr>
        <w:t>10, art. 11 ust. 1–10, art. 12–14, art. 16 ust. 1 i 2, art. 17, art. 18 ust. 1 i 2, art.</w:t>
      </w:r>
      <w:r w:rsidR="002A7CBF">
        <w:rPr>
          <w:rFonts w:ascii="Times New Roman" w:hAnsi="Times New Roman" w:cs="Times New Roman"/>
          <w:szCs w:val="24"/>
        </w:rPr>
        <w:t> </w:t>
      </w:r>
      <w:r w:rsidR="00E704DD" w:rsidRPr="004742CC">
        <w:rPr>
          <w:rFonts w:ascii="Times New Roman" w:hAnsi="Times New Roman" w:cs="Times New Roman"/>
          <w:szCs w:val="24"/>
        </w:rPr>
        <w:t>19 ust. 1–5, art. 23–25, a</w:t>
      </w:r>
      <w:r w:rsidR="00A44AC8" w:rsidRPr="004742CC">
        <w:rPr>
          <w:rFonts w:ascii="Times New Roman" w:hAnsi="Times New Roman" w:cs="Times New Roman"/>
          <w:szCs w:val="24"/>
        </w:rPr>
        <w:t>r</w:t>
      </w:r>
      <w:r w:rsidR="00E704DD" w:rsidRPr="004742CC">
        <w:rPr>
          <w:rFonts w:ascii="Times New Roman" w:hAnsi="Times New Roman" w:cs="Times New Roman"/>
          <w:szCs w:val="24"/>
        </w:rPr>
        <w:t>t. 26 ust. 1–8, art. 27, art. 28 ust. 1–8, art. 29, art. 30 ust. 1–3, art.</w:t>
      </w:r>
      <w:r w:rsidR="00E21C84">
        <w:rPr>
          <w:rFonts w:ascii="Times New Roman" w:hAnsi="Times New Roman" w:cs="Times New Roman"/>
          <w:szCs w:val="24"/>
        </w:rPr>
        <w:t> </w:t>
      </w:r>
      <w:r w:rsidR="00E704DD" w:rsidRPr="004742CC">
        <w:rPr>
          <w:rFonts w:ascii="Times New Roman" w:hAnsi="Times New Roman" w:cs="Times New Roman"/>
          <w:szCs w:val="24"/>
        </w:rPr>
        <w:t>31 ust.</w:t>
      </w:r>
      <w:r w:rsidR="00E21C84">
        <w:rPr>
          <w:rFonts w:ascii="Times New Roman" w:hAnsi="Times New Roman" w:cs="Times New Roman"/>
          <w:szCs w:val="24"/>
        </w:rPr>
        <w:t xml:space="preserve"> </w:t>
      </w:r>
      <w:r w:rsidR="00E704DD" w:rsidRPr="004742CC">
        <w:rPr>
          <w:rFonts w:ascii="Times New Roman" w:hAnsi="Times New Roman" w:cs="Times New Roman"/>
          <w:szCs w:val="24"/>
        </w:rPr>
        <w:t>12, art. 42 oraz art. 45 ust. 3 rozporządzenia 2022/2554 lub</w:t>
      </w:r>
      <w:r w:rsidR="00987740">
        <w:rPr>
          <w:rFonts w:ascii="Times New Roman" w:hAnsi="Times New Roman" w:cs="Times New Roman"/>
          <w:szCs w:val="24"/>
        </w:rPr>
        <w:t xml:space="preserve"> </w:t>
      </w:r>
      <w:r w:rsidR="00E704DD" w:rsidRPr="004742CC">
        <w:rPr>
          <w:rFonts w:ascii="Times New Roman" w:hAnsi="Times New Roman" w:cs="Times New Roman"/>
          <w:szCs w:val="24"/>
        </w:rPr>
        <w:t xml:space="preserve">przepisach aktów delegowanych wydanych na podstawie art. 15, art. 16 ust. 3, art. 18 ust. 3, art. 20 lit. a, art. 26 </w:t>
      </w:r>
      <w:r w:rsidR="00E704DD" w:rsidRPr="004742CC">
        <w:rPr>
          <w:rFonts w:ascii="Times New Roman" w:hAnsi="Times New Roman" w:cs="Times New Roman"/>
          <w:szCs w:val="24"/>
        </w:rPr>
        <w:lastRenderedPageBreak/>
        <w:t xml:space="preserve">ust. 11, art. 28 ust. 10, art. 30 ust. 5 oraz art. 41 ust. 1 lit. d, lub przepisach aktów wykonawczych wydanych na podstawie art. 20 lit. b oraz art. 28 ust. 9 rozporządzenia 2022/2554. </w:t>
      </w:r>
      <w:r w:rsidRPr="000431F7">
        <w:rPr>
          <w:rFonts w:ascii="Times New Roman" w:hAnsi="Times New Roman" w:cs="Times New Roman"/>
          <w:szCs w:val="24"/>
        </w:rPr>
        <w:t xml:space="preserve">. </w:t>
      </w:r>
    </w:p>
    <w:p w14:paraId="0B200AB3" w14:textId="145B7CBA" w:rsidR="00215ED4" w:rsidRPr="000431F7" w:rsidRDefault="00215ED4" w:rsidP="004742CC">
      <w:pPr>
        <w:pStyle w:val="ZARTzmartartykuempunktem"/>
        <w:spacing w:before="120"/>
        <w:ind w:left="0" w:firstLine="0"/>
        <w:rPr>
          <w:rFonts w:ascii="Times New Roman" w:hAnsi="Times New Roman" w:cs="Times New Roman"/>
          <w:szCs w:val="24"/>
        </w:rPr>
      </w:pPr>
      <w:r w:rsidRPr="000431F7">
        <w:rPr>
          <w:rFonts w:ascii="Times New Roman" w:hAnsi="Times New Roman" w:cs="Times New Roman"/>
          <w:szCs w:val="24"/>
        </w:rPr>
        <w:t>Zgodnie z projektowanym art. 18z</w:t>
      </w:r>
      <w:r w:rsidR="00E704DD" w:rsidRPr="000431F7">
        <w:rPr>
          <w:rFonts w:ascii="Times New Roman" w:hAnsi="Times New Roman" w:cs="Times New Roman"/>
          <w:szCs w:val="24"/>
        </w:rPr>
        <w:t>m</w:t>
      </w:r>
      <w:r w:rsidR="00700C2F" w:rsidRPr="000431F7">
        <w:rPr>
          <w:rFonts w:ascii="Times New Roman" w:hAnsi="Times New Roman" w:cs="Times New Roman"/>
          <w:szCs w:val="24"/>
        </w:rPr>
        <w:t xml:space="preserve"> </w:t>
      </w:r>
      <w:r w:rsidRPr="000431F7">
        <w:rPr>
          <w:rFonts w:ascii="Times New Roman" w:hAnsi="Times New Roman" w:cs="Times New Roman"/>
          <w:szCs w:val="24"/>
        </w:rPr>
        <w:t xml:space="preserve">ustawy o nadzorze nad rynkiem finansowym KNF może, w drodze decyzji: </w:t>
      </w:r>
    </w:p>
    <w:p w14:paraId="04314257" w14:textId="77777777" w:rsidR="00614BB1" w:rsidRPr="004742CC" w:rsidRDefault="00614BB1" w:rsidP="004742CC">
      <w:pPr>
        <w:pStyle w:val="ZPKTzmpktartykuempunktem"/>
        <w:spacing w:before="120"/>
        <w:ind w:left="426" w:hanging="426"/>
        <w:rPr>
          <w:rFonts w:ascii="Times New Roman" w:hAnsi="Times New Roman" w:cs="Times New Roman"/>
          <w:szCs w:val="24"/>
        </w:rPr>
      </w:pPr>
      <w:r w:rsidRPr="004742CC">
        <w:rPr>
          <w:rFonts w:ascii="Times New Roman" w:hAnsi="Times New Roman" w:cs="Times New Roman"/>
          <w:szCs w:val="24"/>
        </w:rPr>
        <w:t>1)</w:t>
      </w:r>
      <w:r w:rsidRPr="004742CC">
        <w:rPr>
          <w:rFonts w:ascii="Times New Roman" w:hAnsi="Times New Roman" w:cs="Times New Roman"/>
          <w:szCs w:val="24"/>
        </w:rPr>
        <w:tab/>
        <w:t xml:space="preserve">nakazać osobie fizycznej, osobie prawnej lub jednostce organizacyjnej nieposiadającej osobowości prawnej zaprzestanie danego zachowania oraz powstrzymanie się od takiego zachowania w przyszłości; </w:t>
      </w:r>
    </w:p>
    <w:p w14:paraId="70CAA865" w14:textId="0857A2A4" w:rsidR="00614BB1" w:rsidRPr="004742CC" w:rsidRDefault="00614BB1" w:rsidP="004742CC">
      <w:pPr>
        <w:pStyle w:val="ZPKTzmpktartykuempunktem"/>
        <w:spacing w:before="120"/>
        <w:ind w:left="426" w:hanging="426"/>
        <w:rPr>
          <w:rFonts w:ascii="Times New Roman" w:hAnsi="Times New Roman" w:cs="Times New Roman"/>
          <w:szCs w:val="24"/>
        </w:rPr>
      </w:pPr>
      <w:r w:rsidRPr="004742CC">
        <w:rPr>
          <w:rFonts w:ascii="Times New Roman" w:hAnsi="Times New Roman" w:cs="Times New Roman"/>
          <w:szCs w:val="24"/>
        </w:rPr>
        <w:t>2)</w:t>
      </w:r>
      <w:r w:rsidRPr="004742CC">
        <w:rPr>
          <w:rFonts w:ascii="Times New Roman" w:hAnsi="Times New Roman" w:cs="Times New Roman"/>
          <w:szCs w:val="24"/>
        </w:rPr>
        <w:tab/>
      </w:r>
      <w:bookmarkStart w:id="17" w:name="_Hlk192667528"/>
      <w:r w:rsidR="00E704DD" w:rsidRPr="004742CC">
        <w:rPr>
          <w:rFonts w:ascii="Times New Roman" w:hAnsi="Times New Roman" w:cs="Times New Roman"/>
          <w:szCs w:val="24"/>
        </w:rPr>
        <w:t>zakazać osobie odpowiedzialnej za to naruszenie pełnienia funkcji członka zarządu lub rady nadzorczej albo innej funkcji kierowniczej podmiotu finansowego przez okres nie krótszy niż miesiąc i nie dłuższy niż rok</w:t>
      </w:r>
      <w:bookmarkEnd w:id="17"/>
      <w:r w:rsidRPr="004742CC">
        <w:rPr>
          <w:rFonts w:ascii="Times New Roman" w:hAnsi="Times New Roman" w:cs="Times New Roman"/>
          <w:szCs w:val="24"/>
        </w:rPr>
        <w:t>;</w:t>
      </w:r>
    </w:p>
    <w:p w14:paraId="29AB0BA6" w14:textId="77777777" w:rsidR="00614BB1" w:rsidRPr="004742CC" w:rsidRDefault="00614BB1" w:rsidP="004742CC">
      <w:pPr>
        <w:pStyle w:val="ZPKTzmpktartykuempunktem"/>
        <w:spacing w:before="120"/>
        <w:ind w:left="426" w:hanging="426"/>
        <w:rPr>
          <w:rFonts w:ascii="Times New Roman" w:hAnsi="Times New Roman" w:cs="Times New Roman"/>
          <w:szCs w:val="24"/>
        </w:rPr>
      </w:pPr>
      <w:r w:rsidRPr="004742CC">
        <w:rPr>
          <w:rFonts w:ascii="Times New Roman" w:hAnsi="Times New Roman" w:cs="Times New Roman"/>
          <w:szCs w:val="24"/>
        </w:rPr>
        <w:t>3)</w:t>
      </w:r>
      <w:r w:rsidRPr="004742CC">
        <w:rPr>
          <w:rFonts w:ascii="Times New Roman" w:hAnsi="Times New Roman" w:cs="Times New Roman"/>
          <w:szCs w:val="24"/>
        </w:rPr>
        <w:tab/>
        <w:t xml:space="preserve">nałożyć karę pieniężną do wysokości nieprzekraczającej: </w:t>
      </w:r>
    </w:p>
    <w:p w14:paraId="21EABAF2" w14:textId="77777777" w:rsidR="00614BB1" w:rsidRPr="004742CC" w:rsidRDefault="00614BB1" w:rsidP="004742CC">
      <w:pPr>
        <w:pStyle w:val="ZLITwPKTzmlitwpktartykuempunktem"/>
        <w:spacing w:before="120"/>
        <w:ind w:left="993" w:hanging="531"/>
        <w:rPr>
          <w:rFonts w:ascii="Times New Roman" w:hAnsi="Times New Roman" w:cs="Times New Roman"/>
          <w:szCs w:val="24"/>
        </w:rPr>
      </w:pPr>
      <w:r w:rsidRPr="004742CC">
        <w:rPr>
          <w:rFonts w:ascii="Times New Roman" w:hAnsi="Times New Roman" w:cs="Times New Roman"/>
          <w:szCs w:val="24"/>
        </w:rPr>
        <w:t>a)</w:t>
      </w:r>
      <w:r w:rsidRPr="004742CC">
        <w:rPr>
          <w:rFonts w:ascii="Times New Roman" w:hAnsi="Times New Roman" w:cs="Times New Roman"/>
          <w:szCs w:val="24"/>
        </w:rPr>
        <w:tab/>
        <w:t xml:space="preserve">w przypadku osoby prawnej lub jednostki organizacyjnej nieposiadającej osobowości prawnej: </w:t>
      </w:r>
    </w:p>
    <w:p w14:paraId="45128F02" w14:textId="238DBFCB" w:rsidR="00614BB1" w:rsidRPr="004742CC" w:rsidRDefault="00614BB1" w:rsidP="004742CC">
      <w:pPr>
        <w:pStyle w:val="ZTIRwPKTzmtirwpktartykuempunktem"/>
        <w:spacing w:before="120"/>
        <w:ind w:left="1418" w:hanging="396"/>
        <w:rPr>
          <w:rFonts w:ascii="Times New Roman" w:hAnsi="Times New Roman" w:cs="Times New Roman"/>
          <w:szCs w:val="24"/>
        </w:rPr>
      </w:pPr>
      <w:r w:rsidRPr="004742CC">
        <w:rPr>
          <w:rFonts w:ascii="Times New Roman" w:hAnsi="Times New Roman" w:cs="Times New Roman"/>
          <w:szCs w:val="24"/>
        </w:rPr>
        <w:t>–</w:t>
      </w:r>
      <w:r w:rsidRPr="004742CC">
        <w:rPr>
          <w:rFonts w:ascii="Times New Roman" w:hAnsi="Times New Roman" w:cs="Times New Roman"/>
          <w:szCs w:val="24"/>
        </w:rPr>
        <w:tab/>
        <w:t>kwoty 20 869 500 zł lub 10% całkowit</w:t>
      </w:r>
      <w:r w:rsidR="00E704DD" w:rsidRPr="004742CC">
        <w:rPr>
          <w:rFonts w:ascii="Times New Roman" w:hAnsi="Times New Roman" w:cs="Times New Roman"/>
          <w:szCs w:val="24"/>
        </w:rPr>
        <w:t>ego</w:t>
      </w:r>
      <w:r w:rsidRPr="004742CC">
        <w:rPr>
          <w:rFonts w:ascii="Times New Roman" w:hAnsi="Times New Roman" w:cs="Times New Roman"/>
          <w:szCs w:val="24"/>
        </w:rPr>
        <w:t xml:space="preserve"> roczn</w:t>
      </w:r>
      <w:r w:rsidR="00E704DD" w:rsidRPr="004742CC">
        <w:rPr>
          <w:rFonts w:ascii="Times New Roman" w:hAnsi="Times New Roman" w:cs="Times New Roman"/>
          <w:szCs w:val="24"/>
        </w:rPr>
        <w:t>ego</w:t>
      </w:r>
      <w:r w:rsidRPr="004742CC">
        <w:rPr>
          <w:rFonts w:ascii="Times New Roman" w:hAnsi="Times New Roman" w:cs="Times New Roman"/>
          <w:szCs w:val="24"/>
        </w:rPr>
        <w:t xml:space="preserve"> przychod</w:t>
      </w:r>
      <w:r w:rsidR="00E704DD" w:rsidRPr="004742CC">
        <w:rPr>
          <w:rFonts w:ascii="Times New Roman" w:hAnsi="Times New Roman" w:cs="Times New Roman"/>
          <w:szCs w:val="24"/>
        </w:rPr>
        <w:t>u</w:t>
      </w:r>
      <w:r w:rsidRPr="004742CC">
        <w:rPr>
          <w:rFonts w:ascii="Times New Roman" w:hAnsi="Times New Roman" w:cs="Times New Roman"/>
          <w:szCs w:val="24"/>
        </w:rPr>
        <w:t xml:space="preserve">, </w:t>
      </w:r>
      <w:r w:rsidR="00E704DD" w:rsidRPr="004742CC">
        <w:rPr>
          <w:rFonts w:ascii="Times New Roman" w:hAnsi="Times New Roman" w:cs="Times New Roman"/>
          <w:szCs w:val="24"/>
        </w:rPr>
        <w:t>a w przypadku zakładu ubezpieczeń lub zakładu reasekuracji – 10% składki przypisanej brutto, wykazanych w ostatnim sprawozdaniu finansowym za rok obrotowy, zatwierdzonym przez organ zatwierdzający</w:t>
      </w:r>
      <w:r w:rsidRPr="004742CC">
        <w:rPr>
          <w:rFonts w:ascii="Times New Roman" w:hAnsi="Times New Roman" w:cs="Times New Roman"/>
          <w:szCs w:val="24"/>
        </w:rPr>
        <w:t>, albo</w:t>
      </w:r>
    </w:p>
    <w:p w14:paraId="7405294C" w14:textId="77777777" w:rsidR="00614BB1" w:rsidRPr="004742CC" w:rsidRDefault="00614BB1" w:rsidP="004742CC">
      <w:pPr>
        <w:pStyle w:val="ZTIRwPKTzmtirwpktartykuempunktem"/>
        <w:spacing w:before="120"/>
        <w:ind w:left="1418" w:hanging="396"/>
        <w:rPr>
          <w:rFonts w:ascii="Times New Roman" w:hAnsi="Times New Roman" w:cs="Times New Roman"/>
          <w:szCs w:val="24"/>
        </w:rPr>
      </w:pPr>
      <w:r w:rsidRPr="004742CC">
        <w:rPr>
          <w:rFonts w:ascii="Times New Roman" w:hAnsi="Times New Roman" w:cs="Times New Roman"/>
          <w:szCs w:val="24"/>
        </w:rPr>
        <w:t>–</w:t>
      </w:r>
      <w:r w:rsidRPr="004742CC">
        <w:rPr>
          <w:rFonts w:ascii="Times New Roman" w:hAnsi="Times New Roman" w:cs="Times New Roman"/>
          <w:szCs w:val="24"/>
        </w:rPr>
        <w:tab/>
        <w:t>dwukrotności kwoty korzyści uzyskanych lub strat unikniętych w wyniku tego naruszenia – w przypadku gdy jest możliwe ich ustalenie,</w:t>
      </w:r>
    </w:p>
    <w:p w14:paraId="4AE26322" w14:textId="6FF401CB" w:rsidR="00C3458E" w:rsidRPr="004742CC" w:rsidRDefault="00614BB1" w:rsidP="004742CC">
      <w:pPr>
        <w:pStyle w:val="ZLITwPKTzmlitwpktartykuempunktem"/>
        <w:spacing w:before="120"/>
        <w:ind w:left="993" w:hanging="531"/>
        <w:rPr>
          <w:rFonts w:ascii="Times New Roman" w:hAnsi="Times New Roman" w:cs="Times New Roman"/>
          <w:szCs w:val="24"/>
        </w:rPr>
      </w:pPr>
      <w:r w:rsidRPr="004742CC">
        <w:rPr>
          <w:rFonts w:ascii="Times New Roman" w:hAnsi="Times New Roman" w:cs="Times New Roman"/>
          <w:szCs w:val="24"/>
        </w:rPr>
        <w:t>b)</w:t>
      </w:r>
      <w:r w:rsidRPr="004742CC">
        <w:rPr>
          <w:rFonts w:ascii="Times New Roman" w:hAnsi="Times New Roman" w:cs="Times New Roman"/>
          <w:szCs w:val="24"/>
        </w:rPr>
        <w:tab/>
        <w:t xml:space="preserve">w przypadku osoby fizycznej, </w:t>
      </w:r>
      <w:r w:rsidR="00D543D0" w:rsidRPr="004742CC">
        <w:rPr>
          <w:rFonts w:ascii="Times New Roman" w:hAnsi="Times New Roman" w:cs="Times New Roman"/>
          <w:szCs w:val="24"/>
        </w:rPr>
        <w:t xml:space="preserve">odpowiedzialnej za to naruszenie, </w:t>
      </w:r>
      <w:r w:rsidRPr="004742CC">
        <w:rPr>
          <w:rFonts w:ascii="Times New Roman" w:hAnsi="Times New Roman" w:cs="Times New Roman"/>
          <w:szCs w:val="24"/>
        </w:rPr>
        <w:t>która w tym okresie pełniła obowiązki członka zarządu</w:t>
      </w:r>
      <w:r w:rsidR="00E704DD" w:rsidRPr="004742CC">
        <w:rPr>
          <w:rFonts w:ascii="Times New Roman" w:hAnsi="Times New Roman" w:cs="Times New Roman"/>
          <w:szCs w:val="24"/>
        </w:rPr>
        <w:t xml:space="preserve"> albo innego organu zarządzającego</w:t>
      </w:r>
      <w:r w:rsidR="00987740">
        <w:rPr>
          <w:rFonts w:ascii="Times New Roman" w:hAnsi="Times New Roman" w:cs="Times New Roman"/>
          <w:szCs w:val="24"/>
        </w:rPr>
        <w:t xml:space="preserve"> </w:t>
      </w:r>
      <w:r w:rsidRPr="004742CC">
        <w:rPr>
          <w:rFonts w:ascii="Times New Roman" w:hAnsi="Times New Roman" w:cs="Times New Roman"/>
          <w:szCs w:val="24"/>
        </w:rPr>
        <w:t xml:space="preserve">tego podmiotu finansowego </w:t>
      </w:r>
      <w:r w:rsidR="00C3458E" w:rsidRPr="004742CC">
        <w:rPr>
          <w:rFonts w:ascii="Times New Roman" w:hAnsi="Times New Roman" w:cs="Times New Roman"/>
          <w:szCs w:val="24"/>
        </w:rPr>
        <w:t>– kwoty 3 042 410 zł.</w:t>
      </w:r>
    </w:p>
    <w:p w14:paraId="302E8FDC" w14:textId="35368F18" w:rsidR="00136333" w:rsidRPr="000431F7" w:rsidRDefault="00C3458E" w:rsidP="004742CC">
      <w:pPr>
        <w:pStyle w:val="ZLITwPKTzmlitwpktartykuempunktem"/>
        <w:spacing w:before="120"/>
        <w:ind w:left="993" w:hanging="531"/>
        <w:rPr>
          <w:rFonts w:ascii="Times New Roman" w:hAnsi="Times New Roman" w:cs="Times New Roman"/>
          <w:szCs w:val="24"/>
        </w:rPr>
      </w:pPr>
      <w:r w:rsidRPr="004742CC">
        <w:rPr>
          <w:rFonts w:ascii="Times New Roman" w:hAnsi="Times New Roman" w:cs="Times New Roman"/>
          <w:szCs w:val="24"/>
        </w:rPr>
        <w:t>c)</w:t>
      </w:r>
      <w:r w:rsidR="00B66E01">
        <w:rPr>
          <w:rFonts w:ascii="Times New Roman" w:hAnsi="Times New Roman" w:cs="Times New Roman"/>
          <w:szCs w:val="24"/>
        </w:rPr>
        <w:tab/>
      </w:r>
      <w:r w:rsidR="00614BB1" w:rsidRPr="000431F7">
        <w:rPr>
          <w:rFonts w:ascii="Times New Roman" w:hAnsi="Times New Roman" w:cs="Times New Roman"/>
          <w:szCs w:val="24"/>
        </w:rPr>
        <w:t xml:space="preserve">innej osoby fizycznej, odpowiedzialnej za to naruszenie </w:t>
      </w:r>
      <w:r w:rsidRPr="000431F7">
        <w:rPr>
          <w:rFonts w:ascii="Times New Roman" w:hAnsi="Times New Roman" w:cs="Times New Roman"/>
          <w:szCs w:val="24"/>
        </w:rPr>
        <w:t xml:space="preserve">– </w:t>
      </w:r>
      <w:bookmarkStart w:id="18" w:name="_Hlk183498988"/>
      <w:r w:rsidRPr="000431F7">
        <w:rPr>
          <w:rFonts w:ascii="Times New Roman" w:hAnsi="Times New Roman" w:cs="Times New Roman"/>
          <w:szCs w:val="24"/>
        </w:rPr>
        <w:t>kwoty sześciokrotności</w:t>
      </w:r>
      <w:bookmarkEnd w:id="18"/>
      <w:r w:rsidR="00CF1ACE" w:rsidRPr="000431F7">
        <w:rPr>
          <w:rFonts w:ascii="Times New Roman" w:hAnsi="Times New Roman" w:cs="Times New Roman"/>
          <w:szCs w:val="24"/>
        </w:rPr>
        <w:t xml:space="preserve"> otrzymywanego przez ukaranego wynagrodzenia</w:t>
      </w:r>
      <w:r w:rsidR="00F81851" w:rsidRPr="000431F7">
        <w:rPr>
          <w:rFonts w:ascii="Times New Roman" w:hAnsi="Times New Roman" w:cs="Times New Roman"/>
          <w:szCs w:val="24"/>
        </w:rPr>
        <w:t>,</w:t>
      </w:r>
      <w:r w:rsidR="00CF1ACE" w:rsidRPr="000431F7">
        <w:rPr>
          <w:rFonts w:ascii="Times New Roman" w:hAnsi="Times New Roman" w:cs="Times New Roman"/>
          <w:szCs w:val="24"/>
        </w:rPr>
        <w:t xml:space="preserve"> obliczanego według zasad obowiązujących przy ustalaniu ekwiwalentu pieniężnego za urlop</w:t>
      </w:r>
      <w:r w:rsidR="00D543D0" w:rsidRPr="000431F7">
        <w:rPr>
          <w:rFonts w:ascii="Times New Roman" w:hAnsi="Times New Roman" w:cs="Times New Roman"/>
          <w:szCs w:val="24"/>
        </w:rPr>
        <w:t xml:space="preserve">. </w:t>
      </w:r>
    </w:p>
    <w:p w14:paraId="746A42BC" w14:textId="5D3E18F2" w:rsidR="00A82278" w:rsidRPr="000431F7" w:rsidRDefault="00215ED4" w:rsidP="004742CC">
      <w:pPr>
        <w:pStyle w:val="ZUSTzmustartykuempunktem"/>
        <w:spacing w:before="120"/>
        <w:ind w:left="0" w:firstLine="0"/>
        <w:rPr>
          <w:rFonts w:ascii="Times New Roman" w:eastAsiaTheme="minorHAnsi" w:hAnsi="Times New Roman" w:cs="Times New Roman"/>
          <w:kern w:val="2"/>
          <w:szCs w:val="24"/>
          <w:lang w:eastAsia="en-US"/>
          <w14:ligatures w14:val="standardContextual"/>
        </w:rPr>
      </w:pPr>
      <w:r w:rsidRPr="000431F7">
        <w:rPr>
          <w:rFonts w:ascii="Times New Roman" w:hAnsi="Times New Roman" w:cs="Times New Roman"/>
          <w:szCs w:val="24"/>
        </w:rPr>
        <w:t>Projektowany art. 18z</w:t>
      </w:r>
      <w:r w:rsidR="001464FC" w:rsidRPr="000431F7">
        <w:rPr>
          <w:rFonts w:ascii="Times New Roman" w:hAnsi="Times New Roman" w:cs="Times New Roman"/>
          <w:szCs w:val="24"/>
        </w:rPr>
        <w:t>m</w:t>
      </w:r>
      <w:r w:rsidRPr="000431F7">
        <w:rPr>
          <w:rFonts w:ascii="Times New Roman" w:hAnsi="Times New Roman" w:cs="Times New Roman"/>
          <w:szCs w:val="24"/>
        </w:rPr>
        <w:t xml:space="preserve"> ust. </w:t>
      </w:r>
      <w:r w:rsidR="001464FC" w:rsidRPr="000431F7">
        <w:rPr>
          <w:rFonts w:ascii="Times New Roman" w:hAnsi="Times New Roman" w:cs="Times New Roman"/>
          <w:szCs w:val="24"/>
        </w:rPr>
        <w:t>2</w:t>
      </w:r>
      <w:r w:rsidRPr="000431F7">
        <w:rPr>
          <w:rFonts w:ascii="Times New Roman" w:hAnsi="Times New Roman" w:cs="Times New Roman"/>
          <w:szCs w:val="24"/>
        </w:rPr>
        <w:t xml:space="preserve"> ustawy o nadzorze nad rynkiem finansowym określa sposób ustalenia kary pieniężnej, w przypadku gdy osoba prawna lub jednostka organizacyjna nieposiadająca osobowości prawnej, o której mowa w ust. 1 pkt 3 lit. a, jest jednostką dominującą albo jednostką zależną jednostki dominującej, która ma obowiązek sporządzać skonsolidowane sprawozdania finansowe zgodnie z ustawą z dnia 29 września 1994 r. o</w:t>
      </w:r>
      <w:r w:rsidR="002562D9" w:rsidRPr="000431F7">
        <w:rPr>
          <w:rFonts w:ascii="Times New Roman" w:hAnsi="Times New Roman" w:cs="Times New Roman"/>
          <w:szCs w:val="24"/>
        </w:rPr>
        <w:t> </w:t>
      </w:r>
      <w:r w:rsidRPr="000431F7">
        <w:rPr>
          <w:rFonts w:ascii="Times New Roman" w:hAnsi="Times New Roman" w:cs="Times New Roman"/>
          <w:szCs w:val="24"/>
        </w:rPr>
        <w:t xml:space="preserve">rachunkowości. Zgodnie z tym przepisem karę pieniężną, o której mowa w ust. 1 pkt 3 lit. a, </w:t>
      </w:r>
      <w:r w:rsidRPr="000431F7">
        <w:rPr>
          <w:rFonts w:ascii="Times New Roman" w:hAnsi="Times New Roman" w:cs="Times New Roman"/>
          <w:szCs w:val="24"/>
        </w:rPr>
        <w:lastRenderedPageBreak/>
        <w:t xml:space="preserve">ustala się na podstawie </w:t>
      </w:r>
      <w:r w:rsidR="00B65521" w:rsidRPr="000431F7">
        <w:rPr>
          <w:rFonts w:ascii="Times New Roman" w:hAnsi="Times New Roman" w:cs="Times New Roman"/>
          <w:szCs w:val="24"/>
        </w:rPr>
        <w:t>całkowitych rocznych przychodów</w:t>
      </w:r>
      <w:r w:rsidRPr="000431F7">
        <w:rPr>
          <w:rFonts w:ascii="Times New Roman" w:hAnsi="Times New Roman" w:cs="Times New Roman"/>
          <w:szCs w:val="24"/>
        </w:rPr>
        <w:t xml:space="preserve">, a w przypadku zakładu ubezpieczeń </w:t>
      </w:r>
      <w:r w:rsidR="00B65521" w:rsidRPr="000431F7">
        <w:rPr>
          <w:rFonts w:ascii="Times New Roman" w:hAnsi="Times New Roman" w:cs="Times New Roman"/>
          <w:szCs w:val="24"/>
        </w:rPr>
        <w:t>lub</w:t>
      </w:r>
      <w:r w:rsidRPr="000431F7">
        <w:rPr>
          <w:rFonts w:ascii="Times New Roman" w:hAnsi="Times New Roman" w:cs="Times New Roman"/>
          <w:szCs w:val="24"/>
        </w:rPr>
        <w:t xml:space="preserve"> zakładu reasekuracji – składki przypisanej </w:t>
      </w:r>
      <w:bookmarkStart w:id="19" w:name="_Hlk181881400"/>
      <w:r w:rsidR="00115A2D" w:rsidRPr="000431F7">
        <w:rPr>
          <w:rFonts w:ascii="Times New Roman" w:hAnsi="Times New Roman" w:cs="Times New Roman"/>
          <w:szCs w:val="24"/>
        </w:rPr>
        <w:t>brutto, wykazanych</w:t>
      </w:r>
      <w:r w:rsidR="001464FC" w:rsidRPr="000431F7">
        <w:rPr>
          <w:rFonts w:ascii="Times New Roman" w:hAnsi="Times New Roman" w:cs="Times New Roman"/>
          <w:szCs w:val="24"/>
        </w:rPr>
        <w:t xml:space="preserve"> w ostatnim rocznym skonsolidowanym sprawozdaniu finansowym jednostki dominującej za rok obrotowy, zatwierdzonym przez organ zatwierdzający jednostki dominującej</w:t>
      </w:r>
      <w:bookmarkEnd w:id="19"/>
      <w:r w:rsidRPr="000431F7">
        <w:rPr>
          <w:rFonts w:ascii="Times New Roman" w:hAnsi="Times New Roman" w:cs="Times New Roman"/>
          <w:szCs w:val="24"/>
        </w:rPr>
        <w:t xml:space="preserve">. </w:t>
      </w:r>
      <w:r w:rsidRPr="000431F7">
        <w:rPr>
          <w:rFonts w:ascii="Times New Roman" w:eastAsiaTheme="minorHAnsi" w:hAnsi="Times New Roman" w:cs="Times New Roman"/>
          <w:kern w:val="2"/>
          <w:szCs w:val="24"/>
          <w:lang w:eastAsia="en-US"/>
          <w14:ligatures w14:val="standardContextual"/>
        </w:rPr>
        <w:t xml:space="preserve">Projektowany </w:t>
      </w:r>
      <w:r w:rsidRPr="000431F7">
        <w:rPr>
          <w:rFonts w:ascii="Times New Roman" w:hAnsi="Times New Roman" w:cs="Times New Roman"/>
          <w:szCs w:val="24"/>
        </w:rPr>
        <w:t>art. 18z</w:t>
      </w:r>
      <w:r w:rsidR="001464FC" w:rsidRPr="000431F7">
        <w:rPr>
          <w:rFonts w:ascii="Times New Roman" w:hAnsi="Times New Roman" w:cs="Times New Roman"/>
          <w:szCs w:val="24"/>
        </w:rPr>
        <w:t>m</w:t>
      </w:r>
      <w:r w:rsidRPr="000431F7">
        <w:rPr>
          <w:rFonts w:ascii="Times New Roman" w:hAnsi="Times New Roman" w:cs="Times New Roman"/>
          <w:szCs w:val="24"/>
        </w:rPr>
        <w:t xml:space="preserve"> </w:t>
      </w:r>
      <w:r w:rsidRPr="000431F7">
        <w:rPr>
          <w:rFonts w:ascii="Times New Roman" w:eastAsiaTheme="minorHAnsi" w:hAnsi="Times New Roman" w:cs="Times New Roman"/>
          <w:kern w:val="2"/>
          <w:szCs w:val="24"/>
          <w:lang w:eastAsia="en-US"/>
          <w14:ligatures w14:val="standardContextual"/>
        </w:rPr>
        <w:t>ust.</w:t>
      </w:r>
      <w:r w:rsidR="002562D9" w:rsidRPr="000431F7">
        <w:rPr>
          <w:rFonts w:ascii="Times New Roman" w:eastAsiaTheme="minorHAnsi" w:hAnsi="Times New Roman" w:cs="Times New Roman"/>
          <w:kern w:val="2"/>
          <w:szCs w:val="24"/>
          <w:lang w:eastAsia="en-US"/>
          <w14:ligatures w14:val="standardContextual"/>
        </w:rPr>
        <w:t> </w:t>
      </w:r>
      <w:r w:rsidRPr="000431F7">
        <w:rPr>
          <w:rFonts w:ascii="Times New Roman" w:eastAsiaTheme="minorHAnsi" w:hAnsi="Times New Roman" w:cs="Times New Roman"/>
          <w:kern w:val="2"/>
          <w:szCs w:val="24"/>
          <w:lang w:eastAsia="en-US"/>
          <w14:ligatures w14:val="standardContextual"/>
        </w:rPr>
        <w:t xml:space="preserve">2 ustawy o nadzorze nad rynkiem finansowym jest ściśle związany z ust. 1 i precyzuje jego treść w stosunku do podmiotów sporządzających skonsolidowane sprawozdanie finansowe, wartości kar pozostawiając bez zmian. Kara pieniężna określona w tym przepisie jest obliczana z uwzględnieniem charakteru działalności tych podmiotów. Analogiczne rozwiązanie jest stosowane także w innych regulacjach ustawowych dotyczących podmiotów tego rodzaju. </w:t>
      </w:r>
    </w:p>
    <w:p w14:paraId="49797BBA" w14:textId="324FE75D" w:rsidR="00FB76AB" w:rsidRPr="000431F7" w:rsidRDefault="00215ED4" w:rsidP="004742CC">
      <w:pPr>
        <w:pStyle w:val="ZUSTzmustartykuempunktem"/>
        <w:spacing w:before="120"/>
        <w:ind w:left="0" w:firstLine="0"/>
        <w:rPr>
          <w:rFonts w:ascii="Times New Roman" w:hAnsi="Times New Roman" w:cs="Times New Roman"/>
          <w:szCs w:val="24"/>
        </w:rPr>
      </w:pPr>
      <w:r w:rsidRPr="000431F7">
        <w:rPr>
          <w:rFonts w:ascii="Times New Roman" w:hAnsi="Times New Roman" w:cs="Times New Roman"/>
          <w:szCs w:val="24"/>
        </w:rPr>
        <w:t>Decyzje, o których mowa w art. 18z</w:t>
      </w:r>
      <w:r w:rsidR="001464FC" w:rsidRPr="000431F7">
        <w:rPr>
          <w:rFonts w:ascii="Times New Roman" w:hAnsi="Times New Roman" w:cs="Times New Roman"/>
          <w:szCs w:val="24"/>
        </w:rPr>
        <w:t>m</w:t>
      </w:r>
      <w:r w:rsidR="00136333" w:rsidRPr="000431F7">
        <w:rPr>
          <w:rFonts w:ascii="Times New Roman" w:hAnsi="Times New Roman" w:cs="Times New Roman"/>
          <w:szCs w:val="24"/>
        </w:rPr>
        <w:t xml:space="preserve"> </w:t>
      </w:r>
      <w:r w:rsidRPr="000431F7">
        <w:rPr>
          <w:rFonts w:ascii="Times New Roman" w:hAnsi="Times New Roman" w:cs="Times New Roman"/>
          <w:szCs w:val="24"/>
        </w:rPr>
        <w:t>ust. 1 pkt 1 i 2 ustawy o nadzorze nad rynkiem finansowym, są natychmiast wykonalne</w:t>
      </w:r>
      <w:r w:rsidR="00136333" w:rsidRPr="000431F7">
        <w:rPr>
          <w:rFonts w:ascii="Times New Roman" w:hAnsi="Times New Roman" w:cs="Times New Roman"/>
          <w:szCs w:val="24"/>
        </w:rPr>
        <w:t xml:space="preserve">, w celu zapewnienia </w:t>
      </w:r>
      <w:r w:rsidR="00A82278" w:rsidRPr="000431F7">
        <w:rPr>
          <w:rFonts w:ascii="Times New Roman" w:hAnsi="Times New Roman" w:cs="Times New Roman"/>
          <w:szCs w:val="24"/>
        </w:rPr>
        <w:t xml:space="preserve">natychmiastowego zaprzestania </w:t>
      </w:r>
      <w:proofErr w:type="spellStart"/>
      <w:r w:rsidR="00A82278" w:rsidRPr="000431F7">
        <w:rPr>
          <w:rFonts w:ascii="Times New Roman" w:hAnsi="Times New Roman" w:cs="Times New Roman"/>
          <w:szCs w:val="24"/>
        </w:rPr>
        <w:t>zachowań</w:t>
      </w:r>
      <w:proofErr w:type="spellEnd"/>
      <w:r w:rsidR="00A82278" w:rsidRPr="000431F7">
        <w:rPr>
          <w:rFonts w:ascii="Times New Roman" w:hAnsi="Times New Roman" w:cs="Times New Roman"/>
          <w:szCs w:val="24"/>
        </w:rPr>
        <w:t xml:space="preserve"> stanowiących naruszenie przepisów rozporządzenia 2022/2554, </w:t>
      </w:r>
      <w:r w:rsidR="0081661A" w:rsidRPr="000431F7">
        <w:rPr>
          <w:rFonts w:ascii="Times New Roman" w:hAnsi="Times New Roman" w:cs="Times New Roman"/>
          <w:szCs w:val="24"/>
        </w:rPr>
        <w:t xml:space="preserve">a </w:t>
      </w:r>
      <w:r w:rsidR="00A82278" w:rsidRPr="000431F7">
        <w:rPr>
          <w:rFonts w:ascii="Times New Roman" w:hAnsi="Times New Roman" w:cs="Times New Roman"/>
          <w:szCs w:val="24"/>
        </w:rPr>
        <w:t xml:space="preserve">także w celu odsunięcia od kierowania przedsiębiorstwem osób, które ponoszą odpowiedzialność za decyzje skutkujące naruszeniem. </w:t>
      </w:r>
    </w:p>
    <w:p w14:paraId="34887C21" w14:textId="5A7663D3" w:rsidR="00215ED4" w:rsidRPr="000431F7" w:rsidRDefault="00215ED4" w:rsidP="004742CC">
      <w:pPr>
        <w:pStyle w:val="ZUSTzmustartykuempunktem"/>
        <w:spacing w:before="120"/>
        <w:ind w:left="0" w:firstLine="0"/>
        <w:rPr>
          <w:rFonts w:ascii="Times New Roman" w:hAnsi="Times New Roman" w:cs="Times New Roman"/>
          <w:color w:val="000000"/>
          <w:szCs w:val="24"/>
          <w:shd w:val="clear" w:color="auto" w:fill="FFFFFF"/>
        </w:rPr>
      </w:pPr>
      <w:r w:rsidRPr="000431F7">
        <w:rPr>
          <w:rFonts w:ascii="Times New Roman" w:hAnsi="Times New Roman" w:cs="Times New Roman"/>
          <w:szCs w:val="24"/>
        </w:rPr>
        <w:t>K</w:t>
      </w:r>
      <w:r w:rsidR="008803EC" w:rsidRPr="000431F7">
        <w:rPr>
          <w:rFonts w:ascii="Times New Roman" w:hAnsi="Times New Roman" w:cs="Times New Roman"/>
          <w:szCs w:val="24"/>
        </w:rPr>
        <w:t>NF</w:t>
      </w:r>
      <w:r w:rsidRPr="000431F7">
        <w:rPr>
          <w:rFonts w:ascii="Times New Roman" w:hAnsi="Times New Roman" w:cs="Times New Roman"/>
          <w:szCs w:val="24"/>
        </w:rPr>
        <w:t>, wydając decyzje, o których mowa w art. 18z</w:t>
      </w:r>
      <w:r w:rsidR="001464FC" w:rsidRPr="000431F7">
        <w:rPr>
          <w:rFonts w:ascii="Times New Roman" w:hAnsi="Times New Roman" w:cs="Times New Roman"/>
          <w:szCs w:val="24"/>
        </w:rPr>
        <w:t>m</w:t>
      </w:r>
      <w:r w:rsidR="00B65521" w:rsidRPr="000431F7">
        <w:rPr>
          <w:rFonts w:ascii="Times New Roman" w:hAnsi="Times New Roman" w:cs="Times New Roman"/>
          <w:szCs w:val="24"/>
        </w:rPr>
        <w:t xml:space="preserve"> </w:t>
      </w:r>
      <w:r w:rsidRPr="000431F7">
        <w:rPr>
          <w:rFonts w:ascii="Times New Roman" w:hAnsi="Times New Roman" w:cs="Times New Roman"/>
          <w:szCs w:val="24"/>
        </w:rPr>
        <w:t>ust. 1 ustawy o nadzorze nad rynkiem finansowym, uwzględnia okoliczności, o których mowa w art. 51 ust. 2 rozporządzenia 2022/2554, zgodnie z którym</w:t>
      </w:r>
      <w:r w:rsidR="000B4A72">
        <w:rPr>
          <w:rFonts w:ascii="Times New Roman" w:hAnsi="Times New Roman" w:cs="Times New Roman"/>
          <w:szCs w:val="24"/>
        </w:rPr>
        <w:t>,</w:t>
      </w:r>
      <w:r w:rsidRPr="000431F7">
        <w:rPr>
          <w:rFonts w:ascii="Times New Roman" w:hAnsi="Times New Roman" w:cs="Times New Roman"/>
          <w:szCs w:val="24"/>
        </w:rPr>
        <w:t xml:space="preserve"> </w:t>
      </w:r>
      <w:r w:rsidRPr="000431F7">
        <w:rPr>
          <w:rFonts w:ascii="Times New Roman" w:hAnsi="Times New Roman" w:cs="Times New Roman"/>
          <w:color w:val="000000"/>
          <w:szCs w:val="24"/>
          <w:shd w:val="clear" w:color="auto" w:fill="FFFFFF"/>
        </w:rPr>
        <w:t>ustalając rodzaj i poziom kary administracyjnej lub środka naprawczego, które mają zostać nałożone na mocy art. 50, właściwe organy biorą pod uwagę zakres, w jakim dane naruszenie ma charakter umyślny lub jest wynikiem zaniedbania, a także wszystkie inne stosowne okoliczności, w tym również, w stosownych przypadkach:</w:t>
      </w:r>
    </w:p>
    <w:p w14:paraId="730EC1B8" w14:textId="091C51C8" w:rsidR="00215ED4" w:rsidRPr="000431F7" w:rsidRDefault="00215ED4" w:rsidP="004742CC">
      <w:pPr>
        <w:pStyle w:val="ZUSTzmustartykuempunktem"/>
        <w:numPr>
          <w:ilvl w:val="0"/>
          <w:numId w:val="5"/>
        </w:numPr>
        <w:spacing w:before="120"/>
        <w:ind w:left="426" w:hanging="426"/>
        <w:rPr>
          <w:rFonts w:ascii="Times New Roman" w:hAnsi="Times New Roman" w:cs="Times New Roman"/>
          <w:szCs w:val="24"/>
        </w:rPr>
      </w:pPr>
      <w:r w:rsidRPr="000431F7">
        <w:rPr>
          <w:rFonts w:ascii="Times New Roman" w:hAnsi="Times New Roman" w:cs="Times New Roman"/>
          <w:color w:val="000000"/>
          <w:szCs w:val="24"/>
          <w:shd w:val="clear" w:color="auto" w:fill="FFFFFF"/>
        </w:rPr>
        <w:t>istotność i wagę naruszenia oraz czas jego trwania</w:t>
      </w:r>
      <w:r w:rsidR="000B4A72">
        <w:rPr>
          <w:rFonts w:ascii="Times New Roman" w:hAnsi="Times New Roman" w:cs="Times New Roman"/>
          <w:color w:val="000000"/>
          <w:szCs w:val="24"/>
          <w:shd w:val="clear" w:color="auto" w:fill="FFFFFF"/>
        </w:rPr>
        <w:t>,</w:t>
      </w:r>
    </w:p>
    <w:p w14:paraId="182AB7D7" w14:textId="1E7A12C4" w:rsidR="00215ED4" w:rsidRPr="000431F7" w:rsidRDefault="00215ED4" w:rsidP="004742CC">
      <w:pPr>
        <w:pStyle w:val="ZUSTzmustartykuempunktem"/>
        <w:numPr>
          <w:ilvl w:val="0"/>
          <w:numId w:val="5"/>
        </w:numPr>
        <w:spacing w:before="120"/>
        <w:ind w:left="426" w:hanging="426"/>
        <w:rPr>
          <w:rFonts w:ascii="Times New Roman" w:hAnsi="Times New Roman" w:cs="Times New Roman"/>
          <w:szCs w:val="24"/>
        </w:rPr>
      </w:pPr>
      <w:r w:rsidRPr="000431F7">
        <w:rPr>
          <w:rFonts w:ascii="Times New Roman" w:hAnsi="Times New Roman" w:cs="Times New Roman"/>
          <w:color w:val="000000"/>
          <w:szCs w:val="24"/>
          <w:shd w:val="clear" w:color="auto" w:fill="FFFFFF"/>
        </w:rPr>
        <w:t>stopień przyczynienia się osoby fizycznej lub prawnej do naruszenia</w:t>
      </w:r>
      <w:r w:rsidR="000B4A72">
        <w:rPr>
          <w:rFonts w:ascii="Times New Roman" w:hAnsi="Times New Roman" w:cs="Times New Roman"/>
          <w:color w:val="000000"/>
          <w:szCs w:val="24"/>
          <w:shd w:val="clear" w:color="auto" w:fill="FFFFFF"/>
        </w:rPr>
        <w:t>,</w:t>
      </w:r>
    </w:p>
    <w:p w14:paraId="39DB80A8" w14:textId="4C2EAA04" w:rsidR="00215ED4" w:rsidRPr="000431F7" w:rsidRDefault="00215ED4" w:rsidP="004742CC">
      <w:pPr>
        <w:pStyle w:val="ZUSTzmustartykuempunktem"/>
        <w:numPr>
          <w:ilvl w:val="0"/>
          <w:numId w:val="5"/>
        </w:numPr>
        <w:spacing w:before="120"/>
        <w:ind w:left="426" w:hanging="426"/>
        <w:rPr>
          <w:rFonts w:ascii="Times New Roman" w:hAnsi="Times New Roman" w:cs="Times New Roman"/>
          <w:szCs w:val="24"/>
        </w:rPr>
      </w:pPr>
      <w:r w:rsidRPr="000431F7">
        <w:rPr>
          <w:rFonts w:ascii="Times New Roman" w:hAnsi="Times New Roman" w:cs="Times New Roman"/>
          <w:color w:val="000000"/>
          <w:szCs w:val="24"/>
          <w:shd w:val="clear" w:color="auto" w:fill="FFFFFF"/>
        </w:rPr>
        <w:t>sytuację finansową odpowiedzialnej osoby fizycznej lub prawnej</w:t>
      </w:r>
      <w:r w:rsidR="000B4A72">
        <w:rPr>
          <w:rFonts w:ascii="Times New Roman" w:hAnsi="Times New Roman" w:cs="Times New Roman"/>
          <w:color w:val="000000"/>
          <w:szCs w:val="24"/>
          <w:shd w:val="clear" w:color="auto" w:fill="FFFFFF"/>
        </w:rPr>
        <w:t>,</w:t>
      </w:r>
    </w:p>
    <w:p w14:paraId="34E386CC" w14:textId="353D39DD" w:rsidR="00215ED4" w:rsidRPr="000431F7" w:rsidRDefault="00215ED4" w:rsidP="004742CC">
      <w:pPr>
        <w:pStyle w:val="ZUSTzmustartykuempunktem"/>
        <w:numPr>
          <w:ilvl w:val="0"/>
          <w:numId w:val="5"/>
        </w:numPr>
        <w:spacing w:before="120"/>
        <w:ind w:left="426" w:hanging="426"/>
        <w:rPr>
          <w:rFonts w:ascii="Times New Roman" w:hAnsi="Times New Roman" w:cs="Times New Roman"/>
          <w:szCs w:val="24"/>
        </w:rPr>
      </w:pPr>
      <w:r w:rsidRPr="000431F7">
        <w:rPr>
          <w:rFonts w:ascii="Times New Roman" w:hAnsi="Times New Roman" w:cs="Times New Roman"/>
          <w:color w:val="000000"/>
          <w:szCs w:val="24"/>
          <w:shd w:val="clear" w:color="auto" w:fill="FFFFFF"/>
        </w:rPr>
        <w:t>skalę korzyści uzyskanych lub strat unikniętych przez odpowiedzialną osobę fizyczną lub prawną, o ile można je ustalić</w:t>
      </w:r>
      <w:r w:rsidR="000B4A72">
        <w:rPr>
          <w:rFonts w:ascii="Times New Roman" w:hAnsi="Times New Roman" w:cs="Times New Roman"/>
          <w:color w:val="000000"/>
          <w:szCs w:val="24"/>
          <w:shd w:val="clear" w:color="auto" w:fill="FFFFFF"/>
        </w:rPr>
        <w:t>,</w:t>
      </w:r>
    </w:p>
    <w:p w14:paraId="17B70AD1" w14:textId="08E1A808" w:rsidR="00215ED4" w:rsidRPr="000431F7" w:rsidRDefault="00215ED4" w:rsidP="004742CC">
      <w:pPr>
        <w:pStyle w:val="ZUSTzmustartykuempunktem"/>
        <w:numPr>
          <w:ilvl w:val="0"/>
          <w:numId w:val="5"/>
        </w:numPr>
        <w:spacing w:before="120"/>
        <w:ind w:left="426" w:hanging="426"/>
        <w:rPr>
          <w:rFonts w:ascii="Times New Roman" w:hAnsi="Times New Roman" w:cs="Times New Roman"/>
          <w:szCs w:val="24"/>
        </w:rPr>
      </w:pPr>
      <w:r w:rsidRPr="000431F7">
        <w:rPr>
          <w:rFonts w:ascii="Times New Roman" w:hAnsi="Times New Roman" w:cs="Times New Roman"/>
          <w:color w:val="000000"/>
          <w:szCs w:val="24"/>
          <w:shd w:val="clear" w:color="auto" w:fill="FFFFFF"/>
        </w:rPr>
        <w:t>straty poniesione przez osoby trzecie w wyniku naruszenia, o ile można je ustalić</w:t>
      </w:r>
      <w:r w:rsidR="000B4A72">
        <w:rPr>
          <w:rFonts w:ascii="Times New Roman" w:hAnsi="Times New Roman" w:cs="Times New Roman"/>
          <w:color w:val="000000"/>
          <w:szCs w:val="24"/>
          <w:shd w:val="clear" w:color="auto" w:fill="FFFFFF"/>
        </w:rPr>
        <w:t>,</w:t>
      </w:r>
    </w:p>
    <w:p w14:paraId="6426AB12" w14:textId="53F7FF17" w:rsidR="00215ED4" w:rsidRPr="000431F7" w:rsidRDefault="00215ED4" w:rsidP="004742CC">
      <w:pPr>
        <w:pStyle w:val="ZUSTzmustartykuempunktem"/>
        <w:numPr>
          <w:ilvl w:val="0"/>
          <w:numId w:val="5"/>
        </w:numPr>
        <w:spacing w:before="120"/>
        <w:ind w:left="426" w:hanging="426"/>
        <w:rPr>
          <w:rFonts w:ascii="Times New Roman" w:hAnsi="Times New Roman" w:cs="Times New Roman"/>
          <w:szCs w:val="24"/>
        </w:rPr>
      </w:pPr>
      <w:r w:rsidRPr="000431F7">
        <w:rPr>
          <w:rFonts w:ascii="Times New Roman" w:hAnsi="Times New Roman" w:cs="Times New Roman"/>
          <w:color w:val="000000"/>
          <w:szCs w:val="24"/>
          <w:shd w:val="clear" w:color="auto" w:fill="FFFFFF"/>
        </w:rPr>
        <w:t>poziom współpracy odpowiedzialnej osoby fizycznej lub prawnej z właściwym organem, bez uszczerbku dla konieczności zapewnienia wydania uzyskanych korzyści lub wyrównania strat unikniętych przez tę osobę fizyczną lub prawną</w:t>
      </w:r>
      <w:r w:rsidR="000B4A72">
        <w:rPr>
          <w:rFonts w:ascii="Times New Roman" w:hAnsi="Times New Roman" w:cs="Times New Roman"/>
          <w:color w:val="000000"/>
          <w:szCs w:val="24"/>
          <w:shd w:val="clear" w:color="auto" w:fill="FFFFFF"/>
        </w:rPr>
        <w:t>,</w:t>
      </w:r>
    </w:p>
    <w:p w14:paraId="5B6EC969" w14:textId="14D061E6" w:rsidR="00FB76AB" w:rsidRPr="000431F7" w:rsidRDefault="00215ED4" w:rsidP="004742CC">
      <w:pPr>
        <w:pStyle w:val="ZUSTzmustartykuempunktem"/>
        <w:numPr>
          <w:ilvl w:val="0"/>
          <w:numId w:val="5"/>
        </w:numPr>
        <w:spacing w:before="120"/>
        <w:ind w:left="426" w:hanging="426"/>
        <w:rPr>
          <w:rFonts w:ascii="Times New Roman" w:hAnsi="Times New Roman" w:cs="Times New Roman"/>
          <w:szCs w:val="24"/>
        </w:rPr>
      </w:pPr>
      <w:r w:rsidRPr="000431F7">
        <w:rPr>
          <w:rFonts w:ascii="Times New Roman" w:hAnsi="Times New Roman" w:cs="Times New Roman"/>
          <w:color w:val="000000"/>
          <w:szCs w:val="24"/>
          <w:shd w:val="clear" w:color="auto" w:fill="FFFFFF"/>
        </w:rPr>
        <w:t>uprzednie naruszenia popełnione przez odpowiedzialną osobę fizyczną lub prawną.</w:t>
      </w:r>
    </w:p>
    <w:p w14:paraId="40EEAC65" w14:textId="7A46AEAD" w:rsidR="003D335A" w:rsidRPr="000431F7" w:rsidRDefault="00FB76AB" w:rsidP="004742CC">
      <w:pPr>
        <w:pStyle w:val="ZARTzmartartykuempunktem"/>
        <w:spacing w:before="120"/>
        <w:ind w:left="0" w:firstLine="0"/>
        <w:rPr>
          <w:rFonts w:ascii="Times New Roman" w:hAnsi="Times New Roman" w:cs="Times New Roman"/>
          <w:szCs w:val="24"/>
        </w:rPr>
      </w:pPr>
      <w:r w:rsidRPr="000431F7">
        <w:rPr>
          <w:rFonts w:ascii="Times New Roman" w:hAnsi="Times New Roman" w:cs="Times New Roman"/>
          <w:szCs w:val="24"/>
        </w:rPr>
        <w:lastRenderedPageBreak/>
        <w:t>Zgodnie z projektowanym art. 18z</w:t>
      </w:r>
      <w:r w:rsidR="001464FC" w:rsidRPr="000431F7">
        <w:rPr>
          <w:rFonts w:ascii="Times New Roman" w:hAnsi="Times New Roman" w:cs="Times New Roman"/>
          <w:szCs w:val="24"/>
        </w:rPr>
        <w:t>m</w:t>
      </w:r>
      <w:r w:rsidRPr="000431F7">
        <w:rPr>
          <w:rFonts w:ascii="Times New Roman" w:hAnsi="Times New Roman" w:cs="Times New Roman"/>
          <w:szCs w:val="24"/>
        </w:rPr>
        <w:t xml:space="preserve"> ust. 5 komunikaty o wydanych przez Komisję decyzjach, o których mowa w ust. 1 pkt 3, są udostępniane na stronie internetowej Komisji, zgodnie z zasadami określonymi w art. 54 rozporządzenia 2022/2554, maksymalnie przez okres 5 lat, licząc od dnia ich udostępnienia, z tym że informacje dotyczące imienia i nazwiska osoby, na którą została nałożona sankcja, dostępne są na tej stronie maksymalnie przez rok.</w:t>
      </w:r>
    </w:p>
    <w:p w14:paraId="3598ADB0" w14:textId="6C01FA6E" w:rsidR="00B65521" w:rsidRPr="000431F7" w:rsidRDefault="00215ED4" w:rsidP="004742CC">
      <w:pPr>
        <w:pStyle w:val="PKTpunkt"/>
        <w:spacing w:before="120"/>
        <w:ind w:left="0" w:firstLine="0"/>
        <w:rPr>
          <w:rFonts w:ascii="Times New Roman" w:hAnsi="Times New Roman" w:cs="Times New Roman"/>
          <w:szCs w:val="24"/>
        </w:rPr>
      </w:pPr>
      <w:r w:rsidRPr="000431F7">
        <w:rPr>
          <w:rFonts w:ascii="Times New Roman" w:hAnsi="Times New Roman" w:cs="Times New Roman"/>
          <w:szCs w:val="24"/>
        </w:rPr>
        <w:t xml:space="preserve">W odniesieniu do nakładanych przez KNF decyzji o karach pieniężnych należy również wskazać, że zgodnie z art. </w:t>
      </w:r>
      <w:r w:rsidR="001D4BED" w:rsidRPr="000431F7">
        <w:rPr>
          <w:rFonts w:ascii="Times New Roman" w:hAnsi="Times New Roman" w:cs="Times New Roman"/>
          <w:szCs w:val="24"/>
        </w:rPr>
        <w:t>8</w:t>
      </w:r>
      <w:r w:rsidR="00B65521" w:rsidRPr="000431F7">
        <w:rPr>
          <w:rFonts w:ascii="Times New Roman" w:hAnsi="Times New Roman" w:cs="Times New Roman"/>
          <w:szCs w:val="24"/>
        </w:rPr>
        <w:t xml:space="preserve"> </w:t>
      </w:r>
      <w:r w:rsidRPr="000431F7">
        <w:rPr>
          <w:rFonts w:ascii="Times New Roman" w:hAnsi="Times New Roman" w:cs="Times New Roman"/>
          <w:szCs w:val="24"/>
        </w:rPr>
        <w:t xml:space="preserve">pkt </w:t>
      </w:r>
      <w:r w:rsidR="001D4BED" w:rsidRPr="000431F7">
        <w:rPr>
          <w:rFonts w:ascii="Times New Roman" w:hAnsi="Times New Roman" w:cs="Times New Roman"/>
          <w:szCs w:val="24"/>
        </w:rPr>
        <w:t>8</w:t>
      </w:r>
      <w:r w:rsidRPr="000431F7">
        <w:rPr>
          <w:rFonts w:ascii="Times New Roman" w:hAnsi="Times New Roman" w:cs="Times New Roman"/>
          <w:szCs w:val="24"/>
        </w:rPr>
        <w:t xml:space="preserve"> projektu ustawy, który nadaje nowe brzmienie art. 19e ust. 1 i 2 ustawy o nadzorze nad rynkiem finansowym, wpływy z tytułu kar pieniężnych nakładanych przez K</w:t>
      </w:r>
      <w:r w:rsidR="00996612" w:rsidRPr="000431F7">
        <w:rPr>
          <w:rFonts w:ascii="Times New Roman" w:hAnsi="Times New Roman" w:cs="Times New Roman"/>
          <w:szCs w:val="24"/>
        </w:rPr>
        <w:t>NF</w:t>
      </w:r>
      <w:r w:rsidRPr="000431F7">
        <w:rPr>
          <w:rFonts w:ascii="Times New Roman" w:hAnsi="Times New Roman" w:cs="Times New Roman"/>
          <w:szCs w:val="24"/>
        </w:rPr>
        <w:t xml:space="preserve"> na podstawie art. 18z</w:t>
      </w:r>
      <w:r w:rsidR="001464FC" w:rsidRPr="000431F7">
        <w:rPr>
          <w:rFonts w:ascii="Times New Roman" w:hAnsi="Times New Roman" w:cs="Times New Roman"/>
          <w:szCs w:val="24"/>
        </w:rPr>
        <w:t>m</w:t>
      </w:r>
      <w:r w:rsidRPr="000431F7">
        <w:rPr>
          <w:rFonts w:ascii="Times New Roman" w:hAnsi="Times New Roman" w:cs="Times New Roman"/>
          <w:szCs w:val="24"/>
        </w:rPr>
        <w:t xml:space="preserve"> ust. 1 pkt 3 ustawy o nadzorze nad rynkiem finansowym stanowi</w:t>
      </w:r>
      <w:r w:rsidR="002562D9" w:rsidRPr="000431F7">
        <w:rPr>
          <w:rFonts w:ascii="Times New Roman" w:hAnsi="Times New Roman" w:cs="Times New Roman"/>
          <w:szCs w:val="24"/>
        </w:rPr>
        <w:t>ć będą</w:t>
      </w:r>
      <w:r w:rsidRPr="000431F7">
        <w:rPr>
          <w:rFonts w:ascii="Times New Roman" w:hAnsi="Times New Roman" w:cs="Times New Roman"/>
          <w:szCs w:val="24"/>
        </w:rPr>
        <w:t xml:space="preserve"> przychód Funduszu Edukacji Finansowej, o którym mowa w ustawie z dnia 5</w:t>
      </w:r>
      <w:r w:rsidR="000B4A72">
        <w:rPr>
          <w:rFonts w:ascii="Times New Roman" w:hAnsi="Times New Roman" w:cs="Times New Roman"/>
          <w:szCs w:val="24"/>
        </w:rPr>
        <w:t> </w:t>
      </w:r>
      <w:r w:rsidRPr="000431F7">
        <w:rPr>
          <w:rFonts w:ascii="Times New Roman" w:hAnsi="Times New Roman" w:cs="Times New Roman"/>
          <w:szCs w:val="24"/>
        </w:rPr>
        <w:t xml:space="preserve">sierpnia 2015 r. o rozpatrywaniu reklamacji przez podmioty rynku finansowego, o Rzeczniku Finansowym i o Funduszu Edukacji. Projekt </w:t>
      </w:r>
      <w:r w:rsidR="00996612" w:rsidRPr="000431F7">
        <w:rPr>
          <w:rFonts w:ascii="Times New Roman" w:hAnsi="Times New Roman" w:cs="Times New Roman"/>
          <w:szCs w:val="24"/>
        </w:rPr>
        <w:t xml:space="preserve">ustawy </w:t>
      </w:r>
      <w:r w:rsidRPr="000431F7">
        <w:rPr>
          <w:rFonts w:ascii="Times New Roman" w:hAnsi="Times New Roman" w:cs="Times New Roman"/>
          <w:szCs w:val="24"/>
        </w:rPr>
        <w:t>uzupełnia przepis art.</w:t>
      </w:r>
      <w:r w:rsidR="002562D9" w:rsidRPr="000431F7">
        <w:rPr>
          <w:rFonts w:ascii="Times New Roman" w:hAnsi="Times New Roman" w:cs="Times New Roman"/>
          <w:szCs w:val="24"/>
        </w:rPr>
        <w:t> </w:t>
      </w:r>
      <w:r w:rsidRPr="000431F7">
        <w:rPr>
          <w:rFonts w:ascii="Times New Roman" w:hAnsi="Times New Roman" w:cs="Times New Roman"/>
          <w:szCs w:val="24"/>
        </w:rPr>
        <w:t>19e ustawy o nadzorze nad rynkiem finansowym o odesłanie do projektowanych przepisów dotyczących kar (art. 18z</w:t>
      </w:r>
      <w:r w:rsidR="001464FC" w:rsidRPr="000431F7">
        <w:rPr>
          <w:rFonts w:ascii="Times New Roman" w:hAnsi="Times New Roman" w:cs="Times New Roman"/>
          <w:szCs w:val="24"/>
        </w:rPr>
        <w:t>m</w:t>
      </w:r>
      <w:r w:rsidRPr="000431F7">
        <w:rPr>
          <w:rFonts w:ascii="Times New Roman" w:hAnsi="Times New Roman" w:cs="Times New Roman"/>
          <w:szCs w:val="24"/>
        </w:rPr>
        <w:t xml:space="preserve"> ust. 1 pkt 3 ustawy o nadzorze nad rynkiem finansowym), które – podobnie jak inne kary nakładane przez KNF – będą przychodem Funduszem Edukacji Finansowej. Konieczne jest uregulowanie przeznaczenia wpływów z tytułu kar nakładanych przez KNF, bo nie są to dochody budżetu (KNF nie jest już dysponentem części budżetowej)</w:t>
      </w:r>
      <w:r w:rsidR="009921FF" w:rsidRPr="000431F7">
        <w:rPr>
          <w:rFonts w:ascii="Times New Roman" w:hAnsi="Times New Roman" w:cs="Times New Roman"/>
          <w:szCs w:val="24"/>
        </w:rPr>
        <w:t>.</w:t>
      </w:r>
    </w:p>
    <w:p w14:paraId="093CA2D9" w14:textId="6202F5FD" w:rsidR="009921FF" w:rsidRPr="000431F7" w:rsidRDefault="004214C5" w:rsidP="004742CC">
      <w:pPr>
        <w:pStyle w:val="PKTpunkt"/>
        <w:tabs>
          <w:tab w:val="left" w:pos="426"/>
        </w:tabs>
        <w:spacing w:before="120"/>
        <w:ind w:left="0" w:firstLine="0"/>
        <w:rPr>
          <w:rFonts w:ascii="Times New Roman" w:hAnsi="Times New Roman" w:cs="Times New Roman"/>
          <w:b/>
          <w:szCs w:val="24"/>
        </w:rPr>
      </w:pPr>
      <w:r w:rsidRPr="000431F7">
        <w:rPr>
          <w:rFonts w:ascii="Times New Roman" w:hAnsi="Times New Roman" w:cs="Times New Roman"/>
          <w:b/>
          <w:szCs w:val="24"/>
        </w:rPr>
        <w:t>f)</w:t>
      </w:r>
      <w:r w:rsidR="00B66E01">
        <w:rPr>
          <w:rFonts w:ascii="Times New Roman" w:hAnsi="Times New Roman" w:cs="Times New Roman"/>
          <w:b/>
          <w:szCs w:val="24"/>
        </w:rPr>
        <w:tab/>
      </w:r>
      <w:r w:rsidR="00B65521" w:rsidRPr="000431F7">
        <w:rPr>
          <w:rFonts w:ascii="Times New Roman" w:hAnsi="Times New Roman" w:cs="Times New Roman"/>
          <w:b/>
          <w:szCs w:val="24"/>
        </w:rPr>
        <w:t xml:space="preserve">wdrożenie art. 42 </w:t>
      </w:r>
      <w:r w:rsidR="00B66E01">
        <w:rPr>
          <w:rFonts w:ascii="Times New Roman" w:hAnsi="Times New Roman" w:cs="Times New Roman"/>
          <w:b/>
          <w:szCs w:val="24"/>
        </w:rPr>
        <w:t>–</w:t>
      </w:r>
      <w:r w:rsidR="009921FF" w:rsidRPr="000431F7">
        <w:rPr>
          <w:rFonts w:ascii="Times New Roman" w:hAnsi="Times New Roman" w:cs="Times New Roman"/>
          <w:b/>
          <w:szCs w:val="24"/>
        </w:rPr>
        <w:t xml:space="preserve"> działania następcze organów krajowych w odni</w:t>
      </w:r>
      <w:r w:rsidR="00332020" w:rsidRPr="000431F7">
        <w:rPr>
          <w:rFonts w:ascii="Times New Roman" w:hAnsi="Times New Roman" w:cs="Times New Roman"/>
          <w:b/>
          <w:szCs w:val="24"/>
        </w:rPr>
        <w:t>e</w:t>
      </w:r>
      <w:r w:rsidR="009921FF" w:rsidRPr="000431F7">
        <w:rPr>
          <w:rFonts w:ascii="Times New Roman" w:hAnsi="Times New Roman" w:cs="Times New Roman"/>
          <w:b/>
          <w:szCs w:val="24"/>
        </w:rPr>
        <w:t xml:space="preserve">sieniu do umów zawieranych przez podmioty finansowe z kluczowymi zewnętrznymi dostawcami usług ICT </w:t>
      </w:r>
    </w:p>
    <w:p w14:paraId="7E66A3DD" w14:textId="7C7377BF" w:rsidR="00215ED4" w:rsidRPr="000431F7" w:rsidRDefault="00215ED4" w:rsidP="004742CC">
      <w:pPr>
        <w:pStyle w:val="PKTpunkt"/>
        <w:spacing w:before="120"/>
        <w:ind w:left="0" w:firstLine="0"/>
        <w:rPr>
          <w:rFonts w:ascii="Times New Roman" w:hAnsi="Times New Roman" w:cs="Times New Roman"/>
          <w:color w:val="000000"/>
          <w:szCs w:val="24"/>
          <w:shd w:val="clear" w:color="auto" w:fill="FFFFFF"/>
        </w:rPr>
      </w:pPr>
      <w:r w:rsidRPr="000431F7">
        <w:rPr>
          <w:rFonts w:ascii="Times New Roman" w:hAnsi="Times New Roman" w:cs="Times New Roman"/>
          <w:szCs w:val="24"/>
        </w:rPr>
        <w:t>W zakresie środków mających na celu zapewnienie przestrzegania przepisów rozporządzenia 2022/2554</w:t>
      </w:r>
      <w:r w:rsidR="00DD11E5" w:rsidRPr="000431F7">
        <w:rPr>
          <w:rFonts w:ascii="Times New Roman" w:hAnsi="Times New Roman" w:cs="Times New Roman"/>
          <w:szCs w:val="24"/>
        </w:rPr>
        <w:t>,</w:t>
      </w:r>
      <w:r w:rsidRPr="000431F7">
        <w:rPr>
          <w:rFonts w:ascii="Times New Roman" w:hAnsi="Times New Roman" w:cs="Times New Roman"/>
          <w:szCs w:val="24"/>
        </w:rPr>
        <w:t xml:space="preserve"> projektowany art. 18z</w:t>
      </w:r>
      <w:r w:rsidR="001464FC" w:rsidRPr="000431F7">
        <w:rPr>
          <w:rFonts w:ascii="Times New Roman" w:hAnsi="Times New Roman" w:cs="Times New Roman"/>
          <w:szCs w:val="24"/>
        </w:rPr>
        <w:t>l</w:t>
      </w:r>
      <w:r w:rsidR="00A82278" w:rsidRPr="000431F7">
        <w:rPr>
          <w:rFonts w:ascii="Times New Roman" w:hAnsi="Times New Roman" w:cs="Times New Roman"/>
          <w:szCs w:val="24"/>
        </w:rPr>
        <w:t xml:space="preserve"> </w:t>
      </w:r>
      <w:r w:rsidRPr="000431F7">
        <w:rPr>
          <w:rFonts w:ascii="Times New Roman" w:hAnsi="Times New Roman" w:cs="Times New Roman"/>
          <w:szCs w:val="24"/>
        </w:rPr>
        <w:t>ustawy o nadzorze nad rynkiem finansowym zapewnia wdrożenie postanowień art. 42 rozporządzenia 2022/2554 w zakresie procedury wydawania decyzji, o której mowa w art. 42 ust. 6 rozporządzenia 2022/2554, nakazującej</w:t>
      </w:r>
      <w:r w:rsidRPr="000431F7">
        <w:rPr>
          <w:rFonts w:ascii="Times New Roman" w:hAnsi="Times New Roman" w:cs="Times New Roman"/>
          <w:color w:val="000000"/>
          <w:szCs w:val="24"/>
          <w:shd w:val="clear" w:color="auto" w:fill="FFFFFF"/>
        </w:rPr>
        <w:t xml:space="preserve"> podmiotom finansowym, jako środek </w:t>
      </w:r>
      <w:r w:rsidR="004214C5" w:rsidRPr="000431F7">
        <w:rPr>
          <w:rFonts w:ascii="Times New Roman" w:hAnsi="Times New Roman" w:cs="Times New Roman"/>
          <w:color w:val="000000"/>
          <w:szCs w:val="24"/>
          <w:shd w:val="clear" w:color="auto" w:fill="FFFFFF"/>
        </w:rPr>
        <w:t>ostateczny,</w:t>
      </w:r>
      <w:r w:rsidR="004214C5" w:rsidRPr="000431F7">
        <w:rPr>
          <w:rFonts w:ascii="Times New Roman" w:hAnsi="Times New Roman" w:cs="Times New Roman"/>
          <w:szCs w:val="24"/>
        </w:rPr>
        <w:t xml:space="preserve"> tymczasowe</w:t>
      </w:r>
      <w:r w:rsidR="00D17241" w:rsidRPr="000431F7">
        <w:rPr>
          <w:rFonts w:ascii="Times New Roman" w:hAnsi="Times New Roman" w:cs="Times New Roman"/>
          <w:szCs w:val="24"/>
        </w:rPr>
        <w:t xml:space="preserve"> zawieszenie, w części albo w całości, korzystania z usługi świadczonej przez kluczowego zewnętrznego dostawcę usług ICT lub jej wdrażania albo nakazującą podmiotowi finansowemu wypowiedzenie</w:t>
      </w:r>
      <w:r w:rsidR="00EF13E7">
        <w:rPr>
          <w:rFonts w:ascii="Times New Roman" w:hAnsi="Times New Roman" w:cs="Times New Roman"/>
          <w:szCs w:val="24"/>
        </w:rPr>
        <w:t>,</w:t>
      </w:r>
      <w:r w:rsidR="00D17241" w:rsidRPr="000431F7">
        <w:rPr>
          <w:rFonts w:ascii="Times New Roman" w:hAnsi="Times New Roman" w:cs="Times New Roman"/>
          <w:szCs w:val="24"/>
        </w:rPr>
        <w:t xml:space="preserve"> w części lub w całości, stosownych ustaleń umownych zawartych z kluczowym zewnętrznym dostawcą usług ICT</w:t>
      </w:r>
      <w:r w:rsidRPr="000431F7">
        <w:rPr>
          <w:rFonts w:ascii="Times New Roman" w:hAnsi="Times New Roman" w:cs="Times New Roman"/>
          <w:color w:val="000000"/>
          <w:szCs w:val="24"/>
          <w:shd w:val="clear" w:color="auto" w:fill="FFFFFF"/>
        </w:rPr>
        <w:t>.</w:t>
      </w:r>
    </w:p>
    <w:p w14:paraId="1863D484" w14:textId="50CC094B" w:rsidR="00952B8D" w:rsidRPr="004742CC" w:rsidRDefault="00952B8D" w:rsidP="004742CC">
      <w:pPr>
        <w:pStyle w:val="PKTpunkt"/>
        <w:spacing w:before="120"/>
        <w:ind w:left="0" w:firstLine="0"/>
        <w:rPr>
          <w:rFonts w:ascii="Times New Roman" w:hAnsi="Times New Roman" w:cs="Times New Roman"/>
          <w:szCs w:val="24"/>
        </w:rPr>
      </w:pPr>
      <w:r w:rsidRPr="000431F7">
        <w:rPr>
          <w:rFonts w:ascii="Times New Roman" w:hAnsi="Times New Roman" w:cs="Times New Roman"/>
          <w:color w:val="000000"/>
          <w:szCs w:val="24"/>
          <w:shd w:val="clear" w:color="auto" w:fill="FFFFFF"/>
        </w:rPr>
        <w:t>Przed podjęciem decyzji, o której mowa w</w:t>
      </w:r>
      <w:r w:rsidR="00987740">
        <w:rPr>
          <w:rFonts w:ascii="Times New Roman" w:hAnsi="Times New Roman" w:cs="Times New Roman"/>
          <w:color w:val="000000"/>
          <w:szCs w:val="24"/>
          <w:shd w:val="clear" w:color="auto" w:fill="FFFFFF"/>
        </w:rPr>
        <w:t xml:space="preserve"> </w:t>
      </w:r>
      <w:r w:rsidRPr="000431F7">
        <w:rPr>
          <w:rFonts w:ascii="Times New Roman" w:hAnsi="Times New Roman" w:cs="Times New Roman"/>
          <w:color w:val="000000"/>
          <w:szCs w:val="24"/>
          <w:shd w:val="clear" w:color="auto" w:fill="FFFFFF"/>
        </w:rPr>
        <w:t>art. 42 ust. 6</w:t>
      </w:r>
      <w:r w:rsidR="00FA12DA" w:rsidRPr="000431F7">
        <w:rPr>
          <w:rFonts w:ascii="Times New Roman" w:hAnsi="Times New Roman" w:cs="Times New Roman"/>
          <w:color w:val="000000"/>
          <w:szCs w:val="24"/>
          <w:shd w:val="clear" w:color="auto" w:fill="FFFFFF"/>
        </w:rPr>
        <w:t>,</w:t>
      </w:r>
      <w:r w:rsidRPr="000431F7">
        <w:rPr>
          <w:rFonts w:ascii="Times New Roman" w:hAnsi="Times New Roman" w:cs="Times New Roman"/>
          <w:color w:val="000000"/>
          <w:szCs w:val="24"/>
          <w:shd w:val="clear" w:color="auto" w:fill="FFFFFF"/>
        </w:rPr>
        <w:t xml:space="preserve"> </w:t>
      </w:r>
      <w:r w:rsidR="006561E9" w:rsidRPr="000431F7">
        <w:rPr>
          <w:rFonts w:ascii="Times New Roman" w:hAnsi="Times New Roman" w:cs="Times New Roman"/>
          <w:color w:val="000000"/>
          <w:szCs w:val="24"/>
          <w:shd w:val="clear" w:color="auto" w:fill="FFFFFF"/>
        </w:rPr>
        <w:t xml:space="preserve">KNF informuje </w:t>
      </w:r>
      <w:r w:rsidRPr="000431F7">
        <w:rPr>
          <w:rFonts w:ascii="Times New Roman" w:hAnsi="Times New Roman" w:cs="Times New Roman"/>
          <w:color w:val="000000"/>
          <w:szCs w:val="24"/>
          <w:shd w:val="clear" w:color="auto" w:fill="FFFFFF"/>
        </w:rPr>
        <w:t xml:space="preserve">podmiot finansowy o </w:t>
      </w:r>
      <w:r w:rsidRPr="004742CC">
        <w:rPr>
          <w:rFonts w:ascii="Times New Roman" w:hAnsi="Times New Roman" w:cs="Times New Roman"/>
          <w:szCs w:val="24"/>
        </w:rPr>
        <w:t>ryzyku zidentyfikowanym w zaleceniach, o których mowa w art. 35 ust. 1 lit. d rozporządzenia 2022/2554, w odniesieniu do kluczowego zewnętrznego dostawcy usług ICT w rozumieniu art.</w:t>
      </w:r>
      <w:r w:rsidR="00EF13E7">
        <w:rPr>
          <w:rFonts w:ascii="Times New Roman" w:hAnsi="Times New Roman" w:cs="Times New Roman"/>
          <w:szCs w:val="24"/>
        </w:rPr>
        <w:t> </w:t>
      </w:r>
      <w:r w:rsidRPr="004742CC">
        <w:rPr>
          <w:rFonts w:ascii="Times New Roman" w:hAnsi="Times New Roman" w:cs="Times New Roman"/>
          <w:szCs w:val="24"/>
        </w:rPr>
        <w:t xml:space="preserve">3 pkt 23 rozporządzenia 2022/2554, wydanych przez wiodący organ nadzorczy wyznaczony zgodnie z art. 31 </w:t>
      </w:r>
      <w:r w:rsidRPr="000431F7">
        <w:rPr>
          <w:rFonts w:ascii="Times New Roman" w:hAnsi="Times New Roman" w:cs="Times New Roman"/>
          <w:szCs w:val="24"/>
        </w:rPr>
        <w:t xml:space="preserve">rozporządzenia 2022/2554. Wydanie decyzji w stosunku do </w:t>
      </w:r>
      <w:r w:rsidRPr="000431F7">
        <w:rPr>
          <w:rFonts w:ascii="Times New Roman" w:hAnsi="Times New Roman" w:cs="Times New Roman"/>
          <w:szCs w:val="24"/>
        </w:rPr>
        <w:lastRenderedPageBreak/>
        <w:t>kluczowego zewnętrznego dostawcy usług ICT przez organ krajowy jest ściśle związane z uprzednimi działaniami</w:t>
      </w:r>
      <w:r w:rsidR="00B5020E" w:rsidRPr="000431F7">
        <w:rPr>
          <w:rFonts w:ascii="Times New Roman" w:hAnsi="Times New Roman" w:cs="Times New Roman"/>
          <w:szCs w:val="24"/>
        </w:rPr>
        <w:t xml:space="preserve"> wiodących organów nadzoru i brakiem reakcji </w:t>
      </w:r>
      <w:r w:rsidR="006561E9" w:rsidRPr="000431F7">
        <w:rPr>
          <w:rFonts w:ascii="Times New Roman" w:hAnsi="Times New Roman" w:cs="Times New Roman"/>
          <w:szCs w:val="24"/>
        </w:rPr>
        <w:t xml:space="preserve">kluczowego zewnętrznego dostawcy usług ICT </w:t>
      </w:r>
      <w:r w:rsidR="00B5020E" w:rsidRPr="000431F7">
        <w:rPr>
          <w:rFonts w:ascii="Times New Roman" w:hAnsi="Times New Roman" w:cs="Times New Roman"/>
          <w:szCs w:val="24"/>
        </w:rPr>
        <w:t xml:space="preserve">na zalecenia wydane na podstawie </w:t>
      </w:r>
      <w:r w:rsidR="00B5020E" w:rsidRPr="004742CC">
        <w:rPr>
          <w:rFonts w:ascii="Times New Roman" w:hAnsi="Times New Roman" w:cs="Times New Roman"/>
          <w:szCs w:val="24"/>
        </w:rPr>
        <w:t>art. 35 ust. 1 lit. d rozporządzenia 2022/2554. Z uwagi na powyższe KNF może wydać decyzję, o której mowa w art. 42 ust. 6</w:t>
      </w:r>
      <w:r w:rsidR="00EF13E7">
        <w:rPr>
          <w:rFonts w:ascii="Times New Roman" w:hAnsi="Times New Roman" w:cs="Times New Roman"/>
          <w:szCs w:val="24"/>
        </w:rPr>
        <w:t>,</w:t>
      </w:r>
      <w:r w:rsidR="00B5020E" w:rsidRPr="004742CC">
        <w:rPr>
          <w:rFonts w:ascii="Times New Roman" w:hAnsi="Times New Roman" w:cs="Times New Roman"/>
          <w:szCs w:val="24"/>
        </w:rPr>
        <w:t xml:space="preserve"> tylko w przypadku stwierdzenia, że podmiot finansowy nie uwzględnił ryzyka zidentyfikowanego w zaleceniach, o których mowa w art. 35 ust. 1 lit. d rozporządzenia 2022/2554, lub uwzględnił je w sposób niewystarczający. W takim przypadku</w:t>
      </w:r>
      <w:r w:rsidR="006561E9" w:rsidRPr="004742CC">
        <w:rPr>
          <w:rFonts w:ascii="Times New Roman" w:hAnsi="Times New Roman" w:cs="Times New Roman"/>
          <w:szCs w:val="24"/>
        </w:rPr>
        <w:t>, w terminie 60</w:t>
      </w:r>
      <w:r w:rsidR="00EF13E7">
        <w:rPr>
          <w:rFonts w:ascii="Times New Roman" w:hAnsi="Times New Roman" w:cs="Times New Roman"/>
          <w:szCs w:val="24"/>
        </w:rPr>
        <w:t> </w:t>
      </w:r>
      <w:r w:rsidR="006561E9" w:rsidRPr="004742CC">
        <w:rPr>
          <w:rFonts w:ascii="Times New Roman" w:hAnsi="Times New Roman" w:cs="Times New Roman"/>
          <w:szCs w:val="24"/>
        </w:rPr>
        <w:t>dni od dnia otrzymania przez podmiot finansowy informacji o możliwości wydania decyzji, o której mowa w art. 42 ust. 6</w:t>
      </w:r>
      <w:r w:rsidR="00987740">
        <w:rPr>
          <w:rFonts w:ascii="Times New Roman" w:hAnsi="Times New Roman" w:cs="Times New Roman"/>
          <w:szCs w:val="24"/>
        </w:rPr>
        <w:t xml:space="preserve"> </w:t>
      </w:r>
      <w:r w:rsidR="006561E9" w:rsidRPr="004742CC">
        <w:rPr>
          <w:rFonts w:ascii="Times New Roman" w:hAnsi="Times New Roman" w:cs="Times New Roman"/>
          <w:szCs w:val="24"/>
        </w:rPr>
        <w:t xml:space="preserve">rozporządzenia 2022/2554, KNF </w:t>
      </w:r>
      <w:r w:rsidR="00B5020E" w:rsidRPr="004742CC">
        <w:rPr>
          <w:rFonts w:ascii="Times New Roman" w:hAnsi="Times New Roman" w:cs="Times New Roman"/>
          <w:szCs w:val="24"/>
        </w:rPr>
        <w:t>może wydać decyzję:</w:t>
      </w:r>
    </w:p>
    <w:p w14:paraId="7C76A75C" w14:textId="4ECAD868" w:rsidR="00B5020E" w:rsidRPr="004742CC" w:rsidRDefault="00B66E01" w:rsidP="004742CC">
      <w:pPr>
        <w:pStyle w:val="PKTpunkt"/>
        <w:spacing w:before="120"/>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B5020E" w:rsidRPr="004742CC">
        <w:rPr>
          <w:rFonts w:ascii="Times New Roman" w:hAnsi="Times New Roman" w:cs="Times New Roman"/>
          <w:szCs w:val="24"/>
        </w:rPr>
        <w:t>nakazującą podmiotowi finansowemu tymczasowe zawieszenie, w części albo w całości, korzystania z usługi świadczonej przez kluczowego zewnętrznego dostawcę usług ICT lub jej wdrażania albo</w:t>
      </w:r>
    </w:p>
    <w:p w14:paraId="1C314887" w14:textId="56DCF09C" w:rsidR="00B5020E" w:rsidRPr="004742CC" w:rsidRDefault="00B66E01" w:rsidP="004742CC">
      <w:pPr>
        <w:pStyle w:val="PKTpunkt"/>
        <w:spacing w:before="120"/>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B5020E" w:rsidRPr="004742CC">
        <w:rPr>
          <w:rFonts w:ascii="Times New Roman" w:hAnsi="Times New Roman" w:cs="Times New Roman"/>
          <w:szCs w:val="24"/>
        </w:rPr>
        <w:t>nakazującą podmiotowi finansowemu wypowiedzenie, w części albo w całości, postanowień umowy z kluczowym zewnętrznym dostawcą usług IC</w:t>
      </w:r>
      <w:r w:rsidR="006561E9" w:rsidRPr="004742CC">
        <w:rPr>
          <w:rFonts w:ascii="Times New Roman" w:hAnsi="Times New Roman" w:cs="Times New Roman"/>
          <w:szCs w:val="24"/>
        </w:rPr>
        <w:t>T</w:t>
      </w:r>
      <w:r w:rsidR="00B5020E" w:rsidRPr="004742CC">
        <w:rPr>
          <w:rFonts w:ascii="Times New Roman" w:hAnsi="Times New Roman" w:cs="Times New Roman"/>
          <w:szCs w:val="24"/>
        </w:rPr>
        <w:t xml:space="preserve">. </w:t>
      </w:r>
    </w:p>
    <w:p w14:paraId="15A04D87" w14:textId="3BE96E98" w:rsidR="00B75BCA" w:rsidRPr="000431F7" w:rsidRDefault="00B5020E" w:rsidP="004742CC">
      <w:pPr>
        <w:pStyle w:val="ZUSTzmustartykuempunktem"/>
        <w:spacing w:before="120"/>
        <w:ind w:left="0" w:firstLine="0"/>
        <w:rPr>
          <w:rFonts w:ascii="Times New Roman" w:hAnsi="Times New Roman" w:cs="Times New Roman"/>
          <w:szCs w:val="24"/>
        </w:rPr>
      </w:pPr>
      <w:r w:rsidRPr="000431F7">
        <w:rPr>
          <w:rFonts w:ascii="Times New Roman" w:hAnsi="Times New Roman" w:cs="Times New Roman"/>
          <w:szCs w:val="24"/>
        </w:rPr>
        <w:t>Komisja przed wydaniem decyzji może skonsultować się z organami, o których mowa w</w:t>
      </w:r>
      <w:r w:rsidR="00EF13E7">
        <w:rPr>
          <w:rFonts w:ascii="Times New Roman" w:hAnsi="Times New Roman" w:cs="Times New Roman"/>
          <w:szCs w:val="24"/>
        </w:rPr>
        <w:t> </w:t>
      </w:r>
      <w:r w:rsidRPr="000431F7">
        <w:rPr>
          <w:rFonts w:ascii="Times New Roman" w:hAnsi="Times New Roman" w:cs="Times New Roman"/>
          <w:szCs w:val="24"/>
        </w:rPr>
        <w:t>art.</w:t>
      </w:r>
      <w:r w:rsidR="00EF13E7">
        <w:rPr>
          <w:rFonts w:ascii="Times New Roman" w:hAnsi="Times New Roman" w:cs="Times New Roman"/>
          <w:szCs w:val="24"/>
        </w:rPr>
        <w:t> </w:t>
      </w:r>
      <w:r w:rsidRPr="000431F7">
        <w:rPr>
          <w:rFonts w:ascii="Times New Roman" w:hAnsi="Times New Roman" w:cs="Times New Roman"/>
          <w:szCs w:val="24"/>
        </w:rPr>
        <w:t xml:space="preserve">42 ust. 5 rozporządzenia 2022/2554. </w:t>
      </w:r>
      <w:r w:rsidR="00215ED4" w:rsidRPr="000431F7">
        <w:rPr>
          <w:rFonts w:ascii="Times New Roman" w:hAnsi="Times New Roman" w:cs="Times New Roman"/>
          <w:szCs w:val="24"/>
        </w:rPr>
        <w:t xml:space="preserve">Podejmując decyzję, o której mowa w art. 42 ust. 6 rozporządzenia 2022/2554, </w:t>
      </w:r>
      <w:r w:rsidR="00D17241" w:rsidRPr="000431F7">
        <w:rPr>
          <w:rFonts w:ascii="Times New Roman" w:hAnsi="Times New Roman" w:cs="Times New Roman"/>
          <w:szCs w:val="24"/>
        </w:rPr>
        <w:t xml:space="preserve">nakazującą podmiotowi finansowemu tymczasowe zawieszenie, w części albo w całości, korzystania z usługi świadczonej przez kluczowego zewnętrznego dostawcę usług ICT lub jej wdrażania </w:t>
      </w:r>
      <w:r w:rsidR="00215ED4" w:rsidRPr="000431F7">
        <w:rPr>
          <w:rFonts w:ascii="Times New Roman" w:hAnsi="Times New Roman" w:cs="Times New Roman"/>
          <w:szCs w:val="24"/>
        </w:rPr>
        <w:t xml:space="preserve">KNF określa czas jej obowiązywania. </w:t>
      </w:r>
      <w:r w:rsidR="007A11FD" w:rsidRPr="000431F7">
        <w:rPr>
          <w:rFonts w:ascii="Times New Roman" w:hAnsi="Times New Roman" w:cs="Times New Roman"/>
          <w:szCs w:val="24"/>
        </w:rPr>
        <w:t xml:space="preserve">Określenie czasu obowiązywania ww. decyzji związane jest z tymczasowym charakterem takiego środka, co ma na celu umożliwienie usunięcia naruszeń przez podmiot finansowy. Zgodnie z projektowanymi rozwiązaniami taka decyzja będzie mogła być przedłużona jeden raz również na określony czas, w drodze decyzji. </w:t>
      </w:r>
    </w:p>
    <w:p w14:paraId="549D6B5C" w14:textId="0544921E" w:rsidR="00B75BCA" w:rsidRPr="000431F7" w:rsidRDefault="00B75BCA" w:rsidP="004742CC">
      <w:pPr>
        <w:pStyle w:val="ZUSTzmustartykuempunktem"/>
        <w:spacing w:before="120"/>
        <w:ind w:left="0" w:firstLine="0"/>
        <w:rPr>
          <w:rFonts w:ascii="Times New Roman" w:hAnsi="Times New Roman" w:cs="Times New Roman"/>
          <w:szCs w:val="24"/>
        </w:rPr>
      </w:pPr>
      <w:r w:rsidRPr="000431F7">
        <w:rPr>
          <w:rFonts w:ascii="Times New Roman" w:hAnsi="Times New Roman" w:cs="Times New Roman"/>
          <w:szCs w:val="24"/>
        </w:rPr>
        <w:t>W przypadku wyeliminowania ryzyka zidentyfikowanego w zaleceniach, o których mowa w art. 35 ust. 1 lit. d rozporządzenia 2022/2554</w:t>
      </w:r>
      <w:r w:rsidR="00EF13E7">
        <w:rPr>
          <w:rFonts w:ascii="Times New Roman" w:hAnsi="Times New Roman" w:cs="Times New Roman"/>
          <w:szCs w:val="24"/>
        </w:rPr>
        <w:t>,</w:t>
      </w:r>
      <w:r w:rsidRPr="000431F7">
        <w:rPr>
          <w:rFonts w:ascii="Times New Roman" w:hAnsi="Times New Roman" w:cs="Times New Roman"/>
          <w:szCs w:val="24"/>
        </w:rPr>
        <w:t xml:space="preserve"> przed upływem terminu obowiązywania decyzji, K</w:t>
      </w:r>
      <w:r w:rsidR="00334F11" w:rsidRPr="000431F7">
        <w:rPr>
          <w:rFonts w:ascii="Times New Roman" w:hAnsi="Times New Roman" w:cs="Times New Roman"/>
          <w:szCs w:val="24"/>
        </w:rPr>
        <w:t>NF</w:t>
      </w:r>
      <w:r w:rsidRPr="000431F7">
        <w:rPr>
          <w:rFonts w:ascii="Times New Roman" w:hAnsi="Times New Roman" w:cs="Times New Roman"/>
          <w:szCs w:val="24"/>
        </w:rPr>
        <w:t xml:space="preserve"> stwierdza jej wygaśnięcie, zgodnie z art. 162 § 1 pkt 1 ustawy z dnia 14 czerwca 1960 r. </w:t>
      </w:r>
      <w:r w:rsidR="00EF13E7">
        <w:rPr>
          <w:rFonts w:ascii="Times New Roman" w:hAnsi="Times New Roman" w:cs="Times New Roman"/>
          <w:szCs w:val="24"/>
        </w:rPr>
        <w:t xml:space="preserve">– </w:t>
      </w:r>
      <w:r w:rsidRPr="000431F7">
        <w:rPr>
          <w:rFonts w:ascii="Times New Roman" w:eastAsiaTheme="minorHAnsi" w:hAnsi="Times New Roman" w:cs="Times New Roman"/>
          <w:color w:val="000000"/>
          <w:szCs w:val="24"/>
          <w:lang w:eastAsia="en-US"/>
          <w14:ligatures w14:val="standardContextual"/>
        </w:rPr>
        <w:t>Kodeks postępowania administracyjnego</w:t>
      </w:r>
      <w:r w:rsidRPr="000431F7">
        <w:rPr>
          <w:rFonts w:ascii="Times New Roman" w:hAnsi="Times New Roman" w:cs="Times New Roman"/>
          <w:szCs w:val="24"/>
        </w:rPr>
        <w:t>, który stanowi, że organ administracji publicznej, który wydał decyzję w pierwszej instancji, stwierdza jej wygaśnięcie, jeżeli decyzja stała się bezprzedmiotowa, a stwierdzenie wygaśnięcia takiej decyzji nakazuje przepis prawa</w:t>
      </w:r>
      <w:r w:rsidR="00EF13E7">
        <w:rPr>
          <w:rFonts w:ascii="Times New Roman" w:hAnsi="Times New Roman" w:cs="Times New Roman"/>
          <w:szCs w:val="24"/>
        </w:rPr>
        <w:t>,</w:t>
      </w:r>
      <w:r w:rsidRPr="000431F7">
        <w:rPr>
          <w:rFonts w:ascii="Times New Roman" w:hAnsi="Times New Roman" w:cs="Times New Roman"/>
          <w:szCs w:val="24"/>
        </w:rPr>
        <w:t xml:space="preserve"> albo gdy leży to w interesie społecznym lub w interesie strony.</w:t>
      </w:r>
    </w:p>
    <w:p w14:paraId="557B4595" w14:textId="2088D468" w:rsidR="007A11FD" w:rsidRPr="004742CC" w:rsidRDefault="007A11FD" w:rsidP="004742CC">
      <w:pPr>
        <w:pStyle w:val="ZUSTzmustartykuempunktem"/>
        <w:spacing w:before="120"/>
        <w:ind w:left="0" w:firstLine="0"/>
        <w:rPr>
          <w:rFonts w:ascii="Times New Roman" w:hAnsi="Times New Roman" w:cs="Times New Roman"/>
          <w:szCs w:val="24"/>
        </w:rPr>
      </w:pPr>
      <w:r w:rsidRPr="004742CC">
        <w:rPr>
          <w:rFonts w:ascii="Times New Roman" w:hAnsi="Times New Roman" w:cs="Times New Roman"/>
          <w:szCs w:val="24"/>
        </w:rPr>
        <w:t xml:space="preserve">Ponadto, podejmując decyzję, o której mowa w art. 42 ust. 6, w celu stosowania spójnych i zbieżnych środków następczych w zakresie nadzoru, </w:t>
      </w:r>
      <w:r w:rsidR="00B75D48" w:rsidRPr="004742CC">
        <w:rPr>
          <w:rFonts w:ascii="Times New Roman" w:hAnsi="Times New Roman" w:cs="Times New Roman"/>
          <w:szCs w:val="24"/>
        </w:rPr>
        <w:t xml:space="preserve">KNF </w:t>
      </w:r>
      <w:r w:rsidRPr="004742CC">
        <w:rPr>
          <w:rFonts w:ascii="Times New Roman" w:hAnsi="Times New Roman" w:cs="Times New Roman"/>
          <w:szCs w:val="24"/>
        </w:rPr>
        <w:t xml:space="preserve">będzie mogła uwzględnić wydane </w:t>
      </w:r>
      <w:r w:rsidRPr="004742CC">
        <w:rPr>
          <w:rFonts w:ascii="Times New Roman" w:hAnsi="Times New Roman" w:cs="Times New Roman"/>
          <w:szCs w:val="24"/>
        </w:rPr>
        <w:lastRenderedPageBreak/>
        <w:t>przez wiodący organ nadzorczy niewiążące i niejawne opinie na potrzeby właściwych organów, zgodnie z art. 42 ust. 7 rozporządzenia 2022/2554.</w:t>
      </w:r>
    </w:p>
    <w:p w14:paraId="31E91299" w14:textId="72F25E16" w:rsidR="007A11FD" w:rsidRPr="004742CC" w:rsidRDefault="007A11FD" w:rsidP="004742CC">
      <w:pPr>
        <w:pStyle w:val="ZUSTzmustartykuempunktem"/>
        <w:spacing w:before="120"/>
        <w:ind w:left="0" w:firstLine="0"/>
        <w:rPr>
          <w:rFonts w:ascii="Times New Roman" w:hAnsi="Times New Roman" w:cs="Times New Roman"/>
          <w:szCs w:val="24"/>
        </w:rPr>
      </w:pPr>
      <w:r w:rsidRPr="004742CC">
        <w:rPr>
          <w:rFonts w:ascii="Times New Roman" w:hAnsi="Times New Roman" w:cs="Times New Roman"/>
          <w:szCs w:val="24"/>
        </w:rPr>
        <w:t>W przypadku gdy podmiot finansowy nie uwzględnił ryzyka zidentyfikowanego w zaleceniach, o których mowa w art. 35 ust. 1 lit. d rozporządzenia 2022/2554, lub uwzględnił je w sposób niewystarczający w terminie przedłużonym, Komisja wydaje decyzję, o której mowa w art. 42 ust. 6 rozporządzenia 2022/2554, nakazującą podmiotowi finansowemu wypowiedzenie, w części albo w całości, postanowień umowy z kluczowym zewnętrznym dostawcą usług ICT.</w:t>
      </w:r>
    </w:p>
    <w:p w14:paraId="7718D8F2" w14:textId="02F94EA5" w:rsidR="00215ED4" w:rsidRPr="000431F7" w:rsidRDefault="007A11FD" w:rsidP="004742CC">
      <w:pPr>
        <w:pStyle w:val="ZUSTzmustartykuempunktem"/>
        <w:spacing w:before="120"/>
        <w:ind w:left="0" w:firstLine="0"/>
        <w:rPr>
          <w:rFonts w:ascii="Times New Roman" w:hAnsi="Times New Roman" w:cs="Times New Roman"/>
          <w:color w:val="000000"/>
          <w:szCs w:val="24"/>
          <w:shd w:val="clear" w:color="auto" w:fill="FFFFFF"/>
        </w:rPr>
      </w:pPr>
      <w:r w:rsidRPr="000431F7">
        <w:rPr>
          <w:rFonts w:ascii="Times New Roman" w:hAnsi="Times New Roman" w:cs="Times New Roman"/>
          <w:szCs w:val="24"/>
        </w:rPr>
        <w:t>Należy podkreślić, że wydanie decyzji o najdalej idących konsekwencjach</w:t>
      </w:r>
      <w:r w:rsidR="00EF13E7">
        <w:rPr>
          <w:rFonts w:ascii="Times New Roman" w:hAnsi="Times New Roman" w:cs="Times New Roman"/>
          <w:szCs w:val="24"/>
        </w:rPr>
        <w:t>,</w:t>
      </w:r>
      <w:r w:rsidRPr="000431F7">
        <w:rPr>
          <w:rFonts w:ascii="Times New Roman" w:hAnsi="Times New Roman" w:cs="Times New Roman"/>
          <w:szCs w:val="24"/>
        </w:rPr>
        <w:t xml:space="preserve"> </w:t>
      </w:r>
      <w:r w:rsidR="006561E9" w:rsidRPr="000431F7">
        <w:rPr>
          <w:rFonts w:ascii="Times New Roman" w:hAnsi="Times New Roman" w:cs="Times New Roman"/>
          <w:szCs w:val="24"/>
        </w:rPr>
        <w:t xml:space="preserve">tj. obowiązku </w:t>
      </w:r>
      <w:r w:rsidR="006561E9" w:rsidRPr="004742CC">
        <w:rPr>
          <w:rFonts w:ascii="Times New Roman" w:hAnsi="Times New Roman" w:cs="Times New Roman"/>
          <w:szCs w:val="24"/>
        </w:rPr>
        <w:t xml:space="preserve">wypowiedzenia, w części albo w całości, postanowień umowy z kluczowym zewnętrznym dostawcą usług ICT, jest zgodnie z projektowanymi rozwiązaniami środkiem o charakterze ostatecznym. </w:t>
      </w:r>
      <w:r w:rsidR="006561E9" w:rsidRPr="000431F7">
        <w:rPr>
          <w:rFonts w:ascii="Times New Roman" w:hAnsi="Times New Roman" w:cs="Times New Roman"/>
          <w:color w:val="000000"/>
          <w:szCs w:val="24"/>
          <w:shd w:val="clear" w:color="auto" w:fill="FFFFFF"/>
        </w:rPr>
        <w:t>Właściwe organy dają podmiotom finansowym odpowiednio dużo czasu na dostosowanie ustaleń umownych z kluczowymi zewnętrznymi dostawcami usług ICT, aby uniknąć szkodliwych skutków dla ich operacyjnej odporności cyfrowej i umożliwić im wdrożenie strategii wyjścia i planów przejściowych.</w:t>
      </w:r>
      <w:r w:rsidR="006561E9" w:rsidRPr="000431F7">
        <w:rPr>
          <w:rFonts w:ascii="Times New Roman" w:hAnsi="Times New Roman" w:cs="Times New Roman"/>
          <w:szCs w:val="24"/>
        </w:rPr>
        <w:t xml:space="preserve"> </w:t>
      </w:r>
      <w:r w:rsidR="00215ED4" w:rsidRPr="000431F7">
        <w:rPr>
          <w:rFonts w:ascii="Times New Roman" w:hAnsi="Times New Roman" w:cs="Times New Roman"/>
          <w:szCs w:val="24"/>
        </w:rPr>
        <w:t xml:space="preserve">Podejmując ww. decyzję, </w:t>
      </w:r>
      <w:r w:rsidR="006561E9" w:rsidRPr="000431F7">
        <w:rPr>
          <w:rFonts w:ascii="Times New Roman" w:hAnsi="Times New Roman" w:cs="Times New Roman"/>
          <w:szCs w:val="24"/>
        </w:rPr>
        <w:t xml:space="preserve">o której mowa w art. 42 ust. 6 rozporządzenia 2022/2554, </w:t>
      </w:r>
      <w:r w:rsidR="00215ED4" w:rsidRPr="000431F7">
        <w:rPr>
          <w:rFonts w:ascii="Times New Roman" w:hAnsi="Times New Roman" w:cs="Times New Roman"/>
          <w:szCs w:val="24"/>
        </w:rPr>
        <w:t xml:space="preserve">KNF uwzględnia okoliczności, o których mowa w art. 42 ust. 8 rozporządzenia 2022/2554, zgodnie z którym </w:t>
      </w:r>
      <w:r w:rsidR="00215ED4" w:rsidRPr="000431F7">
        <w:rPr>
          <w:rFonts w:ascii="Times New Roman" w:hAnsi="Times New Roman" w:cs="Times New Roman"/>
          <w:color w:val="000000"/>
          <w:szCs w:val="24"/>
          <w:shd w:val="clear" w:color="auto" w:fill="FFFFFF"/>
        </w:rPr>
        <w:t>po otrzymania sprawozdań, o których mowa w art. 35 ust. 1 lit. c, właściwe organy podejmują decyzję, o której mowa w art. 42 ust. 6 tego rozporządzenia, biorąc pod uwagę rodzaj i skalę ryzyka, które nie zostało wyeliminowane przez kluczowego zewnętrznego dostawcę usług ICT, a także istotność braku zgodności, uwzględniając następujące kryteria:</w:t>
      </w:r>
    </w:p>
    <w:p w14:paraId="0F47AAF6" w14:textId="32A634A8" w:rsidR="00215ED4" w:rsidRPr="000431F7" w:rsidRDefault="00215ED4" w:rsidP="004742CC">
      <w:pPr>
        <w:pStyle w:val="ZUSTzmustartykuempunktem"/>
        <w:numPr>
          <w:ilvl w:val="0"/>
          <w:numId w:val="8"/>
        </w:numPr>
        <w:spacing w:before="120"/>
        <w:ind w:left="426" w:hanging="426"/>
        <w:rPr>
          <w:rFonts w:ascii="Times New Roman" w:hAnsi="Times New Roman" w:cs="Times New Roman"/>
          <w:szCs w:val="24"/>
        </w:rPr>
      </w:pPr>
      <w:r w:rsidRPr="000431F7">
        <w:rPr>
          <w:rFonts w:ascii="Times New Roman" w:hAnsi="Times New Roman" w:cs="Times New Roman"/>
          <w:color w:val="000000"/>
          <w:szCs w:val="24"/>
          <w:shd w:val="clear" w:color="auto" w:fill="FFFFFF"/>
        </w:rPr>
        <w:t>wagę braku zgodności i czas jego trwania</w:t>
      </w:r>
      <w:r w:rsidR="00EF13E7">
        <w:rPr>
          <w:rFonts w:ascii="Times New Roman" w:hAnsi="Times New Roman" w:cs="Times New Roman"/>
          <w:color w:val="000000"/>
          <w:szCs w:val="24"/>
          <w:shd w:val="clear" w:color="auto" w:fill="FFFFFF"/>
        </w:rPr>
        <w:t>,</w:t>
      </w:r>
    </w:p>
    <w:p w14:paraId="4B765A56" w14:textId="2D3EEDDE" w:rsidR="00215ED4" w:rsidRPr="000431F7" w:rsidRDefault="00215ED4" w:rsidP="004742CC">
      <w:pPr>
        <w:pStyle w:val="ZUSTzmustartykuempunktem"/>
        <w:numPr>
          <w:ilvl w:val="0"/>
          <w:numId w:val="8"/>
        </w:numPr>
        <w:spacing w:before="120"/>
        <w:ind w:left="426" w:hanging="426"/>
        <w:rPr>
          <w:rFonts w:ascii="Times New Roman" w:hAnsi="Times New Roman" w:cs="Times New Roman"/>
          <w:szCs w:val="24"/>
        </w:rPr>
      </w:pPr>
      <w:r w:rsidRPr="000431F7">
        <w:rPr>
          <w:rFonts w:ascii="Times New Roman" w:hAnsi="Times New Roman" w:cs="Times New Roman"/>
          <w:color w:val="000000"/>
          <w:szCs w:val="24"/>
          <w:shd w:val="clear" w:color="auto" w:fill="FFFFFF"/>
        </w:rPr>
        <w:t>kwestię, czy brak zgodności ujawnił poważne słabości w procedurach, systemach zarządzania, zarządzaniu ryzykiem i kontrolach wewnętrznych kluczowego zewnętrznego dostawcy usług ICT</w:t>
      </w:r>
      <w:r w:rsidR="00EF13E7">
        <w:rPr>
          <w:rFonts w:ascii="Times New Roman" w:hAnsi="Times New Roman" w:cs="Times New Roman"/>
          <w:color w:val="000000"/>
          <w:szCs w:val="24"/>
          <w:shd w:val="clear" w:color="auto" w:fill="FFFFFF"/>
        </w:rPr>
        <w:t>,</w:t>
      </w:r>
    </w:p>
    <w:p w14:paraId="16746D36" w14:textId="62383982" w:rsidR="00215ED4" w:rsidRPr="000431F7" w:rsidRDefault="00215ED4" w:rsidP="004742CC">
      <w:pPr>
        <w:pStyle w:val="ZUSTzmustartykuempunktem"/>
        <w:numPr>
          <w:ilvl w:val="0"/>
          <w:numId w:val="8"/>
        </w:numPr>
        <w:spacing w:before="120"/>
        <w:ind w:left="426" w:hanging="426"/>
        <w:rPr>
          <w:rFonts w:ascii="Times New Roman" w:hAnsi="Times New Roman" w:cs="Times New Roman"/>
          <w:szCs w:val="24"/>
        </w:rPr>
      </w:pPr>
      <w:r w:rsidRPr="000431F7">
        <w:rPr>
          <w:rFonts w:ascii="Times New Roman" w:hAnsi="Times New Roman" w:cs="Times New Roman"/>
          <w:color w:val="000000"/>
          <w:szCs w:val="24"/>
          <w:shd w:val="clear" w:color="auto" w:fill="FFFFFF"/>
        </w:rPr>
        <w:t>kwestię, czy brak zgodności doprowadził do przestępstwa finansowego lub ułatwił przestępstwo finansowe</w:t>
      </w:r>
      <w:r w:rsidR="00EF13E7">
        <w:rPr>
          <w:rFonts w:ascii="Times New Roman" w:hAnsi="Times New Roman" w:cs="Times New Roman"/>
          <w:color w:val="000000"/>
          <w:szCs w:val="24"/>
          <w:shd w:val="clear" w:color="auto" w:fill="FFFFFF"/>
        </w:rPr>
        <w:t>,</w:t>
      </w:r>
      <w:r w:rsidRPr="000431F7">
        <w:rPr>
          <w:rFonts w:ascii="Times New Roman" w:hAnsi="Times New Roman" w:cs="Times New Roman"/>
          <w:color w:val="000000"/>
          <w:szCs w:val="24"/>
          <w:shd w:val="clear" w:color="auto" w:fill="FFFFFF"/>
        </w:rPr>
        <w:t xml:space="preserve"> lub jest w inny sposób związany z takim przestępstwem</w:t>
      </w:r>
      <w:r w:rsidR="00EF13E7">
        <w:rPr>
          <w:rFonts w:ascii="Times New Roman" w:hAnsi="Times New Roman" w:cs="Times New Roman"/>
          <w:color w:val="000000"/>
          <w:szCs w:val="24"/>
          <w:shd w:val="clear" w:color="auto" w:fill="FFFFFF"/>
        </w:rPr>
        <w:t>,</w:t>
      </w:r>
    </w:p>
    <w:p w14:paraId="0B8E6D8A" w14:textId="22032498" w:rsidR="00215ED4" w:rsidRPr="000431F7" w:rsidRDefault="00215ED4" w:rsidP="004742CC">
      <w:pPr>
        <w:pStyle w:val="ZUSTzmustartykuempunktem"/>
        <w:numPr>
          <w:ilvl w:val="0"/>
          <w:numId w:val="8"/>
        </w:numPr>
        <w:spacing w:before="120"/>
        <w:ind w:left="426" w:hanging="426"/>
        <w:rPr>
          <w:rFonts w:ascii="Times New Roman" w:eastAsia="Times New Roman" w:hAnsi="Times New Roman" w:cs="Times New Roman"/>
          <w:color w:val="000000"/>
          <w:szCs w:val="24"/>
        </w:rPr>
      </w:pPr>
      <w:r w:rsidRPr="000431F7">
        <w:rPr>
          <w:rFonts w:ascii="Times New Roman" w:eastAsia="Times New Roman" w:hAnsi="Times New Roman" w:cs="Times New Roman"/>
          <w:color w:val="000000"/>
          <w:szCs w:val="24"/>
        </w:rPr>
        <w:t>kwestię, czy brak zgodności jest wynikiem działania umyślnego lub zaniedbania</w:t>
      </w:r>
      <w:r w:rsidR="00EF13E7">
        <w:rPr>
          <w:rFonts w:ascii="Times New Roman" w:eastAsia="Times New Roman" w:hAnsi="Times New Roman" w:cs="Times New Roman"/>
          <w:color w:val="000000"/>
          <w:szCs w:val="24"/>
        </w:rPr>
        <w:t>,</w:t>
      </w:r>
    </w:p>
    <w:p w14:paraId="720CEE18" w14:textId="6D9F9210" w:rsidR="00215ED4" w:rsidRPr="004742CC" w:rsidRDefault="00215ED4">
      <w:pPr>
        <w:pStyle w:val="ZUSTzmustartykuempunktem"/>
        <w:numPr>
          <w:ilvl w:val="0"/>
          <w:numId w:val="8"/>
        </w:numPr>
        <w:spacing w:before="120"/>
        <w:ind w:left="426" w:hanging="426"/>
        <w:rPr>
          <w:rFonts w:ascii="Times New Roman" w:hAnsi="Times New Roman" w:cs="Times New Roman"/>
          <w:szCs w:val="24"/>
        </w:rPr>
      </w:pPr>
      <w:r w:rsidRPr="000431F7">
        <w:rPr>
          <w:rFonts w:ascii="Times New Roman" w:hAnsi="Times New Roman" w:cs="Times New Roman"/>
          <w:color w:val="000000"/>
          <w:szCs w:val="24"/>
          <w:shd w:val="clear" w:color="auto" w:fill="FFFFFF"/>
        </w:rPr>
        <w:t xml:space="preserve">kwestię, czy zawieszenie lub wypowiedzenie ustaleń umownych wprowadza ryzyko dla ciągłości działalności gospodarczej danego podmiotu finansowego pomimo wysiłków podejmowanych przez ten podmiot finansowy, </w:t>
      </w:r>
      <w:r w:rsidR="00903BD8">
        <w:rPr>
          <w:rFonts w:ascii="Times New Roman" w:hAnsi="Times New Roman" w:cs="Times New Roman"/>
          <w:color w:val="000000"/>
          <w:szCs w:val="24"/>
          <w:shd w:val="clear" w:color="auto" w:fill="FFFFFF"/>
        </w:rPr>
        <w:t>a</w:t>
      </w:r>
      <w:r w:rsidRPr="000431F7">
        <w:rPr>
          <w:rFonts w:ascii="Times New Roman" w:hAnsi="Times New Roman" w:cs="Times New Roman"/>
          <w:color w:val="000000"/>
          <w:szCs w:val="24"/>
          <w:shd w:val="clear" w:color="auto" w:fill="FFFFFF"/>
        </w:rPr>
        <w:t>by uniknąć zakłócenia w świadczeniu przez niego usług</w:t>
      </w:r>
      <w:r w:rsidR="00EF13E7">
        <w:rPr>
          <w:rFonts w:ascii="Times New Roman" w:hAnsi="Times New Roman" w:cs="Times New Roman"/>
          <w:color w:val="000000"/>
          <w:szCs w:val="24"/>
          <w:shd w:val="clear" w:color="auto" w:fill="FFFFFF"/>
        </w:rPr>
        <w:t>,</w:t>
      </w:r>
    </w:p>
    <w:p w14:paraId="2BF40A72" w14:textId="59D3E999" w:rsidR="00EE2235" w:rsidRPr="000431F7" w:rsidRDefault="00EE2235" w:rsidP="004742CC">
      <w:pPr>
        <w:pStyle w:val="ZUSTzmustartykuempunktem"/>
        <w:numPr>
          <w:ilvl w:val="0"/>
          <w:numId w:val="8"/>
        </w:numPr>
        <w:spacing w:before="120"/>
        <w:ind w:left="426" w:hanging="426"/>
        <w:rPr>
          <w:rFonts w:ascii="Times New Roman" w:hAnsi="Times New Roman" w:cs="Times New Roman"/>
          <w:szCs w:val="24"/>
        </w:rPr>
      </w:pPr>
      <w:r w:rsidRPr="004D6A42">
        <w:rPr>
          <w:rFonts w:ascii="Times New Roman" w:eastAsia="Times New Roman" w:hAnsi="Times New Roman" w:cs="Times New Roman"/>
          <w:color w:val="000000"/>
          <w:szCs w:val="24"/>
        </w:rPr>
        <w:lastRenderedPageBreak/>
        <w:t>w stosownych przypadkach opinię właściwych organów wyznaczonych lub ustanowionych zgodnie z dyrektywą 2022/2555 jako odpowiedzialne za nadzór nad kluczowym lub ważnym podmiotem objętym zakresem stosowania tej dyrektywy, którzy zostali wyznaczeni jako kluczowy zewnętrzny dostawca usług ICT, o którą zwrócono się na zasadzie dobrowolności zgodnie z </w:t>
      </w:r>
      <w:r>
        <w:rPr>
          <w:rFonts w:ascii="Times New Roman" w:eastAsia="Times New Roman" w:hAnsi="Times New Roman" w:cs="Times New Roman"/>
          <w:color w:val="000000"/>
          <w:szCs w:val="24"/>
        </w:rPr>
        <w:t xml:space="preserve">art. 42 </w:t>
      </w:r>
      <w:r w:rsidRPr="004D6A42">
        <w:rPr>
          <w:rFonts w:ascii="Times New Roman" w:eastAsia="Times New Roman" w:hAnsi="Times New Roman" w:cs="Times New Roman"/>
          <w:color w:val="000000"/>
          <w:szCs w:val="24"/>
        </w:rPr>
        <w:t>ust. 5.</w:t>
      </w:r>
    </w:p>
    <w:p w14:paraId="65EC72E6" w14:textId="573552E9" w:rsidR="001464FC" w:rsidRPr="004742CC" w:rsidRDefault="001464FC" w:rsidP="004742CC">
      <w:pPr>
        <w:pStyle w:val="ZUSTzmustartykuempunktem"/>
        <w:spacing w:before="120"/>
        <w:ind w:left="0" w:firstLine="0"/>
        <w:rPr>
          <w:rFonts w:ascii="Times New Roman" w:hAnsi="Times New Roman" w:cs="Times New Roman"/>
          <w:szCs w:val="24"/>
        </w:rPr>
      </w:pPr>
      <w:r w:rsidRPr="004742CC">
        <w:rPr>
          <w:rFonts w:ascii="Times New Roman" w:hAnsi="Times New Roman" w:cs="Times New Roman"/>
          <w:szCs w:val="24"/>
        </w:rPr>
        <w:t>Komisja zgodnie z art. 42 ust. 9 rozporządzenia 2022/2554 informuje członków forum nadzoru, o których mowa w art. 32 ust. 4 lit. a–c rozporządzenia 2022/2554, oraz wspólną sieć nadzoru ustanowioną zgodnie z art. 34 ust. 1 rozporządzenia 2022/2554 o wydaniu decyzji, o której mowa w art. 42 ust. 6 rozporządzenia 2022/2554, oraz o decyzji, wydanej na podstawie ust. 9</w:t>
      </w:r>
      <w:r w:rsidR="00903BD8">
        <w:rPr>
          <w:rFonts w:ascii="Times New Roman" w:hAnsi="Times New Roman" w:cs="Times New Roman"/>
          <w:szCs w:val="24"/>
        </w:rPr>
        <w:t>.</w:t>
      </w:r>
    </w:p>
    <w:p w14:paraId="289B46A6" w14:textId="2AE90E13" w:rsidR="00215ED4" w:rsidRPr="000431F7" w:rsidRDefault="00215ED4" w:rsidP="004742CC">
      <w:pPr>
        <w:pStyle w:val="Tekstkomentarza"/>
        <w:spacing w:before="120" w:after="0" w:line="360" w:lineRule="auto"/>
        <w:jc w:val="both"/>
        <w:rPr>
          <w:rFonts w:ascii="Times New Roman" w:hAnsi="Times New Roman" w:cs="Times New Roman"/>
          <w:sz w:val="24"/>
          <w:szCs w:val="24"/>
        </w:rPr>
      </w:pPr>
      <w:r w:rsidRPr="000431F7">
        <w:rPr>
          <w:rFonts w:ascii="Times New Roman" w:hAnsi="Times New Roman" w:cs="Times New Roman"/>
          <w:sz w:val="24"/>
          <w:szCs w:val="24"/>
        </w:rPr>
        <w:t xml:space="preserve">Ponadto art. </w:t>
      </w:r>
      <w:r w:rsidR="001D4BED" w:rsidRPr="000431F7">
        <w:rPr>
          <w:rFonts w:ascii="Times New Roman" w:hAnsi="Times New Roman" w:cs="Times New Roman"/>
          <w:sz w:val="24"/>
          <w:szCs w:val="24"/>
        </w:rPr>
        <w:t>8</w:t>
      </w:r>
      <w:r w:rsidRPr="000431F7">
        <w:rPr>
          <w:rFonts w:ascii="Times New Roman" w:hAnsi="Times New Roman" w:cs="Times New Roman"/>
          <w:sz w:val="24"/>
          <w:szCs w:val="24"/>
        </w:rPr>
        <w:t xml:space="preserve"> pkt </w:t>
      </w:r>
      <w:r w:rsidR="001D4BED" w:rsidRPr="000431F7">
        <w:rPr>
          <w:rFonts w:ascii="Times New Roman" w:hAnsi="Times New Roman" w:cs="Times New Roman"/>
          <w:sz w:val="24"/>
          <w:szCs w:val="24"/>
        </w:rPr>
        <w:t>7</w:t>
      </w:r>
      <w:r w:rsidRPr="000431F7">
        <w:rPr>
          <w:rFonts w:ascii="Times New Roman" w:hAnsi="Times New Roman" w:cs="Times New Roman"/>
          <w:sz w:val="24"/>
          <w:szCs w:val="24"/>
        </w:rPr>
        <w:t xml:space="preserve"> wprowadza zmiany art. 19a ustawy o nadzorze nad rynkiem finansowym dotyczącego gospodarki finansowej KNF, dodając ust. 8, zgodnie z którym w przypadku otrzymania zwrotu, o którym mowa w art. 43 ust. 1 rozporządzenia 2022/2554, różnicę, o której mowa w ust. 7 zdanie drugie, pomniejsza się o kwotę tego zwrotu. Ww. rozwiązanie ma na celu wdrożenie przepisów wykonawczych, wydanych na podstawie art. 43 rozporządzenia 2022/2554, z których wynika, że zwrot kosztów, o którym mowa w tym przepisie,</w:t>
      </w:r>
      <w:r w:rsidR="00987740">
        <w:rPr>
          <w:rFonts w:ascii="Times New Roman" w:hAnsi="Times New Roman" w:cs="Times New Roman"/>
          <w:sz w:val="24"/>
          <w:szCs w:val="24"/>
        </w:rPr>
        <w:t xml:space="preserve"> </w:t>
      </w:r>
      <w:r w:rsidRPr="000431F7">
        <w:rPr>
          <w:rFonts w:ascii="Times New Roman" w:hAnsi="Times New Roman" w:cs="Times New Roman"/>
          <w:sz w:val="24"/>
          <w:szCs w:val="24"/>
        </w:rPr>
        <w:t>może nastąpić także na rzecz organu krajowego – przepis ma skutkować tym, że taki zwrot, jeżeli się pojawi, będzie pomniejszał koszty nadzoru, które pokrywają podmioty nadzorowane – w</w:t>
      </w:r>
      <w:r w:rsidR="002562D9" w:rsidRPr="000431F7">
        <w:rPr>
          <w:rFonts w:ascii="Times New Roman" w:hAnsi="Times New Roman" w:cs="Times New Roman"/>
          <w:sz w:val="24"/>
          <w:szCs w:val="24"/>
        </w:rPr>
        <w:t> </w:t>
      </w:r>
      <w:r w:rsidRPr="000431F7">
        <w:rPr>
          <w:rFonts w:ascii="Times New Roman" w:hAnsi="Times New Roman" w:cs="Times New Roman"/>
          <w:sz w:val="24"/>
          <w:szCs w:val="24"/>
        </w:rPr>
        <w:t xml:space="preserve">ten sposób nadwyżka wróci na rynek, a nie będzie dodatkowym przychodem. </w:t>
      </w:r>
    </w:p>
    <w:p w14:paraId="7682AE2B" w14:textId="41DFB9CC" w:rsidR="00E311F7" w:rsidRPr="000431F7" w:rsidRDefault="00215ED4" w:rsidP="004742CC">
      <w:pPr>
        <w:pStyle w:val="ZARTzmartartykuempunktem"/>
        <w:spacing w:before="120"/>
        <w:ind w:left="0" w:firstLine="0"/>
        <w:rPr>
          <w:rFonts w:ascii="Times New Roman" w:hAnsi="Times New Roman" w:cs="Times New Roman"/>
          <w:szCs w:val="24"/>
        </w:rPr>
      </w:pPr>
      <w:r w:rsidRPr="000431F7">
        <w:rPr>
          <w:rFonts w:ascii="Times New Roman" w:hAnsi="Times New Roman" w:cs="Times New Roman"/>
          <w:szCs w:val="24"/>
        </w:rPr>
        <w:t>Dodatkowo skutecznej realizacji nadzoru nad podmiotami finansowymi służy wprowadzany art. 18z</w:t>
      </w:r>
      <w:r w:rsidR="009A33F1" w:rsidRPr="000431F7">
        <w:rPr>
          <w:rFonts w:ascii="Times New Roman" w:hAnsi="Times New Roman" w:cs="Times New Roman"/>
          <w:szCs w:val="24"/>
        </w:rPr>
        <w:t>n</w:t>
      </w:r>
      <w:r w:rsidRPr="000431F7">
        <w:rPr>
          <w:rFonts w:ascii="Times New Roman" w:hAnsi="Times New Roman" w:cs="Times New Roman"/>
          <w:szCs w:val="24"/>
        </w:rPr>
        <w:t xml:space="preserve"> ustawy o nadzorze nad rynkiem finansowym dotyczący współpracy międzynarodowej, zgodnie z którym KNF współpracuje oraz wymienia informacje i</w:t>
      </w:r>
      <w:r w:rsidR="002562D9" w:rsidRPr="000431F7">
        <w:rPr>
          <w:rFonts w:ascii="Times New Roman" w:hAnsi="Times New Roman" w:cs="Times New Roman"/>
          <w:szCs w:val="24"/>
        </w:rPr>
        <w:t> </w:t>
      </w:r>
      <w:r w:rsidRPr="000431F7">
        <w:rPr>
          <w:rFonts w:ascii="Times New Roman" w:hAnsi="Times New Roman" w:cs="Times New Roman"/>
          <w:szCs w:val="24"/>
        </w:rPr>
        <w:t xml:space="preserve">dokumenty z właściwymi organami w rozumieniu art. 46 rozporządzenia 2022/2554 z państw członkowskich </w:t>
      </w:r>
      <w:r w:rsidR="00996612" w:rsidRPr="000431F7">
        <w:rPr>
          <w:rFonts w:ascii="Times New Roman" w:hAnsi="Times New Roman" w:cs="Times New Roman"/>
          <w:szCs w:val="24"/>
        </w:rPr>
        <w:t>UE</w:t>
      </w:r>
      <w:r w:rsidRPr="000431F7">
        <w:rPr>
          <w:rFonts w:ascii="Times New Roman" w:hAnsi="Times New Roman" w:cs="Times New Roman"/>
          <w:szCs w:val="24"/>
        </w:rPr>
        <w:t xml:space="preserve"> lub państw członkowskich Europejskiego Porozumienia o</w:t>
      </w:r>
      <w:r w:rsidR="002562D9" w:rsidRPr="000431F7">
        <w:rPr>
          <w:rFonts w:ascii="Times New Roman" w:hAnsi="Times New Roman" w:cs="Times New Roman"/>
          <w:szCs w:val="24"/>
        </w:rPr>
        <w:t> </w:t>
      </w:r>
      <w:r w:rsidRPr="000431F7">
        <w:rPr>
          <w:rFonts w:ascii="Times New Roman" w:hAnsi="Times New Roman" w:cs="Times New Roman"/>
          <w:szCs w:val="24"/>
        </w:rPr>
        <w:t>Wolnym Handlu (EFTA) – stron umowy o Europejskim Obszarze Gospodarczym</w:t>
      </w:r>
      <w:r w:rsidR="001D4BED" w:rsidRPr="000431F7">
        <w:rPr>
          <w:rFonts w:ascii="Times New Roman" w:hAnsi="Times New Roman" w:cs="Times New Roman"/>
          <w:szCs w:val="24"/>
        </w:rPr>
        <w:t>, a także z</w:t>
      </w:r>
      <w:r w:rsidRPr="000431F7">
        <w:rPr>
          <w:rFonts w:ascii="Times New Roman" w:hAnsi="Times New Roman" w:cs="Times New Roman"/>
          <w:szCs w:val="24"/>
        </w:rPr>
        <w:t xml:space="preserve"> Europejskim Urzędem Nadzoru Bankowego, Europejskim Urzędem Nadzoru Ubezpieczeń i</w:t>
      </w:r>
      <w:r w:rsidR="002562D9" w:rsidRPr="000431F7">
        <w:rPr>
          <w:rFonts w:ascii="Times New Roman" w:hAnsi="Times New Roman" w:cs="Times New Roman"/>
          <w:szCs w:val="24"/>
        </w:rPr>
        <w:t> </w:t>
      </w:r>
      <w:r w:rsidRPr="000431F7">
        <w:rPr>
          <w:rFonts w:ascii="Times New Roman" w:hAnsi="Times New Roman" w:cs="Times New Roman"/>
          <w:szCs w:val="24"/>
        </w:rPr>
        <w:t xml:space="preserve">Pracowniczych Programów Emerytalnych i Europejskim Urzędem Nadzoru Giełd i Papierów Wartościowych </w:t>
      </w:r>
      <w:r w:rsidR="001D4BED" w:rsidRPr="000431F7">
        <w:rPr>
          <w:rFonts w:ascii="Times New Roman" w:hAnsi="Times New Roman" w:cs="Times New Roman"/>
          <w:szCs w:val="24"/>
        </w:rPr>
        <w:t xml:space="preserve">oraz bankami centralnymi Europejskiego Systemu Banków Centralnych, </w:t>
      </w:r>
      <w:r w:rsidRPr="000431F7">
        <w:rPr>
          <w:rFonts w:ascii="Times New Roman" w:hAnsi="Times New Roman" w:cs="Times New Roman"/>
          <w:szCs w:val="24"/>
        </w:rPr>
        <w:t>w zakresie niezbędnym do wykonywania obowiązków wynikających z</w:t>
      </w:r>
      <w:r w:rsidR="002562D9" w:rsidRPr="000431F7">
        <w:rPr>
          <w:rFonts w:ascii="Times New Roman" w:hAnsi="Times New Roman" w:cs="Times New Roman"/>
          <w:szCs w:val="24"/>
        </w:rPr>
        <w:t> </w:t>
      </w:r>
      <w:r w:rsidRPr="000431F7">
        <w:rPr>
          <w:rFonts w:ascii="Times New Roman" w:hAnsi="Times New Roman" w:cs="Times New Roman"/>
          <w:szCs w:val="24"/>
        </w:rPr>
        <w:t>rozporządzenia 2022/2554. Ponadto KNF współpracuje oraz wymienia informacje i</w:t>
      </w:r>
      <w:r w:rsidR="002562D9" w:rsidRPr="000431F7">
        <w:rPr>
          <w:rFonts w:ascii="Times New Roman" w:hAnsi="Times New Roman" w:cs="Times New Roman"/>
          <w:szCs w:val="24"/>
        </w:rPr>
        <w:t> </w:t>
      </w:r>
      <w:r w:rsidRPr="000431F7">
        <w:rPr>
          <w:rFonts w:ascii="Times New Roman" w:hAnsi="Times New Roman" w:cs="Times New Roman"/>
          <w:szCs w:val="24"/>
        </w:rPr>
        <w:t>dokumenty z odpowiednimi wiodącymi organami nadzorczymi, wyznaczonymi zgodnie z</w:t>
      </w:r>
      <w:r w:rsidR="002562D9" w:rsidRPr="000431F7">
        <w:rPr>
          <w:rFonts w:ascii="Times New Roman" w:hAnsi="Times New Roman" w:cs="Times New Roman"/>
          <w:szCs w:val="24"/>
        </w:rPr>
        <w:t> </w:t>
      </w:r>
      <w:r w:rsidRPr="000431F7">
        <w:rPr>
          <w:rFonts w:ascii="Times New Roman" w:hAnsi="Times New Roman" w:cs="Times New Roman"/>
          <w:szCs w:val="24"/>
        </w:rPr>
        <w:t>art.</w:t>
      </w:r>
      <w:r w:rsidR="002562D9" w:rsidRPr="000431F7">
        <w:rPr>
          <w:rFonts w:ascii="Times New Roman" w:hAnsi="Times New Roman" w:cs="Times New Roman"/>
          <w:szCs w:val="24"/>
        </w:rPr>
        <w:t> </w:t>
      </w:r>
      <w:r w:rsidRPr="000431F7">
        <w:rPr>
          <w:rFonts w:ascii="Times New Roman" w:hAnsi="Times New Roman" w:cs="Times New Roman"/>
          <w:szCs w:val="24"/>
        </w:rPr>
        <w:t>31 ust. 1 lit. b rozporządzenia 2022/2554 oraz Komisją Europejską</w:t>
      </w:r>
      <w:r w:rsidR="00013DBD" w:rsidRPr="000431F7">
        <w:rPr>
          <w:rFonts w:ascii="Times New Roman" w:hAnsi="Times New Roman" w:cs="Times New Roman"/>
          <w:szCs w:val="24"/>
        </w:rPr>
        <w:t xml:space="preserve">, a także z organami właściwymi do spraw </w:t>
      </w:r>
      <w:proofErr w:type="spellStart"/>
      <w:r w:rsidR="00013DBD" w:rsidRPr="000431F7">
        <w:rPr>
          <w:rFonts w:ascii="Times New Roman" w:hAnsi="Times New Roman" w:cs="Times New Roman"/>
          <w:szCs w:val="24"/>
        </w:rPr>
        <w:t>cyberbezpieczeństwa</w:t>
      </w:r>
      <w:proofErr w:type="spellEnd"/>
      <w:r w:rsidR="00013DBD" w:rsidRPr="000431F7">
        <w:rPr>
          <w:rFonts w:ascii="Times New Roman" w:hAnsi="Times New Roman" w:cs="Times New Roman"/>
          <w:szCs w:val="24"/>
        </w:rPr>
        <w:t xml:space="preserve">, o których mowa w art. 41 ustawy o krajowym systemie </w:t>
      </w:r>
      <w:proofErr w:type="spellStart"/>
      <w:r w:rsidR="00013DBD" w:rsidRPr="000431F7">
        <w:rPr>
          <w:rFonts w:ascii="Times New Roman" w:hAnsi="Times New Roman" w:cs="Times New Roman"/>
          <w:szCs w:val="24"/>
        </w:rPr>
        <w:t>cyberbezpieczeństwa</w:t>
      </w:r>
      <w:proofErr w:type="spellEnd"/>
      <w:r w:rsidR="00013DBD" w:rsidRPr="000431F7">
        <w:rPr>
          <w:rFonts w:ascii="Times New Roman" w:hAnsi="Times New Roman" w:cs="Times New Roman"/>
          <w:szCs w:val="24"/>
        </w:rPr>
        <w:t xml:space="preserve">, </w:t>
      </w:r>
      <w:bookmarkStart w:id="20" w:name="_Hlk175557831"/>
      <w:r w:rsidR="00013DBD" w:rsidRPr="000431F7">
        <w:rPr>
          <w:rFonts w:ascii="Times New Roman" w:hAnsi="Times New Roman" w:cs="Times New Roman"/>
          <w:szCs w:val="24"/>
        </w:rPr>
        <w:t xml:space="preserve">Pojedynczym Punktem Kontaktowym do spraw </w:t>
      </w:r>
      <w:proofErr w:type="spellStart"/>
      <w:r w:rsidR="00013DBD" w:rsidRPr="000431F7">
        <w:rPr>
          <w:rFonts w:ascii="Times New Roman" w:hAnsi="Times New Roman" w:cs="Times New Roman"/>
          <w:szCs w:val="24"/>
        </w:rPr>
        <w:t>cyberbezpieczeństwa</w:t>
      </w:r>
      <w:proofErr w:type="spellEnd"/>
      <w:r w:rsidR="00013DBD" w:rsidRPr="000431F7">
        <w:rPr>
          <w:rFonts w:ascii="Times New Roman" w:hAnsi="Times New Roman" w:cs="Times New Roman"/>
          <w:szCs w:val="24"/>
        </w:rPr>
        <w:t xml:space="preserve"> </w:t>
      </w:r>
      <w:r w:rsidR="00013DBD" w:rsidRPr="000431F7">
        <w:rPr>
          <w:rFonts w:ascii="Times New Roman" w:hAnsi="Times New Roman" w:cs="Times New Roman"/>
          <w:szCs w:val="24"/>
        </w:rPr>
        <w:lastRenderedPageBreak/>
        <w:t xml:space="preserve">oraz CSIRT MON, CSIRT NASK oraz CSIRT GOV, o których mowa </w:t>
      </w:r>
      <w:r w:rsidR="009A33F1" w:rsidRPr="000431F7">
        <w:rPr>
          <w:rFonts w:ascii="Times New Roman" w:hAnsi="Times New Roman" w:cs="Times New Roman"/>
          <w:szCs w:val="24"/>
        </w:rPr>
        <w:t xml:space="preserve">w art. 4 </w:t>
      </w:r>
      <w:r w:rsidR="00013DBD" w:rsidRPr="000431F7">
        <w:rPr>
          <w:rFonts w:ascii="Times New Roman" w:hAnsi="Times New Roman" w:cs="Times New Roman"/>
          <w:szCs w:val="24"/>
        </w:rPr>
        <w:t xml:space="preserve">ustawy o krajowym systemie </w:t>
      </w:r>
      <w:proofErr w:type="spellStart"/>
      <w:r w:rsidR="00013DBD" w:rsidRPr="000431F7">
        <w:rPr>
          <w:rFonts w:ascii="Times New Roman" w:hAnsi="Times New Roman" w:cs="Times New Roman"/>
          <w:szCs w:val="24"/>
        </w:rPr>
        <w:t>cyberbezpieczeństwa</w:t>
      </w:r>
      <w:proofErr w:type="spellEnd"/>
      <w:r w:rsidR="00013DBD" w:rsidRPr="000431F7">
        <w:rPr>
          <w:rFonts w:ascii="Times New Roman" w:hAnsi="Times New Roman" w:cs="Times New Roman"/>
          <w:szCs w:val="24"/>
        </w:rPr>
        <w:t>.</w:t>
      </w:r>
      <w:bookmarkEnd w:id="20"/>
      <w:r w:rsidR="00BA27C4" w:rsidRPr="000431F7">
        <w:rPr>
          <w:rFonts w:ascii="Times New Roman" w:hAnsi="Times New Roman" w:cs="Times New Roman"/>
          <w:szCs w:val="24"/>
        </w:rPr>
        <w:t xml:space="preserve"> Dodatkowo wskazano na obowiązek współpracy z organami, o których mowa w art. 17 oraz art. 17b</w:t>
      </w:r>
      <w:r w:rsidR="00AC35F5">
        <w:rPr>
          <w:rFonts w:ascii="Times New Roman" w:hAnsi="Times New Roman" w:cs="Times New Roman"/>
          <w:szCs w:val="24"/>
        </w:rPr>
        <w:t>–</w:t>
      </w:r>
      <w:r w:rsidR="00BA27C4" w:rsidRPr="000431F7">
        <w:rPr>
          <w:rFonts w:ascii="Times New Roman" w:hAnsi="Times New Roman" w:cs="Times New Roman"/>
          <w:szCs w:val="24"/>
        </w:rPr>
        <w:t>17g.</w:t>
      </w:r>
    </w:p>
    <w:p w14:paraId="0AE8F6A9" w14:textId="7C12BB62" w:rsidR="00E311F7" w:rsidRPr="000431F7" w:rsidRDefault="00E311F7" w:rsidP="004742CC">
      <w:pPr>
        <w:pStyle w:val="ZARTzmartartykuempunktem"/>
        <w:spacing w:before="120"/>
        <w:ind w:left="0" w:firstLine="0"/>
        <w:rPr>
          <w:rFonts w:ascii="Times New Roman" w:hAnsi="Times New Roman" w:cs="Times New Roman"/>
          <w:b/>
          <w:bCs/>
          <w:szCs w:val="24"/>
        </w:rPr>
      </w:pPr>
      <w:r w:rsidRPr="004742CC">
        <w:rPr>
          <w:rFonts w:ascii="Times New Roman" w:hAnsi="Times New Roman" w:cs="Times New Roman"/>
          <w:b/>
          <w:bCs/>
          <w:szCs w:val="24"/>
        </w:rPr>
        <w:t xml:space="preserve">Ad II. </w:t>
      </w:r>
      <w:r w:rsidR="00D24283">
        <w:rPr>
          <w:rFonts w:ascii="Times New Roman" w:hAnsi="Times New Roman" w:cs="Times New Roman"/>
          <w:b/>
          <w:bCs/>
          <w:szCs w:val="24"/>
        </w:rPr>
        <w:t>Z</w:t>
      </w:r>
      <w:r w:rsidRPr="004742CC">
        <w:rPr>
          <w:rFonts w:ascii="Times New Roman" w:hAnsi="Times New Roman" w:cs="Times New Roman"/>
          <w:b/>
          <w:bCs/>
          <w:szCs w:val="24"/>
        </w:rPr>
        <w:t xml:space="preserve">miany mające na celu zapewnienie stosowania rozporządzenia </w:t>
      </w:r>
      <w:r w:rsidRPr="000431F7">
        <w:rPr>
          <w:rFonts w:ascii="Times New Roman" w:hAnsi="Times New Roman" w:cs="Times New Roman"/>
          <w:b/>
          <w:bCs/>
          <w:szCs w:val="24"/>
        </w:rPr>
        <w:t>2023/2631</w:t>
      </w:r>
    </w:p>
    <w:p w14:paraId="510F024F" w14:textId="75AB9E6D" w:rsidR="00381FD6" w:rsidRPr="000431F7" w:rsidRDefault="00381FD6" w:rsidP="004742CC">
      <w:pPr>
        <w:tabs>
          <w:tab w:val="left" w:pos="426"/>
        </w:tabs>
        <w:spacing w:before="120" w:after="0" w:line="360" w:lineRule="auto"/>
        <w:jc w:val="both"/>
        <w:rPr>
          <w:rFonts w:ascii="Times New Roman" w:hAnsi="Times New Roman" w:cs="Times New Roman"/>
          <w:sz w:val="24"/>
          <w:szCs w:val="24"/>
        </w:rPr>
      </w:pPr>
      <w:r w:rsidRPr="000431F7">
        <w:rPr>
          <w:rFonts w:ascii="Times New Roman" w:hAnsi="Times New Roman" w:cs="Times New Roman"/>
          <w:sz w:val="24"/>
          <w:szCs w:val="24"/>
        </w:rPr>
        <w:t>●</w:t>
      </w:r>
      <w:r w:rsidR="00B66E01">
        <w:rPr>
          <w:rFonts w:ascii="Times New Roman" w:hAnsi="Times New Roman" w:cs="Times New Roman"/>
          <w:sz w:val="24"/>
          <w:szCs w:val="24"/>
        </w:rPr>
        <w:tab/>
      </w:r>
      <w:r w:rsidRPr="000431F7">
        <w:rPr>
          <w:rFonts w:ascii="Times New Roman" w:hAnsi="Times New Roman" w:cs="Times New Roman"/>
          <w:b/>
          <w:bCs/>
          <w:sz w:val="24"/>
          <w:szCs w:val="24"/>
        </w:rPr>
        <w:t>regulacje o charakterze ogólnym</w:t>
      </w:r>
      <w:r w:rsidRPr="000431F7">
        <w:rPr>
          <w:rFonts w:ascii="Times New Roman" w:hAnsi="Times New Roman" w:cs="Times New Roman"/>
          <w:sz w:val="24"/>
          <w:szCs w:val="24"/>
        </w:rPr>
        <w:t xml:space="preserve"> </w:t>
      </w:r>
    </w:p>
    <w:p w14:paraId="47D87328" w14:textId="5F9713CA" w:rsidR="00381FD6" w:rsidRPr="000431F7" w:rsidRDefault="00381FD6" w:rsidP="004742CC">
      <w:pPr>
        <w:spacing w:before="120" w:after="0" w:line="360" w:lineRule="auto"/>
        <w:jc w:val="both"/>
        <w:rPr>
          <w:rFonts w:ascii="Times New Roman" w:hAnsi="Times New Roman" w:cs="Times New Roman"/>
          <w:sz w:val="24"/>
          <w:szCs w:val="24"/>
        </w:rPr>
      </w:pPr>
      <w:r w:rsidRPr="000431F7">
        <w:rPr>
          <w:rFonts w:ascii="Times New Roman" w:hAnsi="Times New Roman" w:cs="Times New Roman"/>
          <w:sz w:val="24"/>
          <w:szCs w:val="24"/>
        </w:rPr>
        <w:t xml:space="preserve">Art. </w:t>
      </w:r>
      <w:r w:rsidR="003A029F" w:rsidRPr="000431F7">
        <w:rPr>
          <w:rFonts w:ascii="Times New Roman" w:hAnsi="Times New Roman" w:cs="Times New Roman"/>
          <w:sz w:val="24"/>
          <w:szCs w:val="24"/>
        </w:rPr>
        <w:t>8</w:t>
      </w:r>
      <w:r w:rsidRPr="000431F7">
        <w:rPr>
          <w:rFonts w:ascii="Times New Roman" w:hAnsi="Times New Roman" w:cs="Times New Roman"/>
          <w:sz w:val="24"/>
          <w:szCs w:val="24"/>
        </w:rPr>
        <w:t xml:space="preserve"> pkt 1 wprowadza zmianę w </w:t>
      </w:r>
      <w:r w:rsidRPr="000431F7">
        <w:rPr>
          <w:rFonts w:ascii="Times New Roman" w:hAnsi="Times New Roman" w:cs="Times New Roman"/>
          <w:b/>
          <w:bCs/>
          <w:sz w:val="24"/>
          <w:szCs w:val="24"/>
        </w:rPr>
        <w:t>art. 1 w ust. 2</w:t>
      </w:r>
      <w:r w:rsidRPr="000431F7">
        <w:rPr>
          <w:rFonts w:ascii="Times New Roman" w:hAnsi="Times New Roman" w:cs="Times New Roman"/>
          <w:sz w:val="24"/>
          <w:szCs w:val="24"/>
        </w:rPr>
        <w:t xml:space="preserve"> ustawy o nadzorze nad rynkiem finansowym polegającą na dodaniu</w:t>
      </w:r>
      <w:r w:rsidRPr="000431F7">
        <w:rPr>
          <w:rFonts w:ascii="Times New Roman" w:hAnsi="Times New Roman" w:cs="Times New Roman"/>
          <w:b/>
          <w:bCs/>
          <w:sz w:val="24"/>
          <w:szCs w:val="24"/>
        </w:rPr>
        <w:t xml:space="preserve"> pkt 1</w:t>
      </w:r>
      <w:r w:rsidR="00F3180C" w:rsidRPr="000431F7">
        <w:rPr>
          <w:rFonts w:ascii="Times New Roman" w:hAnsi="Times New Roman" w:cs="Times New Roman"/>
          <w:b/>
          <w:bCs/>
          <w:sz w:val="24"/>
          <w:szCs w:val="24"/>
        </w:rPr>
        <w:t>7</w:t>
      </w:r>
      <w:r w:rsidRPr="000431F7">
        <w:rPr>
          <w:rFonts w:ascii="Times New Roman" w:hAnsi="Times New Roman" w:cs="Times New Roman"/>
          <w:sz w:val="24"/>
          <w:szCs w:val="24"/>
        </w:rPr>
        <w:t>,</w:t>
      </w:r>
      <w:r w:rsidRPr="000431F7">
        <w:rPr>
          <w:rFonts w:ascii="Times New Roman" w:hAnsi="Times New Roman" w:cs="Times New Roman"/>
          <w:b/>
          <w:bCs/>
          <w:sz w:val="24"/>
          <w:szCs w:val="24"/>
        </w:rPr>
        <w:t xml:space="preserve"> </w:t>
      </w:r>
      <w:r w:rsidRPr="000431F7">
        <w:rPr>
          <w:rFonts w:ascii="Times New Roman" w:hAnsi="Times New Roman" w:cs="Times New Roman"/>
          <w:sz w:val="24"/>
          <w:szCs w:val="24"/>
        </w:rPr>
        <w:t xml:space="preserve">który ma na celu wskazanie, że nadzór KNF obejmuje również nadzór w zakresie przewidzianym przepisami rozporządzenia 2023/2631. Ponadto zdecydowano się sformułować wyłączenia przez odesłanie do art. 1 ust. 2 lit. b oraz d rozporządzenia 2017/1129. Wynika to z faktu, że przepisy ustawy o nadzorze nad rynkiem finansowym w art. 1 w ust. 2 w pkt 4 w odniesieniu do nadzoru w zakresie przewidzianym w rozporządzeniu 2017/1129 nie przewidują </w:t>
      </w:r>
      <w:proofErr w:type="spellStart"/>
      <w:r w:rsidRPr="000431F7">
        <w:rPr>
          <w:rFonts w:ascii="Times New Roman" w:hAnsi="Times New Roman" w:cs="Times New Roman"/>
          <w:sz w:val="24"/>
          <w:szCs w:val="24"/>
        </w:rPr>
        <w:t>wyłączeń</w:t>
      </w:r>
      <w:proofErr w:type="spellEnd"/>
      <w:r w:rsidRPr="000431F7">
        <w:rPr>
          <w:rFonts w:ascii="Times New Roman" w:hAnsi="Times New Roman" w:cs="Times New Roman"/>
          <w:sz w:val="24"/>
          <w:szCs w:val="24"/>
        </w:rPr>
        <w:t xml:space="preserve"> z nadzoru przewidzianych w art. 1 ust. 2 rozporządzenia 2017/1129. Co więcej, ewentualna próba wskazania wprost podmiotów, których wyłączenie obejmuje</w:t>
      </w:r>
      <w:r w:rsidR="00A930A7">
        <w:rPr>
          <w:rFonts w:ascii="Times New Roman" w:hAnsi="Times New Roman" w:cs="Times New Roman"/>
          <w:sz w:val="24"/>
          <w:szCs w:val="24"/>
        </w:rPr>
        <w:t>,</w:t>
      </w:r>
      <w:r w:rsidRPr="000431F7">
        <w:rPr>
          <w:rFonts w:ascii="Times New Roman" w:hAnsi="Times New Roman" w:cs="Times New Roman"/>
          <w:sz w:val="24"/>
          <w:szCs w:val="24"/>
        </w:rPr>
        <w:t xml:space="preserve"> mogłaby prowadzić do ewentualnych nieścisłości w odniesieniu do </w:t>
      </w:r>
      <w:proofErr w:type="spellStart"/>
      <w:r w:rsidRPr="000431F7">
        <w:rPr>
          <w:rFonts w:ascii="Times New Roman" w:hAnsi="Times New Roman" w:cs="Times New Roman"/>
          <w:sz w:val="24"/>
          <w:szCs w:val="24"/>
        </w:rPr>
        <w:t>wyłączeń</w:t>
      </w:r>
      <w:proofErr w:type="spellEnd"/>
      <w:r w:rsidRPr="000431F7">
        <w:rPr>
          <w:rFonts w:ascii="Times New Roman" w:hAnsi="Times New Roman" w:cs="Times New Roman"/>
          <w:sz w:val="24"/>
          <w:szCs w:val="24"/>
        </w:rPr>
        <w:t xml:space="preserve"> przewidzianych w art. 1 ust. 2 lit. b oraz d rozporządzenia 2017/1129 oraz projektowanej ustawy.</w:t>
      </w:r>
    </w:p>
    <w:p w14:paraId="17BE7CF4" w14:textId="482A00FB" w:rsidR="00823B35" w:rsidRPr="000431F7" w:rsidRDefault="00823B35" w:rsidP="004742CC">
      <w:pPr>
        <w:spacing w:before="120" w:after="0" w:line="360" w:lineRule="auto"/>
        <w:jc w:val="both"/>
        <w:rPr>
          <w:rFonts w:ascii="Times New Roman" w:hAnsi="Times New Roman" w:cs="Times New Roman"/>
          <w:sz w:val="24"/>
          <w:szCs w:val="24"/>
        </w:rPr>
      </w:pPr>
      <w:r w:rsidRPr="000431F7">
        <w:rPr>
          <w:rFonts w:ascii="Times New Roman" w:hAnsi="Times New Roman" w:cs="Times New Roman"/>
          <w:sz w:val="24"/>
          <w:szCs w:val="24"/>
        </w:rPr>
        <w:t>Art. 8 pkt 2 wprowadza art. 3x ust. 2 wskazujący, że w ramach nadzoru, o którym mowa w</w:t>
      </w:r>
      <w:r w:rsidR="00A930A7">
        <w:rPr>
          <w:rFonts w:ascii="Times New Roman" w:hAnsi="Times New Roman" w:cs="Times New Roman"/>
          <w:sz w:val="24"/>
          <w:szCs w:val="24"/>
        </w:rPr>
        <w:t> </w:t>
      </w:r>
      <w:r w:rsidRPr="000431F7">
        <w:rPr>
          <w:rFonts w:ascii="Times New Roman" w:hAnsi="Times New Roman" w:cs="Times New Roman"/>
          <w:sz w:val="24"/>
          <w:szCs w:val="24"/>
        </w:rPr>
        <w:t>art.</w:t>
      </w:r>
      <w:r w:rsidR="00A930A7">
        <w:rPr>
          <w:rFonts w:ascii="Times New Roman" w:hAnsi="Times New Roman" w:cs="Times New Roman"/>
          <w:sz w:val="24"/>
          <w:szCs w:val="24"/>
        </w:rPr>
        <w:t> </w:t>
      </w:r>
      <w:r w:rsidRPr="000431F7">
        <w:rPr>
          <w:rFonts w:ascii="Times New Roman" w:hAnsi="Times New Roman" w:cs="Times New Roman"/>
          <w:sz w:val="24"/>
          <w:szCs w:val="24"/>
        </w:rPr>
        <w:t>1 ust. 2 pkt 17, Komisji przysługują uprawnienia nadzorczej określone w rozdziale 2d. Przepisy ten wraz z ust. 1 w art. 3x służą zapewnieniu spójności ustawy o nadzorze nad rynkiem finansowym, gdyż dodawane rozdziały 2c i 2d również odnoszą się do kwestii związanych z organizacją nadzoru nad rynkiem finansowym.</w:t>
      </w:r>
    </w:p>
    <w:p w14:paraId="583C44D1" w14:textId="3A6FF220" w:rsidR="00381FD6" w:rsidRPr="000431F7" w:rsidRDefault="00381FD6" w:rsidP="004742CC">
      <w:pPr>
        <w:tabs>
          <w:tab w:val="left" w:pos="426"/>
        </w:tabs>
        <w:spacing w:before="120" w:after="0" w:line="360" w:lineRule="auto"/>
        <w:jc w:val="both"/>
        <w:rPr>
          <w:rFonts w:ascii="Times New Roman" w:hAnsi="Times New Roman" w:cs="Times New Roman"/>
          <w:sz w:val="24"/>
          <w:szCs w:val="24"/>
        </w:rPr>
      </w:pPr>
      <w:r w:rsidRPr="000431F7">
        <w:rPr>
          <w:rFonts w:ascii="Times New Roman" w:hAnsi="Times New Roman" w:cs="Times New Roman"/>
          <w:sz w:val="24"/>
          <w:szCs w:val="24"/>
        </w:rPr>
        <w:t>●</w:t>
      </w:r>
      <w:r w:rsidR="007D77BD">
        <w:rPr>
          <w:rFonts w:ascii="Times New Roman" w:hAnsi="Times New Roman" w:cs="Times New Roman"/>
          <w:sz w:val="24"/>
          <w:szCs w:val="24"/>
        </w:rPr>
        <w:tab/>
      </w:r>
      <w:r w:rsidRPr="000431F7">
        <w:rPr>
          <w:rFonts w:ascii="Times New Roman" w:hAnsi="Times New Roman" w:cs="Times New Roman"/>
          <w:b/>
          <w:bCs/>
          <w:sz w:val="24"/>
          <w:szCs w:val="24"/>
        </w:rPr>
        <w:t xml:space="preserve">regulacje szczegółowe dotyczące nadzoru nad emitentami europejskich zielonych obligacji (art. </w:t>
      </w:r>
      <w:r w:rsidR="00823B35" w:rsidRPr="000431F7">
        <w:rPr>
          <w:rFonts w:ascii="Times New Roman" w:hAnsi="Times New Roman" w:cs="Times New Roman"/>
          <w:b/>
          <w:bCs/>
          <w:sz w:val="24"/>
          <w:szCs w:val="24"/>
        </w:rPr>
        <w:t>8</w:t>
      </w:r>
      <w:r w:rsidRPr="000431F7">
        <w:rPr>
          <w:rFonts w:ascii="Times New Roman" w:hAnsi="Times New Roman" w:cs="Times New Roman"/>
          <w:b/>
          <w:bCs/>
          <w:sz w:val="24"/>
          <w:szCs w:val="24"/>
        </w:rPr>
        <w:t xml:space="preserve"> pkt </w:t>
      </w:r>
      <w:r w:rsidR="00823B35" w:rsidRPr="000431F7">
        <w:rPr>
          <w:rFonts w:ascii="Times New Roman" w:hAnsi="Times New Roman" w:cs="Times New Roman"/>
          <w:b/>
          <w:bCs/>
          <w:sz w:val="24"/>
          <w:szCs w:val="24"/>
        </w:rPr>
        <w:t>6</w:t>
      </w:r>
      <w:r w:rsidRPr="000431F7">
        <w:rPr>
          <w:rFonts w:ascii="Times New Roman" w:hAnsi="Times New Roman" w:cs="Times New Roman"/>
          <w:b/>
          <w:bCs/>
          <w:sz w:val="24"/>
          <w:szCs w:val="24"/>
        </w:rPr>
        <w:t>: projektowane art. 18z</w:t>
      </w:r>
      <w:r w:rsidR="00823B35" w:rsidRPr="000431F7">
        <w:rPr>
          <w:rFonts w:ascii="Times New Roman" w:hAnsi="Times New Roman" w:cs="Times New Roman"/>
          <w:b/>
          <w:bCs/>
          <w:sz w:val="24"/>
          <w:szCs w:val="24"/>
        </w:rPr>
        <w:t>p</w:t>
      </w:r>
      <w:r w:rsidRPr="000431F7">
        <w:rPr>
          <w:rFonts w:ascii="Times New Roman" w:hAnsi="Times New Roman" w:cs="Times New Roman"/>
          <w:b/>
          <w:bCs/>
          <w:sz w:val="24"/>
          <w:szCs w:val="24"/>
        </w:rPr>
        <w:t>–18zz</w:t>
      </w:r>
      <w:r w:rsidR="00823B35" w:rsidRPr="000431F7">
        <w:rPr>
          <w:rFonts w:ascii="Times New Roman" w:hAnsi="Times New Roman" w:cs="Times New Roman"/>
          <w:b/>
          <w:bCs/>
          <w:sz w:val="24"/>
          <w:szCs w:val="24"/>
        </w:rPr>
        <w:t>c</w:t>
      </w:r>
      <w:r w:rsidRPr="000431F7">
        <w:rPr>
          <w:rFonts w:ascii="Times New Roman" w:hAnsi="Times New Roman" w:cs="Times New Roman"/>
          <w:b/>
          <w:bCs/>
          <w:sz w:val="24"/>
          <w:szCs w:val="24"/>
        </w:rPr>
        <w:t>)</w:t>
      </w:r>
    </w:p>
    <w:p w14:paraId="1B28FB31" w14:textId="7BF91123" w:rsidR="00381FD6" w:rsidRPr="000431F7" w:rsidRDefault="00381FD6" w:rsidP="004742CC">
      <w:pPr>
        <w:spacing w:before="120" w:after="0" w:line="360" w:lineRule="auto"/>
        <w:jc w:val="both"/>
        <w:rPr>
          <w:rFonts w:ascii="Times New Roman" w:hAnsi="Times New Roman" w:cs="Times New Roman"/>
          <w:sz w:val="24"/>
          <w:szCs w:val="24"/>
        </w:rPr>
      </w:pPr>
      <w:r w:rsidRPr="000431F7">
        <w:rPr>
          <w:rFonts w:ascii="Times New Roman" w:hAnsi="Times New Roman" w:cs="Times New Roman"/>
          <w:sz w:val="24"/>
          <w:szCs w:val="24"/>
        </w:rPr>
        <w:t xml:space="preserve">Art. </w:t>
      </w:r>
      <w:r w:rsidR="00A00123" w:rsidRPr="000431F7">
        <w:rPr>
          <w:rFonts w:ascii="Times New Roman" w:hAnsi="Times New Roman" w:cs="Times New Roman"/>
          <w:sz w:val="24"/>
          <w:szCs w:val="24"/>
        </w:rPr>
        <w:t>8</w:t>
      </w:r>
      <w:r w:rsidRPr="000431F7">
        <w:rPr>
          <w:rFonts w:ascii="Times New Roman" w:hAnsi="Times New Roman" w:cs="Times New Roman"/>
          <w:sz w:val="24"/>
          <w:szCs w:val="24"/>
        </w:rPr>
        <w:t xml:space="preserve"> pkt </w:t>
      </w:r>
      <w:r w:rsidR="00823B35" w:rsidRPr="000431F7">
        <w:rPr>
          <w:rFonts w:ascii="Times New Roman" w:hAnsi="Times New Roman" w:cs="Times New Roman"/>
          <w:sz w:val="24"/>
          <w:szCs w:val="24"/>
        </w:rPr>
        <w:t>6</w:t>
      </w:r>
      <w:r w:rsidRPr="000431F7">
        <w:rPr>
          <w:rFonts w:ascii="Times New Roman" w:hAnsi="Times New Roman" w:cs="Times New Roman"/>
          <w:sz w:val="24"/>
          <w:szCs w:val="24"/>
        </w:rPr>
        <w:t xml:space="preserve"> projektu dodatkowo wprowadza do ustawy o nadzorze nad rynkiem finansowym rozdział 2d pt. „Nadzór nad emitentami europejskich zielonych obligacji” (projektowane art.</w:t>
      </w:r>
      <w:r w:rsidR="00A930A7">
        <w:rPr>
          <w:rFonts w:ascii="Times New Roman" w:hAnsi="Times New Roman" w:cs="Times New Roman"/>
          <w:sz w:val="24"/>
          <w:szCs w:val="24"/>
        </w:rPr>
        <w:t> </w:t>
      </w:r>
      <w:r w:rsidRPr="000431F7">
        <w:rPr>
          <w:rFonts w:ascii="Times New Roman" w:hAnsi="Times New Roman" w:cs="Times New Roman"/>
          <w:sz w:val="24"/>
          <w:szCs w:val="24"/>
        </w:rPr>
        <w:t>18z</w:t>
      </w:r>
      <w:r w:rsidR="00823B35" w:rsidRPr="000431F7">
        <w:rPr>
          <w:rFonts w:ascii="Times New Roman" w:hAnsi="Times New Roman" w:cs="Times New Roman"/>
          <w:sz w:val="24"/>
          <w:szCs w:val="24"/>
        </w:rPr>
        <w:t>p</w:t>
      </w:r>
      <w:r w:rsidRPr="000431F7">
        <w:rPr>
          <w:rFonts w:ascii="Times New Roman" w:hAnsi="Times New Roman" w:cs="Times New Roman"/>
          <w:sz w:val="24"/>
          <w:szCs w:val="24"/>
        </w:rPr>
        <w:t>–18zz</w:t>
      </w:r>
      <w:r w:rsidR="00023FE6" w:rsidRPr="000431F7">
        <w:rPr>
          <w:rFonts w:ascii="Times New Roman" w:hAnsi="Times New Roman" w:cs="Times New Roman"/>
          <w:sz w:val="24"/>
          <w:szCs w:val="24"/>
        </w:rPr>
        <w:t>c</w:t>
      </w:r>
      <w:r w:rsidRPr="000431F7">
        <w:rPr>
          <w:rFonts w:ascii="Times New Roman" w:hAnsi="Times New Roman" w:cs="Times New Roman"/>
          <w:sz w:val="24"/>
          <w:szCs w:val="24"/>
        </w:rPr>
        <w:t>), w którym zosta</w:t>
      </w:r>
      <w:r w:rsidR="00023FE6" w:rsidRPr="000431F7">
        <w:rPr>
          <w:rFonts w:ascii="Times New Roman" w:hAnsi="Times New Roman" w:cs="Times New Roman"/>
          <w:sz w:val="24"/>
          <w:szCs w:val="24"/>
        </w:rPr>
        <w:t>ły</w:t>
      </w:r>
      <w:r w:rsidRPr="000431F7">
        <w:rPr>
          <w:rFonts w:ascii="Times New Roman" w:hAnsi="Times New Roman" w:cs="Times New Roman"/>
          <w:sz w:val="24"/>
          <w:szCs w:val="24"/>
        </w:rPr>
        <w:t xml:space="preserve"> umieszczone przepisy szczegółowo regulujące kompetencje i zadania KNF wynikające z rozporządzenia 2023/2631, w szczególności zapewniające stosowanie art. 45 i </w:t>
      </w:r>
      <w:r w:rsidR="002D16A0" w:rsidRPr="000431F7">
        <w:rPr>
          <w:rFonts w:ascii="Times New Roman" w:hAnsi="Times New Roman" w:cs="Times New Roman"/>
          <w:sz w:val="24"/>
          <w:szCs w:val="24"/>
        </w:rPr>
        <w:t xml:space="preserve">art. </w:t>
      </w:r>
      <w:r w:rsidRPr="000431F7">
        <w:rPr>
          <w:rFonts w:ascii="Times New Roman" w:hAnsi="Times New Roman" w:cs="Times New Roman"/>
          <w:sz w:val="24"/>
          <w:szCs w:val="24"/>
        </w:rPr>
        <w:t>49 tego rozporządzenia.</w:t>
      </w:r>
    </w:p>
    <w:p w14:paraId="0A2CD5D4" w14:textId="47B435CD" w:rsidR="00023FE6" w:rsidRPr="000431F7" w:rsidRDefault="00023FE6" w:rsidP="004742CC">
      <w:pPr>
        <w:spacing w:before="120" w:after="0" w:line="360" w:lineRule="auto"/>
        <w:jc w:val="both"/>
        <w:rPr>
          <w:rFonts w:ascii="Times New Roman" w:hAnsi="Times New Roman" w:cs="Times New Roman"/>
          <w:sz w:val="24"/>
          <w:szCs w:val="24"/>
        </w:rPr>
      </w:pPr>
      <w:r w:rsidRPr="000431F7">
        <w:rPr>
          <w:rFonts w:ascii="Times New Roman" w:hAnsi="Times New Roman" w:cs="Times New Roman"/>
          <w:sz w:val="24"/>
          <w:szCs w:val="24"/>
        </w:rPr>
        <w:t>Dodanie na początku rozdziału 2d przepisu</w:t>
      </w:r>
      <w:r w:rsidR="0084072A" w:rsidRPr="000431F7">
        <w:rPr>
          <w:rFonts w:ascii="Times New Roman" w:hAnsi="Times New Roman" w:cs="Times New Roman"/>
          <w:sz w:val="24"/>
          <w:szCs w:val="24"/>
        </w:rPr>
        <w:t xml:space="preserve"> art. 18zp</w:t>
      </w:r>
      <w:r w:rsidRPr="000431F7">
        <w:rPr>
          <w:rFonts w:ascii="Times New Roman" w:hAnsi="Times New Roman" w:cs="Times New Roman"/>
          <w:sz w:val="24"/>
          <w:szCs w:val="24"/>
        </w:rPr>
        <w:t>, który wymienia podmioty, do których nie stosuje się przepisów tego rozdziału</w:t>
      </w:r>
      <w:r w:rsidR="00A44AC8" w:rsidRPr="000431F7">
        <w:rPr>
          <w:rFonts w:ascii="Times New Roman" w:hAnsi="Times New Roman" w:cs="Times New Roman"/>
          <w:sz w:val="24"/>
          <w:szCs w:val="24"/>
        </w:rPr>
        <w:t>,</w:t>
      </w:r>
      <w:r w:rsidRPr="000431F7">
        <w:rPr>
          <w:rFonts w:ascii="Times New Roman" w:hAnsi="Times New Roman" w:cs="Times New Roman"/>
          <w:sz w:val="24"/>
          <w:szCs w:val="24"/>
        </w:rPr>
        <w:t xml:space="preserve"> służy jednoznacznemu wyłączeniu </w:t>
      </w:r>
      <w:r w:rsidR="0084072A" w:rsidRPr="000431F7">
        <w:rPr>
          <w:rFonts w:ascii="Times New Roman" w:hAnsi="Times New Roman" w:cs="Times New Roman"/>
          <w:sz w:val="24"/>
          <w:szCs w:val="24"/>
        </w:rPr>
        <w:t xml:space="preserve">wskazanych w tym przepisie podmiotów </w:t>
      </w:r>
      <w:r w:rsidRPr="000431F7">
        <w:rPr>
          <w:rFonts w:ascii="Times New Roman" w:hAnsi="Times New Roman" w:cs="Times New Roman"/>
          <w:sz w:val="24"/>
          <w:szCs w:val="24"/>
        </w:rPr>
        <w:t>z nadzoru KNF</w:t>
      </w:r>
      <w:r w:rsidR="00A44AC8" w:rsidRPr="000431F7">
        <w:rPr>
          <w:rFonts w:ascii="Times New Roman" w:hAnsi="Times New Roman" w:cs="Times New Roman"/>
          <w:sz w:val="24"/>
          <w:szCs w:val="24"/>
        </w:rPr>
        <w:t>. P</w:t>
      </w:r>
      <w:r w:rsidRPr="000431F7">
        <w:rPr>
          <w:rFonts w:ascii="Times New Roman" w:hAnsi="Times New Roman" w:cs="Times New Roman"/>
          <w:sz w:val="24"/>
          <w:szCs w:val="24"/>
        </w:rPr>
        <w:t xml:space="preserve">odmioty te mieszczą się </w:t>
      </w:r>
      <w:r w:rsidR="0084072A" w:rsidRPr="000431F7">
        <w:rPr>
          <w:rFonts w:ascii="Times New Roman" w:hAnsi="Times New Roman" w:cs="Times New Roman"/>
          <w:sz w:val="24"/>
          <w:szCs w:val="24"/>
        </w:rPr>
        <w:t xml:space="preserve">również </w:t>
      </w:r>
      <w:r w:rsidRPr="000431F7">
        <w:rPr>
          <w:rFonts w:ascii="Times New Roman" w:hAnsi="Times New Roman" w:cs="Times New Roman"/>
          <w:sz w:val="24"/>
          <w:szCs w:val="24"/>
        </w:rPr>
        <w:t>w katalogu podmiotów wymienionych w późniejszym art. 18z</w:t>
      </w:r>
      <w:r w:rsidR="0084072A" w:rsidRPr="000431F7">
        <w:rPr>
          <w:rFonts w:ascii="Times New Roman" w:hAnsi="Times New Roman" w:cs="Times New Roman"/>
          <w:sz w:val="24"/>
          <w:szCs w:val="24"/>
        </w:rPr>
        <w:t>q</w:t>
      </w:r>
      <w:r w:rsidRPr="000431F7">
        <w:rPr>
          <w:rFonts w:ascii="Times New Roman" w:hAnsi="Times New Roman" w:cs="Times New Roman"/>
          <w:sz w:val="24"/>
          <w:szCs w:val="24"/>
        </w:rPr>
        <w:t xml:space="preserve"> określającym podmiot</w:t>
      </w:r>
      <w:r w:rsidR="0084072A" w:rsidRPr="000431F7">
        <w:rPr>
          <w:rFonts w:ascii="Times New Roman" w:hAnsi="Times New Roman" w:cs="Times New Roman"/>
          <w:sz w:val="24"/>
          <w:szCs w:val="24"/>
        </w:rPr>
        <w:t>y</w:t>
      </w:r>
      <w:r w:rsidRPr="000431F7">
        <w:rPr>
          <w:rFonts w:ascii="Times New Roman" w:hAnsi="Times New Roman" w:cs="Times New Roman"/>
          <w:sz w:val="24"/>
          <w:szCs w:val="24"/>
        </w:rPr>
        <w:t xml:space="preserve">, w których organ ten może </w:t>
      </w:r>
      <w:r w:rsidRPr="000431F7">
        <w:rPr>
          <w:rFonts w:ascii="Times New Roman" w:hAnsi="Times New Roman" w:cs="Times New Roman"/>
          <w:sz w:val="24"/>
          <w:szCs w:val="24"/>
        </w:rPr>
        <w:lastRenderedPageBreak/>
        <w:t>przeprowadzić kontrolę.</w:t>
      </w:r>
      <w:r w:rsidR="0084072A" w:rsidRPr="000431F7">
        <w:rPr>
          <w:rFonts w:ascii="Times New Roman" w:hAnsi="Times New Roman" w:cs="Times New Roman"/>
          <w:sz w:val="24"/>
          <w:szCs w:val="24"/>
        </w:rPr>
        <w:t xml:space="preserve"> Art. 18zp odzwierciedla postanowienia art. 44 ust. 3, również w związku z art. 16 ust. 2, rozporządzenia 2023/2631 i przewiduje, że przepisy rozdziału 2d nie będą miały zastosowania do:</w:t>
      </w:r>
      <w:r w:rsidRPr="000431F7">
        <w:rPr>
          <w:rFonts w:ascii="Times New Roman" w:hAnsi="Times New Roman" w:cs="Times New Roman"/>
          <w:sz w:val="24"/>
          <w:szCs w:val="24"/>
        </w:rPr>
        <w:t xml:space="preserve"> </w:t>
      </w:r>
    </w:p>
    <w:p w14:paraId="1C843AF7" w14:textId="77777777" w:rsidR="0084072A" w:rsidRPr="000431F7" w:rsidRDefault="0084072A" w:rsidP="004742CC">
      <w:pPr>
        <w:spacing w:before="120" w:after="0" w:line="360" w:lineRule="auto"/>
        <w:ind w:left="426" w:hanging="426"/>
        <w:jc w:val="both"/>
        <w:rPr>
          <w:rFonts w:ascii="Times New Roman" w:hAnsi="Times New Roman" w:cs="Times New Roman"/>
          <w:sz w:val="24"/>
          <w:szCs w:val="24"/>
        </w:rPr>
      </w:pPr>
      <w:r w:rsidRPr="000431F7">
        <w:rPr>
          <w:rFonts w:ascii="Times New Roman" w:hAnsi="Times New Roman" w:cs="Times New Roman"/>
          <w:sz w:val="24"/>
          <w:szCs w:val="24"/>
        </w:rPr>
        <w:t>1)</w:t>
      </w:r>
      <w:r w:rsidRPr="000431F7">
        <w:rPr>
          <w:rFonts w:ascii="Times New Roman" w:hAnsi="Times New Roman" w:cs="Times New Roman"/>
          <w:sz w:val="24"/>
          <w:szCs w:val="24"/>
        </w:rPr>
        <w:tab/>
        <w:t>emitentów europejskich zielonych obligacji będących papierami wartościowymi, o których mowa w art. 1 ust. 2 lit. b oraz d rozporządzenia 2017/1129;</w:t>
      </w:r>
    </w:p>
    <w:p w14:paraId="22A44D3E" w14:textId="22EECDD1" w:rsidR="00023FE6" w:rsidRPr="000431F7" w:rsidRDefault="0084072A" w:rsidP="004742CC">
      <w:pPr>
        <w:spacing w:before="120" w:after="0" w:line="360" w:lineRule="auto"/>
        <w:ind w:left="426" w:hanging="426"/>
        <w:jc w:val="both"/>
        <w:rPr>
          <w:rFonts w:ascii="Times New Roman" w:hAnsi="Times New Roman" w:cs="Times New Roman"/>
          <w:sz w:val="24"/>
          <w:szCs w:val="24"/>
        </w:rPr>
      </w:pPr>
      <w:r w:rsidRPr="000431F7">
        <w:rPr>
          <w:rFonts w:ascii="Times New Roman" w:hAnsi="Times New Roman" w:cs="Times New Roman"/>
          <w:sz w:val="24"/>
          <w:szCs w:val="24"/>
        </w:rPr>
        <w:t>2)</w:t>
      </w:r>
      <w:r w:rsidRPr="000431F7">
        <w:rPr>
          <w:rFonts w:ascii="Times New Roman" w:hAnsi="Times New Roman" w:cs="Times New Roman"/>
          <w:sz w:val="24"/>
          <w:szCs w:val="24"/>
        </w:rPr>
        <w:tab/>
        <w:t>jednostek inicjujących w rozumieniu art. 2 pkt 3 rozporządzenia 2017/2402, korzystających ze środków pochodzących z emisji obligacji sekurytyzacyjnych, o których mowa w art. 2 pkt 22 rozporządzenia 2023/2631, mających oznakowanie „europejska zielona obligacja” lub „</w:t>
      </w:r>
      <w:proofErr w:type="spellStart"/>
      <w:r w:rsidRPr="000431F7">
        <w:rPr>
          <w:rFonts w:ascii="Times New Roman" w:hAnsi="Times New Roman" w:cs="Times New Roman"/>
          <w:sz w:val="24"/>
          <w:szCs w:val="24"/>
        </w:rPr>
        <w:t>EuGB</w:t>
      </w:r>
      <w:proofErr w:type="spellEnd"/>
      <w:r w:rsidRPr="000431F7">
        <w:rPr>
          <w:rFonts w:ascii="Times New Roman" w:hAnsi="Times New Roman" w:cs="Times New Roman"/>
          <w:sz w:val="24"/>
          <w:szCs w:val="24"/>
        </w:rPr>
        <w:t>”, będących papierami wartościowymi, o których mowa w art. 1 ust. 2 lit. d rozporządzenia 2017/1129, wyłącznie w zakresie tych papierów wartościowych.</w:t>
      </w:r>
    </w:p>
    <w:p w14:paraId="0E39448C" w14:textId="4C0C22D3" w:rsidR="00381FD6" w:rsidRPr="000431F7" w:rsidRDefault="00381FD6" w:rsidP="004742CC">
      <w:pPr>
        <w:spacing w:before="120" w:after="0" w:line="360" w:lineRule="auto"/>
        <w:jc w:val="both"/>
        <w:rPr>
          <w:rFonts w:ascii="Times New Roman" w:hAnsi="Times New Roman" w:cs="Times New Roman"/>
          <w:sz w:val="24"/>
          <w:szCs w:val="24"/>
        </w:rPr>
      </w:pPr>
      <w:r w:rsidRPr="000431F7">
        <w:rPr>
          <w:rFonts w:ascii="Times New Roman" w:hAnsi="Times New Roman" w:cs="Times New Roman"/>
          <w:sz w:val="24"/>
          <w:szCs w:val="24"/>
        </w:rPr>
        <w:t>Dodanie art. 18z</w:t>
      </w:r>
      <w:r w:rsidR="00023FE6" w:rsidRPr="000431F7">
        <w:rPr>
          <w:rFonts w:ascii="Times New Roman" w:hAnsi="Times New Roman" w:cs="Times New Roman"/>
          <w:sz w:val="24"/>
          <w:szCs w:val="24"/>
        </w:rPr>
        <w:t>q</w:t>
      </w:r>
      <w:r w:rsidRPr="000431F7">
        <w:rPr>
          <w:rFonts w:ascii="Times New Roman" w:hAnsi="Times New Roman" w:cs="Times New Roman"/>
          <w:sz w:val="24"/>
          <w:szCs w:val="24"/>
        </w:rPr>
        <w:t xml:space="preserve"> ma na celu zapewnienie stosowania art. 44 ust. 1 i 2, art. 45 ust. 1 lit. o oraz art. 45 ust. 3 i 4 rozporządzenia 2023/2631. Art. 18z</w:t>
      </w:r>
      <w:r w:rsidR="00023FE6" w:rsidRPr="000431F7">
        <w:rPr>
          <w:rFonts w:ascii="Times New Roman" w:hAnsi="Times New Roman" w:cs="Times New Roman"/>
          <w:sz w:val="24"/>
          <w:szCs w:val="24"/>
        </w:rPr>
        <w:t>q</w:t>
      </w:r>
      <w:r w:rsidRPr="000431F7">
        <w:rPr>
          <w:rFonts w:ascii="Times New Roman" w:hAnsi="Times New Roman" w:cs="Times New Roman"/>
          <w:sz w:val="24"/>
          <w:szCs w:val="24"/>
        </w:rPr>
        <w:t xml:space="preserve"> określa szczegółowe zasady nadzoru nad emitentami europejskich zielonych obligacji. W art. 18z</w:t>
      </w:r>
      <w:r w:rsidR="00023FE6" w:rsidRPr="000431F7">
        <w:rPr>
          <w:rFonts w:ascii="Times New Roman" w:hAnsi="Times New Roman" w:cs="Times New Roman"/>
          <w:sz w:val="24"/>
          <w:szCs w:val="24"/>
        </w:rPr>
        <w:t>q</w:t>
      </w:r>
      <w:r w:rsidRPr="000431F7">
        <w:rPr>
          <w:rFonts w:ascii="Times New Roman" w:hAnsi="Times New Roman" w:cs="Times New Roman"/>
          <w:sz w:val="24"/>
          <w:szCs w:val="24"/>
        </w:rPr>
        <w:t xml:space="preserve"> ust. 1 ustawodawca wymienia podmioty, które podlegają kontroli, a są to: </w:t>
      </w:r>
    </w:p>
    <w:p w14:paraId="0C4158F4" w14:textId="1FC83C96" w:rsidR="002D16A0" w:rsidRPr="000431F7" w:rsidRDefault="002D16A0" w:rsidP="004742CC">
      <w:pPr>
        <w:spacing w:before="120" w:after="0" w:line="360" w:lineRule="auto"/>
        <w:ind w:left="426" w:hanging="426"/>
        <w:jc w:val="both"/>
        <w:rPr>
          <w:rFonts w:ascii="Times New Roman" w:eastAsia="Times New Roman" w:hAnsi="Times New Roman" w:cs="Times New Roman"/>
          <w:bCs/>
          <w:kern w:val="0"/>
          <w:sz w:val="24"/>
          <w:szCs w:val="24"/>
          <w:lang w:eastAsia="pl-PL"/>
          <w14:ligatures w14:val="none"/>
        </w:rPr>
      </w:pPr>
      <w:r w:rsidRPr="004742CC">
        <w:rPr>
          <w:rFonts w:ascii="Times New Roman" w:eastAsia="Times New Roman" w:hAnsi="Times New Roman" w:cs="Times New Roman"/>
          <w:bCs/>
          <w:kern w:val="0"/>
          <w:sz w:val="24"/>
          <w:szCs w:val="24"/>
          <w:lang w:eastAsia="pl-PL"/>
          <w14:ligatures w14:val="none"/>
        </w:rPr>
        <w:t>1)</w:t>
      </w:r>
      <w:r w:rsidRPr="004742CC">
        <w:rPr>
          <w:rFonts w:ascii="Times New Roman" w:eastAsia="Times New Roman" w:hAnsi="Times New Roman" w:cs="Times New Roman"/>
          <w:bCs/>
          <w:kern w:val="0"/>
          <w:sz w:val="24"/>
          <w:szCs w:val="24"/>
          <w:lang w:eastAsia="pl-PL"/>
          <w14:ligatures w14:val="none"/>
        </w:rPr>
        <w:tab/>
      </w:r>
      <w:r w:rsidRPr="000431F7">
        <w:rPr>
          <w:rFonts w:ascii="Times New Roman" w:eastAsia="Times New Roman" w:hAnsi="Times New Roman" w:cs="Times New Roman"/>
          <w:bCs/>
          <w:kern w:val="0"/>
          <w:sz w:val="24"/>
          <w:szCs w:val="24"/>
          <w:lang w:eastAsia="pl-PL"/>
          <w14:ligatures w14:val="none"/>
        </w:rPr>
        <w:t>emiten</w:t>
      </w:r>
      <w:r w:rsidR="00AF01F8" w:rsidRPr="000431F7">
        <w:rPr>
          <w:rFonts w:ascii="Times New Roman" w:eastAsia="Times New Roman" w:hAnsi="Times New Roman" w:cs="Times New Roman"/>
          <w:bCs/>
          <w:kern w:val="0"/>
          <w:sz w:val="24"/>
          <w:szCs w:val="24"/>
          <w:lang w:eastAsia="pl-PL"/>
          <w14:ligatures w14:val="none"/>
        </w:rPr>
        <w:t>ci europejskich zielonych obligacji</w:t>
      </w:r>
      <w:bookmarkStart w:id="21" w:name="_Hlk170472999"/>
      <w:r w:rsidRPr="000431F7">
        <w:rPr>
          <w:rFonts w:ascii="Times New Roman" w:eastAsia="Times New Roman" w:hAnsi="Times New Roman" w:cs="Times New Roman"/>
          <w:bCs/>
          <w:kern w:val="0"/>
          <w:sz w:val="24"/>
          <w:szCs w:val="24"/>
          <w:lang w:eastAsia="pl-PL"/>
          <w14:ligatures w14:val="none"/>
        </w:rPr>
        <w:t xml:space="preserve"> w zakresie wypełniania </w:t>
      </w:r>
      <w:bookmarkStart w:id="22" w:name="_Hlk170472932"/>
      <w:bookmarkStart w:id="23" w:name="_Hlk173166568"/>
      <w:r w:rsidRPr="000431F7">
        <w:rPr>
          <w:rFonts w:ascii="Times New Roman" w:eastAsia="Times New Roman" w:hAnsi="Times New Roman" w:cs="Times New Roman"/>
          <w:bCs/>
          <w:kern w:val="0"/>
          <w:sz w:val="24"/>
          <w:szCs w:val="24"/>
          <w:lang w:eastAsia="pl-PL"/>
          <w14:ligatures w14:val="none"/>
        </w:rPr>
        <w:t xml:space="preserve">obowiązków </w:t>
      </w:r>
      <w:bookmarkEnd w:id="22"/>
      <w:r w:rsidRPr="000431F7">
        <w:rPr>
          <w:rFonts w:ascii="Times New Roman" w:eastAsia="Times New Roman" w:hAnsi="Times New Roman" w:cs="Times New Roman"/>
          <w:bCs/>
          <w:kern w:val="0"/>
          <w:sz w:val="24"/>
          <w:szCs w:val="24"/>
          <w:lang w:eastAsia="pl-PL"/>
          <w14:ligatures w14:val="none"/>
        </w:rPr>
        <w:t xml:space="preserve">wynikających </w:t>
      </w:r>
      <w:bookmarkEnd w:id="21"/>
      <w:r w:rsidRPr="000431F7">
        <w:rPr>
          <w:rFonts w:ascii="Times New Roman" w:eastAsia="Times New Roman" w:hAnsi="Times New Roman" w:cs="Times New Roman"/>
          <w:bCs/>
          <w:kern w:val="0"/>
          <w:sz w:val="24"/>
          <w:szCs w:val="24"/>
          <w:lang w:eastAsia="pl-PL"/>
          <w14:ligatures w14:val="none"/>
        </w:rPr>
        <w:t xml:space="preserve">z </w:t>
      </w:r>
      <w:r w:rsidR="00CF07D5" w:rsidRPr="000431F7">
        <w:rPr>
          <w:rFonts w:ascii="Times New Roman" w:eastAsia="Times New Roman" w:hAnsi="Times New Roman" w:cs="Times New Roman"/>
          <w:bCs/>
          <w:kern w:val="0"/>
          <w:sz w:val="24"/>
          <w:szCs w:val="24"/>
          <w:lang w:eastAsia="pl-PL"/>
          <w14:ligatures w14:val="none"/>
        </w:rPr>
        <w:t xml:space="preserve">przepisów </w:t>
      </w:r>
      <w:r w:rsidRPr="000431F7">
        <w:rPr>
          <w:rFonts w:ascii="Times New Roman" w:eastAsia="Times New Roman" w:hAnsi="Times New Roman" w:cs="Times New Roman"/>
          <w:bCs/>
          <w:kern w:val="0"/>
          <w:sz w:val="24"/>
          <w:szCs w:val="24"/>
          <w:lang w:eastAsia="pl-PL"/>
          <w14:ligatures w14:val="none"/>
        </w:rPr>
        <w:t xml:space="preserve">tytułu II rozdziału 2 rozporządzenia </w:t>
      </w:r>
      <w:bookmarkStart w:id="24" w:name="_Hlk174019260"/>
      <w:r w:rsidRPr="000431F7">
        <w:rPr>
          <w:rFonts w:ascii="Times New Roman" w:eastAsia="Times New Roman" w:hAnsi="Times New Roman" w:cs="Times New Roman"/>
          <w:bCs/>
          <w:kern w:val="0"/>
          <w:sz w:val="24"/>
          <w:szCs w:val="24"/>
          <w:lang w:eastAsia="pl-PL"/>
          <w14:ligatures w14:val="none"/>
        </w:rPr>
        <w:t>2023/2631</w:t>
      </w:r>
      <w:bookmarkEnd w:id="23"/>
      <w:bookmarkEnd w:id="24"/>
      <w:r w:rsidRPr="000431F7">
        <w:rPr>
          <w:rFonts w:ascii="Times New Roman" w:eastAsia="Times New Roman" w:hAnsi="Times New Roman" w:cs="Times New Roman"/>
          <w:bCs/>
          <w:kern w:val="0"/>
          <w:sz w:val="24"/>
          <w:szCs w:val="24"/>
          <w:lang w:eastAsia="pl-PL"/>
          <w14:ligatures w14:val="none"/>
        </w:rPr>
        <w:t>;</w:t>
      </w:r>
    </w:p>
    <w:p w14:paraId="41FE2D6F" w14:textId="08A0C874" w:rsidR="002D16A0" w:rsidRPr="000431F7" w:rsidRDefault="002D16A0" w:rsidP="004742CC">
      <w:pPr>
        <w:spacing w:before="120" w:after="0" w:line="360" w:lineRule="auto"/>
        <w:ind w:left="426" w:hanging="426"/>
        <w:jc w:val="both"/>
        <w:rPr>
          <w:rFonts w:ascii="Times New Roman" w:eastAsia="Times New Roman" w:hAnsi="Times New Roman" w:cs="Times New Roman"/>
          <w:bCs/>
          <w:kern w:val="0"/>
          <w:sz w:val="24"/>
          <w:szCs w:val="24"/>
          <w:lang w:eastAsia="pl-PL"/>
          <w14:ligatures w14:val="none"/>
        </w:rPr>
      </w:pPr>
      <w:r w:rsidRPr="000431F7">
        <w:rPr>
          <w:rFonts w:ascii="Times New Roman" w:eastAsia="Times New Roman" w:hAnsi="Times New Roman" w:cs="Times New Roman"/>
          <w:bCs/>
          <w:kern w:val="0"/>
          <w:sz w:val="24"/>
          <w:szCs w:val="24"/>
          <w:lang w:eastAsia="pl-PL"/>
          <w14:ligatures w14:val="none"/>
        </w:rPr>
        <w:t>2)</w:t>
      </w:r>
      <w:r w:rsidRPr="000431F7">
        <w:rPr>
          <w:rFonts w:ascii="Times New Roman" w:eastAsia="Times New Roman" w:hAnsi="Times New Roman" w:cs="Times New Roman"/>
          <w:bCs/>
          <w:kern w:val="0"/>
          <w:sz w:val="24"/>
          <w:szCs w:val="24"/>
          <w:lang w:eastAsia="pl-PL"/>
          <w14:ligatures w14:val="none"/>
        </w:rPr>
        <w:tab/>
        <w:t xml:space="preserve">jednostki specjalnego przeznaczenia do celów sekurytyzacji w rozumieniu art. 2 pkt 2 rozporządzenia 2017/2402, która emituje obligacje sekurytyzacyjne w rozumieniu art. 2 pkt 22 rozporządzenia 2023/2631 </w:t>
      </w:r>
      <w:r w:rsidR="00CF07D5" w:rsidRPr="000431F7">
        <w:rPr>
          <w:rFonts w:ascii="Times New Roman" w:eastAsia="Times New Roman" w:hAnsi="Times New Roman" w:cs="Times New Roman"/>
          <w:bCs/>
          <w:kern w:val="0"/>
          <w:sz w:val="24"/>
          <w:szCs w:val="24"/>
          <w:lang w:eastAsia="pl-PL"/>
          <w14:ligatures w14:val="none"/>
        </w:rPr>
        <w:t xml:space="preserve">mające </w:t>
      </w:r>
      <w:r w:rsidRPr="000431F7">
        <w:rPr>
          <w:rFonts w:ascii="Times New Roman" w:eastAsia="Times New Roman" w:hAnsi="Times New Roman" w:cs="Times New Roman"/>
          <w:bCs/>
          <w:kern w:val="0"/>
          <w:sz w:val="24"/>
          <w:szCs w:val="24"/>
          <w:lang w:eastAsia="pl-PL"/>
          <w14:ligatures w14:val="none"/>
        </w:rPr>
        <w:t>oznakowan</w:t>
      </w:r>
      <w:r w:rsidR="00CF07D5" w:rsidRPr="000431F7">
        <w:rPr>
          <w:rFonts w:ascii="Times New Roman" w:eastAsia="Times New Roman" w:hAnsi="Times New Roman" w:cs="Times New Roman"/>
          <w:bCs/>
          <w:kern w:val="0"/>
          <w:sz w:val="24"/>
          <w:szCs w:val="24"/>
          <w:lang w:eastAsia="pl-PL"/>
          <w14:ligatures w14:val="none"/>
        </w:rPr>
        <w:t>i</w:t>
      </w:r>
      <w:r w:rsidRPr="000431F7">
        <w:rPr>
          <w:rFonts w:ascii="Times New Roman" w:eastAsia="Times New Roman" w:hAnsi="Times New Roman" w:cs="Times New Roman"/>
          <w:bCs/>
          <w:kern w:val="0"/>
          <w:sz w:val="24"/>
          <w:szCs w:val="24"/>
          <w:lang w:eastAsia="pl-PL"/>
          <w14:ligatures w14:val="none"/>
        </w:rPr>
        <w:t>e „europejska zielona obligacja” lub „</w:t>
      </w:r>
      <w:proofErr w:type="spellStart"/>
      <w:r w:rsidRPr="000431F7">
        <w:rPr>
          <w:rFonts w:ascii="Times New Roman" w:eastAsia="Times New Roman" w:hAnsi="Times New Roman" w:cs="Times New Roman"/>
          <w:bCs/>
          <w:kern w:val="0"/>
          <w:sz w:val="24"/>
          <w:szCs w:val="24"/>
          <w:lang w:eastAsia="pl-PL"/>
          <w14:ligatures w14:val="none"/>
        </w:rPr>
        <w:t>EuGB</w:t>
      </w:r>
      <w:proofErr w:type="spellEnd"/>
      <w:r w:rsidRPr="000431F7">
        <w:rPr>
          <w:rFonts w:ascii="Times New Roman" w:eastAsia="Times New Roman" w:hAnsi="Times New Roman" w:cs="Times New Roman"/>
          <w:bCs/>
          <w:kern w:val="0"/>
          <w:sz w:val="24"/>
          <w:szCs w:val="24"/>
          <w:lang w:eastAsia="pl-PL"/>
          <w14:ligatures w14:val="none"/>
        </w:rPr>
        <w:t>”, w zakresie wypełniania obowiązków wynikających z art. 14 ust. 1, art. 15, art. 18 i art. 19 rozporządzenia 2023/2631;</w:t>
      </w:r>
    </w:p>
    <w:p w14:paraId="4F21C16B" w14:textId="1D136926" w:rsidR="002D16A0" w:rsidRPr="000431F7" w:rsidRDefault="002D16A0" w:rsidP="004742CC">
      <w:pPr>
        <w:spacing w:before="120" w:after="0" w:line="360" w:lineRule="auto"/>
        <w:ind w:left="426" w:hanging="426"/>
        <w:jc w:val="both"/>
        <w:rPr>
          <w:rFonts w:ascii="Times New Roman" w:eastAsia="Times New Roman" w:hAnsi="Times New Roman" w:cs="Times New Roman"/>
          <w:bCs/>
          <w:kern w:val="0"/>
          <w:sz w:val="24"/>
          <w:szCs w:val="24"/>
          <w:lang w:eastAsia="pl-PL"/>
          <w14:ligatures w14:val="none"/>
        </w:rPr>
      </w:pPr>
      <w:r w:rsidRPr="000431F7">
        <w:rPr>
          <w:rFonts w:ascii="Times New Roman" w:eastAsia="Times New Roman" w:hAnsi="Times New Roman" w:cs="Times New Roman"/>
          <w:bCs/>
          <w:kern w:val="0"/>
          <w:sz w:val="24"/>
          <w:szCs w:val="24"/>
          <w:lang w:eastAsia="pl-PL"/>
          <w14:ligatures w14:val="none"/>
        </w:rPr>
        <w:t>3)</w:t>
      </w:r>
      <w:r w:rsidRPr="000431F7">
        <w:rPr>
          <w:rFonts w:ascii="Times New Roman" w:eastAsia="Times New Roman" w:hAnsi="Times New Roman" w:cs="Times New Roman"/>
          <w:bCs/>
          <w:kern w:val="0"/>
          <w:sz w:val="24"/>
          <w:szCs w:val="24"/>
          <w:lang w:eastAsia="pl-PL"/>
          <w14:ligatures w14:val="none"/>
        </w:rPr>
        <w:tab/>
        <w:t xml:space="preserve">jednostki inicjujące w rozumieniu art. 2 pkt 3 rozporządzenia 2017/2402 w zakresie wypełniania obowiązków wynikających z </w:t>
      </w:r>
      <w:bookmarkStart w:id="25" w:name="_Hlk174366278"/>
      <w:r w:rsidR="00CF07D5" w:rsidRPr="000431F7">
        <w:rPr>
          <w:rFonts w:ascii="Times New Roman" w:eastAsia="Times New Roman" w:hAnsi="Times New Roman" w:cs="Times New Roman"/>
          <w:bCs/>
          <w:kern w:val="0"/>
          <w:sz w:val="24"/>
          <w:szCs w:val="24"/>
          <w:lang w:eastAsia="pl-PL"/>
          <w14:ligatures w14:val="none"/>
        </w:rPr>
        <w:t xml:space="preserve">przepisów </w:t>
      </w:r>
      <w:r w:rsidRPr="000431F7">
        <w:rPr>
          <w:rFonts w:ascii="Times New Roman" w:eastAsia="Times New Roman" w:hAnsi="Times New Roman" w:cs="Times New Roman"/>
          <w:bCs/>
          <w:kern w:val="0"/>
          <w:sz w:val="24"/>
          <w:szCs w:val="24"/>
          <w:lang w:eastAsia="pl-PL"/>
          <w14:ligatures w14:val="none"/>
        </w:rPr>
        <w:t>tytułu II rozdziału 2, art. 18 i art. 19 rozporządzenia 2023/2631</w:t>
      </w:r>
      <w:bookmarkEnd w:id="25"/>
      <w:r w:rsidRPr="000431F7">
        <w:rPr>
          <w:rFonts w:ascii="Times New Roman" w:eastAsia="Times New Roman" w:hAnsi="Times New Roman" w:cs="Times New Roman"/>
          <w:bCs/>
          <w:kern w:val="0"/>
          <w:sz w:val="24"/>
          <w:szCs w:val="24"/>
          <w:lang w:eastAsia="pl-PL"/>
          <w14:ligatures w14:val="none"/>
        </w:rPr>
        <w:t xml:space="preserve"> – </w:t>
      </w:r>
      <w:bookmarkStart w:id="26" w:name="_Hlk174702148"/>
      <w:r w:rsidRPr="000431F7">
        <w:rPr>
          <w:rFonts w:ascii="Times New Roman" w:eastAsia="Times New Roman" w:hAnsi="Times New Roman" w:cs="Times New Roman"/>
          <w:bCs/>
          <w:kern w:val="0"/>
          <w:sz w:val="24"/>
          <w:szCs w:val="24"/>
          <w:lang w:eastAsia="pl-PL"/>
          <w14:ligatures w14:val="none"/>
        </w:rPr>
        <w:t>w przypadku gdy korzysta ona ze środków pochodzących z emisji obligacji sekurytyzacyjnych, o których mowa w art. 2 pkt 22 rozporządzenia 2023/2631</w:t>
      </w:r>
      <w:r w:rsidR="00B1604A" w:rsidRPr="000431F7">
        <w:rPr>
          <w:rFonts w:ascii="Times New Roman" w:eastAsia="Times New Roman" w:hAnsi="Times New Roman" w:cs="Times New Roman"/>
          <w:bCs/>
          <w:kern w:val="0"/>
          <w:sz w:val="24"/>
          <w:szCs w:val="24"/>
          <w:lang w:eastAsia="pl-PL"/>
          <w14:ligatures w14:val="none"/>
        </w:rPr>
        <w:t xml:space="preserve"> mających </w:t>
      </w:r>
      <w:r w:rsidRPr="000431F7">
        <w:rPr>
          <w:rFonts w:ascii="Times New Roman" w:eastAsia="Times New Roman" w:hAnsi="Times New Roman" w:cs="Times New Roman"/>
          <w:bCs/>
          <w:kern w:val="0"/>
          <w:sz w:val="24"/>
          <w:szCs w:val="24"/>
          <w:lang w:eastAsia="pl-PL"/>
          <w14:ligatures w14:val="none"/>
        </w:rPr>
        <w:t>oznakowan</w:t>
      </w:r>
      <w:r w:rsidR="00B1604A" w:rsidRPr="000431F7">
        <w:rPr>
          <w:rFonts w:ascii="Times New Roman" w:eastAsia="Times New Roman" w:hAnsi="Times New Roman" w:cs="Times New Roman"/>
          <w:bCs/>
          <w:kern w:val="0"/>
          <w:sz w:val="24"/>
          <w:szCs w:val="24"/>
          <w:lang w:eastAsia="pl-PL"/>
          <w14:ligatures w14:val="none"/>
        </w:rPr>
        <w:t>ie</w:t>
      </w:r>
      <w:r w:rsidRPr="000431F7">
        <w:rPr>
          <w:rFonts w:ascii="Times New Roman" w:eastAsia="Times New Roman" w:hAnsi="Times New Roman" w:cs="Times New Roman"/>
          <w:bCs/>
          <w:kern w:val="0"/>
          <w:sz w:val="24"/>
          <w:szCs w:val="24"/>
          <w:lang w:eastAsia="pl-PL"/>
          <w14:ligatures w14:val="none"/>
        </w:rPr>
        <w:t xml:space="preserve"> jako „europejska zielona obligacja” lub „</w:t>
      </w:r>
      <w:proofErr w:type="spellStart"/>
      <w:r w:rsidRPr="000431F7">
        <w:rPr>
          <w:rFonts w:ascii="Times New Roman" w:eastAsia="Times New Roman" w:hAnsi="Times New Roman" w:cs="Times New Roman"/>
          <w:bCs/>
          <w:kern w:val="0"/>
          <w:sz w:val="24"/>
          <w:szCs w:val="24"/>
          <w:lang w:eastAsia="pl-PL"/>
          <w14:ligatures w14:val="none"/>
        </w:rPr>
        <w:t>EuGB</w:t>
      </w:r>
      <w:proofErr w:type="spellEnd"/>
      <w:r w:rsidRPr="000431F7">
        <w:rPr>
          <w:rFonts w:ascii="Times New Roman" w:eastAsia="Times New Roman" w:hAnsi="Times New Roman" w:cs="Times New Roman"/>
          <w:bCs/>
          <w:kern w:val="0"/>
          <w:sz w:val="24"/>
          <w:szCs w:val="24"/>
          <w:lang w:eastAsia="pl-PL"/>
          <w14:ligatures w14:val="none"/>
        </w:rPr>
        <w:t>”</w:t>
      </w:r>
      <w:bookmarkEnd w:id="26"/>
      <w:r w:rsidRPr="000431F7">
        <w:rPr>
          <w:rFonts w:ascii="Times New Roman" w:eastAsia="Times New Roman" w:hAnsi="Times New Roman" w:cs="Times New Roman"/>
          <w:bCs/>
          <w:kern w:val="0"/>
          <w:sz w:val="24"/>
          <w:szCs w:val="24"/>
          <w:lang w:eastAsia="pl-PL"/>
          <w14:ligatures w14:val="none"/>
        </w:rPr>
        <w:t>;</w:t>
      </w:r>
    </w:p>
    <w:p w14:paraId="5D060FF8" w14:textId="7CB8E3B2" w:rsidR="002D16A0" w:rsidRPr="000431F7" w:rsidRDefault="002D16A0" w:rsidP="004742CC">
      <w:pPr>
        <w:spacing w:before="120" w:after="0" w:line="360" w:lineRule="auto"/>
        <w:ind w:left="426" w:hanging="426"/>
        <w:jc w:val="both"/>
        <w:rPr>
          <w:rFonts w:ascii="Times New Roman" w:eastAsia="Times New Roman" w:hAnsi="Times New Roman" w:cs="Times New Roman"/>
          <w:bCs/>
          <w:kern w:val="0"/>
          <w:sz w:val="24"/>
          <w:szCs w:val="24"/>
          <w:lang w:eastAsia="pl-PL"/>
          <w14:ligatures w14:val="none"/>
        </w:rPr>
      </w:pPr>
      <w:r w:rsidRPr="000431F7">
        <w:rPr>
          <w:rFonts w:ascii="Times New Roman" w:eastAsia="Times New Roman" w:hAnsi="Times New Roman" w:cs="Times New Roman"/>
          <w:bCs/>
          <w:kern w:val="0"/>
          <w:sz w:val="24"/>
          <w:szCs w:val="24"/>
          <w:lang w:eastAsia="pl-PL"/>
          <w14:ligatures w14:val="none"/>
        </w:rPr>
        <w:t>4)</w:t>
      </w:r>
      <w:r w:rsidRPr="000431F7">
        <w:rPr>
          <w:rFonts w:ascii="Times New Roman" w:eastAsia="Times New Roman" w:hAnsi="Times New Roman" w:cs="Times New Roman"/>
          <w:bCs/>
          <w:kern w:val="0"/>
          <w:sz w:val="24"/>
          <w:szCs w:val="24"/>
          <w:lang w:eastAsia="pl-PL"/>
          <w14:ligatures w14:val="none"/>
        </w:rPr>
        <w:tab/>
        <w:t>emiten</w:t>
      </w:r>
      <w:r w:rsidR="00AF01F8" w:rsidRPr="000431F7">
        <w:rPr>
          <w:rFonts w:ascii="Times New Roman" w:eastAsia="Times New Roman" w:hAnsi="Times New Roman" w:cs="Times New Roman"/>
          <w:bCs/>
          <w:kern w:val="0"/>
          <w:sz w:val="24"/>
          <w:szCs w:val="24"/>
          <w:lang w:eastAsia="pl-PL"/>
          <w14:ligatures w14:val="none"/>
        </w:rPr>
        <w:t>ci</w:t>
      </w:r>
      <w:r w:rsidRPr="000431F7">
        <w:rPr>
          <w:rFonts w:ascii="Times New Roman" w:eastAsia="Times New Roman" w:hAnsi="Times New Roman" w:cs="Times New Roman"/>
          <w:bCs/>
          <w:kern w:val="0"/>
          <w:sz w:val="24"/>
          <w:szCs w:val="24"/>
          <w:lang w:eastAsia="pl-PL"/>
          <w14:ligatures w14:val="none"/>
        </w:rPr>
        <w:t xml:space="preserve"> obligacji, w tym jednostki specjalnego przeznaczenia do celów sekurytyzacji w rozumieniu art. 2 pkt 2 rozporządzenia 2017/2402, któr</w:t>
      </w:r>
      <w:r w:rsidR="00AF01F8" w:rsidRPr="000431F7">
        <w:rPr>
          <w:rFonts w:ascii="Times New Roman" w:eastAsia="Times New Roman" w:hAnsi="Times New Roman" w:cs="Times New Roman"/>
          <w:bCs/>
          <w:kern w:val="0"/>
          <w:sz w:val="24"/>
          <w:szCs w:val="24"/>
          <w:lang w:eastAsia="pl-PL"/>
          <w14:ligatures w14:val="none"/>
        </w:rPr>
        <w:t>z</w:t>
      </w:r>
      <w:r w:rsidRPr="000431F7">
        <w:rPr>
          <w:rFonts w:ascii="Times New Roman" w:eastAsia="Times New Roman" w:hAnsi="Times New Roman" w:cs="Times New Roman"/>
          <w:bCs/>
          <w:kern w:val="0"/>
          <w:sz w:val="24"/>
          <w:szCs w:val="24"/>
          <w:lang w:eastAsia="pl-PL"/>
          <w14:ligatures w14:val="none"/>
        </w:rPr>
        <w:t>y korzysta</w:t>
      </w:r>
      <w:r w:rsidR="00AF01F8" w:rsidRPr="000431F7">
        <w:rPr>
          <w:rFonts w:ascii="Times New Roman" w:eastAsia="Times New Roman" w:hAnsi="Times New Roman" w:cs="Times New Roman"/>
          <w:bCs/>
          <w:kern w:val="0"/>
          <w:sz w:val="24"/>
          <w:szCs w:val="24"/>
          <w:lang w:eastAsia="pl-PL"/>
          <w14:ligatures w14:val="none"/>
        </w:rPr>
        <w:t>ją</w:t>
      </w:r>
      <w:r w:rsidRPr="000431F7">
        <w:rPr>
          <w:rFonts w:ascii="Times New Roman" w:eastAsia="Times New Roman" w:hAnsi="Times New Roman" w:cs="Times New Roman"/>
          <w:bCs/>
          <w:kern w:val="0"/>
          <w:sz w:val="24"/>
          <w:szCs w:val="24"/>
          <w:lang w:eastAsia="pl-PL"/>
          <w14:ligatures w14:val="none"/>
        </w:rPr>
        <w:t xml:space="preserve"> ze wspólnych wzorów formularzy, o których mowa w art. 21 rozporządzenia 2023/2631, w zakresie zgodności ujawnianych informacji z tymi wzorami formularzy.</w:t>
      </w:r>
    </w:p>
    <w:p w14:paraId="711EDAEA" w14:textId="0CB58CFB" w:rsidR="00381FD6" w:rsidRPr="000431F7" w:rsidRDefault="00381FD6" w:rsidP="004742CC">
      <w:pPr>
        <w:spacing w:before="120" w:after="0" w:line="360" w:lineRule="auto"/>
        <w:jc w:val="both"/>
        <w:rPr>
          <w:rFonts w:ascii="Times New Roman" w:hAnsi="Times New Roman" w:cs="Times New Roman"/>
          <w:sz w:val="24"/>
          <w:szCs w:val="24"/>
        </w:rPr>
      </w:pPr>
      <w:r w:rsidRPr="007D77BD">
        <w:rPr>
          <w:rFonts w:ascii="Times New Roman" w:hAnsi="Times New Roman" w:cs="Times New Roman"/>
          <w:sz w:val="24"/>
          <w:szCs w:val="24"/>
        </w:rPr>
        <w:lastRenderedPageBreak/>
        <w:t>Art. 18z</w:t>
      </w:r>
      <w:r w:rsidR="00B1604A" w:rsidRPr="007D77BD">
        <w:rPr>
          <w:rFonts w:ascii="Times New Roman" w:hAnsi="Times New Roman" w:cs="Times New Roman"/>
          <w:sz w:val="24"/>
          <w:szCs w:val="24"/>
        </w:rPr>
        <w:t>q</w:t>
      </w:r>
      <w:r w:rsidRPr="007D77BD">
        <w:rPr>
          <w:rFonts w:ascii="Times New Roman" w:hAnsi="Times New Roman" w:cs="Times New Roman"/>
          <w:sz w:val="24"/>
          <w:szCs w:val="24"/>
        </w:rPr>
        <w:t xml:space="preserve"> ust. 2 określa</w:t>
      </w:r>
      <w:r w:rsidRPr="000431F7">
        <w:rPr>
          <w:rFonts w:ascii="Times New Roman" w:hAnsi="Times New Roman" w:cs="Times New Roman"/>
          <w:sz w:val="24"/>
          <w:szCs w:val="24"/>
        </w:rPr>
        <w:t xml:space="preserve"> procedurę przeprowadzania kontroli u emitentów zielonych obligacji. Zgodnie z tym przepisem kontrole przeprowadzane są przez pracowników Urzędu </w:t>
      </w:r>
      <w:r w:rsidR="002D16A0" w:rsidRPr="000431F7">
        <w:rPr>
          <w:rFonts w:ascii="Times New Roman" w:hAnsi="Times New Roman" w:cs="Times New Roman"/>
          <w:sz w:val="24"/>
          <w:szCs w:val="24"/>
        </w:rPr>
        <w:t>KNF</w:t>
      </w:r>
      <w:r w:rsidRPr="000431F7">
        <w:rPr>
          <w:rFonts w:ascii="Times New Roman" w:hAnsi="Times New Roman" w:cs="Times New Roman"/>
          <w:sz w:val="24"/>
          <w:szCs w:val="24"/>
        </w:rPr>
        <w:t xml:space="preserve"> po okazaniu legitymacji służbowej oraz doręczeniu upoważnienia do przeprowadzenia kontroli. Upoważnienie to musi być wydane przez Przewodniczącego </w:t>
      </w:r>
      <w:r w:rsidR="002D16A0" w:rsidRPr="000431F7">
        <w:rPr>
          <w:rFonts w:ascii="Times New Roman" w:hAnsi="Times New Roman" w:cs="Times New Roman"/>
          <w:sz w:val="24"/>
          <w:szCs w:val="24"/>
        </w:rPr>
        <w:t>KNF</w:t>
      </w:r>
      <w:r w:rsidRPr="000431F7">
        <w:rPr>
          <w:rFonts w:ascii="Times New Roman" w:hAnsi="Times New Roman" w:cs="Times New Roman"/>
          <w:sz w:val="24"/>
          <w:szCs w:val="24"/>
        </w:rPr>
        <w:t xml:space="preserve"> lub osobę przez niego upoważnioną.</w:t>
      </w:r>
    </w:p>
    <w:p w14:paraId="47C13E57" w14:textId="1EF05631" w:rsidR="00381FD6" w:rsidRPr="000431F7" w:rsidRDefault="00381FD6" w:rsidP="004742CC">
      <w:pPr>
        <w:spacing w:before="120" w:after="0" w:line="360" w:lineRule="auto"/>
        <w:jc w:val="both"/>
        <w:rPr>
          <w:rFonts w:ascii="Times New Roman" w:hAnsi="Times New Roman" w:cs="Times New Roman"/>
          <w:sz w:val="24"/>
          <w:szCs w:val="24"/>
        </w:rPr>
      </w:pPr>
      <w:r w:rsidRPr="000431F7">
        <w:rPr>
          <w:rFonts w:ascii="Times New Roman" w:hAnsi="Times New Roman" w:cs="Times New Roman"/>
          <w:sz w:val="24"/>
          <w:szCs w:val="24"/>
        </w:rPr>
        <w:t>Art. 18z</w:t>
      </w:r>
      <w:r w:rsidR="00FC3A45" w:rsidRPr="000431F7">
        <w:rPr>
          <w:rFonts w:ascii="Times New Roman" w:hAnsi="Times New Roman" w:cs="Times New Roman"/>
          <w:sz w:val="24"/>
          <w:szCs w:val="24"/>
        </w:rPr>
        <w:t>q</w:t>
      </w:r>
      <w:r w:rsidRPr="000431F7">
        <w:rPr>
          <w:rFonts w:ascii="Times New Roman" w:hAnsi="Times New Roman" w:cs="Times New Roman"/>
          <w:sz w:val="24"/>
          <w:szCs w:val="24"/>
        </w:rPr>
        <w:t xml:space="preserve"> ust. 3 określa, jakie elementy musi zawierać upoważnienie do kontroli. Są to: </w:t>
      </w:r>
    </w:p>
    <w:p w14:paraId="5B8168D8" w14:textId="4771C7AC" w:rsidR="00381FD6" w:rsidRPr="000431F7" w:rsidRDefault="00381FD6" w:rsidP="004742CC">
      <w:pPr>
        <w:pStyle w:val="Akapitzlist"/>
        <w:numPr>
          <w:ilvl w:val="0"/>
          <w:numId w:val="33"/>
        </w:numPr>
        <w:spacing w:before="120" w:after="0" w:line="360" w:lineRule="auto"/>
        <w:ind w:left="426" w:hanging="426"/>
        <w:jc w:val="both"/>
        <w:rPr>
          <w:rFonts w:ascii="Times New Roman" w:hAnsi="Times New Roman" w:cs="Times New Roman"/>
          <w:sz w:val="24"/>
          <w:szCs w:val="24"/>
        </w:rPr>
      </w:pPr>
      <w:r w:rsidRPr="000431F7">
        <w:rPr>
          <w:rFonts w:ascii="Times New Roman" w:hAnsi="Times New Roman" w:cs="Times New Roman"/>
          <w:sz w:val="24"/>
          <w:szCs w:val="24"/>
        </w:rPr>
        <w:t>podstawa prawna</w:t>
      </w:r>
      <w:r w:rsidR="00FC3A45" w:rsidRPr="000431F7">
        <w:rPr>
          <w:rFonts w:ascii="Times New Roman" w:hAnsi="Times New Roman" w:cs="Times New Roman"/>
          <w:sz w:val="24"/>
          <w:szCs w:val="24"/>
        </w:rPr>
        <w:t xml:space="preserve"> do przeprowadzenia kontroli</w:t>
      </w:r>
      <w:r w:rsidRPr="000431F7">
        <w:rPr>
          <w:rFonts w:ascii="Times New Roman" w:hAnsi="Times New Roman" w:cs="Times New Roman"/>
          <w:sz w:val="24"/>
          <w:szCs w:val="24"/>
        </w:rPr>
        <w:t xml:space="preserve">, </w:t>
      </w:r>
    </w:p>
    <w:p w14:paraId="0EA00D20" w14:textId="052761DB" w:rsidR="00381FD6" w:rsidRPr="000431F7" w:rsidRDefault="002D16A0" w:rsidP="004742CC">
      <w:pPr>
        <w:pStyle w:val="Akapitzlist"/>
        <w:numPr>
          <w:ilvl w:val="0"/>
          <w:numId w:val="33"/>
        </w:numPr>
        <w:spacing w:before="120" w:after="0" w:line="360" w:lineRule="auto"/>
        <w:ind w:left="426" w:hanging="426"/>
        <w:jc w:val="both"/>
        <w:rPr>
          <w:rFonts w:ascii="Times New Roman" w:hAnsi="Times New Roman" w:cs="Times New Roman"/>
          <w:sz w:val="24"/>
          <w:szCs w:val="24"/>
        </w:rPr>
      </w:pPr>
      <w:r w:rsidRPr="000431F7">
        <w:rPr>
          <w:rFonts w:ascii="Times New Roman" w:hAnsi="Times New Roman" w:cs="Times New Roman"/>
          <w:sz w:val="24"/>
          <w:szCs w:val="24"/>
        </w:rPr>
        <w:t>oznaczenie</w:t>
      </w:r>
      <w:r w:rsidR="00381FD6" w:rsidRPr="000431F7">
        <w:rPr>
          <w:rFonts w:ascii="Times New Roman" w:hAnsi="Times New Roman" w:cs="Times New Roman"/>
          <w:sz w:val="24"/>
          <w:szCs w:val="24"/>
        </w:rPr>
        <w:t xml:space="preserve"> organu kontrol</w:t>
      </w:r>
      <w:r w:rsidR="00FC3A45" w:rsidRPr="000431F7">
        <w:rPr>
          <w:rFonts w:ascii="Times New Roman" w:hAnsi="Times New Roman" w:cs="Times New Roman"/>
          <w:sz w:val="24"/>
          <w:szCs w:val="24"/>
        </w:rPr>
        <w:t>i</w:t>
      </w:r>
      <w:r w:rsidR="00381FD6" w:rsidRPr="000431F7">
        <w:rPr>
          <w:rFonts w:ascii="Times New Roman" w:hAnsi="Times New Roman" w:cs="Times New Roman"/>
          <w:sz w:val="24"/>
          <w:szCs w:val="24"/>
        </w:rPr>
        <w:t xml:space="preserve">, </w:t>
      </w:r>
    </w:p>
    <w:p w14:paraId="2D243242" w14:textId="45F06373" w:rsidR="00381FD6" w:rsidRPr="000431F7" w:rsidRDefault="00381FD6" w:rsidP="004742CC">
      <w:pPr>
        <w:pStyle w:val="Akapitzlist"/>
        <w:numPr>
          <w:ilvl w:val="0"/>
          <w:numId w:val="33"/>
        </w:numPr>
        <w:spacing w:before="120" w:after="0" w:line="360" w:lineRule="auto"/>
        <w:ind w:left="426" w:hanging="426"/>
        <w:jc w:val="both"/>
        <w:rPr>
          <w:rFonts w:ascii="Times New Roman" w:hAnsi="Times New Roman" w:cs="Times New Roman"/>
          <w:sz w:val="24"/>
          <w:szCs w:val="24"/>
        </w:rPr>
      </w:pPr>
      <w:r w:rsidRPr="000431F7">
        <w:rPr>
          <w:rFonts w:ascii="Times New Roman" w:hAnsi="Times New Roman" w:cs="Times New Roman"/>
          <w:sz w:val="24"/>
          <w:szCs w:val="24"/>
        </w:rPr>
        <w:t>data i miejsce wystawienia</w:t>
      </w:r>
      <w:r w:rsidR="00FC3A45" w:rsidRPr="000431F7">
        <w:rPr>
          <w:rFonts w:ascii="Times New Roman" w:hAnsi="Times New Roman" w:cs="Times New Roman"/>
          <w:sz w:val="24"/>
          <w:szCs w:val="24"/>
        </w:rPr>
        <w:t xml:space="preserve"> upoważnienia</w:t>
      </w:r>
      <w:r w:rsidRPr="000431F7">
        <w:rPr>
          <w:rFonts w:ascii="Times New Roman" w:hAnsi="Times New Roman" w:cs="Times New Roman"/>
          <w:sz w:val="24"/>
          <w:szCs w:val="24"/>
        </w:rPr>
        <w:t xml:space="preserve">, </w:t>
      </w:r>
    </w:p>
    <w:p w14:paraId="60A8D934" w14:textId="52E1D00C" w:rsidR="00381FD6" w:rsidRPr="000431F7" w:rsidRDefault="00FC3A45" w:rsidP="004742CC">
      <w:pPr>
        <w:pStyle w:val="Akapitzlist"/>
        <w:numPr>
          <w:ilvl w:val="0"/>
          <w:numId w:val="33"/>
        </w:numPr>
        <w:spacing w:before="120" w:after="0" w:line="360" w:lineRule="auto"/>
        <w:ind w:left="426" w:hanging="426"/>
        <w:jc w:val="both"/>
        <w:rPr>
          <w:rFonts w:ascii="Times New Roman" w:hAnsi="Times New Roman" w:cs="Times New Roman"/>
          <w:sz w:val="24"/>
          <w:szCs w:val="24"/>
        </w:rPr>
      </w:pPr>
      <w:r w:rsidRPr="000431F7">
        <w:rPr>
          <w:rFonts w:ascii="Times New Roman" w:hAnsi="Times New Roman" w:cs="Times New Roman"/>
          <w:sz w:val="24"/>
          <w:szCs w:val="24"/>
        </w:rPr>
        <w:t>imię i nazwisko, stanowisko oraz numer legitymacji służbowej pracownika Urzędu Komisji prowadzącego czynności kontrolne</w:t>
      </w:r>
      <w:r w:rsidR="00381FD6" w:rsidRPr="000431F7">
        <w:rPr>
          <w:rFonts w:ascii="Times New Roman" w:hAnsi="Times New Roman" w:cs="Times New Roman"/>
          <w:sz w:val="24"/>
          <w:szCs w:val="24"/>
        </w:rPr>
        <w:t xml:space="preserve">, </w:t>
      </w:r>
    </w:p>
    <w:p w14:paraId="48A187D1" w14:textId="07E21C31" w:rsidR="00381FD6" w:rsidRPr="000431F7" w:rsidRDefault="002D16A0" w:rsidP="004742CC">
      <w:pPr>
        <w:pStyle w:val="Akapitzlist"/>
        <w:numPr>
          <w:ilvl w:val="0"/>
          <w:numId w:val="33"/>
        </w:numPr>
        <w:spacing w:before="120" w:after="0" w:line="360" w:lineRule="auto"/>
        <w:ind w:left="426" w:hanging="426"/>
        <w:jc w:val="both"/>
        <w:rPr>
          <w:rFonts w:ascii="Times New Roman" w:hAnsi="Times New Roman" w:cs="Times New Roman"/>
          <w:sz w:val="24"/>
          <w:szCs w:val="24"/>
        </w:rPr>
      </w:pPr>
      <w:r w:rsidRPr="000431F7">
        <w:rPr>
          <w:rFonts w:ascii="Times New Roman" w:hAnsi="Times New Roman" w:cs="Times New Roman"/>
          <w:sz w:val="24"/>
          <w:szCs w:val="24"/>
        </w:rPr>
        <w:t>oznaczenie</w:t>
      </w:r>
      <w:r w:rsidR="00381FD6" w:rsidRPr="000431F7">
        <w:rPr>
          <w:rFonts w:ascii="Times New Roman" w:hAnsi="Times New Roman" w:cs="Times New Roman"/>
          <w:sz w:val="24"/>
          <w:szCs w:val="24"/>
        </w:rPr>
        <w:t xml:space="preserve"> kontrolowanego podmiotu, </w:t>
      </w:r>
    </w:p>
    <w:p w14:paraId="77E4344A" w14:textId="77777777" w:rsidR="00381FD6" w:rsidRPr="000431F7" w:rsidRDefault="00381FD6" w:rsidP="004742CC">
      <w:pPr>
        <w:pStyle w:val="Akapitzlist"/>
        <w:numPr>
          <w:ilvl w:val="0"/>
          <w:numId w:val="33"/>
        </w:numPr>
        <w:spacing w:before="120" w:after="0" w:line="360" w:lineRule="auto"/>
        <w:ind w:left="426" w:hanging="426"/>
        <w:jc w:val="both"/>
        <w:rPr>
          <w:rFonts w:ascii="Times New Roman" w:hAnsi="Times New Roman" w:cs="Times New Roman"/>
          <w:sz w:val="24"/>
          <w:szCs w:val="24"/>
        </w:rPr>
      </w:pPr>
      <w:r w:rsidRPr="000431F7">
        <w:rPr>
          <w:rFonts w:ascii="Times New Roman" w:hAnsi="Times New Roman" w:cs="Times New Roman"/>
          <w:sz w:val="24"/>
          <w:szCs w:val="24"/>
        </w:rPr>
        <w:t xml:space="preserve">termin rozpoczęcia i przewidywana data zakończenia kontroli, </w:t>
      </w:r>
    </w:p>
    <w:p w14:paraId="08B6F325" w14:textId="3C18FB54" w:rsidR="00381FD6" w:rsidRPr="000431F7" w:rsidRDefault="00381FD6" w:rsidP="004742CC">
      <w:pPr>
        <w:pStyle w:val="Akapitzlist"/>
        <w:numPr>
          <w:ilvl w:val="0"/>
          <w:numId w:val="33"/>
        </w:numPr>
        <w:spacing w:before="120" w:after="0" w:line="360" w:lineRule="auto"/>
        <w:ind w:left="426" w:hanging="426"/>
        <w:jc w:val="both"/>
        <w:rPr>
          <w:rFonts w:ascii="Times New Roman" w:hAnsi="Times New Roman" w:cs="Times New Roman"/>
          <w:sz w:val="24"/>
          <w:szCs w:val="24"/>
        </w:rPr>
      </w:pPr>
      <w:r w:rsidRPr="000431F7">
        <w:rPr>
          <w:rFonts w:ascii="Times New Roman" w:hAnsi="Times New Roman" w:cs="Times New Roman"/>
          <w:sz w:val="24"/>
          <w:szCs w:val="24"/>
        </w:rPr>
        <w:t xml:space="preserve">zakres </w:t>
      </w:r>
      <w:r w:rsidR="00FC3A45" w:rsidRPr="000431F7">
        <w:rPr>
          <w:rFonts w:ascii="Times New Roman" w:hAnsi="Times New Roman" w:cs="Times New Roman"/>
          <w:sz w:val="24"/>
          <w:szCs w:val="24"/>
        </w:rPr>
        <w:t xml:space="preserve">przedmiotowy </w:t>
      </w:r>
      <w:r w:rsidRPr="000431F7">
        <w:rPr>
          <w:rFonts w:ascii="Times New Roman" w:hAnsi="Times New Roman" w:cs="Times New Roman"/>
          <w:sz w:val="24"/>
          <w:szCs w:val="24"/>
        </w:rPr>
        <w:t>kontroli.</w:t>
      </w:r>
    </w:p>
    <w:p w14:paraId="6D9A9A72" w14:textId="3BF72CC2" w:rsidR="00381FD6" w:rsidRPr="000431F7" w:rsidRDefault="00381FD6" w:rsidP="004742CC">
      <w:pPr>
        <w:spacing w:before="120" w:after="0" w:line="360" w:lineRule="auto"/>
        <w:jc w:val="both"/>
        <w:rPr>
          <w:rFonts w:ascii="Times New Roman" w:hAnsi="Times New Roman" w:cs="Times New Roman"/>
          <w:sz w:val="24"/>
          <w:szCs w:val="24"/>
        </w:rPr>
      </w:pPr>
      <w:r w:rsidRPr="000431F7">
        <w:rPr>
          <w:rFonts w:ascii="Times New Roman" w:hAnsi="Times New Roman" w:cs="Times New Roman"/>
          <w:sz w:val="24"/>
          <w:szCs w:val="24"/>
        </w:rPr>
        <w:t>Zgodnie z art. 18z</w:t>
      </w:r>
      <w:r w:rsidR="00FC3A45" w:rsidRPr="000431F7">
        <w:rPr>
          <w:rFonts w:ascii="Times New Roman" w:hAnsi="Times New Roman" w:cs="Times New Roman"/>
          <w:sz w:val="24"/>
          <w:szCs w:val="24"/>
        </w:rPr>
        <w:t>q</w:t>
      </w:r>
      <w:r w:rsidRPr="000431F7">
        <w:rPr>
          <w:rFonts w:ascii="Times New Roman" w:hAnsi="Times New Roman" w:cs="Times New Roman"/>
          <w:sz w:val="24"/>
          <w:szCs w:val="24"/>
        </w:rPr>
        <w:t xml:space="preserve"> ust. 4 pracownicy Komisji mają szeroki zakres uprawnień, które obejmują: </w:t>
      </w:r>
    </w:p>
    <w:p w14:paraId="5F23F69B" w14:textId="77777777" w:rsidR="00381FD6" w:rsidRPr="000431F7" w:rsidRDefault="00381FD6" w:rsidP="004742CC">
      <w:pPr>
        <w:pStyle w:val="Akapitzlist"/>
        <w:numPr>
          <w:ilvl w:val="0"/>
          <w:numId w:val="34"/>
        </w:numPr>
        <w:spacing w:before="120" w:after="0" w:line="360" w:lineRule="auto"/>
        <w:ind w:left="426" w:hanging="426"/>
        <w:jc w:val="both"/>
        <w:rPr>
          <w:rFonts w:ascii="Times New Roman" w:hAnsi="Times New Roman" w:cs="Times New Roman"/>
          <w:sz w:val="24"/>
          <w:szCs w:val="24"/>
        </w:rPr>
      </w:pPr>
      <w:r w:rsidRPr="000431F7">
        <w:rPr>
          <w:rFonts w:ascii="Times New Roman" w:hAnsi="Times New Roman" w:cs="Times New Roman"/>
          <w:sz w:val="24"/>
          <w:szCs w:val="24"/>
        </w:rPr>
        <w:t xml:space="preserve">wstęp na grunt oraz do budynków, lokali lub innych pomieszczeń kontrolowanego podmiotu; </w:t>
      </w:r>
    </w:p>
    <w:p w14:paraId="01B8876E" w14:textId="77777777" w:rsidR="00381FD6" w:rsidRPr="000431F7" w:rsidRDefault="00381FD6" w:rsidP="004742CC">
      <w:pPr>
        <w:pStyle w:val="Akapitzlist"/>
        <w:numPr>
          <w:ilvl w:val="0"/>
          <w:numId w:val="34"/>
        </w:numPr>
        <w:spacing w:before="120" w:after="0" w:line="360" w:lineRule="auto"/>
        <w:ind w:left="426" w:hanging="426"/>
        <w:jc w:val="both"/>
        <w:rPr>
          <w:rFonts w:ascii="Times New Roman" w:hAnsi="Times New Roman" w:cs="Times New Roman"/>
          <w:sz w:val="24"/>
          <w:szCs w:val="24"/>
        </w:rPr>
      </w:pPr>
      <w:r w:rsidRPr="000431F7">
        <w:rPr>
          <w:rFonts w:ascii="Times New Roman" w:hAnsi="Times New Roman" w:cs="Times New Roman"/>
          <w:sz w:val="24"/>
          <w:szCs w:val="24"/>
        </w:rPr>
        <w:t xml:space="preserve">żądanie wyjaśnień; </w:t>
      </w:r>
    </w:p>
    <w:p w14:paraId="1F3048C0" w14:textId="77777777" w:rsidR="00381FD6" w:rsidRPr="000431F7" w:rsidRDefault="00381FD6" w:rsidP="004742CC">
      <w:pPr>
        <w:pStyle w:val="Akapitzlist"/>
        <w:numPr>
          <w:ilvl w:val="0"/>
          <w:numId w:val="34"/>
        </w:numPr>
        <w:spacing w:before="120" w:after="0" w:line="360" w:lineRule="auto"/>
        <w:ind w:left="426" w:hanging="426"/>
        <w:jc w:val="both"/>
        <w:rPr>
          <w:rFonts w:ascii="Times New Roman" w:hAnsi="Times New Roman" w:cs="Times New Roman"/>
          <w:sz w:val="24"/>
          <w:szCs w:val="24"/>
        </w:rPr>
      </w:pPr>
      <w:r w:rsidRPr="000431F7">
        <w:rPr>
          <w:rFonts w:ascii="Times New Roman" w:hAnsi="Times New Roman" w:cs="Times New Roman"/>
          <w:sz w:val="24"/>
          <w:szCs w:val="24"/>
        </w:rPr>
        <w:t xml:space="preserve">wgląd do dokumentacji; </w:t>
      </w:r>
    </w:p>
    <w:p w14:paraId="1A63B3AA" w14:textId="77777777" w:rsidR="00381FD6" w:rsidRPr="000431F7" w:rsidRDefault="00381FD6" w:rsidP="004742CC">
      <w:pPr>
        <w:pStyle w:val="Akapitzlist"/>
        <w:numPr>
          <w:ilvl w:val="0"/>
          <w:numId w:val="34"/>
        </w:numPr>
        <w:spacing w:before="120" w:after="0" w:line="360" w:lineRule="auto"/>
        <w:ind w:left="426" w:hanging="426"/>
        <w:jc w:val="both"/>
        <w:rPr>
          <w:rFonts w:ascii="Times New Roman" w:hAnsi="Times New Roman" w:cs="Times New Roman"/>
          <w:sz w:val="24"/>
          <w:szCs w:val="24"/>
        </w:rPr>
      </w:pPr>
      <w:r w:rsidRPr="000431F7">
        <w:rPr>
          <w:rFonts w:ascii="Times New Roman" w:hAnsi="Times New Roman" w:cs="Times New Roman"/>
          <w:sz w:val="24"/>
          <w:szCs w:val="24"/>
        </w:rPr>
        <w:t xml:space="preserve">poświadczenie dokumentów; </w:t>
      </w:r>
    </w:p>
    <w:p w14:paraId="7DF036ED" w14:textId="77777777" w:rsidR="00381FD6" w:rsidRPr="000431F7" w:rsidRDefault="00381FD6" w:rsidP="004742CC">
      <w:pPr>
        <w:pStyle w:val="Akapitzlist"/>
        <w:numPr>
          <w:ilvl w:val="0"/>
          <w:numId w:val="34"/>
        </w:numPr>
        <w:spacing w:before="120" w:after="0" w:line="360" w:lineRule="auto"/>
        <w:ind w:left="426" w:hanging="426"/>
        <w:jc w:val="both"/>
        <w:rPr>
          <w:rFonts w:ascii="Times New Roman" w:hAnsi="Times New Roman" w:cs="Times New Roman"/>
          <w:sz w:val="24"/>
          <w:szCs w:val="24"/>
        </w:rPr>
      </w:pPr>
      <w:r w:rsidRPr="000431F7">
        <w:rPr>
          <w:rFonts w:ascii="Times New Roman" w:hAnsi="Times New Roman" w:cs="Times New Roman"/>
          <w:sz w:val="24"/>
          <w:szCs w:val="24"/>
        </w:rPr>
        <w:t>dostęp do danych w systemach teleinformatycznych.</w:t>
      </w:r>
    </w:p>
    <w:p w14:paraId="03782ED1" w14:textId="2BEE392D" w:rsidR="00381FD6" w:rsidRPr="000431F7" w:rsidRDefault="00381FD6" w:rsidP="004742CC">
      <w:pPr>
        <w:spacing w:before="120" w:after="0" w:line="360" w:lineRule="auto"/>
        <w:jc w:val="both"/>
        <w:rPr>
          <w:rFonts w:ascii="Times New Roman" w:hAnsi="Times New Roman" w:cs="Times New Roman"/>
          <w:sz w:val="24"/>
          <w:szCs w:val="24"/>
        </w:rPr>
      </w:pPr>
      <w:r w:rsidRPr="000431F7">
        <w:rPr>
          <w:rFonts w:ascii="Times New Roman" w:hAnsi="Times New Roman" w:cs="Times New Roman"/>
          <w:sz w:val="24"/>
          <w:szCs w:val="24"/>
        </w:rPr>
        <w:t>Z kolei art. 18z</w:t>
      </w:r>
      <w:r w:rsidR="00FC3A45" w:rsidRPr="000431F7">
        <w:rPr>
          <w:rFonts w:ascii="Times New Roman" w:hAnsi="Times New Roman" w:cs="Times New Roman"/>
          <w:sz w:val="24"/>
          <w:szCs w:val="24"/>
        </w:rPr>
        <w:t>q</w:t>
      </w:r>
      <w:r w:rsidRPr="000431F7">
        <w:rPr>
          <w:rFonts w:ascii="Times New Roman" w:hAnsi="Times New Roman" w:cs="Times New Roman"/>
          <w:sz w:val="24"/>
          <w:szCs w:val="24"/>
        </w:rPr>
        <w:t xml:space="preserve"> ust. 5 i 6 opisują zasady sporządzania oraz doręczania dokumentów związanych z kontrolą. Dokumenty związane z kontrolą mogą być sporządzane zarówno w formie papierowej, jak i elektronicznej, a w przypadku formy elektronicznej muszą być odpowiednio podpisane i dostarczone na elektroniczny adres odbiorcy.</w:t>
      </w:r>
    </w:p>
    <w:p w14:paraId="34A8C033" w14:textId="6D142B77" w:rsidR="00381FD6" w:rsidRPr="000431F7" w:rsidRDefault="00381FD6" w:rsidP="004742CC">
      <w:pPr>
        <w:spacing w:before="120" w:after="0" w:line="360" w:lineRule="auto"/>
        <w:jc w:val="both"/>
        <w:rPr>
          <w:rFonts w:ascii="Times New Roman" w:hAnsi="Times New Roman" w:cs="Times New Roman"/>
          <w:sz w:val="24"/>
          <w:szCs w:val="24"/>
        </w:rPr>
      </w:pPr>
      <w:r w:rsidRPr="000431F7">
        <w:rPr>
          <w:rFonts w:ascii="Times New Roman" w:hAnsi="Times New Roman" w:cs="Times New Roman"/>
          <w:sz w:val="24"/>
          <w:szCs w:val="24"/>
        </w:rPr>
        <w:t xml:space="preserve">I tak zgodnie z ust. 5 wszystkie dokumenty dotyczące kontroli, takie jak upoważnienie do kontroli, protokół kontroli oraz zalecenia pokontrolne, muszą być sporządzone w formie pisemnej, papierowej albo elektronicznej. Upoważnienie w formie papierowej musi być opatrzone podpisem własnoręcznym. Upoważnienie w formie elektronicznej wymaga kwalifikowanego podpisu elektronicznego, podpisu zaufanego albo podpisu osobistego lub kwalifikowanej pieczęci elektronicznej Komisji, ze wskazaniem osoby, która podpisała </w:t>
      </w:r>
      <w:r w:rsidRPr="000431F7">
        <w:rPr>
          <w:rFonts w:ascii="Times New Roman" w:hAnsi="Times New Roman" w:cs="Times New Roman"/>
          <w:sz w:val="24"/>
          <w:szCs w:val="24"/>
        </w:rPr>
        <w:lastRenderedPageBreak/>
        <w:t>dokument. Ust. 6 wyjaśnia, że dokumenty sporządzone elektronicznie należy doręczyć na adres do doręczeń elektronicznych.</w:t>
      </w:r>
    </w:p>
    <w:p w14:paraId="721FB07B" w14:textId="39D4764F" w:rsidR="00E311F7" w:rsidRPr="000431F7" w:rsidRDefault="00381FD6" w:rsidP="004742CC">
      <w:pPr>
        <w:spacing w:before="120" w:after="0" w:line="360" w:lineRule="auto"/>
        <w:jc w:val="both"/>
        <w:rPr>
          <w:rFonts w:ascii="Times New Roman" w:hAnsi="Times New Roman" w:cs="Times New Roman"/>
          <w:sz w:val="24"/>
          <w:szCs w:val="24"/>
        </w:rPr>
      </w:pPr>
      <w:r w:rsidRPr="000431F7">
        <w:rPr>
          <w:rFonts w:ascii="Times New Roman" w:hAnsi="Times New Roman" w:cs="Times New Roman"/>
          <w:sz w:val="24"/>
          <w:szCs w:val="24"/>
        </w:rPr>
        <w:t>Z kolei art. 18z</w:t>
      </w:r>
      <w:r w:rsidR="00FC3A45" w:rsidRPr="000431F7">
        <w:rPr>
          <w:rFonts w:ascii="Times New Roman" w:hAnsi="Times New Roman" w:cs="Times New Roman"/>
          <w:sz w:val="24"/>
          <w:szCs w:val="24"/>
        </w:rPr>
        <w:t>q</w:t>
      </w:r>
      <w:r w:rsidRPr="000431F7">
        <w:rPr>
          <w:rFonts w:ascii="Times New Roman" w:hAnsi="Times New Roman" w:cs="Times New Roman"/>
          <w:sz w:val="24"/>
          <w:szCs w:val="24"/>
        </w:rPr>
        <w:t>. ust. 7 reguluje kwestie dotyczące poufności informacji oraz ochrony osób przekazujących te informacje. Przekazanie informacji Komisji na podstawie rozporządzenia 2023/2631 nie narusza obowiązku zachowania tajemnicy zawodowej ani innych obowiązków wynikających z prawa lub umowy. Ponadto przekazanie takich informacji nie może być powodem do rozwiązania stosunku pracy albo umowy zlecenia, umowy o dzieło czy innej umowy o podobnym charakterze z osobą, która udzieliła tych informacji.</w:t>
      </w:r>
    </w:p>
    <w:p w14:paraId="66683032" w14:textId="26CB74C4" w:rsidR="00381FD6" w:rsidRPr="000431F7" w:rsidRDefault="00381FD6" w:rsidP="004742CC">
      <w:pPr>
        <w:spacing w:before="120" w:after="0" w:line="360" w:lineRule="auto"/>
        <w:jc w:val="both"/>
        <w:rPr>
          <w:rFonts w:ascii="Times New Roman" w:hAnsi="Times New Roman" w:cs="Times New Roman"/>
          <w:sz w:val="24"/>
          <w:szCs w:val="24"/>
        </w:rPr>
      </w:pPr>
      <w:r w:rsidRPr="000431F7">
        <w:rPr>
          <w:rFonts w:ascii="Times New Roman" w:hAnsi="Times New Roman" w:cs="Times New Roman"/>
          <w:sz w:val="24"/>
          <w:szCs w:val="24"/>
        </w:rPr>
        <w:t>Dodany art. 18z</w:t>
      </w:r>
      <w:r w:rsidR="00FC3A45" w:rsidRPr="000431F7">
        <w:rPr>
          <w:rFonts w:ascii="Times New Roman" w:hAnsi="Times New Roman" w:cs="Times New Roman"/>
          <w:sz w:val="24"/>
          <w:szCs w:val="24"/>
        </w:rPr>
        <w:t>r</w:t>
      </w:r>
      <w:r w:rsidRPr="000431F7">
        <w:rPr>
          <w:rFonts w:ascii="Times New Roman" w:hAnsi="Times New Roman" w:cs="Times New Roman"/>
          <w:sz w:val="24"/>
          <w:szCs w:val="24"/>
        </w:rPr>
        <w:t xml:space="preserve"> wskazuje że do kontroli, o której mowa w art. 18z</w:t>
      </w:r>
      <w:r w:rsidR="00FC3A45" w:rsidRPr="000431F7">
        <w:rPr>
          <w:rFonts w:ascii="Times New Roman" w:hAnsi="Times New Roman" w:cs="Times New Roman"/>
          <w:sz w:val="24"/>
          <w:szCs w:val="24"/>
        </w:rPr>
        <w:t>q</w:t>
      </w:r>
      <w:r w:rsidRPr="000431F7">
        <w:rPr>
          <w:rFonts w:ascii="Times New Roman" w:hAnsi="Times New Roman" w:cs="Times New Roman"/>
          <w:sz w:val="24"/>
          <w:szCs w:val="24"/>
        </w:rPr>
        <w:t xml:space="preserve"> ust. 1, stosuje się przepisy ustawy z dnia 6 marca 2018 r. </w:t>
      </w:r>
      <w:r w:rsidR="00AC35F5">
        <w:rPr>
          <w:rFonts w:ascii="Times New Roman" w:hAnsi="Times New Roman" w:cs="Times New Roman"/>
          <w:sz w:val="24"/>
          <w:szCs w:val="24"/>
        </w:rPr>
        <w:t>–</w:t>
      </w:r>
      <w:r w:rsidRPr="000431F7">
        <w:rPr>
          <w:rFonts w:ascii="Times New Roman" w:hAnsi="Times New Roman" w:cs="Times New Roman"/>
          <w:sz w:val="24"/>
          <w:szCs w:val="24"/>
        </w:rPr>
        <w:t xml:space="preserve"> Prawo przedsiębiorców.</w:t>
      </w:r>
    </w:p>
    <w:p w14:paraId="7534AB9C" w14:textId="66DE5AF2" w:rsidR="00F85275" w:rsidRPr="000431F7" w:rsidRDefault="00F85275" w:rsidP="004742CC">
      <w:pPr>
        <w:spacing w:before="120" w:after="0" w:line="360" w:lineRule="auto"/>
        <w:jc w:val="both"/>
        <w:rPr>
          <w:rFonts w:ascii="Times New Roman" w:hAnsi="Times New Roman" w:cs="Times New Roman"/>
          <w:sz w:val="24"/>
          <w:szCs w:val="24"/>
        </w:rPr>
      </w:pPr>
      <w:r w:rsidRPr="000431F7">
        <w:rPr>
          <w:rFonts w:ascii="Times New Roman" w:hAnsi="Times New Roman" w:cs="Times New Roman"/>
          <w:sz w:val="24"/>
          <w:szCs w:val="24"/>
        </w:rPr>
        <w:t>Dodanie art. 18z</w:t>
      </w:r>
      <w:r w:rsidR="00FC3A45" w:rsidRPr="000431F7">
        <w:rPr>
          <w:rFonts w:ascii="Times New Roman" w:hAnsi="Times New Roman" w:cs="Times New Roman"/>
          <w:sz w:val="24"/>
          <w:szCs w:val="24"/>
        </w:rPr>
        <w:t>s</w:t>
      </w:r>
      <w:r w:rsidRPr="000431F7">
        <w:rPr>
          <w:rFonts w:ascii="Times New Roman" w:hAnsi="Times New Roman" w:cs="Times New Roman"/>
          <w:sz w:val="24"/>
          <w:szCs w:val="24"/>
        </w:rPr>
        <w:t xml:space="preserve"> ma na celu zapewnienie stosowania art. 45 ust. 1 lit. g rozporządzenia 2023/2631. Dodawany art. 18z</w:t>
      </w:r>
      <w:r w:rsidR="00FC3A45" w:rsidRPr="000431F7">
        <w:rPr>
          <w:rFonts w:ascii="Times New Roman" w:hAnsi="Times New Roman" w:cs="Times New Roman"/>
          <w:sz w:val="24"/>
          <w:szCs w:val="24"/>
        </w:rPr>
        <w:t>s</w:t>
      </w:r>
      <w:r w:rsidRPr="000431F7">
        <w:rPr>
          <w:rFonts w:ascii="Times New Roman" w:hAnsi="Times New Roman" w:cs="Times New Roman"/>
          <w:sz w:val="24"/>
          <w:szCs w:val="24"/>
        </w:rPr>
        <w:t xml:space="preserve"> rozwija kontrolę, o której mowa w art. 18z</w:t>
      </w:r>
      <w:r w:rsidR="00FC3A45" w:rsidRPr="000431F7">
        <w:rPr>
          <w:rFonts w:ascii="Times New Roman" w:hAnsi="Times New Roman" w:cs="Times New Roman"/>
          <w:sz w:val="24"/>
          <w:szCs w:val="24"/>
        </w:rPr>
        <w:t>q</w:t>
      </w:r>
      <w:r w:rsidRPr="000431F7">
        <w:rPr>
          <w:rFonts w:ascii="Times New Roman" w:hAnsi="Times New Roman" w:cs="Times New Roman"/>
          <w:sz w:val="24"/>
          <w:szCs w:val="24"/>
        </w:rPr>
        <w:t xml:space="preserve">, określając procedury i obowiązki osób związanych z emitentami. Zgodnie z ust. 1, na żądanie </w:t>
      </w:r>
      <w:r w:rsidR="002D16A0" w:rsidRPr="000431F7">
        <w:rPr>
          <w:rFonts w:ascii="Times New Roman" w:hAnsi="Times New Roman" w:cs="Times New Roman"/>
          <w:sz w:val="24"/>
          <w:szCs w:val="24"/>
        </w:rPr>
        <w:t>KNF</w:t>
      </w:r>
      <w:r w:rsidRPr="000431F7">
        <w:rPr>
          <w:rFonts w:ascii="Times New Roman" w:hAnsi="Times New Roman" w:cs="Times New Roman"/>
          <w:sz w:val="24"/>
          <w:szCs w:val="24"/>
        </w:rPr>
        <w:t xml:space="preserve"> (lub osoby przez nią upoważnionej), osoby reprezentujące emitenta, członkowie zarządu i nadzoru, a także pracownicy</w:t>
      </w:r>
      <w:r w:rsidR="009F07CB">
        <w:rPr>
          <w:rFonts w:ascii="Times New Roman" w:hAnsi="Times New Roman" w:cs="Times New Roman"/>
          <w:sz w:val="24"/>
          <w:szCs w:val="24"/>
        </w:rPr>
        <w:t>,</w:t>
      </w:r>
      <w:r w:rsidRPr="000431F7">
        <w:rPr>
          <w:rFonts w:ascii="Times New Roman" w:hAnsi="Times New Roman" w:cs="Times New Roman"/>
          <w:sz w:val="24"/>
          <w:szCs w:val="24"/>
        </w:rPr>
        <w:t xml:space="preserve"> muszą niezwłocznie dostarczyć potrzebne dokumenty oraz inne nośniki informacji. Dodatkowo są oni zobowiązani do udzielania wyjaśnień (zarówno ustnych, jak i pisemnych), które mogą dotyczyć przestrzegania przepisów regulujących działalność emitentów europejskich zielonych obligacji. Wszystkie koszty związane z tym procesem ponosi sam emitent. Z kolei ust. 2 rozszerza ten obowiązek na biegłych rewidentów oraz osoby działające w imieniu firm audytorskich,</w:t>
      </w:r>
      <w:r w:rsidR="00987740">
        <w:rPr>
          <w:rFonts w:ascii="Times New Roman" w:hAnsi="Times New Roman" w:cs="Times New Roman"/>
          <w:sz w:val="24"/>
          <w:szCs w:val="24"/>
        </w:rPr>
        <w:t xml:space="preserve"> </w:t>
      </w:r>
      <w:r w:rsidR="008E04A0" w:rsidRPr="000431F7">
        <w:rPr>
          <w:rFonts w:ascii="Times New Roman" w:hAnsi="Times New Roman" w:cs="Times New Roman"/>
          <w:sz w:val="24"/>
          <w:szCs w:val="24"/>
        </w:rPr>
        <w:t>które</w:t>
      </w:r>
      <w:r w:rsidR="007459F4" w:rsidRPr="000431F7">
        <w:rPr>
          <w:rFonts w:ascii="Times New Roman" w:hAnsi="Times New Roman" w:cs="Times New Roman"/>
          <w:sz w:val="24"/>
          <w:szCs w:val="24"/>
        </w:rPr>
        <w:t xml:space="preserve"> wykon</w:t>
      </w:r>
      <w:r w:rsidR="008E04A0" w:rsidRPr="000431F7">
        <w:rPr>
          <w:rFonts w:ascii="Times New Roman" w:hAnsi="Times New Roman" w:cs="Times New Roman"/>
          <w:sz w:val="24"/>
          <w:szCs w:val="24"/>
        </w:rPr>
        <w:t>ują</w:t>
      </w:r>
      <w:r w:rsidR="007459F4" w:rsidRPr="000431F7">
        <w:rPr>
          <w:rFonts w:ascii="Times New Roman" w:hAnsi="Times New Roman" w:cs="Times New Roman"/>
          <w:sz w:val="24"/>
          <w:szCs w:val="24"/>
        </w:rPr>
        <w:t xml:space="preserve"> </w:t>
      </w:r>
      <w:r w:rsidR="00AF3CE3" w:rsidRPr="000431F7">
        <w:rPr>
          <w:rFonts w:ascii="Times New Roman" w:hAnsi="Times New Roman" w:cs="Times New Roman"/>
          <w:sz w:val="24"/>
          <w:szCs w:val="24"/>
        </w:rPr>
        <w:t xml:space="preserve">na rzecz emitentów </w:t>
      </w:r>
      <w:r w:rsidR="007459F4" w:rsidRPr="000431F7">
        <w:rPr>
          <w:rFonts w:ascii="Times New Roman" w:hAnsi="Times New Roman" w:cs="Times New Roman"/>
          <w:sz w:val="24"/>
          <w:szCs w:val="24"/>
        </w:rPr>
        <w:t>czynności rewizji finansowej</w:t>
      </w:r>
      <w:r w:rsidRPr="000431F7">
        <w:rPr>
          <w:rFonts w:ascii="Times New Roman" w:hAnsi="Times New Roman" w:cs="Times New Roman"/>
          <w:sz w:val="24"/>
          <w:szCs w:val="24"/>
        </w:rPr>
        <w:t>. Mają oni takie same</w:t>
      </w:r>
      <w:r w:rsidR="007459F4" w:rsidRPr="000431F7">
        <w:rPr>
          <w:rFonts w:ascii="Times New Roman" w:hAnsi="Times New Roman" w:cs="Times New Roman"/>
          <w:sz w:val="24"/>
          <w:szCs w:val="24"/>
        </w:rPr>
        <w:t xml:space="preserve"> co w ust. 1</w:t>
      </w:r>
      <w:r w:rsidRPr="000431F7">
        <w:rPr>
          <w:rFonts w:ascii="Times New Roman" w:hAnsi="Times New Roman" w:cs="Times New Roman"/>
          <w:sz w:val="24"/>
          <w:szCs w:val="24"/>
        </w:rPr>
        <w:t xml:space="preserve"> obowiązki informacyjne i muszą przekazywać dokumenty oraz wyjaśnienia związane z prowadzonym audytem lub innymi usługami świadczonymi na rzecz emitenta. Jednocześnie obowiązki te nie naruszają przepisów dotyczących zachowania tajemnicy, o której mowa w ustawie o biegłych rewidentach, firmach audytorskich oraz nadzorze publicznym.</w:t>
      </w:r>
    </w:p>
    <w:p w14:paraId="72477A5B" w14:textId="7B53DE96" w:rsidR="009409C1" w:rsidRPr="000431F7" w:rsidRDefault="009409C1" w:rsidP="004742CC">
      <w:pPr>
        <w:spacing w:before="120" w:after="0" w:line="360" w:lineRule="auto"/>
        <w:jc w:val="both"/>
        <w:rPr>
          <w:rFonts w:ascii="Times New Roman" w:hAnsi="Times New Roman" w:cs="Times New Roman"/>
          <w:sz w:val="24"/>
          <w:szCs w:val="24"/>
        </w:rPr>
      </w:pPr>
      <w:bookmarkStart w:id="27" w:name="_Hlk179204116"/>
      <w:r w:rsidRPr="000431F7">
        <w:rPr>
          <w:rFonts w:ascii="Times New Roman" w:hAnsi="Times New Roman" w:cs="Times New Roman"/>
          <w:sz w:val="24"/>
          <w:szCs w:val="24"/>
        </w:rPr>
        <w:t>Dodanie art. 18z</w:t>
      </w:r>
      <w:r w:rsidR="00FC3A45" w:rsidRPr="000431F7">
        <w:rPr>
          <w:rFonts w:ascii="Times New Roman" w:hAnsi="Times New Roman" w:cs="Times New Roman"/>
          <w:sz w:val="24"/>
          <w:szCs w:val="24"/>
        </w:rPr>
        <w:t>t</w:t>
      </w:r>
      <w:r w:rsidRPr="000431F7">
        <w:rPr>
          <w:rFonts w:ascii="Times New Roman" w:hAnsi="Times New Roman" w:cs="Times New Roman"/>
          <w:sz w:val="24"/>
          <w:szCs w:val="24"/>
        </w:rPr>
        <w:t xml:space="preserve"> ma na celu zapewnienie stosowania art. 15 ust. 4 oraz art. 45 ust. 1 lit. a–e rozporządzenia 2023/2631.</w:t>
      </w:r>
      <w:r w:rsidRPr="000431F7">
        <w:rPr>
          <w:rFonts w:ascii="Times New Roman" w:hAnsi="Times New Roman" w:cs="Times New Roman"/>
          <w:b/>
          <w:bCs/>
          <w:sz w:val="24"/>
          <w:szCs w:val="24"/>
        </w:rPr>
        <w:t xml:space="preserve"> </w:t>
      </w:r>
      <w:r w:rsidRPr="000431F7">
        <w:rPr>
          <w:rFonts w:ascii="Times New Roman" w:hAnsi="Times New Roman" w:cs="Times New Roman"/>
          <w:sz w:val="24"/>
          <w:szCs w:val="24"/>
        </w:rPr>
        <w:t>Art. 18z</w:t>
      </w:r>
      <w:r w:rsidR="00FC3A45" w:rsidRPr="000431F7">
        <w:rPr>
          <w:rFonts w:ascii="Times New Roman" w:hAnsi="Times New Roman" w:cs="Times New Roman"/>
          <w:sz w:val="24"/>
          <w:szCs w:val="24"/>
        </w:rPr>
        <w:t>t</w:t>
      </w:r>
      <w:r w:rsidRPr="000431F7">
        <w:rPr>
          <w:rFonts w:ascii="Times New Roman" w:hAnsi="Times New Roman" w:cs="Times New Roman"/>
          <w:sz w:val="24"/>
          <w:szCs w:val="24"/>
        </w:rPr>
        <w:t xml:space="preserve"> ust. 1 wskazuje, że je</w:t>
      </w:r>
      <w:r w:rsidR="004E0627">
        <w:rPr>
          <w:rFonts w:ascii="Times New Roman" w:hAnsi="Times New Roman" w:cs="Times New Roman"/>
          <w:sz w:val="24"/>
          <w:szCs w:val="24"/>
        </w:rPr>
        <w:t>że</w:t>
      </w:r>
      <w:r w:rsidRPr="000431F7">
        <w:rPr>
          <w:rFonts w:ascii="Times New Roman" w:hAnsi="Times New Roman" w:cs="Times New Roman"/>
          <w:sz w:val="24"/>
          <w:szCs w:val="24"/>
        </w:rPr>
        <w:t xml:space="preserve">li </w:t>
      </w:r>
      <w:r w:rsidR="00FC3A45" w:rsidRPr="000431F7">
        <w:rPr>
          <w:rFonts w:ascii="Times New Roman" w:hAnsi="Times New Roman" w:cs="Times New Roman"/>
          <w:sz w:val="24"/>
          <w:szCs w:val="24"/>
        </w:rPr>
        <w:t>podmiot</w:t>
      </w:r>
      <w:r w:rsidRPr="000431F7">
        <w:rPr>
          <w:rFonts w:ascii="Times New Roman" w:hAnsi="Times New Roman" w:cs="Times New Roman"/>
          <w:sz w:val="24"/>
          <w:szCs w:val="24"/>
        </w:rPr>
        <w:t xml:space="preserve"> nie opublikuje na swojej stronie internetowej wymaganych dokumentów, takich jak arkusze informacyjne, wyniki kontroli czy sprawozdania (np. z alokacji środków lub dotyczące wpływu z emisji europejskiej zielonej obligacji), Komisja ma prawo, w drodze decyzji, nakazać temu podmiotowi udostępnienie brakujących dokumentów albo zawarcie w dokumentach brakujących informacji. Jednocześnie w ust. 2 przewidziano, wzorem art. 84 ust. 3 ustawy z dnia 15 grudnia 2017 r. o dystrybucji ubezpieczeń, uprawnie dla Komisji, przed wydaniem takiej decyzji, do </w:t>
      </w:r>
      <w:r w:rsidRPr="000431F7">
        <w:rPr>
          <w:rFonts w:ascii="Times New Roman" w:hAnsi="Times New Roman" w:cs="Times New Roman"/>
          <w:sz w:val="24"/>
          <w:szCs w:val="24"/>
        </w:rPr>
        <w:lastRenderedPageBreak/>
        <w:t>zalecenia udostępnienia takich dokumentów albo zawarcia w nich brakujących informacji. Środek ten jest mniej sformalizowany niż decyzja administracyjna (nie wymaga wszczęcia i przeprowadzenia postępowania administracyjnego) i zapewnia większą elastyczność po stronie organu nadzoru. Rozwiązanie to jest również korzystne dla podmiotu, który nie dopełnił swoich obowiązków informacyjnych, gdyż w przypadku mniej istotnych naruszeń nie jest on poddawany pełnemu postępowaniu administracyjnemu i może szybciej usunąć swoje uchybienie, które nie w każdym przypadku musi wynikać z celowego działania.</w:t>
      </w:r>
    </w:p>
    <w:p w14:paraId="3B2DDEC8" w14:textId="142FB1B0" w:rsidR="009409C1" w:rsidRPr="000431F7" w:rsidRDefault="009409C1" w:rsidP="004742CC">
      <w:pPr>
        <w:spacing w:before="120" w:after="0" w:line="360" w:lineRule="auto"/>
        <w:jc w:val="both"/>
        <w:rPr>
          <w:rFonts w:ascii="Times New Roman" w:hAnsi="Times New Roman" w:cs="Times New Roman"/>
          <w:sz w:val="24"/>
          <w:szCs w:val="24"/>
        </w:rPr>
      </w:pPr>
      <w:r w:rsidRPr="000431F7">
        <w:rPr>
          <w:rFonts w:ascii="Times New Roman" w:hAnsi="Times New Roman" w:cs="Times New Roman"/>
          <w:sz w:val="24"/>
          <w:szCs w:val="24"/>
        </w:rPr>
        <w:t xml:space="preserve">Zgodnie z art. 18zq ust. 3 Komisja ma prawo, w drodze decyzji, nakazać emitentowi niezwłoczne przekazanie informacji dotyczących publikacji dokumentów związanych z emisją europejskiej zielonej obligacji. Również w tym przypadku z wcześniej wskazanych względów, zgodnie z ust. 4, przed wydaniem tej decyzji Komisja będzie mogła </w:t>
      </w:r>
      <w:r w:rsidR="002D0D74" w:rsidRPr="000431F7">
        <w:rPr>
          <w:rFonts w:ascii="Times New Roman" w:hAnsi="Times New Roman" w:cs="Times New Roman"/>
          <w:sz w:val="24"/>
          <w:szCs w:val="24"/>
        </w:rPr>
        <w:t xml:space="preserve">zalecić </w:t>
      </w:r>
      <w:r w:rsidRPr="000431F7">
        <w:rPr>
          <w:rFonts w:ascii="Times New Roman" w:hAnsi="Times New Roman" w:cs="Times New Roman"/>
          <w:sz w:val="24"/>
          <w:szCs w:val="24"/>
        </w:rPr>
        <w:t>emitentowi przekazani</w:t>
      </w:r>
      <w:r w:rsidR="002D0D74" w:rsidRPr="000431F7">
        <w:rPr>
          <w:rFonts w:ascii="Times New Roman" w:hAnsi="Times New Roman" w:cs="Times New Roman"/>
          <w:sz w:val="24"/>
          <w:szCs w:val="24"/>
        </w:rPr>
        <w:t>e</w:t>
      </w:r>
      <w:r w:rsidRPr="000431F7">
        <w:rPr>
          <w:rFonts w:ascii="Times New Roman" w:hAnsi="Times New Roman" w:cs="Times New Roman"/>
          <w:sz w:val="24"/>
          <w:szCs w:val="24"/>
        </w:rPr>
        <w:t xml:space="preserve"> jej informacji dotyczących publikacji dokumentów związanych z emisją europejskiej zielonej obligacji.</w:t>
      </w:r>
    </w:p>
    <w:p w14:paraId="69C883E2" w14:textId="478A87D9" w:rsidR="009409C1" w:rsidRPr="000431F7" w:rsidRDefault="009409C1" w:rsidP="004742CC">
      <w:pPr>
        <w:spacing w:before="120" w:after="0" w:line="360" w:lineRule="auto"/>
        <w:jc w:val="both"/>
        <w:rPr>
          <w:rFonts w:ascii="Times New Roman" w:hAnsi="Times New Roman" w:cs="Times New Roman"/>
          <w:sz w:val="24"/>
          <w:szCs w:val="24"/>
        </w:rPr>
      </w:pPr>
      <w:r w:rsidRPr="000431F7">
        <w:rPr>
          <w:rFonts w:ascii="Times New Roman" w:hAnsi="Times New Roman" w:cs="Times New Roman"/>
          <w:sz w:val="24"/>
          <w:szCs w:val="24"/>
        </w:rPr>
        <w:t>Dodanie art. 18z</w:t>
      </w:r>
      <w:r w:rsidR="002D0D74" w:rsidRPr="000431F7">
        <w:rPr>
          <w:rFonts w:ascii="Times New Roman" w:hAnsi="Times New Roman" w:cs="Times New Roman"/>
          <w:sz w:val="24"/>
          <w:szCs w:val="24"/>
        </w:rPr>
        <w:t>u</w:t>
      </w:r>
      <w:r w:rsidRPr="000431F7">
        <w:rPr>
          <w:rFonts w:ascii="Times New Roman" w:hAnsi="Times New Roman" w:cs="Times New Roman"/>
          <w:sz w:val="24"/>
          <w:szCs w:val="24"/>
        </w:rPr>
        <w:t xml:space="preserve"> ma na celu zapewnienie stosowania art. 45 ust. 1 lit. f rozporządzenia 2023/2631.</w:t>
      </w:r>
      <w:r w:rsidRPr="000431F7">
        <w:rPr>
          <w:rFonts w:ascii="Times New Roman" w:hAnsi="Times New Roman" w:cs="Times New Roman"/>
          <w:b/>
          <w:bCs/>
          <w:sz w:val="24"/>
          <w:szCs w:val="24"/>
        </w:rPr>
        <w:t xml:space="preserve"> </w:t>
      </w:r>
      <w:r w:rsidRPr="000431F7">
        <w:rPr>
          <w:rFonts w:ascii="Times New Roman" w:hAnsi="Times New Roman" w:cs="Times New Roman"/>
          <w:sz w:val="24"/>
          <w:szCs w:val="24"/>
        </w:rPr>
        <w:t>Art. 18z</w:t>
      </w:r>
      <w:r w:rsidR="002D0D74" w:rsidRPr="000431F7">
        <w:rPr>
          <w:rFonts w:ascii="Times New Roman" w:hAnsi="Times New Roman" w:cs="Times New Roman"/>
          <w:sz w:val="24"/>
          <w:szCs w:val="24"/>
        </w:rPr>
        <w:t>u</w:t>
      </w:r>
      <w:r w:rsidRPr="000431F7">
        <w:rPr>
          <w:rFonts w:ascii="Times New Roman" w:hAnsi="Times New Roman" w:cs="Times New Roman"/>
          <w:sz w:val="24"/>
          <w:szCs w:val="24"/>
        </w:rPr>
        <w:t xml:space="preserve"> wskazuje, że w przypadku naruszenia przez emitenta obligacji, który korzysta ze wspólnych wzorów formularzy</w:t>
      </w:r>
      <w:r w:rsidR="002D0D74" w:rsidRPr="000431F7">
        <w:rPr>
          <w:rFonts w:ascii="Times New Roman" w:hAnsi="Times New Roman" w:cs="Times New Roman"/>
          <w:sz w:val="24"/>
          <w:szCs w:val="24"/>
        </w:rPr>
        <w:t>,</w:t>
      </w:r>
      <w:r w:rsidRPr="000431F7">
        <w:rPr>
          <w:rFonts w:ascii="Times New Roman" w:hAnsi="Times New Roman" w:cs="Times New Roman"/>
          <w:sz w:val="24"/>
          <w:szCs w:val="24"/>
        </w:rPr>
        <w:t xml:space="preserve"> obowiązków związanych z ujawnianiem informacji, Komisja może, w drodze decyzji, nakazać temu podmiotowi uzupełnienie brakujących informacji w formularzach, które są używane do okresowego ujawniania informacji po emisji. Mając na uwadze podobny do wcześniejszych charakter naruszenia</w:t>
      </w:r>
      <w:r w:rsidR="00435C3E" w:rsidRPr="000431F7">
        <w:rPr>
          <w:rFonts w:ascii="Times New Roman" w:hAnsi="Times New Roman" w:cs="Times New Roman"/>
          <w:sz w:val="24"/>
          <w:szCs w:val="24"/>
        </w:rPr>
        <w:t>,</w:t>
      </w:r>
      <w:r w:rsidRPr="000431F7">
        <w:rPr>
          <w:rFonts w:ascii="Times New Roman" w:hAnsi="Times New Roman" w:cs="Times New Roman"/>
          <w:sz w:val="24"/>
          <w:szCs w:val="24"/>
        </w:rPr>
        <w:t xml:space="preserve"> również w tym przypadku przewidziano możliwość wcześniejszego </w:t>
      </w:r>
      <w:r w:rsidR="002D0D74" w:rsidRPr="000431F7">
        <w:rPr>
          <w:rFonts w:ascii="Times New Roman" w:hAnsi="Times New Roman" w:cs="Times New Roman"/>
          <w:sz w:val="24"/>
          <w:szCs w:val="24"/>
        </w:rPr>
        <w:t xml:space="preserve">zalecenia </w:t>
      </w:r>
      <w:r w:rsidRPr="000431F7">
        <w:rPr>
          <w:rFonts w:ascii="Times New Roman" w:hAnsi="Times New Roman" w:cs="Times New Roman"/>
          <w:sz w:val="24"/>
          <w:szCs w:val="24"/>
        </w:rPr>
        <w:t xml:space="preserve">przez organ nadzoru </w:t>
      </w:r>
      <w:r w:rsidR="002D0D74" w:rsidRPr="000431F7">
        <w:rPr>
          <w:rFonts w:ascii="Times New Roman" w:hAnsi="Times New Roman" w:cs="Times New Roman"/>
          <w:sz w:val="24"/>
          <w:szCs w:val="24"/>
        </w:rPr>
        <w:t xml:space="preserve">takiemu </w:t>
      </w:r>
      <w:r w:rsidRPr="000431F7">
        <w:rPr>
          <w:rFonts w:ascii="Times New Roman" w:hAnsi="Times New Roman" w:cs="Times New Roman"/>
          <w:sz w:val="24"/>
          <w:szCs w:val="24"/>
        </w:rPr>
        <w:t>podmiot</w:t>
      </w:r>
      <w:r w:rsidR="002D0D74" w:rsidRPr="000431F7">
        <w:rPr>
          <w:rFonts w:ascii="Times New Roman" w:hAnsi="Times New Roman" w:cs="Times New Roman"/>
          <w:sz w:val="24"/>
          <w:szCs w:val="24"/>
        </w:rPr>
        <w:t>owi</w:t>
      </w:r>
      <w:r w:rsidRPr="000431F7">
        <w:rPr>
          <w:rFonts w:ascii="Times New Roman" w:hAnsi="Times New Roman" w:cs="Times New Roman"/>
          <w:sz w:val="24"/>
          <w:szCs w:val="24"/>
        </w:rPr>
        <w:t xml:space="preserve"> zawarcia we wspólnych wzorach formularzy wymaganych informacji w ramach okresowego ujawniania informacji.</w:t>
      </w:r>
    </w:p>
    <w:p w14:paraId="4C785E27" w14:textId="195E2554" w:rsidR="009409C1" w:rsidRPr="000431F7" w:rsidRDefault="009409C1" w:rsidP="004742CC">
      <w:pPr>
        <w:spacing w:before="120" w:after="0" w:line="360" w:lineRule="auto"/>
        <w:jc w:val="both"/>
        <w:rPr>
          <w:rFonts w:ascii="Times New Roman" w:hAnsi="Times New Roman" w:cs="Times New Roman"/>
          <w:sz w:val="24"/>
          <w:szCs w:val="24"/>
        </w:rPr>
      </w:pPr>
      <w:r w:rsidRPr="000431F7">
        <w:rPr>
          <w:rFonts w:ascii="Times New Roman" w:hAnsi="Times New Roman" w:cs="Times New Roman"/>
          <w:sz w:val="24"/>
          <w:szCs w:val="24"/>
        </w:rPr>
        <w:t>Dodanie art. 18z</w:t>
      </w:r>
      <w:r w:rsidR="002D0D74" w:rsidRPr="000431F7">
        <w:rPr>
          <w:rFonts w:ascii="Times New Roman" w:hAnsi="Times New Roman" w:cs="Times New Roman"/>
          <w:sz w:val="24"/>
          <w:szCs w:val="24"/>
        </w:rPr>
        <w:t>v</w:t>
      </w:r>
      <w:r w:rsidRPr="000431F7">
        <w:rPr>
          <w:rFonts w:ascii="Times New Roman" w:hAnsi="Times New Roman" w:cs="Times New Roman"/>
          <w:sz w:val="24"/>
          <w:szCs w:val="24"/>
        </w:rPr>
        <w:t xml:space="preserve"> ma na celu zapewnienie stosowania art. 45 ust. 1 lit. h–k</w:t>
      </w:r>
      <w:r w:rsidR="000220D9" w:rsidRPr="004742CC">
        <w:rPr>
          <w:rFonts w:ascii="Times New Roman" w:hAnsi="Times New Roman" w:cs="Times New Roman"/>
          <w:sz w:val="24"/>
          <w:szCs w:val="24"/>
        </w:rPr>
        <w:t xml:space="preserve"> </w:t>
      </w:r>
      <w:r w:rsidR="000220D9" w:rsidRPr="000431F7">
        <w:rPr>
          <w:rFonts w:ascii="Times New Roman" w:hAnsi="Times New Roman" w:cs="Times New Roman"/>
          <w:sz w:val="24"/>
          <w:szCs w:val="24"/>
        </w:rPr>
        <w:t>rozporządzenia 2023/2631</w:t>
      </w:r>
      <w:r w:rsidRPr="000431F7">
        <w:rPr>
          <w:rFonts w:ascii="Times New Roman" w:hAnsi="Times New Roman" w:cs="Times New Roman"/>
          <w:sz w:val="24"/>
          <w:szCs w:val="24"/>
        </w:rPr>
        <w:t>. Mając na uwadze, że emisja „europejskich zielonych obligacji” zgodnie z art. 14 rozporządzenia 2023/2631 będzie realizowana w drodze oferty publicznej papierów wartościowych, do emisji tej, tak jak ma to miejsce w przypadku obligacji niebędących europejskimi zielonymi obligacjami, znajdą zastosowanie środki nadzorcze przewidziane w</w:t>
      </w:r>
      <w:r w:rsidR="006C307D">
        <w:rPr>
          <w:rFonts w:ascii="Times New Roman" w:hAnsi="Times New Roman" w:cs="Times New Roman"/>
          <w:sz w:val="24"/>
          <w:szCs w:val="24"/>
        </w:rPr>
        <w:t> </w:t>
      </w:r>
      <w:r w:rsidRPr="000431F7">
        <w:rPr>
          <w:rFonts w:ascii="Times New Roman" w:hAnsi="Times New Roman" w:cs="Times New Roman"/>
          <w:sz w:val="24"/>
          <w:szCs w:val="24"/>
        </w:rPr>
        <w:t>art.</w:t>
      </w:r>
      <w:r w:rsidR="006C307D">
        <w:rPr>
          <w:rFonts w:ascii="Times New Roman" w:hAnsi="Times New Roman" w:cs="Times New Roman"/>
          <w:sz w:val="24"/>
          <w:szCs w:val="24"/>
        </w:rPr>
        <w:t> </w:t>
      </w:r>
      <w:r w:rsidRPr="000431F7">
        <w:rPr>
          <w:rFonts w:ascii="Times New Roman" w:hAnsi="Times New Roman" w:cs="Times New Roman"/>
          <w:sz w:val="24"/>
          <w:szCs w:val="24"/>
        </w:rPr>
        <w:t>15b i art. 15n ustawy z dnia 29 lipca 2005 r. o ofercie publicznej i warunkach wprowadzania instrumentów finansowych do zorganizowanego systemu obrotu oraz o spółkach publicznych (Dz. U. z 2024 r. poz. 620</w:t>
      </w:r>
      <w:r w:rsidR="001C005F" w:rsidRPr="000431F7">
        <w:rPr>
          <w:rFonts w:ascii="Times New Roman" w:hAnsi="Times New Roman" w:cs="Times New Roman"/>
          <w:sz w:val="24"/>
          <w:szCs w:val="24"/>
        </w:rPr>
        <w:t xml:space="preserve">, z </w:t>
      </w:r>
      <w:proofErr w:type="spellStart"/>
      <w:r w:rsidR="001C005F" w:rsidRPr="000431F7">
        <w:rPr>
          <w:rFonts w:ascii="Times New Roman" w:hAnsi="Times New Roman" w:cs="Times New Roman"/>
          <w:sz w:val="24"/>
          <w:szCs w:val="24"/>
        </w:rPr>
        <w:t>późn</w:t>
      </w:r>
      <w:proofErr w:type="spellEnd"/>
      <w:r w:rsidR="001C005F" w:rsidRPr="000431F7">
        <w:rPr>
          <w:rFonts w:ascii="Times New Roman" w:hAnsi="Times New Roman" w:cs="Times New Roman"/>
          <w:sz w:val="24"/>
          <w:szCs w:val="24"/>
        </w:rPr>
        <w:t>. zm.</w:t>
      </w:r>
      <w:r w:rsidRPr="000431F7">
        <w:rPr>
          <w:rFonts w:ascii="Times New Roman" w:hAnsi="Times New Roman" w:cs="Times New Roman"/>
          <w:sz w:val="24"/>
          <w:szCs w:val="24"/>
        </w:rPr>
        <w:t>). Projektowany przepis będzie miał zastosowanie</w:t>
      </w:r>
      <w:r w:rsidR="006C307D">
        <w:rPr>
          <w:rFonts w:ascii="Times New Roman" w:hAnsi="Times New Roman" w:cs="Times New Roman"/>
          <w:sz w:val="24"/>
          <w:szCs w:val="24"/>
        </w:rPr>
        <w:t>,</w:t>
      </w:r>
      <w:r w:rsidRPr="000431F7">
        <w:rPr>
          <w:rFonts w:ascii="Times New Roman" w:hAnsi="Times New Roman" w:cs="Times New Roman"/>
          <w:sz w:val="24"/>
          <w:szCs w:val="24"/>
        </w:rPr>
        <w:t xml:space="preserve"> w przypadku gdy emisja ta będzie dotyczyć europejskich zielonych obligacji, wyłącznie w przypadku naruszenia lub uzasadnionego podejrzenia naruszenia przez emitenta zielonych obligacji stosownych obowiązków wynikających z rozporządzenia </w:t>
      </w:r>
      <w:r w:rsidRPr="000431F7">
        <w:rPr>
          <w:rFonts w:ascii="Times New Roman" w:hAnsi="Times New Roman" w:cs="Times New Roman"/>
          <w:sz w:val="24"/>
          <w:szCs w:val="24"/>
        </w:rPr>
        <w:lastRenderedPageBreak/>
        <w:t>2023/2631. Inaczej mówiąc, fakt emitowania europejskich zielonych obligacji nie zwalnia emitenta z obowiązku stosowania innych odpowiednich przepisów związanych z emisją obligacji, w tym przepisów ustawy o ofercie publicznej, a co za tym idzie</w:t>
      </w:r>
      <w:r w:rsidR="006C307D">
        <w:rPr>
          <w:rFonts w:ascii="Times New Roman" w:hAnsi="Times New Roman" w:cs="Times New Roman"/>
          <w:sz w:val="24"/>
          <w:szCs w:val="24"/>
        </w:rPr>
        <w:t>,</w:t>
      </w:r>
      <w:r w:rsidRPr="000431F7">
        <w:rPr>
          <w:rFonts w:ascii="Times New Roman" w:hAnsi="Times New Roman" w:cs="Times New Roman"/>
          <w:sz w:val="24"/>
          <w:szCs w:val="24"/>
        </w:rPr>
        <w:t xml:space="preserve"> nie wyłącza uprawnień nadzorczych Komisji Nadzoru Finansowego wynikających z innych przepisów znajdujących zastosowanie do emisji obligacji niebędących europejskimi zielonymi obligacjami.</w:t>
      </w:r>
    </w:p>
    <w:p w14:paraId="40C0CAF8" w14:textId="4BCAC628" w:rsidR="009409C1" w:rsidRPr="000431F7" w:rsidRDefault="009409C1" w:rsidP="004742CC">
      <w:pPr>
        <w:spacing w:before="120" w:after="0" w:line="360" w:lineRule="auto"/>
        <w:jc w:val="both"/>
        <w:rPr>
          <w:rFonts w:ascii="Times New Roman" w:hAnsi="Times New Roman" w:cs="Times New Roman"/>
          <w:sz w:val="24"/>
          <w:szCs w:val="24"/>
        </w:rPr>
      </w:pPr>
      <w:r w:rsidRPr="000431F7">
        <w:rPr>
          <w:rFonts w:ascii="Times New Roman" w:hAnsi="Times New Roman" w:cs="Times New Roman"/>
          <w:sz w:val="24"/>
          <w:szCs w:val="24"/>
        </w:rPr>
        <w:t>Dodawany art. 18z</w:t>
      </w:r>
      <w:r w:rsidR="002D0D74" w:rsidRPr="000431F7">
        <w:rPr>
          <w:rFonts w:ascii="Times New Roman" w:hAnsi="Times New Roman" w:cs="Times New Roman"/>
          <w:sz w:val="24"/>
          <w:szCs w:val="24"/>
        </w:rPr>
        <w:t>v</w:t>
      </w:r>
      <w:r w:rsidRPr="000431F7">
        <w:rPr>
          <w:rFonts w:ascii="Times New Roman" w:hAnsi="Times New Roman" w:cs="Times New Roman"/>
          <w:sz w:val="24"/>
          <w:szCs w:val="24"/>
        </w:rPr>
        <w:t xml:space="preserve"> ust. 1 przyznaje Komisji możliwość podjęcia działań w przypadku naruszenia obowiązków przez podmiot</w:t>
      </w:r>
      <w:r w:rsidR="00A15801">
        <w:rPr>
          <w:rFonts w:ascii="Times New Roman" w:hAnsi="Times New Roman" w:cs="Times New Roman"/>
          <w:sz w:val="24"/>
          <w:szCs w:val="24"/>
        </w:rPr>
        <w:t>,</w:t>
      </w:r>
      <w:r w:rsidRPr="000431F7">
        <w:rPr>
          <w:rFonts w:ascii="Times New Roman" w:hAnsi="Times New Roman" w:cs="Times New Roman"/>
          <w:sz w:val="24"/>
          <w:szCs w:val="24"/>
        </w:rPr>
        <w:t xml:space="preserve"> jak również w przypadku uzasadnionego podejrzenia, że takie naruszenie nastąpiło. W związku z tym Komisja może:</w:t>
      </w:r>
    </w:p>
    <w:p w14:paraId="3F376CE7" w14:textId="33864B6E" w:rsidR="009409C1" w:rsidRPr="000431F7" w:rsidRDefault="009409C1" w:rsidP="004742CC">
      <w:pPr>
        <w:pStyle w:val="Akapitzlist"/>
        <w:numPr>
          <w:ilvl w:val="0"/>
          <w:numId w:val="35"/>
        </w:numPr>
        <w:spacing w:before="120" w:after="0" w:line="360" w:lineRule="auto"/>
        <w:ind w:left="426" w:hanging="426"/>
        <w:jc w:val="both"/>
        <w:rPr>
          <w:rFonts w:ascii="Times New Roman" w:hAnsi="Times New Roman" w:cs="Times New Roman"/>
          <w:sz w:val="24"/>
          <w:szCs w:val="24"/>
        </w:rPr>
      </w:pPr>
      <w:r w:rsidRPr="000431F7">
        <w:rPr>
          <w:rFonts w:ascii="Times New Roman" w:hAnsi="Times New Roman" w:cs="Times New Roman"/>
          <w:sz w:val="24"/>
          <w:szCs w:val="24"/>
        </w:rPr>
        <w:t xml:space="preserve">nakazać podmiotowi wstrzymanie lub przerwanie reklamowania obligacji </w:t>
      </w:r>
      <w:proofErr w:type="spellStart"/>
      <w:r w:rsidRPr="000431F7">
        <w:rPr>
          <w:rFonts w:ascii="Times New Roman" w:hAnsi="Times New Roman" w:cs="Times New Roman"/>
          <w:sz w:val="24"/>
          <w:szCs w:val="24"/>
        </w:rPr>
        <w:t>EuGB</w:t>
      </w:r>
      <w:proofErr w:type="spellEnd"/>
      <w:r w:rsidRPr="000431F7">
        <w:rPr>
          <w:rFonts w:ascii="Times New Roman" w:hAnsi="Times New Roman" w:cs="Times New Roman"/>
          <w:sz w:val="24"/>
          <w:szCs w:val="24"/>
        </w:rPr>
        <w:t xml:space="preserve"> na okres do 10 dni roboczych</w:t>
      </w:r>
      <w:r w:rsidR="00A15801">
        <w:rPr>
          <w:rFonts w:ascii="Times New Roman" w:hAnsi="Times New Roman" w:cs="Times New Roman"/>
          <w:sz w:val="24"/>
          <w:szCs w:val="24"/>
        </w:rPr>
        <w:t>,</w:t>
      </w:r>
      <w:r w:rsidRPr="000431F7">
        <w:rPr>
          <w:rFonts w:ascii="Times New Roman" w:hAnsi="Times New Roman" w:cs="Times New Roman"/>
          <w:sz w:val="24"/>
          <w:szCs w:val="24"/>
        </w:rPr>
        <w:t xml:space="preserve"> jednocześnie wskazując nieprawidłowości do usunięcia;</w:t>
      </w:r>
    </w:p>
    <w:p w14:paraId="4C59A778" w14:textId="6912946B" w:rsidR="009409C1" w:rsidRPr="000431F7" w:rsidRDefault="009409C1" w:rsidP="004742CC">
      <w:pPr>
        <w:pStyle w:val="Akapitzlist"/>
        <w:numPr>
          <w:ilvl w:val="0"/>
          <w:numId w:val="35"/>
        </w:numPr>
        <w:spacing w:before="120" w:after="0" w:line="360" w:lineRule="auto"/>
        <w:ind w:left="426" w:hanging="426"/>
        <w:jc w:val="both"/>
        <w:rPr>
          <w:rFonts w:ascii="Times New Roman" w:hAnsi="Times New Roman" w:cs="Times New Roman"/>
          <w:sz w:val="24"/>
          <w:szCs w:val="24"/>
        </w:rPr>
      </w:pPr>
      <w:r w:rsidRPr="000431F7">
        <w:rPr>
          <w:rFonts w:ascii="Times New Roman" w:hAnsi="Times New Roman" w:cs="Times New Roman"/>
          <w:sz w:val="24"/>
          <w:szCs w:val="24"/>
        </w:rPr>
        <w:t xml:space="preserve">zakazać podmiotowi rozpoczęcia reklamowania obligacji </w:t>
      </w:r>
      <w:proofErr w:type="spellStart"/>
      <w:r w:rsidRPr="000431F7">
        <w:rPr>
          <w:rFonts w:ascii="Times New Roman" w:hAnsi="Times New Roman" w:cs="Times New Roman"/>
          <w:sz w:val="24"/>
          <w:szCs w:val="24"/>
        </w:rPr>
        <w:t>EuGB</w:t>
      </w:r>
      <w:proofErr w:type="spellEnd"/>
      <w:r w:rsidRPr="000431F7">
        <w:rPr>
          <w:rFonts w:ascii="Times New Roman" w:hAnsi="Times New Roman" w:cs="Times New Roman"/>
          <w:sz w:val="24"/>
          <w:szCs w:val="24"/>
        </w:rPr>
        <w:t xml:space="preserve"> lub nakazać je</w:t>
      </w:r>
      <w:r w:rsidR="002D0D74" w:rsidRPr="000431F7">
        <w:rPr>
          <w:rFonts w:ascii="Times New Roman" w:hAnsi="Times New Roman" w:cs="Times New Roman"/>
          <w:sz w:val="24"/>
          <w:szCs w:val="24"/>
        </w:rPr>
        <w:t>go</w:t>
      </w:r>
      <w:r w:rsidRPr="000431F7">
        <w:rPr>
          <w:rFonts w:ascii="Times New Roman" w:hAnsi="Times New Roman" w:cs="Times New Roman"/>
          <w:sz w:val="24"/>
          <w:szCs w:val="24"/>
        </w:rPr>
        <w:t xml:space="preserve"> przerwanie;</w:t>
      </w:r>
    </w:p>
    <w:p w14:paraId="267A805C" w14:textId="731F4FB5" w:rsidR="009409C1" w:rsidRPr="000431F7" w:rsidRDefault="009409C1" w:rsidP="004742CC">
      <w:pPr>
        <w:pStyle w:val="Akapitzlist"/>
        <w:numPr>
          <w:ilvl w:val="0"/>
          <w:numId w:val="35"/>
        </w:numPr>
        <w:spacing w:before="120" w:after="0" w:line="360" w:lineRule="auto"/>
        <w:ind w:left="426" w:hanging="426"/>
        <w:jc w:val="both"/>
        <w:rPr>
          <w:rFonts w:ascii="Times New Roman" w:hAnsi="Times New Roman" w:cs="Times New Roman"/>
          <w:sz w:val="24"/>
          <w:szCs w:val="24"/>
        </w:rPr>
      </w:pPr>
      <w:r w:rsidRPr="000431F7">
        <w:rPr>
          <w:rFonts w:ascii="Times New Roman" w:hAnsi="Times New Roman" w:cs="Times New Roman"/>
          <w:sz w:val="24"/>
          <w:szCs w:val="24"/>
        </w:rPr>
        <w:t xml:space="preserve">nakazać podmiotowi wstrzymanie oferty publicznej, subskrypcji lub sprzedaży obligacji </w:t>
      </w:r>
      <w:proofErr w:type="spellStart"/>
      <w:r w:rsidRPr="000431F7">
        <w:rPr>
          <w:rFonts w:ascii="Times New Roman" w:hAnsi="Times New Roman" w:cs="Times New Roman"/>
          <w:sz w:val="24"/>
          <w:szCs w:val="24"/>
        </w:rPr>
        <w:t>EuGB</w:t>
      </w:r>
      <w:proofErr w:type="spellEnd"/>
      <w:r w:rsidRPr="000431F7">
        <w:rPr>
          <w:rFonts w:ascii="Times New Roman" w:hAnsi="Times New Roman" w:cs="Times New Roman"/>
          <w:sz w:val="24"/>
          <w:szCs w:val="24"/>
        </w:rPr>
        <w:t xml:space="preserve"> na okres do 10 dni roboczych</w:t>
      </w:r>
      <w:r w:rsidR="00A15801">
        <w:rPr>
          <w:rFonts w:ascii="Times New Roman" w:hAnsi="Times New Roman" w:cs="Times New Roman"/>
          <w:sz w:val="24"/>
          <w:szCs w:val="24"/>
        </w:rPr>
        <w:t>,</w:t>
      </w:r>
      <w:r w:rsidRPr="000431F7">
        <w:rPr>
          <w:rFonts w:ascii="Times New Roman" w:hAnsi="Times New Roman" w:cs="Times New Roman"/>
          <w:sz w:val="24"/>
          <w:szCs w:val="24"/>
        </w:rPr>
        <w:t xml:space="preserve"> jednocześnie wskazując nieprawidłowości do usunięcia;</w:t>
      </w:r>
    </w:p>
    <w:p w14:paraId="449B1420" w14:textId="77777777" w:rsidR="009409C1" w:rsidRPr="000431F7" w:rsidRDefault="009409C1" w:rsidP="004742CC">
      <w:pPr>
        <w:pStyle w:val="Akapitzlist"/>
        <w:numPr>
          <w:ilvl w:val="0"/>
          <w:numId w:val="35"/>
        </w:numPr>
        <w:spacing w:before="120" w:after="0" w:line="360" w:lineRule="auto"/>
        <w:ind w:left="426" w:hanging="426"/>
        <w:jc w:val="both"/>
        <w:rPr>
          <w:rFonts w:ascii="Times New Roman" w:hAnsi="Times New Roman" w:cs="Times New Roman"/>
          <w:sz w:val="24"/>
          <w:szCs w:val="24"/>
        </w:rPr>
      </w:pPr>
      <w:r w:rsidRPr="000431F7">
        <w:rPr>
          <w:rFonts w:ascii="Times New Roman" w:hAnsi="Times New Roman" w:cs="Times New Roman"/>
          <w:sz w:val="24"/>
          <w:szCs w:val="24"/>
        </w:rPr>
        <w:t xml:space="preserve">zakazać podmiotowi rozpoczęcia oferty publicznej, subskrypcji lub sprzedaży obligacji </w:t>
      </w:r>
      <w:proofErr w:type="spellStart"/>
      <w:r w:rsidRPr="000431F7">
        <w:rPr>
          <w:rFonts w:ascii="Times New Roman" w:hAnsi="Times New Roman" w:cs="Times New Roman"/>
          <w:sz w:val="24"/>
          <w:szCs w:val="24"/>
        </w:rPr>
        <w:t>EuGB</w:t>
      </w:r>
      <w:proofErr w:type="spellEnd"/>
      <w:r w:rsidRPr="000431F7">
        <w:rPr>
          <w:rFonts w:ascii="Times New Roman" w:hAnsi="Times New Roman" w:cs="Times New Roman"/>
          <w:sz w:val="24"/>
          <w:szCs w:val="24"/>
        </w:rPr>
        <w:t>;</w:t>
      </w:r>
    </w:p>
    <w:p w14:paraId="0C5FED24" w14:textId="77777777" w:rsidR="009409C1" w:rsidRPr="000431F7" w:rsidRDefault="009409C1" w:rsidP="004742CC">
      <w:pPr>
        <w:pStyle w:val="Akapitzlist"/>
        <w:numPr>
          <w:ilvl w:val="0"/>
          <w:numId w:val="35"/>
        </w:numPr>
        <w:spacing w:before="120" w:after="0" w:line="360" w:lineRule="auto"/>
        <w:ind w:left="426" w:hanging="426"/>
        <w:jc w:val="both"/>
        <w:rPr>
          <w:rFonts w:ascii="Times New Roman" w:hAnsi="Times New Roman" w:cs="Times New Roman"/>
          <w:sz w:val="24"/>
          <w:szCs w:val="24"/>
        </w:rPr>
      </w:pPr>
      <w:r w:rsidRPr="000431F7">
        <w:rPr>
          <w:rFonts w:ascii="Times New Roman" w:hAnsi="Times New Roman" w:cs="Times New Roman"/>
          <w:sz w:val="24"/>
          <w:szCs w:val="24"/>
        </w:rPr>
        <w:t xml:space="preserve">nakazać podmiotowi wstrzymanie ubiegania się o dopuszczenie lub wprowadzenie obligacji </w:t>
      </w:r>
      <w:proofErr w:type="spellStart"/>
      <w:r w:rsidRPr="000431F7">
        <w:rPr>
          <w:rFonts w:ascii="Times New Roman" w:hAnsi="Times New Roman" w:cs="Times New Roman"/>
          <w:sz w:val="24"/>
          <w:szCs w:val="24"/>
        </w:rPr>
        <w:t>EuGB</w:t>
      </w:r>
      <w:proofErr w:type="spellEnd"/>
      <w:r w:rsidRPr="000431F7">
        <w:rPr>
          <w:rFonts w:ascii="Times New Roman" w:hAnsi="Times New Roman" w:cs="Times New Roman"/>
          <w:sz w:val="24"/>
          <w:szCs w:val="24"/>
        </w:rPr>
        <w:t xml:space="preserve"> do obrotu na rynku regulowanym na okres do 10 dni roboczych, jednocześnie wskazując nieprawidłowości do usunięcia;</w:t>
      </w:r>
    </w:p>
    <w:p w14:paraId="57192590" w14:textId="77777777" w:rsidR="009409C1" w:rsidRPr="000431F7" w:rsidRDefault="009409C1" w:rsidP="004742CC">
      <w:pPr>
        <w:pStyle w:val="Akapitzlist"/>
        <w:numPr>
          <w:ilvl w:val="0"/>
          <w:numId w:val="35"/>
        </w:numPr>
        <w:spacing w:before="120" w:after="0" w:line="360" w:lineRule="auto"/>
        <w:ind w:left="426" w:hanging="426"/>
        <w:jc w:val="both"/>
        <w:rPr>
          <w:rFonts w:ascii="Times New Roman" w:hAnsi="Times New Roman" w:cs="Times New Roman"/>
          <w:sz w:val="24"/>
          <w:szCs w:val="24"/>
        </w:rPr>
      </w:pPr>
      <w:r w:rsidRPr="000431F7">
        <w:rPr>
          <w:rFonts w:ascii="Times New Roman" w:hAnsi="Times New Roman" w:cs="Times New Roman"/>
          <w:sz w:val="24"/>
          <w:szCs w:val="24"/>
        </w:rPr>
        <w:t xml:space="preserve">zakazać podmiotowi ubiegania się o dopuszczenie lub wprowadzenie obligacji </w:t>
      </w:r>
      <w:proofErr w:type="spellStart"/>
      <w:r w:rsidRPr="000431F7">
        <w:rPr>
          <w:rFonts w:ascii="Times New Roman" w:hAnsi="Times New Roman" w:cs="Times New Roman"/>
          <w:sz w:val="24"/>
          <w:szCs w:val="24"/>
        </w:rPr>
        <w:t>EuGB</w:t>
      </w:r>
      <w:proofErr w:type="spellEnd"/>
      <w:r w:rsidRPr="000431F7">
        <w:rPr>
          <w:rFonts w:ascii="Times New Roman" w:hAnsi="Times New Roman" w:cs="Times New Roman"/>
          <w:sz w:val="24"/>
          <w:szCs w:val="24"/>
        </w:rPr>
        <w:t xml:space="preserve"> do obrotu na rynku regulowanym.</w:t>
      </w:r>
    </w:p>
    <w:p w14:paraId="10E37123" w14:textId="3D20C0AD" w:rsidR="0076706F" w:rsidRPr="000431F7" w:rsidRDefault="000220D9" w:rsidP="004742CC">
      <w:pPr>
        <w:spacing w:before="120" w:after="0" w:line="360" w:lineRule="auto"/>
        <w:jc w:val="both"/>
        <w:rPr>
          <w:rFonts w:ascii="Times New Roman" w:hAnsi="Times New Roman" w:cs="Times New Roman"/>
          <w:b/>
          <w:bCs/>
          <w:sz w:val="24"/>
          <w:szCs w:val="24"/>
        </w:rPr>
      </w:pPr>
      <w:r w:rsidRPr="000431F7">
        <w:rPr>
          <w:rFonts w:ascii="Times New Roman" w:hAnsi="Times New Roman" w:cs="Times New Roman"/>
          <w:sz w:val="24"/>
          <w:szCs w:val="24"/>
        </w:rPr>
        <w:t>Zgodnie z powyższym wskazane uprawnienia stanowią zapewnienie stosowania art. 45 ust. 1 lit. h–k rozporządzenia 2023/2631, które stanowią, że zakaz np. rozpoczęcia reklamy powinien mieć zastosowanie</w:t>
      </w:r>
      <w:r w:rsidR="00A15801">
        <w:rPr>
          <w:rFonts w:ascii="Times New Roman" w:hAnsi="Times New Roman" w:cs="Times New Roman"/>
          <w:sz w:val="24"/>
          <w:szCs w:val="24"/>
        </w:rPr>
        <w:t>,</w:t>
      </w:r>
      <w:r w:rsidRPr="000431F7">
        <w:rPr>
          <w:rFonts w:ascii="Times New Roman" w:hAnsi="Times New Roman" w:cs="Times New Roman"/>
          <w:sz w:val="24"/>
          <w:szCs w:val="24"/>
        </w:rPr>
        <w:t xml:space="preserve"> w przypadku gdy emitent nadal nie wypełnia obowiązków określonych tym rozporządzeniem. Z kolei w projektowanej ustawie przyjęto, że Komisja będzie mogła według uznania nakazać podmiotowi wstrzymanie np. reklamy europejskich zielonych obligacji albo zakazać takiej reklamy. </w:t>
      </w:r>
      <w:r w:rsidR="00100FEC" w:rsidRPr="000431F7">
        <w:rPr>
          <w:rFonts w:ascii="Times New Roman" w:hAnsi="Times New Roman" w:cs="Times New Roman"/>
          <w:sz w:val="24"/>
          <w:szCs w:val="24"/>
        </w:rPr>
        <w:t>Przyjęte rozwiązanie wynika z potrzeby umożliwienia Komisji od razu zakazania dalszego prowadzania działań związanych ze zbywaniem europejskich zielonych obligacji</w:t>
      </w:r>
      <w:r w:rsidR="00A15801">
        <w:rPr>
          <w:rFonts w:ascii="Times New Roman" w:hAnsi="Times New Roman" w:cs="Times New Roman"/>
          <w:sz w:val="24"/>
          <w:szCs w:val="24"/>
        </w:rPr>
        <w:t>,</w:t>
      </w:r>
      <w:r w:rsidR="00100FEC" w:rsidRPr="000431F7">
        <w:rPr>
          <w:rFonts w:ascii="Times New Roman" w:hAnsi="Times New Roman" w:cs="Times New Roman"/>
          <w:sz w:val="24"/>
          <w:szCs w:val="24"/>
        </w:rPr>
        <w:t xml:space="preserve"> w sytuacji gdy np. skala naruszenia nie daje podstaw do uznania, że emitent będzie w stanie usunąć nieprawidłowości, które stały u podstaw wydanego zakazu. Dzięki temu </w:t>
      </w:r>
      <w:r w:rsidR="00100FEC" w:rsidRPr="000431F7">
        <w:rPr>
          <w:rFonts w:ascii="Times New Roman" w:hAnsi="Times New Roman" w:cs="Times New Roman"/>
          <w:sz w:val="24"/>
          <w:szCs w:val="24"/>
        </w:rPr>
        <w:lastRenderedPageBreak/>
        <w:t>rozwiązaniu ograniczony zostanie czas wprowadzania do obrotu obligacji, które nie spełniają wymagań pozwalających na uznanie ich za europejskie zielone obligacje.</w:t>
      </w:r>
    </w:p>
    <w:p w14:paraId="7AC2FAF2" w14:textId="62CDFB6F" w:rsidR="009409C1" w:rsidRPr="000431F7" w:rsidRDefault="009409C1" w:rsidP="004742CC">
      <w:pPr>
        <w:spacing w:before="120" w:after="0" w:line="360" w:lineRule="auto"/>
        <w:jc w:val="both"/>
        <w:rPr>
          <w:rFonts w:ascii="Times New Roman" w:hAnsi="Times New Roman" w:cs="Times New Roman"/>
          <w:sz w:val="24"/>
          <w:szCs w:val="24"/>
        </w:rPr>
      </w:pPr>
      <w:r w:rsidRPr="000431F7">
        <w:rPr>
          <w:rFonts w:ascii="Times New Roman" w:hAnsi="Times New Roman" w:cs="Times New Roman"/>
          <w:sz w:val="24"/>
          <w:szCs w:val="24"/>
        </w:rPr>
        <w:t>Art. 18z</w:t>
      </w:r>
      <w:r w:rsidR="002D0D74" w:rsidRPr="000431F7">
        <w:rPr>
          <w:rFonts w:ascii="Times New Roman" w:hAnsi="Times New Roman" w:cs="Times New Roman"/>
          <w:sz w:val="24"/>
          <w:szCs w:val="24"/>
        </w:rPr>
        <w:t>v</w:t>
      </w:r>
      <w:r w:rsidRPr="000431F7">
        <w:rPr>
          <w:rFonts w:ascii="Times New Roman" w:hAnsi="Times New Roman" w:cs="Times New Roman"/>
          <w:sz w:val="24"/>
          <w:szCs w:val="24"/>
        </w:rPr>
        <w:t xml:space="preserve"> ust. 2 wskazuje, że przed wydaniem decyzji, o której mowa w ust. 1, Komisja może </w:t>
      </w:r>
      <w:r w:rsidR="002D0D74" w:rsidRPr="000431F7">
        <w:rPr>
          <w:rFonts w:ascii="Times New Roman" w:hAnsi="Times New Roman" w:cs="Times New Roman"/>
          <w:sz w:val="24"/>
          <w:szCs w:val="24"/>
        </w:rPr>
        <w:t>zalecić</w:t>
      </w:r>
      <w:r w:rsidRPr="000431F7">
        <w:rPr>
          <w:rFonts w:ascii="Times New Roman" w:hAnsi="Times New Roman" w:cs="Times New Roman"/>
          <w:sz w:val="24"/>
          <w:szCs w:val="24"/>
        </w:rPr>
        <w:t xml:space="preserve"> zaprzestania tych naruszeń. </w:t>
      </w:r>
      <w:r w:rsidR="00FA42E8" w:rsidRPr="000431F7">
        <w:rPr>
          <w:rFonts w:ascii="Times New Roman" w:hAnsi="Times New Roman" w:cs="Times New Roman"/>
          <w:sz w:val="24"/>
          <w:szCs w:val="24"/>
        </w:rPr>
        <w:t>Zgodnie z ust. 3 p</w:t>
      </w:r>
      <w:r w:rsidRPr="000431F7">
        <w:rPr>
          <w:rFonts w:ascii="Times New Roman" w:hAnsi="Times New Roman" w:cs="Times New Roman"/>
          <w:sz w:val="24"/>
          <w:szCs w:val="24"/>
        </w:rPr>
        <w:t xml:space="preserve">o wydaniu takiego zalecenia, w przypadku gdy jest to konieczne, podmiot lub inne podmioty zaangażowane w emisję obligacji </w:t>
      </w:r>
      <w:proofErr w:type="spellStart"/>
      <w:r w:rsidRPr="000431F7">
        <w:rPr>
          <w:rFonts w:ascii="Times New Roman" w:hAnsi="Times New Roman" w:cs="Times New Roman"/>
          <w:sz w:val="24"/>
          <w:szCs w:val="24"/>
        </w:rPr>
        <w:t>EuGB</w:t>
      </w:r>
      <w:proofErr w:type="spellEnd"/>
      <w:r w:rsidRPr="000431F7">
        <w:rPr>
          <w:rFonts w:ascii="Times New Roman" w:hAnsi="Times New Roman" w:cs="Times New Roman"/>
          <w:sz w:val="24"/>
          <w:szCs w:val="24"/>
        </w:rPr>
        <w:t xml:space="preserve"> muszą powstrzymać się od działań reklamowych, rozpoczęcia oferty publicznej, subskrypcji, sprzedaży lub ubiegania się o dopuszczenie do obrotu na rynku regulowanym do czasu usunięcia wskazanych nieprawidłowości. Możliwość </w:t>
      </w:r>
      <w:r w:rsidR="002D0D74" w:rsidRPr="000431F7">
        <w:rPr>
          <w:rFonts w:ascii="Times New Roman" w:hAnsi="Times New Roman" w:cs="Times New Roman"/>
          <w:sz w:val="24"/>
          <w:szCs w:val="24"/>
        </w:rPr>
        <w:t>zalecenia</w:t>
      </w:r>
      <w:r w:rsidRPr="000431F7">
        <w:rPr>
          <w:rFonts w:ascii="Times New Roman" w:hAnsi="Times New Roman" w:cs="Times New Roman"/>
          <w:sz w:val="24"/>
          <w:szCs w:val="24"/>
        </w:rPr>
        <w:t xml:space="preserve"> przez Komisję </w:t>
      </w:r>
      <w:r w:rsidR="00FA42E8" w:rsidRPr="000431F7">
        <w:rPr>
          <w:rFonts w:ascii="Times New Roman" w:hAnsi="Times New Roman" w:cs="Times New Roman"/>
          <w:sz w:val="24"/>
          <w:szCs w:val="24"/>
        </w:rPr>
        <w:t xml:space="preserve">określonych czynności </w:t>
      </w:r>
      <w:r w:rsidRPr="000431F7">
        <w:rPr>
          <w:rFonts w:ascii="Times New Roman" w:hAnsi="Times New Roman" w:cs="Times New Roman"/>
          <w:sz w:val="24"/>
          <w:szCs w:val="24"/>
        </w:rPr>
        <w:t>przed decyzją nakazującą lub zakazującą usprawnia proces przywracania zgodności z przepisami działalności podmiotów objętych tym przepisem.</w:t>
      </w:r>
    </w:p>
    <w:bookmarkEnd w:id="27"/>
    <w:p w14:paraId="5F5C0D83" w14:textId="1C70840C" w:rsidR="00F85275" w:rsidRPr="000431F7" w:rsidRDefault="00F85275" w:rsidP="004742CC">
      <w:pPr>
        <w:spacing w:before="120" w:after="0" w:line="360" w:lineRule="auto"/>
        <w:jc w:val="both"/>
        <w:rPr>
          <w:rFonts w:ascii="Times New Roman" w:hAnsi="Times New Roman" w:cs="Times New Roman"/>
          <w:sz w:val="24"/>
          <w:szCs w:val="24"/>
        </w:rPr>
      </w:pPr>
      <w:r w:rsidRPr="000431F7">
        <w:rPr>
          <w:rFonts w:ascii="Times New Roman" w:hAnsi="Times New Roman" w:cs="Times New Roman"/>
          <w:sz w:val="24"/>
          <w:szCs w:val="24"/>
        </w:rPr>
        <w:t>Z kolei art. 18z</w:t>
      </w:r>
      <w:r w:rsidR="00FA42E8" w:rsidRPr="000431F7">
        <w:rPr>
          <w:rFonts w:ascii="Times New Roman" w:hAnsi="Times New Roman" w:cs="Times New Roman"/>
          <w:sz w:val="24"/>
          <w:szCs w:val="24"/>
        </w:rPr>
        <w:t>y</w:t>
      </w:r>
      <w:r w:rsidRPr="000431F7">
        <w:rPr>
          <w:rFonts w:ascii="Times New Roman" w:hAnsi="Times New Roman" w:cs="Times New Roman"/>
          <w:sz w:val="24"/>
          <w:szCs w:val="24"/>
        </w:rPr>
        <w:t xml:space="preserve"> ust. </w:t>
      </w:r>
      <w:r w:rsidR="00FA42E8" w:rsidRPr="000431F7">
        <w:rPr>
          <w:rFonts w:ascii="Times New Roman" w:hAnsi="Times New Roman" w:cs="Times New Roman"/>
          <w:sz w:val="24"/>
          <w:szCs w:val="24"/>
        </w:rPr>
        <w:t>4</w:t>
      </w:r>
      <w:r w:rsidRPr="000431F7">
        <w:rPr>
          <w:rFonts w:ascii="Times New Roman" w:hAnsi="Times New Roman" w:cs="Times New Roman"/>
          <w:sz w:val="24"/>
          <w:szCs w:val="24"/>
        </w:rPr>
        <w:t xml:space="preserve"> zezwala K</w:t>
      </w:r>
      <w:r w:rsidR="002D16A0" w:rsidRPr="000431F7">
        <w:rPr>
          <w:rFonts w:ascii="Times New Roman" w:hAnsi="Times New Roman" w:cs="Times New Roman"/>
          <w:sz w:val="24"/>
          <w:szCs w:val="24"/>
        </w:rPr>
        <w:t>NF</w:t>
      </w:r>
      <w:r w:rsidRPr="000431F7">
        <w:rPr>
          <w:rFonts w:ascii="Times New Roman" w:hAnsi="Times New Roman" w:cs="Times New Roman"/>
          <w:sz w:val="24"/>
          <w:szCs w:val="24"/>
        </w:rPr>
        <w:t xml:space="preserve"> na wielokrotne stosowanie powyższych środków wobec emitenta w związku ze wskazaną emisją obligacji </w:t>
      </w:r>
      <w:proofErr w:type="spellStart"/>
      <w:r w:rsidRPr="000431F7">
        <w:rPr>
          <w:rFonts w:ascii="Times New Roman" w:hAnsi="Times New Roman" w:cs="Times New Roman"/>
          <w:sz w:val="24"/>
          <w:szCs w:val="24"/>
        </w:rPr>
        <w:t>EuGB</w:t>
      </w:r>
      <w:proofErr w:type="spellEnd"/>
      <w:r w:rsidRPr="000431F7">
        <w:rPr>
          <w:rFonts w:ascii="Times New Roman" w:hAnsi="Times New Roman" w:cs="Times New Roman"/>
          <w:sz w:val="24"/>
          <w:szCs w:val="24"/>
        </w:rPr>
        <w:t>, je</w:t>
      </w:r>
      <w:r w:rsidR="00A15801">
        <w:rPr>
          <w:rFonts w:ascii="Times New Roman" w:hAnsi="Times New Roman" w:cs="Times New Roman"/>
          <w:sz w:val="24"/>
          <w:szCs w:val="24"/>
        </w:rPr>
        <w:t>że</w:t>
      </w:r>
      <w:r w:rsidRPr="000431F7">
        <w:rPr>
          <w:rFonts w:ascii="Times New Roman" w:hAnsi="Times New Roman" w:cs="Times New Roman"/>
          <w:sz w:val="24"/>
          <w:szCs w:val="24"/>
        </w:rPr>
        <w:t>li uzna to za konieczne dla egzekwowania ww. obowiązków.</w:t>
      </w:r>
    </w:p>
    <w:p w14:paraId="697F47FC" w14:textId="7B978210" w:rsidR="00F85275" w:rsidRPr="000431F7" w:rsidRDefault="00F85275" w:rsidP="004742CC">
      <w:pPr>
        <w:spacing w:before="120" w:after="0" w:line="360" w:lineRule="auto"/>
        <w:jc w:val="both"/>
        <w:rPr>
          <w:rFonts w:ascii="Times New Roman" w:hAnsi="Times New Roman" w:cs="Times New Roman"/>
          <w:sz w:val="24"/>
          <w:szCs w:val="24"/>
        </w:rPr>
      </w:pPr>
      <w:r w:rsidRPr="000431F7">
        <w:rPr>
          <w:rFonts w:ascii="Times New Roman" w:hAnsi="Times New Roman" w:cs="Times New Roman"/>
          <w:sz w:val="24"/>
          <w:szCs w:val="24"/>
        </w:rPr>
        <w:t>Dodanie art. 18z</w:t>
      </w:r>
      <w:r w:rsidR="00FA42E8" w:rsidRPr="000431F7">
        <w:rPr>
          <w:rFonts w:ascii="Times New Roman" w:hAnsi="Times New Roman" w:cs="Times New Roman"/>
          <w:sz w:val="24"/>
          <w:szCs w:val="24"/>
        </w:rPr>
        <w:t>w</w:t>
      </w:r>
      <w:r w:rsidRPr="000431F7">
        <w:rPr>
          <w:rFonts w:ascii="Times New Roman" w:hAnsi="Times New Roman" w:cs="Times New Roman"/>
          <w:sz w:val="24"/>
          <w:szCs w:val="24"/>
        </w:rPr>
        <w:t xml:space="preserve"> ma na celu zapewnienie stosowania art. 45 ust. 1 lit. l </w:t>
      </w:r>
      <w:r w:rsidR="002D16A0" w:rsidRPr="000431F7">
        <w:rPr>
          <w:rFonts w:ascii="Times New Roman" w:hAnsi="Times New Roman" w:cs="Times New Roman"/>
          <w:sz w:val="24"/>
          <w:szCs w:val="24"/>
        </w:rPr>
        <w:t>oraz</w:t>
      </w:r>
      <w:r w:rsidRPr="000431F7">
        <w:rPr>
          <w:rFonts w:ascii="Times New Roman" w:hAnsi="Times New Roman" w:cs="Times New Roman"/>
          <w:sz w:val="24"/>
          <w:szCs w:val="24"/>
        </w:rPr>
        <w:t xml:space="preserve"> n rozporządzenia 2023/2631.</w:t>
      </w:r>
      <w:r w:rsidRPr="000431F7">
        <w:rPr>
          <w:rFonts w:ascii="Times New Roman" w:hAnsi="Times New Roman" w:cs="Times New Roman"/>
          <w:b/>
          <w:bCs/>
          <w:sz w:val="24"/>
          <w:szCs w:val="24"/>
        </w:rPr>
        <w:t xml:space="preserve"> </w:t>
      </w:r>
      <w:r w:rsidRPr="000431F7">
        <w:rPr>
          <w:rFonts w:ascii="Times New Roman" w:hAnsi="Times New Roman" w:cs="Times New Roman"/>
          <w:sz w:val="24"/>
          <w:szCs w:val="24"/>
        </w:rPr>
        <w:t>Art. 18z</w:t>
      </w:r>
      <w:r w:rsidR="00FA42E8" w:rsidRPr="000431F7">
        <w:rPr>
          <w:rFonts w:ascii="Times New Roman" w:hAnsi="Times New Roman" w:cs="Times New Roman"/>
          <w:sz w:val="24"/>
          <w:szCs w:val="24"/>
        </w:rPr>
        <w:t>w</w:t>
      </w:r>
      <w:r w:rsidRPr="000431F7">
        <w:rPr>
          <w:rFonts w:ascii="Times New Roman" w:hAnsi="Times New Roman" w:cs="Times New Roman"/>
          <w:sz w:val="24"/>
          <w:szCs w:val="24"/>
        </w:rPr>
        <w:t xml:space="preserve"> ust. 1 przyznaje K</w:t>
      </w:r>
      <w:r w:rsidR="002D16A0" w:rsidRPr="000431F7">
        <w:rPr>
          <w:rFonts w:ascii="Times New Roman" w:hAnsi="Times New Roman" w:cs="Times New Roman"/>
          <w:sz w:val="24"/>
          <w:szCs w:val="24"/>
        </w:rPr>
        <w:t>NF</w:t>
      </w:r>
      <w:r w:rsidRPr="000431F7">
        <w:rPr>
          <w:rFonts w:ascii="Times New Roman" w:hAnsi="Times New Roman" w:cs="Times New Roman"/>
          <w:sz w:val="24"/>
          <w:szCs w:val="24"/>
        </w:rPr>
        <w:t xml:space="preserve"> prawo do podania do publicznej wiadomości, na koszt tego podmiotu, informacji o nieprzestrzeganiu przez ten podmiot przepisów rozporządzenia. Je</w:t>
      </w:r>
      <w:r w:rsidR="00A15801">
        <w:rPr>
          <w:rFonts w:ascii="Times New Roman" w:hAnsi="Times New Roman" w:cs="Times New Roman"/>
          <w:sz w:val="24"/>
          <w:szCs w:val="24"/>
        </w:rPr>
        <w:t>że</w:t>
      </w:r>
      <w:r w:rsidRPr="000431F7">
        <w:rPr>
          <w:rFonts w:ascii="Times New Roman" w:hAnsi="Times New Roman" w:cs="Times New Roman"/>
          <w:sz w:val="24"/>
          <w:szCs w:val="24"/>
        </w:rPr>
        <w:t>li podmiot emitujący europejskie zielone obligacje narusza te przepisy, K</w:t>
      </w:r>
      <w:r w:rsidR="002D16A0" w:rsidRPr="000431F7">
        <w:rPr>
          <w:rFonts w:ascii="Times New Roman" w:hAnsi="Times New Roman" w:cs="Times New Roman"/>
          <w:sz w:val="24"/>
          <w:szCs w:val="24"/>
        </w:rPr>
        <w:t>NF</w:t>
      </w:r>
      <w:r w:rsidRPr="000431F7">
        <w:rPr>
          <w:rFonts w:ascii="Times New Roman" w:hAnsi="Times New Roman" w:cs="Times New Roman"/>
          <w:sz w:val="24"/>
          <w:szCs w:val="24"/>
        </w:rPr>
        <w:t xml:space="preserve"> może publicznie wskazać naruszenia i zobowiązać ten podmiot do </w:t>
      </w:r>
      <w:r w:rsidR="00FA42E8" w:rsidRPr="000431F7">
        <w:rPr>
          <w:rFonts w:ascii="Times New Roman" w:hAnsi="Times New Roman" w:cs="Times New Roman"/>
          <w:sz w:val="24"/>
          <w:szCs w:val="24"/>
        </w:rPr>
        <w:t>udostępnienia</w:t>
      </w:r>
      <w:r w:rsidRPr="000431F7">
        <w:rPr>
          <w:rFonts w:ascii="Times New Roman" w:hAnsi="Times New Roman" w:cs="Times New Roman"/>
          <w:sz w:val="24"/>
          <w:szCs w:val="24"/>
        </w:rPr>
        <w:t xml:space="preserve"> takiej informacji na </w:t>
      </w:r>
      <w:r w:rsidR="00FA42E8" w:rsidRPr="000431F7">
        <w:rPr>
          <w:rFonts w:ascii="Times New Roman" w:hAnsi="Times New Roman" w:cs="Times New Roman"/>
          <w:sz w:val="24"/>
          <w:szCs w:val="24"/>
        </w:rPr>
        <w:t>stronie internetowej podmiotu</w:t>
      </w:r>
      <w:r w:rsidRPr="000431F7">
        <w:rPr>
          <w:rFonts w:ascii="Times New Roman" w:hAnsi="Times New Roman" w:cs="Times New Roman"/>
          <w:sz w:val="24"/>
          <w:szCs w:val="24"/>
        </w:rPr>
        <w:t>.</w:t>
      </w:r>
    </w:p>
    <w:p w14:paraId="52F96FE1" w14:textId="7E658BC8" w:rsidR="00F85275" w:rsidRPr="000431F7" w:rsidRDefault="00F85275" w:rsidP="004742CC">
      <w:pPr>
        <w:spacing w:before="120" w:after="0" w:line="360" w:lineRule="auto"/>
        <w:jc w:val="both"/>
        <w:rPr>
          <w:rFonts w:ascii="Times New Roman" w:hAnsi="Times New Roman" w:cs="Times New Roman"/>
          <w:sz w:val="24"/>
          <w:szCs w:val="24"/>
        </w:rPr>
      </w:pPr>
      <w:r w:rsidRPr="000431F7">
        <w:rPr>
          <w:rFonts w:ascii="Times New Roman" w:hAnsi="Times New Roman" w:cs="Times New Roman"/>
          <w:sz w:val="24"/>
          <w:szCs w:val="24"/>
        </w:rPr>
        <w:t>Zgodnie z art. 18z</w:t>
      </w:r>
      <w:r w:rsidR="00FA42E8" w:rsidRPr="000431F7">
        <w:rPr>
          <w:rFonts w:ascii="Times New Roman" w:hAnsi="Times New Roman" w:cs="Times New Roman"/>
          <w:sz w:val="24"/>
          <w:szCs w:val="24"/>
        </w:rPr>
        <w:t>w</w:t>
      </w:r>
      <w:r w:rsidRPr="000431F7">
        <w:rPr>
          <w:rFonts w:ascii="Times New Roman" w:hAnsi="Times New Roman" w:cs="Times New Roman"/>
          <w:sz w:val="24"/>
          <w:szCs w:val="24"/>
        </w:rPr>
        <w:t xml:space="preserve"> ust. 2, je</w:t>
      </w:r>
      <w:r w:rsidR="00A15801">
        <w:rPr>
          <w:rFonts w:ascii="Times New Roman" w:hAnsi="Times New Roman" w:cs="Times New Roman"/>
          <w:sz w:val="24"/>
          <w:szCs w:val="24"/>
        </w:rPr>
        <w:t>że</w:t>
      </w:r>
      <w:r w:rsidRPr="000431F7">
        <w:rPr>
          <w:rFonts w:ascii="Times New Roman" w:hAnsi="Times New Roman" w:cs="Times New Roman"/>
          <w:sz w:val="24"/>
          <w:szCs w:val="24"/>
        </w:rPr>
        <w:t xml:space="preserve">li po trzech miesiącach od dnia </w:t>
      </w:r>
      <w:r w:rsidR="00FA42E8" w:rsidRPr="000431F7">
        <w:rPr>
          <w:rFonts w:ascii="Times New Roman" w:hAnsi="Times New Roman" w:cs="Times New Roman"/>
          <w:sz w:val="24"/>
          <w:szCs w:val="24"/>
        </w:rPr>
        <w:t xml:space="preserve">otrzymania przez podmiot </w:t>
      </w:r>
      <w:r w:rsidRPr="000431F7">
        <w:rPr>
          <w:rFonts w:ascii="Times New Roman" w:hAnsi="Times New Roman" w:cs="Times New Roman"/>
          <w:sz w:val="24"/>
          <w:szCs w:val="24"/>
        </w:rPr>
        <w:t>zobowiązania do publikacji naruszenia przepisy nadal nie są przestrzegane, K</w:t>
      </w:r>
      <w:r w:rsidR="002D16A0" w:rsidRPr="000431F7">
        <w:rPr>
          <w:rFonts w:ascii="Times New Roman" w:hAnsi="Times New Roman" w:cs="Times New Roman"/>
          <w:sz w:val="24"/>
          <w:szCs w:val="24"/>
        </w:rPr>
        <w:t>NF</w:t>
      </w:r>
      <w:r w:rsidRPr="000431F7">
        <w:rPr>
          <w:rFonts w:ascii="Times New Roman" w:hAnsi="Times New Roman" w:cs="Times New Roman"/>
          <w:sz w:val="24"/>
          <w:szCs w:val="24"/>
        </w:rPr>
        <w:t xml:space="preserve"> może, w drodze decyzji, opublikować na koszt tego podmiotu informację o niespełnieniu wymogów, które pozwalają na oznakowanie obligacji jako „europejska zielona obligacja” (</w:t>
      </w:r>
      <w:proofErr w:type="spellStart"/>
      <w:r w:rsidRPr="000431F7">
        <w:rPr>
          <w:rFonts w:ascii="Times New Roman" w:hAnsi="Times New Roman" w:cs="Times New Roman"/>
          <w:sz w:val="24"/>
          <w:szCs w:val="24"/>
        </w:rPr>
        <w:t>EuGB</w:t>
      </w:r>
      <w:proofErr w:type="spellEnd"/>
      <w:r w:rsidRPr="000431F7">
        <w:rPr>
          <w:rFonts w:ascii="Times New Roman" w:hAnsi="Times New Roman" w:cs="Times New Roman"/>
          <w:sz w:val="24"/>
          <w:szCs w:val="24"/>
        </w:rPr>
        <w:t>). Informacja ta musi również zostać</w:t>
      </w:r>
      <w:r w:rsidR="00FA42E8" w:rsidRPr="000431F7">
        <w:rPr>
          <w:rFonts w:ascii="Times New Roman" w:hAnsi="Times New Roman" w:cs="Times New Roman"/>
          <w:sz w:val="24"/>
          <w:szCs w:val="24"/>
        </w:rPr>
        <w:t xml:space="preserve"> udostępniona</w:t>
      </w:r>
      <w:r w:rsidRPr="000431F7">
        <w:rPr>
          <w:rFonts w:ascii="Times New Roman" w:hAnsi="Times New Roman" w:cs="Times New Roman"/>
          <w:sz w:val="24"/>
          <w:szCs w:val="24"/>
        </w:rPr>
        <w:t xml:space="preserve"> na stronie internetowej podmiotu.</w:t>
      </w:r>
    </w:p>
    <w:p w14:paraId="4645E2B4" w14:textId="437D557B" w:rsidR="00F85275" w:rsidRPr="000431F7" w:rsidRDefault="00F85275" w:rsidP="004742CC">
      <w:pPr>
        <w:spacing w:before="120" w:after="0" w:line="360" w:lineRule="auto"/>
        <w:jc w:val="both"/>
        <w:rPr>
          <w:rFonts w:ascii="Times New Roman" w:hAnsi="Times New Roman" w:cs="Times New Roman"/>
          <w:sz w:val="24"/>
          <w:szCs w:val="24"/>
        </w:rPr>
      </w:pPr>
      <w:r w:rsidRPr="000431F7">
        <w:rPr>
          <w:rFonts w:ascii="Times New Roman" w:hAnsi="Times New Roman" w:cs="Times New Roman"/>
          <w:sz w:val="24"/>
          <w:szCs w:val="24"/>
        </w:rPr>
        <w:t>Dodanie art. 18z</w:t>
      </w:r>
      <w:r w:rsidR="00FA42E8" w:rsidRPr="000431F7">
        <w:rPr>
          <w:rFonts w:ascii="Times New Roman" w:hAnsi="Times New Roman" w:cs="Times New Roman"/>
          <w:sz w:val="24"/>
          <w:szCs w:val="24"/>
        </w:rPr>
        <w:t>x</w:t>
      </w:r>
      <w:r w:rsidRPr="000431F7">
        <w:rPr>
          <w:rFonts w:ascii="Times New Roman" w:hAnsi="Times New Roman" w:cs="Times New Roman"/>
          <w:sz w:val="24"/>
          <w:szCs w:val="24"/>
        </w:rPr>
        <w:t xml:space="preserve"> ma na celu zapewnienie natychmiastowej wykonalności decyzji K</w:t>
      </w:r>
      <w:r w:rsidR="002D16A0" w:rsidRPr="000431F7">
        <w:rPr>
          <w:rFonts w:ascii="Times New Roman" w:hAnsi="Times New Roman" w:cs="Times New Roman"/>
          <w:sz w:val="24"/>
          <w:szCs w:val="24"/>
        </w:rPr>
        <w:t>NF</w:t>
      </w:r>
      <w:r w:rsidRPr="000431F7">
        <w:rPr>
          <w:rFonts w:ascii="Times New Roman" w:hAnsi="Times New Roman" w:cs="Times New Roman"/>
          <w:sz w:val="24"/>
          <w:szCs w:val="24"/>
        </w:rPr>
        <w:t xml:space="preserve"> o zastosowaniu środków, o których mowa w art. 18z</w:t>
      </w:r>
      <w:r w:rsidR="00FA42E8" w:rsidRPr="000431F7">
        <w:rPr>
          <w:rFonts w:ascii="Times New Roman" w:hAnsi="Times New Roman" w:cs="Times New Roman"/>
          <w:sz w:val="24"/>
          <w:szCs w:val="24"/>
        </w:rPr>
        <w:t>v</w:t>
      </w:r>
      <w:r w:rsidRPr="000431F7">
        <w:rPr>
          <w:rFonts w:ascii="Times New Roman" w:hAnsi="Times New Roman" w:cs="Times New Roman"/>
          <w:sz w:val="24"/>
          <w:szCs w:val="24"/>
        </w:rPr>
        <w:t xml:space="preserve"> ust. 1 oraz art. 18z</w:t>
      </w:r>
      <w:r w:rsidR="00FA42E8" w:rsidRPr="000431F7">
        <w:rPr>
          <w:rFonts w:ascii="Times New Roman" w:hAnsi="Times New Roman" w:cs="Times New Roman"/>
          <w:sz w:val="24"/>
          <w:szCs w:val="24"/>
        </w:rPr>
        <w:t>w</w:t>
      </w:r>
      <w:r w:rsidRPr="000431F7">
        <w:rPr>
          <w:rFonts w:ascii="Times New Roman" w:hAnsi="Times New Roman" w:cs="Times New Roman"/>
          <w:sz w:val="24"/>
          <w:szCs w:val="24"/>
        </w:rPr>
        <w:t>. Decyzje inwestorów opierają się w głównej mierze na informacjach lub zapewnieniach przekazywanych przez emitentów. W przypadku gdy emitent zielonych obligacji nie wykonuje przypisanych mu obowiązków informacyjnych (np. nie podaje określonych informacji lub wprowadza nimi w błąd inwestorów), istotne jest, aby decyzje organu nadzoru mały rygor natychmiastowej wykonalności, tak aby ograniczyć dostęp inwestorów do instrumentów, które z założenia miały spełniać unijny standard zielonych obligacji</w:t>
      </w:r>
      <w:r w:rsidR="00A15801">
        <w:rPr>
          <w:rFonts w:ascii="Times New Roman" w:hAnsi="Times New Roman" w:cs="Times New Roman"/>
          <w:sz w:val="24"/>
          <w:szCs w:val="24"/>
        </w:rPr>
        <w:t>,</w:t>
      </w:r>
      <w:r w:rsidRPr="000431F7">
        <w:rPr>
          <w:rFonts w:ascii="Times New Roman" w:hAnsi="Times New Roman" w:cs="Times New Roman"/>
          <w:sz w:val="24"/>
          <w:szCs w:val="24"/>
        </w:rPr>
        <w:t xml:space="preserve"> ale w praktyce takiego standardu nie spełniają z </w:t>
      </w:r>
      <w:r w:rsidRPr="000431F7">
        <w:rPr>
          <w:rFonts w:ascii="Times New Roman" w:hAnsi="Times New Roman" w:cs="Times New Roman"/>
          <w:sz w:val="24"/>
          <w:szCs w:val="24"/>
        </w:rPr>
        <w:lastRenderedPageBreak/>
        <w:t>uwagi na zaniechania emitenta. Przepisy te wzorowane były na rozwiązaniach przyjętych w</w:t>
      </w:r>
      <w:r w:rsidR="00A15801">
        <w:rPr>
          <w:rFonts w:ascii="Times New Roman" w:hAnsi="Times New Roman" w:cs="Times New Roman"/>
          <w:sz w:val="24"/>
          <w:szCs w:val="24"/>
        </w:rPr>
        <w:t> </w:t>
      </w:r>
      <w:r w:rsidRPr="000431F7">
        <w:rPr>
          <w:rFonts w:ascii="Times New Roman" w:hAnsi="Times New Roman" w:cs="Times New Roman"/>
          <w:sz w:val="24"/>
          <w:szCs w:val="24"/>
        </w:rPr>
        <w:t>art.</w:t>
      </w:r>
      <w:r w:rsidR="00A15801">
        <w:rPr>
          <w:rFonts w:ascii="Times New Roman" w:hAnsi="Times New Roman" w:cs="Times New Roman"/>
          <w:sz w:val="24"/>
          <w:szCs w:val="24"/>
        </w:rPr>
        <w:t> </w:t>
      </w:r>
      <w:r w:rsidRPr="000431F7">
        <w:rPr>
          <w:rFonts w:ascii="Times New Roman" w:hAnsi="Times New Roman" w:cs="Times New Roman"/>
          <w:sz w:val="24"/>
          <w:szCs w:val="24"/>
        </w:rPr>
        <w:t xml:space="preserve">18a ustawy o ofercie publicznej i warunkach wprowadzania instrumentów finansowych do zorganizowanego systemu obrotu oraz o spółkach publicznych. Dzięki temu rozwiązaniu dojdzie do ograniczenia tzw. </w:t>
      </w:r>
      <w:proofErr w:type="spellStart"/>
      <w:r w:rsidRPr="000431F7">
        <w:rPr>
          <w:rFonts w:ascii="Times New Roman" w:hAnsi="Times New Roman" w:cs="Times New Roman"/>
          <w:sz w:val="24"/>
          <w:szCs w:val="24"/>
        </w:rPr>
        <w:t>greenwashingu</w:t>
      </w:r>
      <w:proofErr w:type="spellEnd"/>
      <w:r w:rsidRPr="000431F7">
        <w:rPr>
          <w:rFonts w:ascii="Times New Roman" w:hAnsi="Times New Roman" w:cs="Times New Roman"/>
          <w:sz w:val="24"/>
          <w:szCs w:val="24"/>
        </w:rPr>
        <w:t>.</w:t>
      </w:r>
    </w:p>
    <w:p w14:paraId="1B118679" w14:textId="1BC8AD6D" w:rsidR="00296C80" w:rsidRPr="000431F7" w:rsidRDefault="00F85275" w:rsidP="004742CC">
      <w:pPr>
        <w:spacing w:before="120" w:after="0" w:line="360" w:lineRule="auto"/>
        <w:jc w:val="both"/>
        <w:rPr>
          <w:rFonts w:ascii="Times New Roman" w:hAnsi="Times New Roman" w:cs="Times New Roman"/>
          <w:sz w:val="24"/>
          <w:szCs w:val="24"/>
        </w:rPr>
      </w:pPr>
      <w:r w:rsidRPr="000431F7">
        <w:rPr>
          <w:rFonts w:ascii="Times New Roman" w:hAnsi="Times New Roman" w:cs="Times New Roman"/>
          <w:sz w:val="24"/>
          <w:szCs w:val="24"/>
        </w:rPr>
        <w:t>Zgodnie z art. 18z</w:t>
      </w:r>
      <w:r w:rsidR="006114C7" w:rsidRPr="000431F7">
        <w:rPr>
          <w:rFonts w:ascii="Times New Roman" w:hAnsi="Times New Roman" w:cs="Times New Roman"/>
          <w:sz w:val="24"/>
          <w:szCs w:val="24"/>
        </w:rPr>
        <w:t>x</w:t>
      </w:r>
      <w:r w:rsidRPr="000431F7">
        <w:rPr>
          <w:rFonts w:ascii="Times New Roman" w:hAnsi="Times New Roman" w:cs="Times New Roman"/>
          <w:sz w:val="24"/>
          <w:szCs w:val="24"/>
        </w:rPr>
        <w:t xml:space="preserve"> decyzje dotyczące zastosowania środków z art. 18z</w:t>
      </w:r>
      <w:r w:rsidR="00FA42E8" w:rsidRPr="000431F7">
        <w:rPr>
          <w:rFonts w:ascii="Times New Roman" w:hAnsi="Times New Roman" w:cs="Times New Roman"/>
          <w:sz w:val="24"/>
          <w:szCs w:val="24"/>
        </w:rPr>
        <w:t>v</w:t>
      </w:r>
      <w:r w:rsidRPr="000431F7">
        <w:rPr>
          <w:rFonts w:ascii="Times New Roman" w:hAnsi="Times New Roman" w:cs="Times New Roman"/>
          <w:sz w:val="24"/>
          <w:szCs w:val="24"/>
        </w:rPr>
        <w:t xml:space="preserve"> ust. 1 oraz </w:t>
      </w:r>
      <w:r w:rsidR="00A15801">
        <w:rPr>
          <w:rFonts w:ascii="Times New Roman" w:hAnsi="Times New Roman" w:cs="Times New Roman"/>
          <w:sz w:val="24"/>
          <w:szCs w:val="24"/>
        </w:rPr>
        <w:t xml:space="preserve">art. </w:t>
      </w:r>
      <w:r w:rsidRPr="000431F7">
        <w:rPr>
          <w:rFonts w:ascii="Times New Roman" w:hAnsi="Times New Roman" w:cs="Times New Roman"/>
          <w:sz w:val="24"/>
          <w:szCs w:val="24"/>
        </w:rPr>
        <w:t>18z</w:t>
      </w:r>
      <w:r w:rsidR="00FA42E8" w:rsidRPr="000431F7">
        <w:rPr>
          <w:rFonts w:ascii="Times New Roman" w:hAnsi="Times New Roman" w:cs="Times New Roman"/>
          <w:sz w:val="24"/>
          <w:szCs w:val="24"/>
        </w:rPr>
        <w:t>w</w:t>
      </w:r>
      <w:r w:rsidRPr="000431F7">
        <w:rPr>
          <w:rFonts w:ascii="Times New Roman" w:hAnsi="Times New Roman" w:cs="Times New Roman"/>
          <w:sz w:val="24"/>
          <w:szCs w:val="24"/>
        </w:rPr>
        <w:t xml:space="preserve"> (dotyczących naruszeń przepisów przez emitentów europejskich zielonych obligacji) są natychmiast wykonalne. Uzasadnienie tych decyzji musi być dostarczone w terminie 14 dni od ich doręczenia, a termin na złożenie wniosku o ponowne rozpatrzenie sprawy liczy się od chwili doręczenia uzasadnienia.</w:t>
      </w:r>
    </w:p>
    <w:p w14:paraId="3CACD345" w14:textId="3A452EB1" w:rsidR="00F85275" w:rsidRPr="000431F7" w:rsidRDefault="00F532DE" w:rsidP="004742CC">
      <w:pPr>
        <w:spacing w:before="120" w:after="0" w:line="360" w:lineRule="auto"/>
        <w:jc w:val="both"/>
        <w:rPr>
          <w:rFonts w:ascii="Times New Roman" w:hAnsi="Times New Roman" w:cs="Times New Roman"/>
          <w:sz w:val="24"/>
          <w:szCs w:val="24"/>
        </w:rPr>
      </w:pPr>
      <w:r w:rsidRPr="000431F7">
        <w:rPr>
          <w:rFonts w:ascii="Times New Roman" w:hAnsi="Times New Roman" w:cs="Times New Roman"/>
          <w:sz w:val="24"/>
          <w:szCs w:val="24"/>
        </w:rPr>
        <w:t xml:space="preserve">Jednym z zasadniczych celów rozporządzenia 2023/2631 jest umożliwienie inwestorom łatwego zidentyfikowania obligacji, których przychody z emisji są wydatkowane zgodnie z celami środowiskowymi określonymi w porozumieniu paryskim lub przyczyniają się do realizacji tych celów. Inwestorzy nabywający takie obligacje kierują się zatem określonym celem środowiskowym. Z drugiej strony oznaczanie obligacji jako </w:t>
      </w:r>
      <w:proofErr w:type="spellStart"/>
      <w:r w:rsidRPr="000431F7">
        <w:rPr>
          <w:rFonts w:ascii="Times New Roman" w:hAnsi="Times New Roman" w:cs="Times New Roman"/>
          <w:sz w:val="24"/>
          <w:szCs w:val="24"/>
        </w:rPr>
        <w:t>EuGB</w:t>
      </w:r>
      <w:proofErr w:type="spellEnd"/>
      <w:r w:rsidRPr="000431F7">
        <w:rPr>
          <w:rFonts w:ascii="Times New Roman" w:hAnsi="Times New Roman" w:cs="Times New Roman"/>
          <w:sz w:val="24"/>
          <w:szCs w:val="24"/>
        </w:rPr>
        <w:t xml:space="preserve"> podnosi ich atrakcyjność, co z kolei ułatwia emitentowi uplasowanie na rynku całej emisji oraz pozycjonowanie emitenta jako działającego zgodnie z zasadami zrównoważonego rozwoju. Mając na uwadze potrzebę wyeliminowania tak zwanego </w:t>
      </w:r>
      <w:proofErr w:type="spellStart"/>
      <w:r w:rsidRPr="000431F7">
        <w:rPr>
          <w:rFonts w:ascii="Times New Roman" w:hAnsi="Times New Roman" w:cs="Times New Roman"/>
          <w:sz w:val="24"/>
          <w:szCs w:val="24"/>
        </w:rPr>
        <w:t>greenwashingu</w:t>
      </w:r>
      <w:proofErr w:type="spellEnd"/>
      <w:r w:rsidRPr="000431F7">
        <w:rPr>
          <w:rFonts w:ascii="Times New Roman" w:hAnsi="Times New Roman" w:cs="Times New Roman"/>
          <w:sz w:val="24"/>
          <w:szCs w:val="24"/>
        </w:rPr>
        <w:t xml:space="preserve">, polegającego np. </w:t>
      </w:r>
      <w:r w:rsidR="00A15801">
        <w:rPr>
          <w:rFonts w:ascii="Times New Roman" w:hAnsi="Times New Roman" w:cs="Times New Roman"/>
          <w:sz w:val="24"/>
          <w:szCs w:val="24"/>
        </w:rPr>
        <w:t xml:space="preserve">na </w:t>
      </w:r>
      <w:r w:rsidRPr="000431F7">
        <w:rPr>
          <w:rFonts w:ascii="Times New Roman" w:hAnsi="Times New Roman" w:cs="Times New Roman"/>
          <w:sz w:val="24"/>
          <w:szCs w:val="24"/>
        </w:rPr>
        <w:t>oznaczani</w:t>
      </w:r>
      <w:r w:rsidR="00A15801">
        <w:rPr>
          <w:rFonts w:ascii="Times New Roman" w:hAnsi="Times New Roman" w:cs="Times New Roman"/>
          <w:sz w:val="24"/>
          <w:szCs w:val="24"/>
        </w:rPr>
        <w:t>u</w:t>
      </w:r>
      <w:r w:rsidRPr="000431F7">
        <w:rPr>
          <w:rFonts w:ascii="Times New Roman" w:hAnsi="Times New Roman" w:cs="Times New Roman"/>
          <w:sz w:val="24"/>
          <w:szCs w:val="24"/>
        </w:rPr>
        <w:t xml:space="preserve"> przez emitentów obligacji jako </w:t>
      </w:r>
      <w:proofErr w:type="spellStart"/>
      <w:r w:rsidRPr="000431F7">
        <w:rPr>
          <w:rFonts w:ascii="Times New Roman" w:hAnsi="Times New Roman" w:cs="Times New Roman"/>
          <w:sz w:val="24"/>
          <w:szCs w:val="24"/>
        </w:rPr>
        <w:t>EuGB</w:t>
      </w:r>
      <w:proofErr w:type="spellEnd"/>
      <w:r w:rsidRPr="000431F7">
        <w:rPr>
          <w:rFonts w:ascii="Times New Roman" w:hAnsi="Times New Roman" w:cs="Times New Roman"/>
          <w:sz w:val="24"/>
          <w:szCs w:val="24"/>
        </w:rPr>
        <w:t xml:space="preserve">, decyzje </w:t>
      </w:r>
      <w:r w:rsidR="002D16A0" w:rsidRPr="000431F7">
        <w:rPr>
          <w:rFonts w:ascii="Times New Roman" w:hAnsi="Times New Roman" w:cs="Times New Roman"/>
          <w:sz w:val="24"/>
          <w:szCs w:val="24"/>
        </w:rPr>
        <w:t>KNF</w:t>
      </w:r>
      <w:r w:rsidRPr="000431F7">
        <w:rPr>
          <w:rFonts w:ascii="Times New Roman" w:hAnsi="Times New Roman" w:cs="Times New Roman"/>
          <w:sz w:val="24"/>
          <w:szCs w:val="24"/>
        </w:rPr>
        <w:t xml:space="preserve"> muszą posiadać status natychmiastowej wykonalności, co zabezpieczy interesy inwestorów, którzy nieświadomi istniejących nieprawidłowości po stronie emitenta nabywaliby takie obligacje zgodnie ze swoim celem inwestycyjnym zakładającym nabywanie produktów inwestycyjnych spełniających standardy ESG. Nadanie przedmiotowym decyzjom rygoru natychmiastowej wykonalności uzasadnione jest zatem ważnym interesem uczestników rynku kapitałowego oraz koniecznością zapobieżenia zagrożeniu prawidłowego funkcjonowania tego rynku.</w:t>
      </w:r>
    </w:p>
    <w:p w14:paraId="07486413" w14:textId="0B1D226E" w:rsidR="00296C80" w:rsidRPr="000431F7" w:rsidRDefault="00296C80" w:rsidP="004742CC">
      <w:pPr>
        <w:spacing w:before="120" w:after="0" w:line="360" w:lineRule="auto"/>
        <w:jc w:val="both"/>
        <w:rPr>
          <w:rFonts w:ascii="Times New Roman" w:hAnsi="Times New Roman" w:cs="Times New Roman"/>
          <w:sz w:val="24"/>
          <w:szCs w:val="24"/>
        </w:rPr>
      </w:pPr>
      <w:r w:rsidRPr="000431F7">
        <w:rPr>
          <w:rFonts w:ascii="Times New Roman" w:hAnsi="Times New Roman" w:cs="Times New Roman"/>
          <w:sz w:val="24"/>
          <w:szCs w:val="24"/>
        </w:rPr>
        <w:t>Art. 18z</w:t>
      </w:r>
      <w:r w:rsidR="006114C7" w:rsidRPr="000431F7">
        <w:rPr>
          <w:rFonts w:ascii="Times New Roman" w:hAnsi="Times New Roman" w:cs="Times New Roman"/>
          <w:sz w:val="24"/>
          <w:szCs w:val="24"/>
        </w:rPr>
        <w:t>x</w:t>
      </w:r>
      <w:r w:rsidRPr="000431F7">
        <w:rPr>
          <w:rFonts w:ascii="Times New Roman" w:hAnsi="Times New Roman" w:cs="Times New Roman"/>
          <w:sz w:val="24"/>
          <w:szCs w:val="24"/>
        </w:rPr>
        <w:t xml:space="preserve"> ust. 2 określa procedurę doręczenia decyzji, gdy emisja obligacji odbywa się za pośrednictwem firmy inwestycyjnej. Decyzję doręcza się firmie inwestycyjnej, która pośredniczy w ofercie, i uważa się to za doręczenie emitentowi. Je</w:t>
      </w:r>
      <w:r w:rsidR="00A15801">
        <w:rPr>
          <w:rFonts w:ascii="Times New Roman" w:hAnsi="Times New Roman" w:cs="Times New Roman"/>
          <w:sz w:val="24"/>
          <w:szCs w:val="24"/>
        </w:rPr>
        <w:t>że</w:t>
      </w:r>
      <w:r w:rsidRPr="000431F7">
        <w:rPr>
          <w:rFonts w:ascii="Times New Roman" w:hAnsi="Times New Roman" w:cs="Times New Roman"/>
          <w:sz w:val="24"/>
          <w:szCs w:val="24"/>
        </w:rPr>
        <w:t>li brak jest pośrednictwa firmy inwestycyjnej, decyzję udostępnia się na stronie internetowej K</w:t>
      </w:r>
      <w:r w:rsidR="002D16A0" w:rsidRPr="000431F7">
        <w:rPr>
          <w:rFonts w:ascii="Times New Roman" w:hAnsi="Times New Roman" w:cs="Times New Roman"/>
          <w:sz w:val="24"/>
          <w:szCs w:val="24"/>
        </w:rPr>
        <w:t>NF</w:t>
      </w:r>
      <w:r w:rsidRPr="000431F7">
        <w:rPr>
          <w:rFonts w:ascii="Times New Roman" w:hAnsi="Times New Roman" w:cs="Times New Roman"/>
          <w:sz w:val="24"/>
          <w:szCs w:val="24"/>
        </w:rPr>
        <w:t xml:space="preserve"> i uważa się ją za doręczoną w dniu publikacji.</w:t>
      </w:r>
      <w:r w:rsidR="00F532DE" w:rsidRPr="000431F7">
        <w:rPr>
          <w:rFonts w:ascii="Times New Roman" w:hAnsi="Times New Roman" w:cs="Times New Roman"/>
          <w:sz w:val="24"/>
          <w:szCs w:val="24"/>
        </w:rPr>
        <w:t xml:space="preserve"> </w:t>
      </w:r>
      <w:r w:rsidRPr="000431F7">
        <w:rPr>
          <w:rFonts w:ascii="Times New Roman" w:hAnsi="Times New Roman" w:cs="Times New Roman"/>
          <w:sz w:val="24"/>
          <w:szCs w:val="24"/>
        </w:rPr>
        <w:t>Zgodnie z art. 18z</w:t>
      </w:r>
      <w:r w:rsidR="006114C7" w:rsidRPr="000431F7">
        <w:rPr>
          <w:rFonts w:ascii="Times New Roman" w:hAnsi="Times New Roman" w:cs="Times New Roman"/>
          <w:sz w:val="24"/>
          <w:szCs w:val="24"/>
        </w:rPr>
        <w:t>x</w:t>
      </w:r>
      <w:r w:rsidRPr="000431F7">
        <w:rPr>
          <w:rFonts w:ascii="Times New Roman" w:hAnsi="Times New Roman" w:cs="Times New Roman"/>
          <w:sz w:val="24"/>
          <w:szCs w:val="24"/>
        </w:rPr>
        <w:t xml:space="preserve"> ust. 3 K</w:t>
      </w:r>
      <w:r w:rsidR="008803EC" w:rsidRPr="000431F7">
        <w:rPr>
          <w:rFonts w:ascii="Times New Roman" w:hAnsi="Times New Roman" w:cs="Times New Roman"/>
          <w:sz w:val="24"/>
          <w:szCs w:val="24"/>
        </w:rPr>
        <w:t>NF</w:t>
      </w:r>
      <w:r w:rsidRPr="000431F7">
        <w:rPr>
          <w:rFonts w:ascii="Times New Roman" w:hAnsi="Times New Roman" w:cs="Times New Roman"/>
          <w:sz w:val="24"/>
          <w:szCs w:val="24"/>
        </w:rPr>
        <w:t xml:space="preserve"> jest zobowiązana, aby </w:t>
      </w:r>
      <w:r w:rsidR="00734B17" w:rsidRPr="000431F7">
        <w:rPr>
          <w:rFonts w:ascii="Times New Roman" w:hAnsi="Times New Roman" w:cs="Times New Roman"/>
          <w:sz w:val="24"/>
          <w:szCs w:val="24"/>
        </w:rPr>
        <w:t xml:space="preserve">niezwłocznie </w:t>
      </w:r>
      <w:r w:rsidRPr="000431F7">
        <w:rPr>
          <w:rFonts w:ascii="Times New Roman" w:hAnsi="Times New Roman" w:cs="Times New Roman"/>
          <w:sz w:val="24"/>
          <w:szCs w:val="24"/>
        </w:rPr>
        <w:t xml:space="preserve">po wydaniu postanowienia o wszczęciu postępowania udostępnić </w:t>
      </w:r>
      <w:r w:rsidR="00F532DE" w:rsidRPr="000431F7">
        <w:rPr>
          <w:rFonts w:ascii="Times New Roman" w:hAnsi="Times New Roman" w:cs="Times New Roman"/>
          <w:sz w:val="24"/>
          <w:szCs w:val="24"/>
        </w:rPr>
        <w:t xml:space="preserve">to postanowienie </w:t>
      </w:r>
      <w:r w:rsidRPr="000431F7">
        <w:rPr>
          <w:rFonts w:ascii="Times New Roman" w:hAnsi="Times New Roman" w:cs="Times New Roman"/>
          <w:sz w:val="24"/>
          <w:szCs w:val="24"/>
        </w:rPr>
        <w:t>na swojej stronie internetowej.</w:t>
      </w:r>
      <w:r w:rsidR="00F532DE" w:rsidRPr="000431F7">
        <w:rPr>
          <w:rFonts w:ascii="Times New Roman" w:hAnsi="Times New Roman" w:cs="Times New Roman"/>
          <w:sz w:val="24"/>
          <w:szCs w:val="24"/>
        </w:rPr>
        <w:t xml:space="preserve"> </w:t>
      </w:r>
      <w:r w:rsidRPr="000431F7">
        <w:rPr>
          <w:rFonts w:ascii="Times New Roman" w:hAnsi="Times New Roman" w:cs="Times New Roman"/>
          <w:sz w:val="24"/>
          <w:szCs w:val="24"/>
        </w:rPr>
        <w:t>Z kolei art. 18z</w:t>
      </w:r>
      <w:r w:rsidR="006114C7" w:rsidRPr="000431F7">
        <w:rPr>
          <w:rFonts w:ascii="Times New Roman" w:hAnsi="Times New Roman" w:cs="Times New Roman"/>
          <w:sz w:val="24"/>
          <w:szCs w:val="24"/>
        </w:rPr>
        <w:t>x</w:t>
      </w:r>
      <w:r w:rsidRPr="000431F7">
        <w:rPr>
          <w:rFonts w:ascii="Times New Roman" w:hAnsi="Times New Roman" w:cs="Times New Roman"/>
          <w:sz w:val="24"/>
          <w:szCs w:val="24"/>
        </w:rPr>
        <w:t xml:space="preserve"> ust. 4 wymaga, aby K</w:t>
      </w:r>
      <w:r w:rsidR="008803EC" w:rsidRPr="000431F7">
        <w:rPr>
          <w:rFonts w:ascii="Times New Roman" w:hAnsi="Times New Roman" w:cs="Times New Roman"/>
          <w:sz w:val="24"/>
          <w:szCs w:val="24"/>
        </w:rPr>
        <w:t>NF</w:t>
      </w:r>
      <w:r w:rsidRPr="000431F7">
        <w:rPr>
          <w:rFonts w:ascii="Times New Roman" w:hAnsi="Times New Roman" w:cs="Times New Roman"/>
          <w:sz w:val="24"/>
          <w:szCs w:val="24"/>
        </w:rPr>
        <w:t xml:space="preserve"> niezwłocznie po wydaniu decyzji o zastosowaniu środków z art. 18z</w:t>
      </w:r>
      <w:r w:rsidR="006114C7" w:rsidRPr="000431F7">
        <w:rPr>
          <w:rFonts w:ascii="Times New Roman" w:hAnsi="Times New Roman" w:cs="Times New Roman"/>
          <w:sz w:val="24"/>
          <w:szCs w:val="24"/>
        </w:rPr>
        <w:t>v ust. 1</w:t>
      </w:r>
      <w:r w:rsidRPr="000431F7">
        <w:rPr>
          <w:rFonts w:ascii="Times New Roman" w:hAnsi="Times New Roman" w:cs="Times New Roman"/>
          <w:sz w:val="24"/>
          <w:szCs w:val="24"/>
        </w:rPr>
        <w:t xml:space="preserve"> i </w:t>
      </w:r>
      <w:r w:rsidR="006114C7" w:rsidRPr="000431F7">
        <w:rPr>
          <w:rFonts w:ascii="Times New Roman" w:hAnsi="Times New Roman" w:cs="Times New Roman"/>
          <w:sz w:val="24"/>
          <w:szCs w:val="24"/>
        </w:rPr>
        <w:t xml:space="preserve">art. </w:t>
      </w:r>
      <w:r w:rsidRPr="000431F7">
        <w:rPr>
          <w:rFonts w:ascii="Times New Roman" w:hAnsi="Times New Roman" w:cs="Times New Roman"/>
          <w:sz w:val="24"/>
          <w:szCs w:val="24"/>
        </w:rPr>
        <w:t>18z</w:t>
      </w:r>
      <w:r w:rsidR="006114C7" w:rsidRPr="000431F7">
        <w:rPr>
          <w:rFonts w:ascii="Times New Roman" w:hAnsi="Times New Roman" w:cs="Times New Roman"/>
          <w:sz w:val="24"/>
          <w:szCs w:val="24"/>
        </w:rPr>
        <w:t>w</w:t>
      </w:r>
      <w:r w:rsidRPr="000431F7">
        <w:rPr>
          <w:rFonts w:ascii="Times New Roman" w:hAnsi="Times New Roman" w:cs="Times New Roman"/>
          <w:sz w:val="24"/>
          <w:szCs w:val="24"/>
        </w:rPr>
        <w:t xml:space="preserve"> </w:t>
      </w:r>
      <w:r w:rsidR="004E204E" w:rsidRPr="000431F7">
        <w:rPr>
          <w:rFonts w:ascii="Times New Roman" w:hAnsi="Times New Roman" w:cs="Times New Roman"/>
          <w:sz w:val="24"/>
          <w:szCs w:val="24"/>
        </w:rPr>
        <w:t xml:space="preserve">udostępniła stosowną decyzję </w:t>
      </w:r>
      <w:r w:rsidRPr="000431F7">
        <w:rPr>
          <w:rFonts w:ascii="Times New Roman" w:hAnsi="Times New Roman" w:cs="Times New Roman"/>
          <w:sz w:val="24"/>
          <w:szCs w:val="24"/>
        </w:rPr>
        <w:t>na swojej stronie internetowej.</w:t>
      </w:r>
    </w:p>
    <w:p w14:paraId="25832701" w14:textId="77BE9F8A" w:rsidR="00F532DE" w:rsidRPr="000431F7" w:rsidRDefault="00F532DE" w:rsidP="004742CC">
      <w:pPr>
        <w:spacing w:before="120" w:after="0" w:line="360" w:lineRule="auto"/>
        <w:jc w:val="both"/>
        <w:rPr>
          <w:rFonts w:ascii="Times New Roman" w:hAnsi="Times New Roman" w:cs="Times New Roman"/>
          <w:sz w:val="24"/>
          <w:szCs w:val="24"/>
        </w:rPr>
      </w:pPr>
      <w:r w:rsidRPr="000431F7">
        <w:rPr>
          <w:rFonts w:ascii="Times New Roman" w:hAnsi="Times New Roman" w:cs="Times New Roman"/>
          <w:sz w:val="24"/>
          <w:szCs w:val="24"/>
        </w:rPr>
        <w:lastRenderedPageBreak/>
        <w:t xml:space="preserve">Wskazana wcześnie potrzeba pilnego działania organu nadzoru w przypadku wprowadzania wśród inwestorów obligacji oznakowanych jako </w:t>
      </w:r>
      <w:proofErr w:type="spellStart"/>
      <w:r w:rsidRPr="000431F7">
        <w:rPr>
          <w:rFonts w:ascii="Times New Roman" w:hAnsi="Times New Roman" w:cs="Times New Roman"/>
          <w:sz w:val="24"/>
          <w:szCs w:val="24"/>
        </w:rPr>
        <w:t>EuGB</w:t>
      </w:r>
      <w:proofErr w:type="spellEnd"/>
      <w:r w:rsidRPr="000431F7">
        <w:rPr>
          <w:rFonts w:ascii="Times New Roman" w:hAnsi="Times New Roman" w:cs="Times New Roman"/>
          <w:sz w:val="24"/>
          <w:szCs w:val="24"/>
        </w:rPr>
        <w:t xml:space="preserve"> wymaga również usprawnienia procesu informowania emitenta takich obligacji o wszczętym przez </w:t>
      </w:r>
      <w:r w:rsidR="002D16A0" w:rsidRPr="000431F7">
        <w:rPr>
          <w:rFonts w:ascii="Times New Roman" w:hAnsi="Times New Roman" w:cs="Times New Roman"/>
          <w:sz w:val="24"/>
          <w:szCs w:val="24"/>
        </w:rPr>
        <w:t>KNF</w:t>
      </w:r>
      <w:r w:rsidRPr="000431F7">
        <w:rPr>
          <w:rFonts w:ascii="Times New Roman" w:hAnsi="Times New Roman" w:cs="Times New Roman"/>
          <w:sz w:val="24"/>
          <w:szCs w:val="24"/>
        </w:rPr>
        <w:t xml:space="preserve"> wobec niego postępowaniu. Potrzeba zapewnienia niezwłocznego zastosowania się emitenta obligacji oznakowanych jako </w:t>
      </w:r>
      <w:proofErr w:type="spellStart"/>
      <w:r w:rsidRPr="000431F7">
        <w:rPr>
          <w:rFonts w:ascii="Times New Roman" w:hAnsi="Times New Roman" w:cs="Times New Roman"/>
          <w:sz w:val="24"/>
          <w:szCs w:val="24"/>
        </w:rPr>
        <w:t>EuGB</w:t>
      </w:r>
      <w:proofErr w:type="spellEnd"/>
      <w:r w:rsidRPr="000431F7">
        <w:rPr>
          <w:rFonts w:ascii="Times New Roman" w:hAnsi="Times New Roman" w:cs="Times New Roman"/>
          <w:sz w:val="24"/>
          <w:szCs w:val="24"/>
        </w:rPr>
        <w:t>, które nie spełniają tego standardu</w:t>
      </w:r>
      <w:r w:rsidR="00A15801">
        <w:rPr>
          <w:rFonts w:ascii="Times New Roman" w:hAnsi="Times New Roman" w:cs="Times New Roman"/>
          <w:sz w:val="24"/>
          <w:szCs w:val="24"/>
        </w:rPr>
        <w:t>,</w:t>
      </w:r>
      <w:r w:rsidRPr="000431F7">
        <w:rPr>
          <w:rFonts w:ascii="Times New Roman" w:hAnsi="Times New Roman" w:cs="Times New Roman"/>
          <w:sz w:val="24"/>
          <w:szCs w:val="24"/>
        </w:rPr>
        <w:t xml:space="preserve"> do decyzji </w:t>
      </w:r>
      <w:r w:rsidR="002D16A0" w:rsidRPr="000431F7">
        <w:rPr>
          <w:rFonts w:ascii="Times New Roman" w:hAnsi="Times New Roman" w:cs="Times New Roman"/>
          <w:sz w:val="24"/>
          <w:szCs w:val="24"/>
        </w:rPr>
        <w:t>KNF</w:t>
      </w:r>
      <w:r w:rsidRPr="000431F7">
        <w:rPr>
          <w:rFonts w:ascii="Times New Roman" w:hAnsi="Times New Roman" w:cs="Times New Roman"/>
          <w:sz w:val="24"/>
          <w:szCs w:val="24"/>
        </w:rPr>
        <w:t>, celem wyeliminowania praktyki wprowadzania inwestorów w błąd, wymaga również</w:t>
      </w:r>
      <w:r w:rsidR="00A15801">
        <w:rPr>
          <w:rFonts w:ascii="Times New Roman" w:hAnsi="Times New Roman" w:cs="Times New Roman"/>
          <w:sz w:val="24"/>
          <w:szCs w:val="24"/>
        </w:rPr>
        <w:t>,</w:t>
      </w:r>
      <w:r w:rsidRPr="000431F7">
        <w:rPr>
          <w:rFonts w:ascii="Times New Roman" w:hAnsi="Times New Roman" w:cs="Times New Roman"/>
          <w:sz w:val="24"/>
          <w:szCs w:val="24"/>
        </w:rPr>
        <w:t xml:space="preserve"> aby decyzje takie były dostarczane emitentom w trybie natychmiastowym, co zapewni proponowane doręczenie decyzji również przez ich udostępnienie na stronie internetowej KNF. Potrzeba sprawnego działania w ramach prowadzonych postępowań uzasadnia również</w:t>
      </w:r>
      <w:r w:rsidR="00A15801">
        <w:rPr>
          <w:rFonts w:ascii="Times New Roman" w:hAnsi="Times New Roman" w:cs="Times New Roman"/>
          <w:sz w:val="24"/>
          <w:szCs w:val="24"/>
        </w:rPr>
        <w:t>,</w:t>
      </w:r>
      <w:r w:rsidRPr="000431F7">
        <w:rPr>
          <w:rFonts w:ascii="Times New Roman" w:hAnsi="Times New Roman" w:cs="Times New Roman"/>
          <w:sz w:val="24"/>
          <w:szCs w:val="24"/>
        </w:rPr>
        <w:t xml:space="preserve"> aby w tożsamy sposób doręczane b</w:t>
      </w:r>
      <w:r w:rsidR="00A15801">
        <w:rPr>
          <w:rFonts w:ascii="Times New Roman" w:hAnsi="Times New Roman" w:cs="Times New Roman"/>
          <w:sz w:val="24"/>
          <w:szCs w:val="24"/>
        </w:rPr>
        <w:t>yły</w:t>
      </w:r>
      <w:r w:rsidRPr="000431F7">
        <w:rPr>
          <w:rFonts w:ascii="Times New Roman" w:hAnsi="Times New Roman" w:cs="Times New Roman"/>
          <w:sz w:val="24"/>
          <w:szCs w:val="24"/>
        </w:rPr>
        <w:t xml:space="preserve"> także postanowienia o wszczęciu postępowania.</w:t>
      </w:r>
    </w:p>
    <w:p w14:paraId="55F9BCA1" w14:textId="66FB5935" w:rsidR="00F532DE" w:rsidRPr="000431F7" w:rsidRDefault="00F532DE" w:rsidP="004742CC">
      <w:pPr>
        <w:spacing w:before="120" w:after="0" w:line="360" w:lineRule="auto"/>
        <w:jc w:val="both"/>
        <w:rPr>
          <w:rFonts w:ascii="Times New Roman" w:hAnsi="Times New Roman" w:cs="Times New Roman"/>
          <w:sz w:val="24"/>
          <w:szCs w:val="24"/>
        </w:rPr>
      </w:pPr>
      <w:r w:rsidRPr="000431F7">
        <w:rPr>
          <w:rFonts w:ascii="Times New Roman" w:hAnsi="Times New Roman" w:cs="Times New Roman"/>
          <w:sz w:val="24"/>
          <w:szCs w:val="24"/>
        </w:rPr>
        <w:t>Dodanie art. 18z</w:t>
      </w:r>
      <w:r w:rsidR="006114C7" w:rsidRPr="000431F7">
        <w:rPr>
          <w:rFonts w:ascii="Times New Roman" w:hAnsi="Times New Roman" w:cs="Times New Roman"/>
          <w:sz w:val="24"/>
          <w:szCs w:val="24"/>
        </w:rPr>
        <w:t>y</w:t>
      </w:r>
      <w:r w:rsidRPr="000431F7">
        <w:rPr>
          <w:rFonts w:ascii="Times New Roman" w:hAnsi="Times New Roman" w:cs="Times New Roman"/>
          <w:sz w:val="24"/>
          <w:szCs w:val="24"/>
        </w:rPr>
        <w:t xml:space="preserve"> ma na celu usprawnienie zasad uchylania decyzji o zastosowaniu wspomnianych wyżej środków, co pozwoli na szybkie wznowienie reklamy, oferowania czy wprowadzania do obrotu unijnych zielonych obligacji. Przepis ten jest wzorowany na art. 19a ustawy o ofercie publicznej i warunkach wprowadzania instrumentów finansowych do zorganizowanego systemu obrotu oraz o spółkach publicznych. Zgodnie z art. 18z</w:t>
      </w:r>
      <w:r w:rsidR="006114C7" w:rsidRPr="000431F7">
        <w:rPr>
          <w:rFonts w:ascii="Times New Roman" w:hAnsi="Times New Roman" w:cs="Times New Roman"/>
          <w:sz w:val="24"/>
          <w:szCs w:val="24"/>
        </w:rPr>
        <w:t>y</w:t>
      </w:r>
      <w:r w:rsidRPr="000431F7">
        <w:rPr>
          <w:rFonts w:ascii="Times New Roman" w:hAnsi="Times New Roman" w:cs="Times New Roman"/>
          <w:sz w:val="24"/>
          <w:szCs w:val="24"/>
        </w:rPr>
        <w:t>, je</w:t>
      </w:r>
      <w:r w:rsidR="00A15801">
        <w:rPr>
          <w:rFonts w:ascii="Times New Roman" w:hAnsi="Times New Roman" w:cs="Times New Roman"/>
          <w:sz w:val="24"/>
          <w:szCs w:val="24"/>
        </w:rPr>
        <w:t>że</w:t>
      </w:r>
      <w:r w:rsidRPr="000431F7">
        <w:rPr>
          <w:rFonts w:ascii="Times New Roman" w:hAnsi="Times New Roman" w:cs="Times New Roman"/>
          <w:sz w:val="24"/>
          <w:szCs w:val="24"/>
        </w:rPr>
        <w:t>li przestaną istnieć okoliczności naruszeń, które były powodem wydania decyzji o zastosowaniu środków, o której mowa w art. 18z</w:t>
      </w:r>
      <w:r w:rsidR="006114C7" w:rsidRPr="000431F7">
        <w:rPr>
          <w:rFonts w:ascii="Times New Roman" w:hAnsi="Times New Roman" w:cs="Times New Roman"/>
          <w:sz w:val="24"/>
          <w:szCs w:val="24"/>
        </w:rPr>
        <w:t>v</w:t>
      </w:r>
      <w:r w:rsidRPr="000431F7">
        <w:rPr>
          <w:rFonts w:ascii="Times New Roman" w:hAnsi="Times New Roman" w:cs="Times New Roman"/>
          <w:sz w:val="24"/>
          <w:szCs w:val="24"/>
        </w:rPr>
        <w:t xml:space="preserve"> ust. 1 lub art. 18z</w:t>
      </w:r>
      <w:r w:rsidR="006114C7" w:rsidRPr="000431F7">
        <w:rPr>
          <w:rFonts w:ascii="Times New Roman" w:hAnsi="Times New Roman" w:cs="Times New Roman"/>
          <w:sz w:val="24"/>
          <w:szCs w:val="24"/>
        </w:rPr>
        <w:t>w</w:t>
      </w:r>
      <w:r w:rsidRPr="000431F7">
        <w:rPr>
          <w:rFonts w:ascii="Times New Roman" w:hAnsi="Times New Roman" w:cs="Times New Roman"/>
          <w:sz w:val="24"/>
          <w:szCs w:val="24"/>
        </w:rPr>
        <w:t>, K</w:t>
      </w:r>
      <w:r w:rsidR="002D16A0" w:rsidRPr="000431F7">
        <w:rPr>
          <w:rFonts w:ascii="Times New Roman" w:hAnsi="Times New Roman" w:cs="Times New Roman"/>
          <w:sz w:val="24"/>
          <w:szCs w:val="24"/>
        </w:rPr>
        <w:t>NF</w:t>
      </w:r>
      <w:r w:rsidRPr="000431F7">
        <w:rPr>
          <w:rFonts w:ascii="Times New Roman" w:hAnsi="Times New Roman" w:cs="Times New Roman"/>
          <w:sz w:val="24"/>
          <w:szCs w:val="24"/>
        </w:rPr>
        <w:t xml:space="preserve"> na wniosek podmiotu uchyla tę decyzję. Uchylenie to może nastąpić także z inicjatywy samej K</w:t>
      </w:r>
      <w:r w:rsidR="002D16A0" w:rsidRPr="000431F7">
        <w:rPr>
          <w:rFonts w:ascii="Times New Roman" w:hAnsi="Times New Roman" w:cs="Times New Roman"/>
          <w:sz w:val="24"/>
          <w:szCs w:val="24"/>
        </w:rPr>
        <w:t>NF</w:t>
      </w:r>
      <w:r w:rsidRPr="000431F7">
        <w:rPr>
          <w:rFonts w:ascii="Times New Roman" w:hAnsi="Times New Roman" w:cs="Times New Roman"/>
          <w:sz w:val="24"/>
          <w:szCs w:val="24"/>
        </w:rPr>
        <w:t>.</w:t>
      </w:r>
    </w:p>
    <w:p w14:paraId="68C64F2B" w14:textId="5C88B679" w:rsidR="00F532DE" w:rsidRPr="000431F7" w:rsidRDefault="00F532DE" w:rsidP="004742CC">
      <w:pPr>
        <w:spacing w:before="120" w:after="0" w:line="360" w:lineRule="auto"/>
        <w:jc w:val="both"/>
        <w:rPr>
          <w:rFonts w:ascii="Times New Roman" w:hAnsi="Times New Roman" w:cs="Times New Roman"/>
          <w:sz w:val="24"/>
          <w:szCs w:val="24"/>
        </w:rPr>
      </w:pPr>
      <w:r w:rsidRPr="000431F7">
        <w:rPr>
          <w:rFonts w:ascii="Times New Roman" w:hAnsi="Times New Roman" w:cs="Times New Roman"/>
          <w:sz w:val="24"/>
          <w:szCs w:val="24"/>
        </w:rPr>
        <w:t>Dodanie art. 18z</w:t>
      </w:r>
      <w:r w:rsidR="006114C7" w:rsidRPr="000431F7">
        <w:rPr>
          <w:rFonts w:ascii="Times New Roman" w:hAnsi="Times New Roman" w:cs="Times New Roman"/>
          <w:sz w:val="24"/>
          <w:szCs w:val="24"/>
        </w:rPr>
        <w:t>z</w:t>
      </w:r>
      <w:r w:rsidRPr="000431F7">
        <w:rPr>
          <w:rFonts w:ascii="Times New Roman" w:hAnsi="Times New Roman" w:cs="Times New Roman"/>
          <w:sz w:val="24"/>
          <w:szCs w:val="24"/>
        </w:rPr>
        <w:t xml:space="preserve"> ma na celu zapewnienie stosowania art. 49 ust. 4 lit. b</w:t>
      </w:r>
      <w:r w:rsidR="00AC35F5">
        <w:rPr>
          <w:rFonts w:ascii="Times New Roman" w:hAnsi="Times New Roman" w:cs="Times New Roman"/>
          <w:sz w:val="24"/>
          <w:szCs w:val="24"/>
        </w:rPr>
        <w:t>–</w:t>
      </w:r>
      <w:r w:rsidRPr="000431F7">
        <w:rPr>
          <w:rFonts w:ascii="Times New Roman" w:hAnsi="Times New Roman" w:cs="Times New Roman"/>
          <w:sz w:val="24"/>
          <w:szCs w:val="24"/>
        </w:rPr>
        <w:t>f oraz art. 49 ust. 4 akapit drugi rozporządzenia 2023/2631.</w:t>
      </w:r>
      <w:r w:rsidRPr="000431F7">
        <w:rPr>
          <w:rFonts w:ascii="Times New Roman" w:hAnsi="Times New Roman" w:cs="Times New Roman"/>
          <w:b/>
          <w:bCs/>
          <w:sz w:val="24"/>
          <w:szCs w:val="24"/>
        </w:rPr>
        <w:t xml:space="preserve"> </w:t>
      </w:r>
      <w:r w:rsidRPr="000431F7">
        <w:rPr>
          <w:rFonts w:ascii="Times New Roman" w:hAnsi="Times New Roman" w:cs="Times New Roman"/>
          <w:sz w:val="24"/>
          <w:szCs w:val="24"/>
        </w:rPr>
        <w:t>Art. 18z</w:t>
      </w:r>
      <w:r w:rsidR="006114C7" w:rsidRPr="000431F7">
        <w:rPr>
          <w:rFonts w:ascii="Times New Roman" w:hAnsi="Times New Roman" w:cs="Times New Roman"/>
          <w:sz w:val="24"/>
          <w:szCs w:val="24"/>
        </w:rPr>
        <w:t>z</w:t>
      </w:r>
      <w:r w:rsidRPr="000431F7">
        <w:rPr>
          <w:rFonts w:ascii="Times New Roman" w:hAnsi="Times New Roman" w:cs="Times New Roman"/>
          <w:sz w:val="24"/>
          <w:szCs w:val="24"/>
        </w:rPr>
        <w:t xml:space="preserve"> koncentruje się na sankcjach, które mogą zostać nałożone przez K</w:t>
      </w:r>
      <w:r w:rsidR="002D16A0" w:rsidRPr="000431F7">
        <w:rPr>
          <w:rFonts w:ascii="Times New Roman" w:hAnsi="Times New Roman" w:cs="Times New Roman"/>
          <w:sz w:val="24"/>
          <w:szCs w:val="24"/>
        </w:rPr>
        <w:t>NF</w:t>
      </w:r>
      <w:r w:rsidR="00F8578C" w:rsidRPr="000431F7">
        <w:rPr>
          <w:rFonts w:ascii="Times New Roman" w:hAnsi="Times New Roman" w:cs="Times New Roman"/>
          <w:sz w:val="24"/>
          <w:szCs w:val="24"/>
        </w:rPr>
        <w:t xml:space="preserve"> </w:t>
      </w:r>
      <w:r w:rsidRPr="000431F7">
        <w:rPr>
          <w:rFonts w:ascii="Times New Roman" w:hAnsi="Times New Roman" w:cs="Times New Roman"/>
          <w:sz w:val="24"/>
          <w:szCs w:val="24"/>
        </w:rPr>
        <w:t xml:space="preserve">na podmioty emitujące obligacje </w:t>
      </w:r>
      <w:proofErr w:type="spellStart"/>
      <w:r w:rsidRPr="000431F7">
        <w:rPr>
          <w:rFonts w:ascii="Times New Roman" w:hAnsi="Times New Roman" w:cs="Times New Roman"/>
          <w:sz w:val="24"/>
          <w:szCs w:val="24"/>
        </w:rPr>
        <w:t>EuGB</w:t>
      </w:r>
      <w:proofErr w:type="spellEnd"/>
      <w:r w:rsidR="00A15801">
        <w:rPr>
          <w:rFonts w:ascii="Times New Roman" w:hAnsi="Times New Roman" w:cs="Times New Roman"/>
          <w:sz w:val="24"/>
          <w:szCs w:val="24"/>
        </w:rPr>
        <w:t>,</w:t>
      </w:r>
      <w:r w:rsidRPr="000431F7">
        <w:rPr>
          <w:rFonts w:ascii="Times New Roman" w:hAnsi="Times New Roman" w:cs="Times New Roman"/>
          <w:sz w:val="24"/>
          <w:szCs w:val="24"/>
        </w:rPr>
        <w:t xml:space="preserve"> w przypadku gdy naruszą one obowiązki wynikające z przepisów rozporządzenia 2023/2631.</w:t>
      </w:r>
    </w:p>
    <w:p w14:paraId="1AD806EE" w14:textId="1B97213F" w:rsidR="00F532DE" w:rsidRPr="000431F7" w:rsidRDefault="00F532DE" w:rsidP="004742CC">
      <w:pPr>
        <w:spacing w:before="120" w:after="0" w:line="360" w:lineRule="auto"/>
        <w:jc w:val="both"/>
        <w:rPr>
          <w:rFonts w:ascii="Times New Roman" w:hAnsi="Times New Roman" w:cs="Times New Roman"/>
          <w:sz w:val="24"/>
          <w:szCs w:val="24"/>
        </w:rPr>
      </w:pPr>
      <w:r w:rsidRPr="000431F7">
        <w:rPr>
          <w:rFonts w:ascii="Times New Roman" w:hAnsi="Times New Roman" w:cs="Times New Roman"/>
          <w:sz w:val="24"/>
          <w:szCs w:val="24"/>
        </w:rPr>
        <w:t>Art. 18z</w:t>
      </w:r>
      <w:r w:rsidR="006114C7" w:rsidRPr="000431F7">
        <w:rPr>
          <w:rFonts w:ascii="Times New Roman" w:hAnsi="Times New Roman" w:cs="Times New Roman"/>
          <w:sz w:val="24"/>
          <w:szCs w:val="24"/>
        </w:rPr>
        <w:t>z</w:t>
      </w:r>
      <w:r w:rsidRPr="000431F7">
        <w:rPr>
          <w:rFonts w:ascii="Times New Roman" w:hAnsi="Times New Roman" w:cs="Times New Roman"/>
          <w:sz w:val="24"/>
          <w:szCs w:val="24"/>
        </w:rPr>
        <w:t xml:space="preserve"> ust. 1 określa zakres i rodzaj sankcji. W przypadku naruszenia obowiązków przez emitentów oraz inne jednostki wskazane w art. 18z</w:t>
      </w:r>
      <w:r w:rsidR="006114C7" w:rsidRPr="000431F7">
        <w:rPr>
          <w:rFonts w:ascii="Times New Roman" w:hAnsi="Times New Roman" w:cs="Times New Roman"/>
          <w:sz w:val="24"/>
          <w:szCs w:val="24"/>
        </w:rPr>
        <w:t>q</w:t>
      </w:r>
      <w:r w:rsidRPr="000431F7">
        <w:rPr>
          <w:rFonts w:ascii="Times New Roman" w:hAnsi="Times New Roman" w:cs="Times New Roman"/>
          <w:sz w:val="24"/>
          <w:szCs w:val="24"/>
        </w:rPr>
        <w:t xml:space="preserve"> ust. 1, K</w:t>
      </w:r>
      <w:r w:rsidR="002D16A0" w:rsidRPr="000431F7">
        <w:rPr>
          <w:rFonts w:ascii="Times New Roman" w:hAnsi="Times New Roman" w:cs="Times New Roman"/>
          <w:sz w:val="24"/>
          <w:szCs w:val="24"/>
        </w:rPr>
        <w:t>NF</w:t>
      </w:r>
      <w:r w:rsidRPr="000431F7">
        <w:rPr>
          <w:rFonts w:ascii="Times New Roman" w:hAnsi="Times New Roman" w:cs="Times New Roman"/>
          <w:sz w:val="24"/>
          <w:szCs w:val="24"/>
        </w:rPr>
        <w:t xml:space="preserve"> może</w:t>
      </w:r>
      <w:r w:rsidR="00A15801">
        <w:rPr>
          <w:rFonts w:ascii="Times New Roman" w:hAnsi="Times New Roman" w:cs="Times New Roman"/>
          <w:sz w:val="24"/>
          <w:szCs w:val="24"/>
        </w:rPr>
        <w:t>,</w:t>
      </w:r>
      <w:r w:rsidRPr="000431F7">
        <w:rPr>
          <w:rFonts w:ascii="Times New Roman" w:hAnsi="Times New Roman" w:cs="Times New Roman"/>
          <w:sz w:val="24"/>
          <w:szCs w:val="24"/>
        </w:rPr>
        <w:t xml:space="preserve"> w drodze decyzji:</w:t>
      </w:r>
    </w:p>
    <w:p w14:paraId="246C35B9" w14:textId="77777777" w:rsidR="006114C7" w:rsidRPr="000431F7" w:rsidRDefault="006114C7" w:rsidP="004742CC">
      <w:pPr>
        <w:pStyle w:val="Akapitzlist"/>
        <w:numPr>
          <w:ilvl w:val="0"/>
          <w:numId w:val="36"/>
        </w:numPr>
        <w:spacing w:before="120" w:after="0" w:line="360" w:lineRule="auto"/>
        <w:ind w:left="426" w:hanging="426"/>
        <w:jc w:val="both"/>
        <w:rPr>
          <w:rFonts w:ascii="Times New Roman" w:hAnsi="Times New Roman" w:cs="Times New Roman"/>
          <w:sz w:val="24"/>
          <w:szCs w:val="24"/>
        </w:rPr>
      </w:pPr>
      <w:r w:rsidRPr="000431F7">
        <w:rPr>
          <w:rFonts w:ascii="Times New Roman" w:hAnsi="Times New Roman" w:cs="Times New Roman"/>
          <w:sz w:val="24"/>
          <w:szCs w:val="24"/>
        </w:rPr>
        <w:t xml:space="preserve">nakazać zaprzestania działań skutkujących naruszeniami; </w:t>
      </w:r>
    </w:p>
    <w:p w14:paraId="6C8E97EC" w14:textId="77777777" w:rsidR="00F532DE" w:rsidRPr="000431F7" w:rsidRDefault="00F532DE" w:rsidP="004742CC">
      <w:pPr>
        <w:pStyle w:val="Akapitzlist"/>
        <w:numPr>
          <w:ilvl w:val="0"/>
          <w:numId w:val="36"/>
        </w:numPr>
        <w:spacing w:before="120" w:after="0" w:line="360" w:lineRule="auto"/>
        <w:ind w:left="426" w:hanging="426"/>
        <w:jc w:val="both"/>
        <w:rPr>
          <w:rFonts w:ascii="Times New Roman" w:hAnsi="Times New Roman" w:cs="Times New Roman"/>
          <w:sz w:val="24"/>
          <w:szCs w:val="24"/>
        </w:rPr>
      </w:pPr>
      <w:r w:rsidRPr="000431F7">
        <w:rPr>
          <w:rFonts w:ascii="Times New Roman" w:hAnsi="Times New Roman" w:cs="Times New Roman"/>
          <w:sz w:val="24"/>
          <w:szCs w:val="24"/>
        </w:rPr>
        <w:t xml:space="preserve">nałożyć karę pieniężną do 2 170 650 zł lub 0,5% rocznych przychodów; </w:t>
      </w:r>
    </w:p>
    <w:p w14:paraId="5322CAF7" w14:textId="77777777" w:rsidR="00F532DE" w:rsidRPr="000431F7" w:rsidRDefault="00F532DE" w:rsidP="004742CC">
      <w:pPr>
        <w:pStyle w:val="Akapitzlist"/>
        <w:numPr>
          <w:ilvl w:val="0"/>
          <w:numId w:val="36"/>
        </w:numPr>
        <w:spacing w:before="120" w:after="0" w:line="360" w:lineRule="auto"/>
        <w:ind w:left="426" w:hanging="426"/>
        <w:jc w:val="both"/>
        <w:rPr>
          <w:rFonts w:ascii="Times New Roman" w:hAnsi="Times New Roman" w:cs="Times New Roman"/>
          <w:sz w:val="24"/>
          <w:szCs w:val="24"/>
        </w:rPr>
      </w:pPr>
      <w:r w:rsidRPr="000431F7">
        <w:rPr>
          <w:rFonts w:ascii="Times New Roman" w:hAnsi="Times New Roman" w:cs="Times New Roman"/>
          <w:sz w:val="24"/>
          <w:szCs w:val="24"/>
        </w:rPr>
        <w:t>nałożyć karę pieniężną na osoby fizyczne odpowiedzialne za naruszenia do 217 065 zł.</w:t>
      </w:r>
    </w:p>
    <w:p w14:paraId="78D15778" w14:textId="66EA223F" w:rsidR="00F532DE" w:rsidRPr="000431F7" w:rsidRDefault="00F532DE" w:rsidP="004742CC">
      <w:pPr>
        <w:spacing w:before="120" w:after="0" w:line="360" w:lineRule="auto"/>
        <w:jc w:val="both"/>
        <w:rPr>
          <w:rFonts w:ascii="Times New Roman" w:hAnsi="Times New Roman" w:cs="Times New Roman"/>
          <w:sz w:val="24"/>
          <w:szCs w:val="24"/>
        </w:rPr>
      </w:pPr>
      <w:r w:rsidRPr="000431F7">
        <w:rPr>
          <w:rFonts w:ascii="Times New Roman" w:hAnsi="Times New Roman" w:cs="Times New Roman"/>
          <w:sz w:val="24"/>
          <w:szCs w:val="24"/>
        </w:rPr>
        <w:t>Art. 18z</w:t>
      </w:r>
      <w:r w:rsidR="006114C7" w:rsidRPr="000431F7">
        <w:rPr>
          <w:rFonts w:ascii="Times New Roman" w:hAnsi="Times New Roman" w:cs="Times New Roman"/>
          <w:sz w:val="24"/>
          <w:szCs w:val="24"/>
        </w:rPr>
        <w:t>z</w:t>
      </w:r>
      <w:r w:rsidRPr="000431F7">
        <w:rPr>
          <w:rFonts w:ascii="Times New Roman" w:hAnsi="Times New Roman" w:cs="Times New Roman"/>
          <w:sz w:val="24"/>
          <w:szCs w:val="24"/>
        </w:rPr>
        <w:t xml:space="preserve"> ust. 2 określa wysokość kary w przypadku niewykonania nakazów z </w:t>
      </w:r>
      <w:r w:rsidR="00AF01F8" w:rsidRPr="000431F7">
        <w:rPr>
          <w:rFonts w:ascii="Times New Roman" w:hAnsi="Times New Roman" w:cs="Times New Roman"/>
          <w:sz w:val="24"/>
          <w:szCs w:val="24"/>
        </w:rPr>
        <w:t>art. 18z</w:t>
      </w:r>
      <w:r w:rsidR="006114C7" w:rsidRPr="000431F7">
        <w:rPr>
          <w:rFonts w:ascii="Times New Roman" w:hAnsi="Times New Roman" w:cs="Times New Roman"/>
          <w:sz w:val="24"/>
          <w:szCs w:val="24"/>
        </w:rPr>
        <w:t>t</w:t>
      </w:r>
      <w:r w:rsidR="00AF01F8" w:rsidRPr="000431F7">
        <w:rPr>
          <w:rFonts w:ascii="Times New Roman" w:hAnsi="Times New Roman" w:cs="Times New Roman"/>
          <w:sz w:val="24"/>
          <w:szCs w:val="24"/>
        </w:rPr>
        <w:t xml:space="preserve"> ust. 1 lub 3</w:t>
      </w:r>
      <w:r w:rsidR="001C26AC" w:rsidRPr="000431F7">
        <w:rPr>
          <w:rFonts w:ascii="Times New Roman" w:hAnsi="Times New Roman" w:cs="Times New Roman"/>
          <w:sz w:val="24"/>
          <w:szCs w:val="24"/>
        </w:rPr>
        <w:t xml:space="preserve"> oraz </w:t>
      </w:r>
      <w:r w:rsidR="00AF01F8" w:rsidRPr="000431F7">
        <w:rPr>
          <w:rFonts w:ascii="Times New Roman" w:hAnsi="Times New Roman" w:cs="Times New Roman"/>
          <w:sz w:val="24"/>
          <w:szCs w:val="24"/>
        </w:rPr>
        <w:t>art. 18z</w:t>
      </w:r>
      <w:r w:rsidR="006114C7" w:rsidRPr="000431F7">
        <w:rPr>
          <w:rFonts w:ascii="Times New Roman" w:hAnsi="Times New Roman" w:cs="Times New Roman"/>
          <w:sz w:val="24"/>
          <w:szCs w:val="24"/>
        </w:rPr>
        <w:t>u</w:t>
      </w:r>
      <w:r w:rsidR="00AF01F8" w:rsidRPr="000431F7">
        <w:rPr>
          <w:rFonts w:ascii="Times New Roman" w:hAnsi="Times New Roman" w:cs="Times New Roman"/>
          <w:sz w:val="24"/>
          <w:szCs w:val="24"/>
        </w:rPr>
        <w:t xml:space="preserve"> ust. 1</w:t>
      </w:r>
      <w:r w:rsidR="001C26AC" w:rsidRPr="000431F7">
        <w:rPr>
          <w:rFonts w:ascii="Times New Roman" w:hAnsi="Times New Roman" w:cs="Times New Roman"/>
          <w:sz w:val="24"/>
          <w:szCs w:val="24"/>
        </w:rPr>
        <w:t xml:space="preserve"> albo wykonania ich nienależycie, a także nakazów i zakazów </w:t>
      </w:r>
      <w:r w:rsidR="00AF01F8" w:rsidRPr="000431F7">
        <w:rPr>
          <w:rFonts w:ascii="Times New Roman" w:hAnsi="Times New Roman" w:cs="Times New Roman"/>
          <w:sz w:val="24"/>
          <w:szCs w:val="24"/>
        </w:rPr>
        <w:t>z</w:t>
      </w:r>
      <w:r w:rsidR="00EC1D25">
        <w:rPr>
          <w:rFonts w:ascii="Times New Roman" w:hAnsi="Times New Roman" w:cs="Times New Roman"/>
          <w:sz w:val="24"/>
          <w:szCs w:val="24"/>
        </w:rPr>
        <w:t> </w:t>
      </w:r>
      <w:r w:rsidRPr="000431F7">
        <w:rPr>
          <w:rFonts w:ascii="Times New Roman" w:hAnsi="Times New Roman" w:cs="Times New Roman"/>
          <w:sz w:val="24"/>
          <w:szCs w:val="24"/>
        </w:rPr>
        <w:t>art.</w:t>
      </w:r>
      <w:r w:rsidR="00EC1D25">
        <w:rPr>
          <w:rFonts w:ascii="Times New Roman" w:hAnsi="Times New Roman" w:cs="Times New Roman"/>
          <w:sz w:val="24"/>
          <w:szCs w:val="24"/>
        </w:rPr>
        <w:t> </w:t>
      </w:r>
      <w:r w:rsidRPr="000431F7">
        <w:rPr>
          <w:rFonts w:ascii="Times New Roman" w:hAnsi="Times New Roman" w:cs="Times New Roman"/>
          <w:sz w:val="24"/>
          <w:szCs w:val="24"/>
        </w:rPr>
        <w:t>18z</w:t>
      </w:r>
      <w:r w:rsidR="006114C7" w:rsidRPr="000431F7">
        <w:rPr>
          <w:rFonts w:ascii="Times New Roman" w:hAnsi="Times New Roman" w:cs="Times New Roman"/>
          <w:sz w:val="24"/>
          <w:szCs w:val="24"/>
        </w:rPr>
        <w:t>v</w:t>
      </w:r>
      <w:r w:rsidRPr="000431F7">
        <w:rPr>
          <w:rFonts w:ascii="Times New Roman" w:hAnsi="Times New Roman" w:cs="Times New Roman"/>
          <w:sz w:val="24"/>
          <w:szCs w:val="24"/>
        </w:rPr>
        <w:t xml:space="preserve"> ust.</w:t>
      </w:r>
      <w:r w:rsidR="00A50D69" w:rsidRPr="000431F7">
        <w:rPr>
          <w:rFonts w:ascii="Times New Roman" w:hAnsi="Times New Roman" w:cs="Times New Roman"/>
          <w:sz w:val="24"/>
          <w:szCs w:val="24"/>
        </w:rPr>
        <w:t> </w:t>
      </w:r>
      <w:r w:rsidRPr="000431F7">
        <w:rPr>
          <w:rFonts w:ascii="Times New Roman" w:hAnsi="Times New Roman" w:cs="Times New Roman"/>
          <w:sz w:val="24"/>
          <w:szCs w:val="24"/>
        </w:rPr>
        <w:t>1. Stosownie do tego przepisu, je</w:t>
      </w:r>
      <w:r w:rsidR="00EC1D25">
        <w:rPr>
          <w:rFonts w:ascii="Times New Roman" w:hAnsi="Times New Roman" w:cs="Times New Roman"/>
          <w:sz w:val="24"/>
          <w:szCs w:val="24"/>
        </w:rPr>
        <w:t>że</w:t>
      </w:r>
      <w:r w:rsidRPr="000431F7">
        <w:rPr>
          <w:rFonts w:ascii="Times New Roman" w:hAnsi="Times New Roman" w:cs="Times New Roman"/>
          <w:sz w:val="24"/>
          <w:szCs w:val="24"/>
        </w:rPr>
        <w:t xml:space="preserve">li </w:t>
      </w:r>
      <w:r w:rsidR="001C26AC" w:rsidRPr="000431F7">
        <w:rPr>
          <w:rFonts w:ascii="Times New Roman" w:hAnsi="Times New Roman" w:cs="Times New Roman"/>
          <w:sz w:val="24"/>
          <w:szCs w:val="24"/>
        </w:rPr>
        <w:t xml:space="preserve">podmioty wymienione w tym przepisie </w:t>
      </w:r>
      <w:r w:rsidRPr="000431F7">
        <w:rPr>
          <w:rFonts w:ascii="Times New Roman" w:hAnsi="Times New Roman" w:cs="Times New Roman"/>
          <w:sz w:val="24"/>
          <w:szCs w:val="24"/>
        </w:rPr>
        <w:t>nie wykonuj</w:t>
      </w:r>
      <w:r w:rsidR="001C26AC" w:rsidRPr="000431F7">
        <w:rPr>
          <w:rFonts w:ascii="Times New Roman" w:hAnsi="Times New Roman" w:cs="Times New Roman"/>
          <w:sz w:val="24"/>
          <w:szCs w:val="24"/>
        </w:rPr>
        <w:t>ą</w:t>
      </w:r>
      <w:r w:rsidRPr="000431F7">
        <w:rPr>
          <w:rFonts w:ascii="Times New Roman" w:hAnsi="Times New Roman" w:cs="Times New Roman"/>
          <w:sz w:val="24"/>
          <w:szCs w:val="24"/>
        </w:rPr>
        <w:t xml:space="preserve"> </w:t>
      </w:r>
      <w:r w:rsidR="001C26AC" w:rsidRPr="000431F7">
        <w:rPr>
          <w:rFonts w:ascii="Times New Roman" w:hAnsi="Times New Roman" w:cs="Times New Roman"/>
          <w:sz w:val="24"/>
          <w:szCs w:val="24"/>
        </w:rPr>
        <w:t xml:space="preserve">określonych przez Komisję </w:t>
      </w:r>
      <w:r w:rsidRPr="000431F7">
        <w:rPr>
          <w:rFonts w:ascii="Times New Roman" w:hAnsi="Times New Roman" w:cs="Times New Roman"/>
          <w:sz w:val="24"/>
          <w:szCs w:val="24"/>
        </w:rPr>
        <w:t>nakaz</w:t>
      </w:r>
      <w:r w:rsidR="001C26AC" w:rsidRPr="000431F7">
        <w:rPr>
          <w:rFonts w:ascii="Times New Roman" w:hAnsi="Times New Roman" w:cs="Times New Roman"/>
          <w:sz w:val="24"/>
          <w:szCs w:val="24"/>
        </w:rPr>
        <w:t>ów albo wykonują je nienależycie albo określonych przez Komisję zakazów</w:t>
      </w:r>
      <w:r w:rsidRPr="000431F7">
        <w:rPr>
          <w:rFonts w:ascii="Times New Roman" w:hAnsi="Times New Roman" w:cs="Times New Roman"/>
          <w:sz w:val="24"/>
          <w:szCs w:val="24"/>
        </w:rPr>
        <w:t xml:space="preserve">, kara może wynieść maksymalnie 5 000 000 zł. </w:t>
      </w:r>
      <w:r w:rsidR="001C26AC" w:rsidRPr="000431F7">
        <w:rPr>
          <w:rFonts w:ascii="Times New Roman" w:hAnsi="Times New Roman" w:cs="Times New Roman"/>
          <w:sz w:val="24"/>
          <w:szCs w:val="24"/>
        </w:rPr>
        <w:t xml:space="preserve">Przepis </w:t>
      </w:r>
      <w:r w:rsidR="001C26AC" w:rsidRPr="000431F7">
        <w:rPr>
          <w:rFonts w:ascii="Times New Roman" w:hAnsi="Times New Roman" w:cs="Times New Roman"/>
          <w:sz w:val="24"/>
          <w:szCs w:val="24"/>
        </w:rPr>
        <w:lastRenderedPageBreak/>
        <w:t>ten zapewnia wdrożenie art. 49 ust. 1 lit. b rozporządzenia 2023/2631, zgodnie z którym państwa członkowskie są zobowiązane do przyznania właściwym organom uprawnienia do nakładania kar administracyjnych i podejmowania innych odpowiednich środków administracyjnych, które muszą być skuteczne, proporcjonalne i odstraszające i które są nakładane w przypadkach braku współpracy przy czynnościach kontrolnych lub w przypadku zobowiązania emitentów do publikowania dokumentów określonych w art. 45 ust. 1 rozporządzenia 2023/2361 lub niezastosowania się do czynności kontrolnych lub zobowiązania określonego w art. 45 ust. 1 rozporządzenia 2023/2361. Przy czym w zakresie utrudniania kontroli wdrożenia dokonano poprzez zmianę art. 20b ustawy o nadzorze nad rynkiem finansowym.</w:t>
      </w:r>
    </w:p>
    <w:p w14:paraId="12158C76" w14:textId="33A98414" w:rsidR="00F532DE" w:rsidRPr="000431F7" w:rsidRDefault="00F532DE" w:rsidP="004742CC">
      <w:pPr>
        <w:spacing w:before="120" w:after="0" w:line="360" w:lineRule="auto"/>
        <w:jc w:val="both"/>
        <w:rPr>
          <w:rFonts w:ascii="Times New Roman" w:hAnsi="Times New Roman" w:cs="Times New Roman"/>
          <w:sz w:val="24"/>
          <w:szCs w:val="24"/>
        </w:rPr>
      </w:pPr>
      <w:r w:rsidRPr="000431F7">
        <w:rPr>
          <w:rFonts w:ascii="Times New Roman" w:hAnsi="Times New Roman" w:cs="Times New Roman"/>
          <w:sz w:val="24"/>
          <w:szCs w:val="24"/>
        </w:rPr>
        <w:t>Zgodnie z art. 18z</w:t>
      </w:r>
      <w:r w:rsidR="00003919" w:rsidRPr="000431F7">
        <w:rPr>
          <w:rFonts w:ascii="Times New Roman" w:hAnsi="Times New Roman" w:cs="Times New Roman"/>
          <w:sz w:val="24"/>
          <w:szCs w:val="24"/>
        </w:rPr>
        <w:t>z</w:t>
      </w:r>
      <w:r w:rsidRPr="000431F7">
        <w:rPr>
          <w:rFonts w:ascii="Times New Roman" w:hAnsi="Times New Roman" w:cs="Times New Roman"/>
          <w:sz w:val="24"/>
          <w:szCs w:val="24"/>
        </w:rPr>
        <w:t xml:space="preserve"> ust. 3, jeżeli możliwe jest ustalenie kwoty osiągniętej korzyści lub unikniętej straty w wyniku naruszenia przepisów rozporządzenia 2023/2631, kara pieniężna może wynosić dwukrotność kwoty osiągniętej korzyści lub unikniętej straty.</w:t>
      </w:r>
    </w:p>
    <w:p w14:paraId="5FBA33B4" w14:textId="3F30A76C" w:rsidR="00F532DE" w:rsidRPr="000431F7" w:rsidRDefault="00F532DE" w:rsidP="004742CC">
      <w:pPr>
        <w:spacing w:before="120" w:after="0" w:line="360" w:lineRule="auto"/>
        <w:jc w:val="both"/>
        <w:rPr>
          <w:rFonts w:ascii="Times New Roman" w:hAnsi="Times New Roman" w:cs="Times New Roman"/>
          <w:sz w:val="24"/>
          <w:szCs w:val="24"/>
        </w:rPr>
      </w:pPr>
      <w:r w:rsidRPr="000431F7">
        <w:rPr>
          <w:rFonts w:ascii="Times New Roman" w:hAnsi="Times New Roman" w:cs="Times New Roman"/>
          <w:sz w:val="24"/>
          <w:szCs w:val="24"/>
        </w:rPr>
        <w:t>Art. 18z</w:t>
      </w:r>
      <w:r w:rsidR="00003919" w:rsidRPr="000431F7">
        <w:rPr>
          <w:rFonts w:ascii="Times New Roman" w:hAnsi="Times New Roman" w:cs="Times New Roman"/>
          <w:sz w:val="24"/>
          <w:szCs w:val="24"/>
        </w:rPr>
        <w:t>z</w:t>
      </w:r>
      <w:r w:rsidRPr="000431F7">
        <w:rPr>
          <w:rFonts w:ascii="Times New Roman" w:hAnsi="Times New Roman" w:cs="Times New Roman"/>
          <w:sz w:val="24"/>
          <w:szCs w:val="24"/>
        </w:rPr>
        <w:t xml:space="preserve"> ust. 4 określa sankcje dla jednostek zależnych i dominujących, podmiotów wymienionych w art. 18z</w:t>
      </w:r>
      <w:r w:rsidR="00003919" w:rsidRPr="000431F7">
        <w:rPr>
          <w:rFonts w:ascii="Times New Roman" w:hAnsi="Times New Roman" w:cs="Times New Roman"/>
          <w:sz w:val="24"/>
          <w:szCs w:val="24"/>
        </w:rPr>
        <w:t>q</w:t>
      </w:r>
      <w:r w:rsidRPr="000431F7">
        <w:rPr>
          <w:rFonts w:ascii="Times New Roman" w:hAnsi="Times New Roman" w:cs="Times New Roman"/>
          <w:sz w:val="24"/>
          <w:szCs w:val="24"/>
        </w:rPr>
        <w:t xml:space="preserve"> ust. 1. Zgodnie z tym przepisem, dla podmiotów wchodzących w skład grup kapitałowych kara jest naliczana na podstawie skonsolidowanego rocznego przychodu jednostki dominującej najwyższego szczebla wykazanym w ostatnim rocznym skonsolidowanym sprawozdaniu finansowym</w:t>
      </w:r>
      <w:r w:rsidR="00003919" w:rsidRPr="000431F7">
        <w:rPr>
          <w:rFonts w:ascii="Times New Roman" w:hAnsi="Times New Roman" w:cs="Times New Roman"/>
          <w:sz w:val="24"/>
          <w:szCs w:val="24"/>
        </w:rPr>
        <w:t xml:space="preserve"> za rok obrotowy, zatwierdzonym przez organ zatwierdzający</w:t>
      </w:r>
      <w:r w:rsidRPr="000431F7">
        <w:rPr>
          <w:rFonts w:ascii="Times New Roman" w:hAnsi="Times New Roman" w:cs="Times New Roman"/>
          <w:sz w:val="24"/>
          <w:szCs w:val="24"/>
        </w:rPr>
        <w:t>.</w:t>
      </w:r>
    </w:p>
    <w:p w14:paraId="055E5A02" w14:textId="5702C616" w:rsidR="00F532DE" w:rsidRPr="000431F7" w:rsidRDefault="00F532DE" w:rsidP="004742CC">
      <w:pPr>
        <w:spacing w:before="120" w:after="0" w:line="360" w:lineRule="auto"/>
        <w:jc w:val="both"/>
        <w:rPr>
          <w:rFonts w:ascii="Times New Roman" w:hAnsi="Times New Roman" w:cs="Times New Roman"/>
          <w:sz w:val="24"/>
          <w:szCs w:val="24"/>
        </w:rPr>
      </w:pPr>
      <w:r w:rsidRPr="000431F7">
        <w:rPr>
          <w:rFonts w:ascii="Times New Roman" w:hAnsi="Times New Roman" w:cs="Times New Roman"/>
          <w:sz w:val="24"/>
          <w:szCs w:val="24"/>
        </w:rPr>
        <w:t xml:space="preserve">Zgodnie z </w:t>
      </w:r>
      <w:r w:rsidR="009409C1" w:rsidRPr="000431F7">
        <w:rPr>
          <w:rFonts w:ascii="Times New Roman" w:hAnsi="Times New Roman" w:cs="Times New Roman"/>
          <w:sz w:val="24"/>
          <w:szCs w:val="24"/>
        </w:rPr>
        <w:t>a</w:t>
      </w:r>
      <w:r w:rsidRPr="000431F7">
        <w:rPr>
          <w:rFonts w:ascii="Times New Roman" w:hAnsi="Times New Roman" w:cs="Times New Roman"/>
          <w:sz w:val="24"/>
          <w:szCs w:val="24"/>
        </w:rPr>
        <w:t>rt. 18z</w:t>
      </w:r>
      <w:r w:rsidR="00003919" w:rsidRPr="000431F7">
        <w:rPr>
          <w:rFonts w:ascii="Times New Roman" w:hAnsi="Times New Roman" w:cs="Times New Roman"/>
          <w:sz w:val="24"/>
          <w:szCs w:val="24"/>
        </w:rPr>
        <w:t>z</w:t>
      </w:r>
      <w:r w:rsidRPr="000431F7">
        <w:rPr>
          <w:rFonts w:ascii="Times New Roman" w:hAnsi="Times New Roman" w:cs="Times New Roman"/>
          <w:sz w:val="24"/>
          <w:szCs w:val="24"/>
        </w:rPr>
        <w:t xml:space="preserve"> ust. 5 K</w:t>
      </w:r>
      <w:r w:rsidR="00DB02A9" w:rsidRPr="000431F7">
        <w:rPr>
          <w:rFonts w:ascii="Times New Roman" w:hAnsi="Times New Roman" w:cs="Times New Roman"/>
          <w:sz w:val="24"/>
          <w:szCs w:val="24"/>
        </w:rPr>
        <w:t>NF</w:t>
      </w:r>
      <w:r w:rsidRPr="000431F7">
        <w:rPr>
          <w:rFonts w:ascii="Times New Roman" w:hAnsi="Times New Roman" w:cs="Times New Roman"/>
          <w:sz w:val="24"/>
          <w:szCs w:val="24"/>
        </w:rPr>
        <w:t xml:space="preserve">, ustalając wysokość kary, bierze pod uwagę wszystkie istotne okoliczności wymienione w art. 50 rozporządzenia 2023/2631, które zapewniają, że kara będzie odpowiednio dostosowana do powagi naruszenia. </w:t>
      </w:r>
    </w:p>
    <w:p w14:paraId="0FAFBB7F" w14:textId="20761A21" w:rsidR="00F532DE" w:rsidRPr="000431F7" w:rsidRDefault="00F532DE" w:rsidP="004742CC">
      <w:pPr>
        <w:spacing w:before="120" w:after="0" w:line="360" w:lineRule="auto"/>
        <w:jc w:val="both"/>
        <w:rPr>
          <w:rFonts w:ascii="Times New Roman" w:hAnsi="Times New Roman" w:cs="Times New Roman"/>
          <w:sz w:val="24"/>
          <w:szCs w:val="24"/>
        </w:rPr>
      </w:pPr>
      <w:r w:rsidRPr="000431F7">
        <w:rPr>
          <w:rFonts w:ascii="Times New Roman" w:hAnsi="Times New Roman" w:cs="Times New Roman"/>
          <w:sz w:val="24"/>
          <w:szCs w:val="24"/>
        </w:rPr>
        <w:t xml:space="preserve">Zgodnie z </w:t>
      </w:r>
      <w:r w:rsidR="009409C1" w:rsidRPr="000431F7">
        <w:rPr>
          <w:rFonts w:ascii="Times New Roman" w:hAnsi="Times New Roman" w:cs="Times New Roman"/>
          <w:sz w:val="24"/>
          <w:szCs w:val="24"/>
        </w:rPr>
        <w:t>a</w:t>
      </w:r>
      <w:r w:rsidRPr="000431F7">
        <w:rPr>
          <w:rFonts w:ascii="Times New Roman" w:hAnsi="Times New Roman" w:cs="Times New Roman"/>
          <w:sz w:val="24"/>
          <w:szCs w:val="24"/>
        </w:rPr>
        <w:t>rt. 18z</w:t>
      </w:r>
      <w:r w:rsidR="00003919" w:rsidRPr="000431F7">
        <w:rPr>
          <w:rFonts w:ascii="Times New Roman" w:hAnsi="Times New Roman" w:cs="Times New Roman"/>
          <w:sz w:val="24"/>
          <w:szCs w:val="24"/>
        </w:rPr>
        <w:t>z</w:t>
      </w:r>
      <w:r w:rsidRPr="000431F7">
        <w:rPr>
          <w:rFonts w:ascii="Times New Roman" w:hAnsi="Times New Roman" w:cs="Times New Roman"/>
          <w:sz w:val="24"/>
          <w:szCs w:val="24"/>
        </w:rPr>
        <w:t xml:space="preserve"> ust. 6 i 7 w przypadku funduszy inwestycyjnych zamkniętych odpowiedzialność za naruszenia spoczywa na towarzystwie funduszy. Co do alternatywnych spółek inwestycyjnych (ASI), odpowiedzialność ponoszą zarządzający.</w:t>
      </w:r>
    </w:p>
    <w:p w14:paraId="63B8B686" w14:textId="26387E3C" w:rsidR="00F532DE" w:rsidRPr="000431F7" w:rsidRDefault="00F532DE" w:rsidP="004742CC">
      <w:pPr>
        <w:spacing w:before="120" w:after="0" w:line="360" w:lineRule="auto"/>
        <w:jc w:val="both"/>
        <w:rPr>
          <w:rFonts w:ascii="Times New Roman" w:hAnsi="Times New Roman" w:cs="Times New Roman"/>
          <w:sz w:val="24"/>
          <w:szCs w:val="24"/>
        </w:rPr>
      </w:pPr>
      <w:r w:rsidRPr="000431F7">
        <w:rPr>
          <w:rFonts w:ascii="Times New Roman" w:hAnsi="Times New Roman" w:cs="Times New Roman"/>
          <w:sz w:val="24"/>
          <w:szCs w:val="24"/>
        </w:rPr>
        <w:t xml:space="preserve">Zgodnie z </w:t>
      </w:r>
      <w:r w:rsidR="009409C1" w:rsidRPr="000431F7">
        <w:rPr>
          <w:rFonts w:ascii="Times New Roman" w:hAnsi="Times New Roman" w:cs="Times New Roman"/>
          <w:sz w:val="24"/>
          <w:szCs w:val="24"/>
        </w:rPr>
        <w:t>a</w:t>
      </w:r>
      <w:r w:rsidRPr="000431F7">
        <w:rPr>
          <w:rFonts w:ascii="Times New Roman" w:hAnsi="Times New Roman" w:cs="Times New Roman"/>
          <w:sz w:val="24"/>
          <w:szCs w:val="24"/>
        </w:rPr>
        <w:t>rt. 18z</w:t>
      </w:r>
      <w:r w:rsidR="00003919" w:rsidRPr="000431F7">
        <w:rPr>
          <w:rFonts w:ascii="Times New Roman" w:hAnsi="Times New Roman" w:cs="Times New Roman"/>
          <w:sz w:val="24"/>
          <w:szCs w:val="24"/>
        </w:rPr>
        <w:t>z</w:t>
      </w:r>
      <w:r w:rsidRPr="000431F7">
        <w:rPr>
          <w:rFonts w:ascii="Times New Roman" w:hAnsi="Times New Roman" w:cs="Times New Roman"/>
          <w:sz w:val="24"/>
          <w:szCs w:val="24"/>
        </w:rPr>
        <w:t xml:space="preserve"> ust. 8, jeżeli osoba fizyczna dopuściła się naruszeń, K</w:t>
      </w:r>
      <w:r w:rsidR="00DB02A9" w:rsidRPr="000431F7">
        <w:rPr>
          <w:rFonts w:ascii="Times New Roman" w:hAnsi="Times New Roman" w:cs="Times New Roman"/>
          <w:sz w:val="24"/>
          <w:szCs w:val="24"/>
        </w:rPr>
        <w:t>NF</w:t>
      </w:r>
      <w:r w:rsidRPr="000431F7">
        <w:rPr>
          <w:rFonts w:ascii="Times New Roman" w:hAnsi="Times New Roman" w:cs="Times New Roman"/>
          <w:sz w:val="24"/>
          <w:szCs w:val="24"/>
        </w:rPr>
        <w:t xml:space="preserve"> może zakazać jej udziału w procesie emisji europejskich zielonych obligacji na okres do roku.</w:t>
      </w:r>
    </w:p>
    <w:p w14:paraId="403F2625" w14:textId="3F431AFF" w:rsidR="00F532DE" w:rsidRPr="000431F7" w:rsidRDefault="00F532DE" w:rsidP="004742CC">
      <w:pPr>
        <w:spacing w:before="120" w:after="0" w:line="360" w:lineRule="auto"/>
        <w:jc w:val="both"/>
        <w:rPr>
          <w:rFonts w:ascii="Times New Roman" w:hAnsi="Times New Roman" w:cs="Times New Roman"/>
          <w:sz w:val="24"/>
          <w:szCs w:val="24"/>
        </w:rPr>
      </w:pPr>
      <w:r w:rsidRPr="000431F7">
        <w:rPr>
          <w:rFonts w:ascii="Times New Roman" w:hAnsi="Times New Roman" w:cs="Times New Roman"/>
          <w:sz w:val="24"/>
          <w:szCs w:val="24"/>
        </w:rPr>
        <w:t>Art. 18z</w:t>
      </w:r>
      <w:r w:rsidR="00003919" w:rsidRPr="000431F7">
        <w:rPr>
          <w:rFonts w:ascii="Times New Roman" w:hAnsi="Times New Roman" w:cs="Times New Roman"/>
          <w:sz w:val="24"/>
          <w:szCs w:val="24"/>
        </w:rPr>
        <w:t>z</w:t>
      </w:r>
      <w:r w:rsidRPr="000431F7">
        <w:rPr>
          <w:rFonts w:ascii="Times New Roman" w:hAnsi="Times New Roman" w:cs="Times New Roman"/>
          <w:sz w:val="24"/>
          <w:szCs w:val="24"/>
        </w:rPr>
        <w:t xml:space="preserve"> ust. 9 określa dodatkowe sankcje za poważne i wielokrotne naruszenia przepisów rozporządzenia 2023/2631. W przypadku poważnych i wielokrotnych naruszeń obowiązków przez wskazane podmioty, K</w:t>
      </w:r>
      <w:r w:rsidR="00DB02A9" w:rsidRPr="000431F7">
        <w:rPr>
          <w:rFonts w:ascii="Times New Roman" w:hAnsi="Times New Roman" w:cs="Times New Roman"/>
          <w:sz w:val="24"/>
          <w:szCs w:val="24"/>
        </w:rPr>
        <w:t>NF</w:t>
      </w:r>
      <w:r w:rsidRPr="000431F7">
        <w:rPr>
          <w:rFonts w:ascii="Times New Roman" w:hAnsi="Times New Roman" w:cs="Times New Roman"/>
          <w:sz w:val="24"/>
          <w:szCs w:val="24"/>
        </w:rPr>
        <w:t xml:space="preserve"> może </w:t>
      </w:r>
      <w:r w:rsidR="00003919" w:rsidRPr="000431F7">
        <w:rPr>
          <w:rFonts w:ascii="Times New Roman" w:hAnsi="Times New Roman" w:cs="Times New Roman"/>
          <w:sz w:val="24"/>
          <w:szCs w:val="24"/>
        </w:rPr>
        <w:t xml:space="preserve">dodatkowo </w:t>
      </w:r>
      <w:r w:rsidRPr="000431F7">
        <w:rPr>
          <w:rFonts w:ascii="Times New Roman" w:hAnsi="Times New Roman" w:cs="Times New Roman"/>
          <w:sz w:val="24"/>
          <w:szCs w:val="24"/>
        </w:rPr>
        <w:t xml:space="preserve">zakazać </w:t>
      </w:r>
      <w:r w:rsidR="006C14C0" w:rsidRPr="000431F7">
        <w:rPr>
          <w:rFonts w:ascii="Times New Roman" w:hAnsi="Times New Roman" w:cs="Times New Roman"/>
          <w:sz w:val="24"/>
          <w:szCs w:val="24"/>
        </w:rPr>
        <w:t xml:space="preserve">tym podmiotom emisji </w:t>
      </w:r>
      <w:r w:rsidR="00003919" w:rsidRPr="000431F7">
        <w:rPr>
          <w:rFonts w:ascii="Times New Roman" w:hAnsi="Times New Roman" w:cs="Times New Roman"/>
          <w:sz w:val="24"/>
          <w:szCs w:val="24"/>
        </w:rPr>
        <w:t>europejskich zielonych obligacji przez okres nie dłuższy niż rok</w:t>
      </w:r>
      <w:r w:rsidRPr="000431F7">
        <w:rPr>
          <w:rFonts w:ascii="Times New Roman" w:hAnsi="Times New Roman" w:cs="Times New Roman"/>
          <w:sz w:val="24"/>
          <w:szCs w:val="24"/>
        </w:rPr>
        <w:t>.</w:t>
      </w:r>
    </w:p>
    <w:p w14:paraId="51A72FC2" w14:textId="4893C096" w:rsidR="00F532DE" w:rsidRPr="000431F7" w:rsidRDefault="00F532DE" w:rsidP="004742CC">
      <w:pPr>
        <w:spacing w:before="120" w:after="0" w:line="360" w:lineRule="auto"/>
        <w:jc w:val="both"/>
        <w:rPr>
          <w:rFonts w:ascii="Times New Roman" w:hAnsi="Times New Roman" w:cs="Times New Roman"/>
          <w:sz w:val="24"/>
          <w:szCs w:val="24"/>
        </w:rPr>
      </w:pPr>
      <w:r w:rsidRPr="000431F7">
        <w:rPr>
          <w:rFonts w:ascii="Times New Roman" w:hAnsi="Times New Roman" w:cs="Times New Roman"/>
          <w:sz w:val="24"/>
          <w:szCs w:val="24"/>
        </w:rPr>
        <w:lastRenderedPageBreak/>
        <w:t>Dodanie art. 18z</w:t>
      </w:r>
      <w:r w:rsidR="00003919" w:rsidRPr="000431F7">
        <w:rPr>
          <w:rFonts w:ascii="Times New Roman" w:hAnsi="Times New Roman" w:cs="Times New Roman"/>
          <w:sz w:val="24"/>
          <w:szCs w:val="24"/>
        </w:rPr>
        <w:t>za</w:t>
      </w:r>
      <w:r w:rsidRPr="000431F7">
        <w:rPr>
          <w:rFonts w:ascii="Times New Roman" w:hAnsi="Times New Roman" w:cs="Times New Roman"/>
          <w:sz w:val="24"/>
          <w:szCs w:val="24"/>
        </w:rPr>
        <w:t xml:space="preserve"> ma na celu zapewnienie stosowania art. 48 rozporządzenia 2023/2631. Art.</w:t>
      </w:r>
      <w:r w:rsidR="00EC1953">
        <w:rPr>
          <w:rFonts w:ascii="Times New Roman" w:hAnsi="Times New Roman" w:cs="Times New Roman"/>
          <w:sz w:val="24"/>
          <w:szCs w:val="24"/>
        </w:rPr>
        <w:t> </w:t>
      </w:r>
      <w:r w:rsidRPr="000431F7">
        <w:rPr>
          <w:rFonts w:ascii="Times New Roman" w:hAnsi="Times New Roman" w:cs="Times New Roman"/>
          <w:sz w:val="24"/>
          <w:szCs w:val="24"/>
        </w:rPr>
        <w:t>18z</w:t>
      </w:r>
      <w:r w:rsidR="00003919" w:rsidRPr="000431F7">
        <w:rPr>
          <w:rFonts w:ascii="Times New Roman" w:hAnsi="Times New Roman" w:cs="Times New Roman"/>
          <w:sz w:val="24"/>
          <w:szCs w:val="24"/>
        </w:rPr>
        <w:t>za</w:t>
      </w:r>
      <w:r w:rsidRPr="000431F7">
        <w:rPr>
          <w:rFonts w:ascii="Times New Roman" w:hAnsi="Times New Roman" w:cs="Times New Roman"/>
          <w:sz w:val="24"/>
          <w:szCs w:val="24"/>
        </w:rPr>
        <w:t xml:space="preserve"> dotyczy procedur i sankcji, jakie mogą być stosowane przez K</w:t>
      </w:r>
      <w:r w:rsidR="00DB02A9" w:rsidRPr="000431F7">
        <w:rPr>
          <w:rFonts w:ascii="Times New Roman" w:hAnsi="Times New Roman" w:cs="Times New Roman"/>
          <w:sz w:val="24"/>
          <w:szCs w:val="24"/>
        </w:rPr>
        <w:t>NF</w:t>
      </w:r>
      <w:r w:rsidRPr="000431F7">
        <w:rPr>
          <w:rFonts w:ascii="Times New Roman" w:hAnsi="Times New Roman" w:cs="Times New Roman"/>
          <w:sz w:val="24"/>
          <w:szCs w:val="24"/>
        </w:rPr>
        <w:t xml:space="preserve"> w przypadku naruszeń przepisów przez emitentów europejskich zielonych obligacji, szczególnie w sytuacjach, gdy Polska jest państwem przyjmującym. Procedury te mają na celu zapewnienie skutecznego nadzoru i współpracy na poziomie krajowym oraz unijnym.</w:t>
      </w:r>
    </w:p>
    <w:p w14:paraId="15E008E9" w14:textId="534CCE9D" w:rsidR="00F532DE" w:rsidRPr="000431F7" w:rsidRDefault="00F532DE" w:rsidP="004742CC">
      <w:pPr>
        <w:spacing w:before="120" w:after="0" w:line="360" w:lineRule="auto"/>
        <w:jc w:val="both"/>
        <w:rPr>
          <w:rFonts w:ascii="Times New Roman" w:hAnsi="Times New Roman" w:cs="Times New Roman"/>
          <w:sz w:val="24"/>
          <w:szCs w:val="24"/>
        </w:rPr>
      </w:pPr>
      <w:r w:rsidRPr="000431F7">
        <w:rPr>
          <w:rFonts w:ascii="Times New Roman" w:hAnsi="Times New Roman" w:cs="Times New Roman"/>
          <w:sz w:val="24"/>
          <w:szCs w:val="24"/>
        </w:rPr>
        <w:t>Zgodnie z art. 18z</w:t>
      </w:r>
      <w:r w:rsidR="00003919" w:rsidRPr="000431F7">
        <w:rPr>
          <w:rFonts w:ascii="Times New Roman" w:hAnsi="Times New Roman" w:cs="Times New Roman"/>
          <w:sz w:val="24"/>
          <w:szCs w:val="24"/>
        </w:rPr>
        <w:t>za</w:t>
      </w:r>
      <w:r w:rsidRPr="000431F7">
        <w:rPr>
          <w:rFonts w:ascii="Times New Roman" w:hAnsi="Times New Roman" w:cs="Times New Roman"/>
          <w:sz w:val="24"/>
          <w:szCs w:val="24"/>
        </w:rPr>
        <w:t xml:space="preserve"> ust</w:t>
      </w:r>
      <w:r w:rsidRPr="00EC1953">
        <w:rPr>
          <w:rFonts w:ascii="Times New Roman" w:hAnsi="Times New Roman" w:cs="Times New Roman"/>
          <w:sz w:val="24"/>
          <w:szCs w:val="24"/>
        </w:rPr>
        <w:t>.</w:t>
      </w:r>
      <w:r w:rsidRPr="00EC1953">
        <w:rPr>
          <w:rFonts w:ascii="Times New Roman" w:hAnsi="Times New Roman" w:cs="Times New Roman"/>
          <w:b/>
          <w:bCs/>
          <w:sz w:val="24"/>
          <w:szCs w:val="24"/>
        </w:rPr>
        <w:t xml:space="preserve"> </w:t>
      </w:r>
      <w:r w:rsidRPr="004742CC">
        <w:rPr>
          <w:rFonts w:ascii="Times New Roman" w:hAnsi="Times New Roman" w:cs="Times New Roman"/>
          <w:sz w:val="24"/>
          <w:szCs w:val="24"/>
        </w:rPr>
        <w:t>1</w:t>
      </w:r>
      <w:r w:rsidR="00EC1953">
        <w:rPr>
          <w:rFonts w:ascii="Times New Roman" w:hAnsi="Times New Roman" w:cs="Times New Roman"/>
          <w:sz w:val="24"/>
          <w:szCs w:val="24"/>
        </w:rPr>
        <w:t>,</w:t>
      </w:r>
      <w:r w:rsidRPr="000431F7">
        <w:rPr>
          <w:rFonts w:ascii="Times New Roman" w:hAnsi="Times New Roman" w:cs="Times New Roman"/>
          <w:sz w:val="24"/>
          <w:szCs w:val="24"/>
        </w:rPr>
        <w:t xml:space="preserve"> w przypadku gdy podmiot, dla którego Polska jest państwem przyjmującym, nie wykona lub nienależycie wykona obowiązki wynikające z rozporządzenia 2023/2631, </w:t>
      </w:r>
      <w:r w:rsidR="00DB02A9" w:rsidRPr="000431F7">
        <w:rPr>
          <w:rFonts w:ascii="Times New Roman" w:hAnsi="Times New Roman" w:cs="Times New Roman"/>
          <w:sz w:val="24"/>
          <w:szCs w:val="24"/>
        </w:rPr>
        <w:t>KNF</w:t>
      </w:r>
      <w:r w:rsidRPr="000431F7">
        <w:rPr>
          <w:rFonts w:ascii="Times New Roman" w:hAnsi="Times New Roman" w:cs="Times New Roman"/>
          <w:sz w:val="24"/>
          <w:szCs w:val="24"/>
        </w:rPr>
        <w:t xml:space="preserve"> ma obowiązek przekazać stosowne informacje do właściwego organu macierzystego państwa emitenta oraz Europejskiego Urzędu Nadzoru Giełd i Papierów Wartościowych (ESMA), który pełni kluczową rolę w nadzorze nad rynkami finansowymi w </w:t>
      </w:r>
      <w:r w:rsidR="00DB02A9" w:rsidRPr="000431F7">
        <w:rPr>
          <w:rFonts w:ascii="Times New Roman" w:hAnsi="Times New Roman" w:cs="Times New Roman"/>
          <w:sz w:val="24"/>
          <w:szCs w:val="24"/>
        </w:rPr>
        <w:t>UE</w:t>
      </w:r>
      <w:r w:rsidRPr="000431F7">
        <w:rPr>
          <w:rFonts w:ascii="Times New Roman" w:hAnsi="Times New Roman" w:cs="Times New Roman"/>
          <w:sz w:val="24"/>
          <w:szCs w:val="24"/>
        </w:rPr>
        <w:t>.</w:t>
      </w:r>
    </w:p>
    <w:p w14:paraId="4EC2878B" w14:textId="675018FA" w:rsidR="00F532DE" w:rsidRPr="000431F7" w:rsidRDefault="00F532DE" w:rsidP="004742CC">
      <w:pPr>
        <w:spacing w:before="120" w:after="0" w:line="360" w:lineRule="auto"/>
        <w:jc w:val="both"/>
        <w:rPr>
          <w:rFonts w:ascii="Times New Roman" w:hAnsi="Times New Roman" w:cs="Times New Roman"/>
          <w:sz w:val="24"/>
          <w:szCs w:val="24"/>
        </w:rPr>
      </w:pPr>
      <w:r w:rsidRPr="000431F7">
        <w:rPr>
          <w:rFonts w:ascii="Times New Roman" w:hAnsi="Times New Roman" w:cs="Times New Roman"/>
          <w:sz w:val="24"/>
          <w:szCs w:val="24"/>
        </w:rPr>
        <w:t>Art. 18z</w:t>
      </w:r>
      <w:r w:rsidR="00003919" w:rsidRPr="000431F7">
        <w:rPr>
          <w:rFonts w:ascii="Times New Roman" w:hAnsi="Times New Roman" w:cs="Times New Roman"/>
          <w:sz w:val="24"/>
          <w:szCs w:val="24"/>
        </w:rPr>
        <w:t>za</w:t>
      </w:r>
      <w:r w:rsidRPr="000431F7">
        <w:rPr>
          <w:rFonts w:ascii="Times New Roman" w:hAnsi="Times New Roman" w:cs="Times New Roman"/>
          <w:sz w:val="24"/>
          <w:szCs w:val="24"/>
        </w:rPr>
        <w:t xml:space="preserve"> ust. 2 określa kroki podejmowane przez </w:t>
      </w:r>
      <w:r w:rsidR="00DB02A9" w:rsidRPr="000431F7">
        <w:rPr>
          <w:rFonts w:ascii="Times New Roman" w:hAnsi="Times New Roman" w:cs="Times New Roman"/>
          <w:sz w:val="24"/>
          <w:szCs w:val="24"/>
        </w:rPr>
        <w:t>KNF</w:t>
      </w:r>
      <w:r w:rsidRPr="000431F7">
        <w:rPr>
          <w:rFonts w:ascii="Times New Roman" w:hAnsi="Times New Roman" w:cs="Times New Roman"/>
          <w:sz w:val="24"/>
          <w:szCs w:val="24"/>
        </w:rPr>
        <w:t xml:space="preserve"> w przypadku braku skutecznych działań ze strony organu macierzystego. I tak, jeżeli Komisja poinformuje właściwy organ macierzystego państwa emitenta o naruszeniu, ale ten organ nie podejmuje działań lub podjęte działania okazują się nieskuteczne, </w:t>
      </w:r>
      <w:r w:rsidR="00DB02A9" w:rsidRPr="000431F7">
        <w:rPr>
          <w:rFonts w:ascii="Times New Roman" w:hAnsi="Times New Roman" w:cs="Times New Roman"/>
          <w:sz w:val="24"/>
          <w:szCs w:val="24"/>
        </w:rPr>
        <w:t>KNF</w:t>
      </w:r>
      <w:r w:rsidRPr="000431F7">
        <w:rPr>
          <w:rFonts w:ascii="Times New Roman" w:hAnsi="Times New Roman" w:cs="Times New Roman"/>
          <w:sz w:val="24"/>
          <w:szCs w:val="24"/>
        </w:rPr>
        <w:t xml:space="preserve"> ma prawo nałożyć sankcje przewidziane w art. 18z</w:t>
      </w:r>
      <w:r w:rsidR="00003919" w:rsidRPr="000431F7">
        <w:rPr>
          <w:rFonts w:ascii="Times New Roman" w:hAnsi="Times New Roman" w:cs="Times New Roman"/>
          <w:sz w:val="24"/>
          <w:szCs w:val="24"/>
        </w:rPr>
        <w:t>z</w:t>
      </w:r>
      <w:r w:rsidRPr="000431F7">
        <w:rPr>
          <w:rFonts w:ascii="Times New Roman" w:hAnsi="Times New Roman" w:cs="Times New Roman"/>
          <w:sz w:val="24"/>
          <w:szCs w:val="24"/>
        </w:rPr>
        <w:t xml:space="preserve"> ust. 1, co obejmuje kary pieniężne oraz inne środki administracyjne. Jednocześnie po nałożeniu sankcji </w:t>
      </w:r>
      <w:r w:rsidR="00DB02A9" w:rsidRPr="000431F7">
        <w:rPr>
          <w:rFonts w:ascii="Times New Roman" w:hAnsi="Times New Roman" w:cs="Times New Roman"/>
          <w:sz w:val="24"/>
          <w:szCs w:val="24"/>
        </w:rPr>
        <w:t>KNF</w:t>
      </w:r>
      <w:r w:rsidRPr="000431F7">
        <w:rPr>
          <w:rFonts w:ascii="Times New Roman" w:hAnsi="Times New Roman" w:cs="Times New Roman"/>
          <w:sz w:val="24"/>
          <w:szCs w:val="24"/>
        </w:rPr>
        <w:t xml:space="preserve"> ma obowiązek niezwłocznie poinformować Komisję Europejską oraz ESMA o zastosowanych środkach.</w:t>
      </w:r>
    </w:p>
    <w:p w14:paraId="17D6C27B" w14:textId="298504A5" w:rsidR="00F532DE" w:rsidRPr="000431F7" w:rsidRDefault="00F532DE" w:rsidP="004742CC">
      <w:pPr>
        <w:spacing w:before="120" w:after="0" w:line="360" w:lineRule="auto"/>
        <w:jc w:val="both"/>
        <w:rPr>
          <w:rFonts w:ascii="Times New Roman" w:hAnsi="Times New Roman" w:cs="Times New Roman"/>
          <w:sz w:val="24"/>
          <w:szCs w:val="24"/>
        </w:rPr>
      </w:pPr>
      <w:r w:rsidRPr="000431F7">
        <w:rPr>
          <w:rFonts w:ascii="Times New Roman" w:hAnsi="Times New Roman" w:cs="Times New Roman"/>
          <w:sz w:val="24"/>
          <w:szCs w:val="24"/>
        </w:rPr>
        <w:t>Dodanie art. 18z</w:t>
      </w:r>
      <w:r w:rsidR="00003919" w:rsidRPr="000431F7">
        <w:rPr>
          <w:rFonts w:ascii="Times New Roman" w:hAnsi="Times New Roman" w:cs="Times New Roman"/>
          <w:sz w:val="24"/>
          <w:szCs w:val="24"/>
        </w:rPr>
        <w:t>zb</w:t>
      </w:r>
      <w:r w:rsidRPr="000431F7">
        <w:rPr>
          <w:rFonts w:ascii="Times New Roman" w:hAnsi="Times New Roman" w:cs="Times New Roman"/>
          <w:sz w:val="24"/>
          <w:szCs w:val="24"/>
        </w:rPr>
        <w:t xml:space="preserve"> ma na celu zapewnienie stosowania art. 49 ust. 4 lit. a oraz art. 52 rozporządzenia 2023/2631.</w:t>
      </w:r>
      <w:r w:rsidRPr="000431F7">
        <w:rPr>
          <w:rFonts w:ascii="Times New Roman" w:hAnsi="Times New Roman" w:cs="Times New Roman"/>
          <w:b/>
          <w:bCs/>
          <w:sz w:val="24"/>
          <w:szCs w:val="24"/>
        </w:rPr>
        <w:t xml:space="preserve"> </w:t>
      </w:r>
      <w:r w:rsidRPr="000431F7">
        <w:rPr>
          <w:rFonts w:ascii="Times New Roman" w:hAnsi="Times New Roman" w:cs="Times New Roman"/>
          <w:sz w:val="24"/>
          <w:szCs w:val="24"/>
        </w:rPr>
        <w:t>Art. 18z</w:t>
      </w:r>
      <w:r w:rsidR="00003919" w:rsidRPr="000431F7">
        <w:rPr>
          <w:rFonts w:ascii="Times New Roman" w:hAnsi="Times New Roman" w:cs="Times New Roman"/>
          <w:sz w:val="24"/>
          <w:szCs w:val="24"/>
        </w:rPr>
        <w:t>zb</w:t>
      </w:r>
      <w:r w:rsidRPr="000431F7">
        <w:rPr>
          <w:rFonts w:ascii="Times New Roman" w:hAnsi="Times New Roman" w:cs="Times New Roman"/>
          <w:sz w:val="24"/>
          <w:szCs w:val="24"/>
        </w:rPr>
        <w:t xml:space="preserve"> wprowadza zasady dotyczące publikowania informacji o sankcjach, które mają zapewnić równowagę między transparentnością a ochroną podmiotów uczestniczących w rynku finansowym. </w:t>
      </w:r>
      <w:r w:rsidR="00DB02A9" w:rsidRPr="000431F7">
        <w:rPr>
          <w:rFonts w:ascii="Times New Roman" w:hAnsi="Times New Roman" w:cs="Times New Roman"/>
          <w:sz w:val="24"/>
          <w:szCs w:val="24"/>
        </w:rPr>
        <w:t>KNF</w:t>
      </w:r>
      <w:r w:rsidRPr="000431F7">
        <w:rPr>
          <w:rFonts w:ascii="Times New Roman" w:hAnsi="Times New Roman" w:cs="Times New Roman"/>
          <w:sz w:val="24"/>
          <w:szCs w:val="24"/>
        </w:rPr>
        <w:t xml:space="preserve"> ma elastyczność w zakresie publikacji, co pozwala na dostosowanie działań do konkretnych sytuacji, szczególnie w przypadkach, gdzie publikacja mogłaby wyrządzić znaczącą szkodę.</w:t>
      </w:r>
    </w:p>
    <w:p w14:paraId="24EF9A23" w14:textId="6F100A1A" w:rsidR="00F532DE" w:rsidRPr="000431F7" w:rsidRDefault="00F532DE" w:rsidP="004742CC">
      <w:pPr>
        <w:spacing w:before="120" w:after="0" w:line="360" w:lineRule="auto"/>
        <w:jc w:val="both"/>
        <w:rPr>
          <w:rFonts w:ascii="Times New Roman" w:hAnsi="Times New Roman" w:cs="Times New Roman"/>
          <w:sz w:val="24"/>
          <w:szCs w:val="24"/>
        </w:rPr>
      </w:pPr>
      <w:r w:rsidRPr="000431F7">
        <w:rPr>
          <w:rFonts w:ascii="Times New Roman" w:hAnsi="Times New Roman" w:cs="Times New Roman"/>
          <w:sz w:val="24"/>
          <w:szCs w:val="24"/>
        </w:rPr>
        <w:t>Zgodnie z art. 18z</w:t>
      </w:r>
      <w:r w:rsidR="00003919" w:rsidRPr="000431F7">
        <w:rPr>
          <w:rFonts w:ascii="Times New Roman" w:hAnsi="Times New Roman" w:cs="Times New Roman"/>
          <w:sz w:val="24"/>
          <w:szCs w:val="24"/>
        </w:rPr>
        <w:t>zb</w:t>
      </w:r>
      <w:r w:rsidRPr="000431F7">
        <w:rPr>
          <w:rFonts w:ascii="Times New Roman" w:hAnsi="Times New Roman" w:cs="Times New Roman"/>
          <w:sz w:val="24"/>
          <w:szCs w:val="24"/>
        </w:rPr>
        <w:t xml:space="preserve"> ust. 1 </w:t>
      </w:r>
      <w:r w:rsidR="00DB02A9" w:rsidRPr="000431F7">
        <w:rPr>
          <w:rFonts w:ascii="Times New Roman" w:hAnsi="Times New Roman" w:cs="Times New Roman"/>
          <w:sz w:val="24"/>
          <w:szCs w:val="24"/>
        </w:rPr>
        <w:t>KNF</w:t>
      </w:r>
      <w:r w:rsidRPr="000431F7">
        <w:rPr>
          <w:rFonts w:ascii="Times New Roman" w:hAnsi="Times New Roman" w:cs="Times New Roman"/>
          <w:sz w:val="24"/>
          <w:szCs w:val="24"/>
        </w:rPr>
        <w:t xml:space="preserve"> ma obowiązek udostępnienia na swojej stronie internetowej informacji o: </w:t>
      </w:r>
    </w:p>
    <w:p w14:paraId="16F90610" w14:textId="255CC627" w:rsidR="00F532DE" w:rsidRPr="000431F7" w:rsidRDefault="00F532DE" w:rsidP="004742CC">
      <w:pPr>
        <w:pStyle w:val="Akapitzlist"/>
        <w:numPr>
          <w:ilvl w:val="0"/>
          <w:numId w:val="39"/>
        </w:numPr>
        <w:spacing w:before="120" w:after="0" w:line="360" w:lineRule="auto"/>
        <w:ind w:left="426" w:hanging="426"/>
        <w:jc w:val="both"/>
        <w:rPr>
          <w:rFonts w:ascii="Times New Roman" w:hAnsi="Times New Roman" w:cs="Times New Roman"/>
          <w:sz w:val="24"/>
          <w:szCs w:val="24"/>
        </w:rPr>
      </w:pPr>
      <w:r w:rsidRPr="000431F7">
        <w:rPr>
          <w:rFonts w:ascii="Times New Roman" w:hAnsi="Times New Roman" w:cs="Times New Roman"/>
          <w:sz w:val="24"/>
          <w:szCs w:val="24"/>
        </w:rPr>
        <w:t xml:space="preserve">treści rozstrzygnięcia </w:t>
      </w:r>
      <w:r w:rsidR="00003919" w:rsidRPr="000431F7">
        <w:rPr>
          <w:rFonts w:ascii="Times New Roman" w:hAnsi="Times New Roman" w:cs="Times New Roman"/>
          <w:sz w:val="24"/>
          <w:szCs w:val="24"/>
        </w:rPr>
        <w:t xml:space="preserve">oraz rodzaju </w:t>
      </w:r>
      <w:r w:rsidRPr="000431F7">
        <w:rPr>
          <w:rFonts w:ascii="Times New Roman" w:hAnsi="Times New Roman" w:cs="Times New Roman"/>
          <w:sz w:val="24"/>
          <w:szCs w:val="24"/>
        </w:rPr>
        <w:t xml:space="preserve">i charakterze naruszenia, w tym imienia i nazwiska osoby fizycznej lub nazwy podmiotu, wobec którego zastosowano środek; </w:t>
      </w:r>
    </w:p>
    <w:p w14:paraId="6A6A4304" w14:textId="1C2FE9D6" w:rsidR="00F532DE" w:rsidRPr="000431F7" w:rsidRDefault="00F532DE" w:rsidP="004742CC">
      <w:pPr>
        <w:pStyle w:val="Akapitzlist"/>
        <w:numPr>
          <w:ilvl w:val="0"/>
          <w:numId w:val="39"/>
        </w:numPr>
        <w:spacing w:before="120" w:after="0" w:line="360" w:lineRule="auto"/>
        <w:ind w:left="426" w:hanging="426"/>
        <w:jc w:val="both"/>
        <w:rPr>
          <w:rFonts w:ascii="Times New Roman" w:hAnsi="Times New Roman" w:cs="Times New Roman"/>
          <w:sz w:val="24"/>
          <w:szCs w:val="24"/>
        </w:rPr>
      </w:pPr>
      <w:r w:rsidRPr="000431F7">
        <w:rPr>
          <w:rFonts w:ascii="Times New Roman" w:hAnsi="Times New Roman" w:cs="Times New Roman"/>
          <w:sz w:val="24"/>
          <w:szCs w:val="24"/>
        </w:rPr>
        <w:t>złożeniu wniosku o ponowne rozpatrzenie sprawy</w:t>
      </w:r>
      <w:r w:rsidR="00972E4B" w:rsidRPr="004742CC">
        <w:rPr>
          <w:rFonts w:ascii="Times New Roman" w:hAnsi="Times New Roman" w:cs="Times New Roman"/>
          <w:sz w:val="24"/>
          <w:szCs w:val="24"/>
        </w:rPr>
        <w:t xml:space="preserve"> </w:t>
      </w:r>
      <w:r w:rsidR="00972E4B" w:rsidRPr="000431F7">
        <w:rPr>
          <w:rFonts w:ascii="Times New Roman" w:hAnsi="Times New Roman" w:cs="Times New Roman"/>
          <w:sz w:val="24"/>
          <w:szCs w:val="24"/>
        </w:rPr>
        <w:t>lub skargi do wojewódzkiego sądu administracyjnego w odniesieniu do decyzji o zastosowaniu środka, o którym mowa w</w:t>
      </w:r>
      <w:r w:rsidR="00E709AB">
        <w:rPr>
          <w:rFonts w:ascii="Times New Roman" w:hAnsi="Times New Roman" w:cs="Times New Roman"/>
          <w:sz w:val="24"/>
          <w:szCs w:val="24"/>
        </w:rPr>
        <w:t> </w:t>
      </w:r>
      <w:r w:rsidR="00972E4B" w:rsidRPr="000431F7">
        <w:rPr>
          <w:rFonts w:ascii="Times New Roman" w:hAnsi="Times New Roman" w:cs="Times New Roman"/>
          <w:sz w:val="24"/>
          <w:szCs w:val="24"/>
        </w:rPr>
        <w:t>art.</w:t>
      </w:r>
      <w:r w:rsidR="00E709AB">
        <w:rPr>
          <w:rFonts w:ascii="Times New Roman" w:hAnsi="Times New Roman" w:cs="Times New Roman"/>
          <w:sz w:val="24"/>
          <w:szCs w:val="24"/>
        </w:rPr>
        <w:t> </w:t>
      </w:r>
      <w:r w:rsidR="00972E4B" w:rsidRPr="000431F7">
        <w:rPr>
          <w:rFonts w:ascii="Times New Roman" w:hAnsi="Times New Roman" w:cs="Times New Roman"/>
          <w:sz w:val="24"/>
          <w:szCs w:val="24"/>
        </w:rPr>
        <w:t>18z</w:t>
      </w:r>
      <w:r w:rsidR="00003919" w:rsidRPr="000431F7">
        <w:rPr>
          <w:rFonts w:ascii="Times New Roman" w:hAnsi="Times New Roman" w:cs="Times New Roman"/>
          <w:sz w:val="24"/>
          <w:szCs w:val="24"/>
        </w:rPr>
        <w:t>z</w:t>
      </w:r>
      <w:r w:rsidR="00972E4B" w:rsidRPr="000431F7">
        <w:rPr>
          <w:rFonts w:ascii="Times New Roman" w:hAnsi="Times New Roman" w:cs="Times New Roman"/>
          <w:sz w:val="24"/>
          <w:szCs w:val="24"/>
        </w:rPr>
        <w:t xml:space="preserve"> ust. 1, 2, 8 i 9</w:t>
      </w:r>
      <w:r w:rsidRPr="000431F7">
        <w:rPr>
          <w:rFonts w:ascii="Times New Roman" w:hAnsi="Times New Roman" w:cs="Times New Roman"/>
          <w:sz w:val="24"/>
          <w:szCs w:val="24"/>
        </w:rPr>
        <w:t xml:space="preserve">, o ile wcześniej opublikowano informację o pierwotnej decyzji; </w:t>
      </w:r>
    </w:p>
    <w:p w14:paraId="5858450E" w14:textId="77777777" w:rsidR="00972E4B" w:rsidRPr="000431F7" w:rsidRDefault="00972E4B" w:rsidP="004742CC">
      <w:pPr>
        <w:pStyle w:val="Akapitzlist"/>
        <w:numPr>
          <w:ilvl w:val="0"/>
          <w:numId w:val="39"/>
        </w:numPr>
        <w:spacing w:before="120" w:after="0" w:line="360" w:lineRule="auto"/>
        <w:ind w:left="426" w:hanging="426"/>
        <w:jc w:val="both"/>
        <w:rPr>
          <w:rFonts w:ascii="Times New Roman" w:hAnsi="Times New Roman" w:cs="Times New Roman"/>
          <w:sz w:val="24"/>
          <w:szCs w:val="24"/>
        </w:rPr>
      </w:pPr>
      <w:r w:rsidRPr="000431F7">
        <w:rPr>
          <w:rFonts w:ascii="Times New Roman" w:hAnsi="Times New Roman" w:cs="Times New Roman"/>
          <w:sz w:val="24"/>
          <w:szCs w:val="24"/>
        </w:rPr>
        <w:lastRenderedPageBreak/>
        <w:t xml:space="preserve">treści rozstrzygnięcia </w:t>
      </w:r>
      <w:r w:rsidR="00F532DE" w:rsidRPr="000431F7">
        <w:rPr>
          <w:rFonts w:ascii="Times New Roman" w:hAnsi="Times New Roman" w:cs="Times New Roman"/>
          <w:sz w:val="24"/>
          <w:szCs w:val="24"/>
        </w:rPr>
        <w:t>ostatecznej decyzji</w:t>
      </w:r>
      <w:r w:rsidRPr="000431F7">
        <w:rPr>
          <w:rFonts w:ascii="Times New Roman" w:hAnsi="Times New Roman" w:cs="Times New Roman"/>
          <w:sz w:val="24"/>
          <w:szCs w:val="24"/>
        </w:rPr>
        <w:t xml:space="preserve"> lub prawomocnego wyroku sądu administracyjnego, w przypadku gdy w odniesieniu do decyzji została wniesiona skarga do wojewódzkiego sądu administracyjnego;</w:t>
      </w:r>
    </w:p>
    <w:p w14:paraId="0999DAEE" w14:textId="2DEFA654" w:rsidR="00F532DE" w:rsidRPr="000431F7" w:rsidRDefault="00972E4B" w:rsidP="004742CC">
      <w:pPr>
        <w:pStyle w:val="Akapitzlist"/>
        <w:numPr>
          <w:ilvl w:val="0"/>
          <w:numId w:val="39"/>
        </w:numPr>
        <w:spacing w:before="120" w:after="0" w:line="360" w:lineRule="auto"/>
        <w:ind w:left="426" w:hanging="426"/>
        <w:jc w:val="both"/>
        <w:rPr>
          <w:rFonts w:ascii="Times New Roman" w:hAnsi="Times New Roman" w:cs="Times New Roman"/>
          <w:sz w:val="24"/>
          <w:szCs w:val="24"/>
        </w:rPr>
      </w:pPr>
      <w:r w:rsidRPr="000431F7">
        <w:rPr>
          <w:rFonts w:ascii="Times New Roman" w:hAnsi="Times New Roman" w:cs="Times New Roman"/>
          <w:sz w:val="24"/>
          <w:szCs w:val="24"/>
        </w:rPr>
        <w:t>uchyleniu, zmianie albo stwierdzeniu nieważności przez Komisję ostatecznej decyzji</w:t>
      </w:r>
      <w:r w:rsidR="00F532DE" w:rsidRPr="000431F7">
        <w:rPr>
          <w:rFonts w:ascii="Times New Roman" w:hAnsi="Times New Roman" w:cs="Times New Roman"/>
          <w:sz w:val="24"/>
          <w:szCs w:val="24"/>
        </w:rPr>
        <w:t>.</w:t>
      </w:r>
    </w:p>
    <w:p w14:paraId="60BD5D50" w14:textId="752A75D4" w:rsidR="00972E4B" w:rsidRPr="000431F7" w:rsidRDefault="00EB1D87" w:rsidP="004742CC">
      <w:pPr>
        <w:spacing w:before="120" w:after="0" w:line="360" w:lineRule="auto"/>
        <w:jc w:val="both"/>
        <w:rPr>
          <w:rFonts w:ascii="Times New Roman" w:hAnsi="Times New Roman" w:cs="Times New Roman"/>
          <w:sz w:val="24"/>
          <w:szCs w:val="24"/>
        </w:rPr>
      </w:pPr>
      <w:r w:rsidRPr="000431F7">
        <w:rPr>
          <w:rFonts w:ascii="Times New Roman" w:hAnsi="Times New Roman" w:cs="Times New Roman"/>
          <w:sz w:val="24"/>
          <w:szCs w:val="24"/>
        </w:rPr>
        <w:t>W dodawanym w ustawie o nadzorze nad rynkiem finansowym art. 18z</w:t>
      </w:r>
      <w:r w:rsidR="00C96CA0" w:rsidRPr="000431F7">
        <w:rPr>
          <w:rFonts w:ascii="Times New Roman" w:hAnsi="Times New Roman" w:cs="Times New Roman"/>
          <w:sz w:val="24"/>
          <w:szCs w:val="24"/>
        </w:rPr>
        <w:t>zb</w:t>
      </w:r>
      <w:r w:rsidRPr="000431F7">
        <w:rPr>
          <w:rFonts w:ascii="Times New Roman" w:hAnsi="Times New Roman" w:cs="Times New Roman"/>
          <w:sz w:val="24"/>
          <w:szCs w:val="24"/>
        </w:rPr>
        <w:t xml:space="preserve"> ust. 1 pkt 1 wskazano, że Komisja przekazuje do publicznej wiadomości, przez udostępnienie na swojej stronie internetowej, informację o treści rozstrzygnięcia oraz rodzaju i charakterze naruszenia, zawierającą imię i nazwisko osoby fizycznej lub firmę (nazwę) innego podmiotu, wobec którego zastosowano środek, o którym mowa w art. 18z</w:t>
      </w:r>
      <w:r w:rsidR="00C96CA0" w:rsidRPr="000431F7">
        <w:rPr>
          <w:rFonts w:ascii="Times New Roman" w:hAnsi="Times New Roman" w:cs="Times New Roman"/>
          <w:sz w:val="24"/>
          <w:szCs w:val="24"/>
        </w:rPr>
        <w:t>z</w:t>
      </w:r>
      <w:r w:rsidRPr="000431F7">
        <w:rPr>
          <w:rFonts w:ascii="Times New Roman" w:hAnsi="Times New Roman" w:cs="Times New Roman"/>
          <w:sz w:val="24"/>
          <w:szCs w:val="24"/>
        </w:rPr>
        <w:t xml:space="preserve"> ust. 1</w:t>
      </w:r>
      <w:r w:rsidR="00972E4B" w:rsidRPr="000431F7">
        <w:rPr>
          <w:rFonts w:ascii="Times New Roman" w:hAnsi="Times New Roman" w:cs="Times New Roman"/>
          <w:sz w:val="24"/>
          <w:szCs w:val="24"/>
        </w:rPr>
        <w:t xml:space="preserve">, </w:t>
      </w:r>
      <w:r w:rsidRPr="000431F7">
        <w:rPr>
          <w:rFonts w:ascii="Times New Roman" w:hAnsi="Times New Roman" w:cs="Times New Roman"/>
          <w:sz w:val="24"/>
          <w:szCs w:val="24"/>
        </w:rPr>
        <w:t>2</w:t>
      </w:r>
      <w:r w:rsidR="00972E4B" w:rsidRPr="000431F7">
        <w:rPr>
          <w:rFonts w:ascii="Times New Roman" w:hAnsi="Times New Roman" w:cs="Times New Roman"/>
          <w:sz w:val="24"/>
          <w:szCs w:val="24"/>
        </w:rPr>
        <w:t>, 8 i 9</w:t>
      </w:r>
      <w:r w:rsidRPr="000431F7">
        <w:rPr>
          <w:rFonts w:ascii="Times New Roman" w:hAnsi="Times New Roman" w:cs="Times New Roman"/>
          <w:sz w:val="24"/>
          <w:szCs w:val="24"/>
        </w:rPr>
        <w:t>. Przepis ten wdraża art.</w:t>
      </w:r>
      <w:r w:rsidR="00E709AB">
        <w:rPr>
          <w:rFonts w:ascii="Times New Roman" w:hAnsi="Times New Roman" w:cs="Times New Roman"/>
          <w:sz w:val="24"/>
          <w:szCs w:val="24"/>
        </w:rPr>
        <w:t> </w:t>
      </w:r>
      <w:r w:rsidRPr="000431F7">
        <w:rPr>
          <w:rFonts w:ascii="Times New Roman" w:hAnsi="Times New Roman" w:cs="Times New Roman"/>
          <w:sz w:val="24"/>
          <w:szCs w:val="24"/>
        </w:rPr>
        <w:t xml:space="preserve">52 ust. 1 rozporządzenia </w:t>
      </w:r>
      <w:r w:rsidR="00643900" w:rsidRPr="000431F7">
        <w:rPr>
          <w:rFonts w:ascii="Times New Roman" w:hAnsi="Times New Roman" w:cs="Times New Roman"/>
          <w:sz w:val="24"/>
          <w:szCs w:val="24"/>
        </w:rPr>
        <w:t>2023/2631</w:t>
      </w:r>
      <w:r w:rsidRPr="000431F7">
        <w:rPr>
          <w:rFonts w:ascii="Times New Roman" w:hAnsi="Times New Roman" w:cs="Times New Roman"/>
          <w:sz w:val="24"/>
          <w:szCs w:val="24"/>
        </w:rPr>
        <w:t xml:space="preserve">, który zobowiązuje właściwe organy do publikacji na swojej urzędowej stronie internetowej decyzji o nałożeniu kary administracyjnej lub innego środka administracyjnego za naruszenie przepisów </w:t>
      </w:r>
      <w:r w:rsidR="00293434" w:rsidRPr="000431F7">
        <w:rPr>
          <w:rFonts w:ascii="Times New Roman" w:hAnsi="Times New Roman" w:cs="Times New Roman"/>
          <w:sz w:val="24"/>
          <w:szCs w:val="24"/>
        </w:rPr>
        <w:t xml:space="preserve">tego </w:t>
      </w:r>
      <w:r w:rsidRPr="000431F7">
        <w:rPr>
          <w:rFonts w:ascii="Times New Roman" w:hAnsi="Times New Roman" w:cs="Times New Roman"/>
          <w:sz w:val="24"/>
          <w:szCs w:val="24"/>
        </w:rPr>
        <w:t>rozporządzenia</w:t>
      </w:r>
      <w:r w:rsidR="00293434" w:rsidRPr="000431F7">
        <w:rPr>
          <w:rFonts w:ascii="Times New Roman" w:hAnsi="Times New Roman" w:cs="Times New Roman"/>
          <w:sz w:val="24"/>
          <w:szCs w:val="24"/>
        </w:rPr>
        <w:t>,</w:t>
      </w:r>
      <w:r w:rsidRPr="000431F7">
        <w:rPr>
          <w:rFonts w:ascii="Times New Roman" w:hAnsi="Times New Roman" w:cs="Times New Roman"/>
          <w:sz w:val="24"/>
          <w:szCs w:val="24"/>
        </w:rPr>
        <w:t xml:space="preserve"> obejmującej informacje na temat rodzaju i charakteru naruszenia oraz tożsamości osób odpowiedzialnych za naruszenie. Obowiązek publikacji imienia i nazwiska osoby fizycznej, wobec której zastosowano środek administracyjny</w:t>
      </w:r>
      <w:r w:rsidR="00E709AB">
        <w:rPr>
          <w:rFonts w:ascii="Times New Roman" w:hAnsi="Times New Roman" w:cs="Times New Roman"/>
          <w:sz w:val="24"/>
          <w:szCs w:val="24"/>
        </w:rPr>
        <w:t>,</w:t>
      </w:r>
      <w:r w:rsidRPr="000431F7">
        <w:rPr>
          <w:rFonts w:ascii="Times New Roman" w:hAnsi="Times New Roman" w:cs="Times New Roman"/>
          <w:sz w:val="24"/>
          <w:szCs w:val="24"/>
        </w:rPr>
        <w:t xml:space="preserve"> wynika </w:t>
      </w:r>
      <w:r w:rsidR="00293434" w:rsidRPr="000431F7">
        <w:rPr>
          <w:rFonts w:ascii="Times New Roman" w:hAnsi="Times New Roman" w:cs="Times New Roman"/>
          <w:sz w:val="24"/>
          <w:szCs w:val="24"/>
        </w:rPr>
        <w:t xml:space="preserve">zatem </w:t>
      </w:r>
      <w:r w:rsidRPr="000431F7">
        <w:rPr>
          <w:rFonts w:ascii="Times New Roman" w:hAnsi="Times New Roman" w:cs="Times New Roman"/>
          <w:sz w:val="24"/>
          <w:szCs w:val="24"/>
        </w:rPr>
        <w:t xml:space="preserve">z przepisów unijnych. </w:t>
      </w:r>
      <w:r w:rsidR="00972E4B" w:rsidRPr="000431F7">
        <w:rPr>
          <w:rFonts w:ascii="Times New Roman" w:hAnsi="Times New Roman" w:cs="Times New Roman"/>
          <w:sz w:val="24"/>
          <w:szCs w:val="24"/>
        </w:rPr>
        <w:t xml:space="preserve">Projekt ustawy nie zapewnia wykonania ostatniego zdania art. 52 ust. 3 rozporządzenia 2023/2631 nakładającego na organ właściwy obowiązek publikacji decyzji unieważniającej wcześniejszą decyzję o nałożeniu kary administracyjnej lub innego środka administracyjnego. </w:t>
      </w:r>
    </w:p>
    <w:p w14:paraId="6E709435" w14:textId="40F767F8" w:rsidR="00F532DE" w:rsidRPr="000431F7" w:rsidRDefault="00F532DE" w:rsidP="004742CC">
      <w:pPr>
        <w:spacing w:before="120" w:after="0" w:line="360" w:lineRule="auto"/>
        <w:jc w:val="both"/>
        <w:rPr>
          <w:rFonts w:ascii="Times New Roman" w:hAnsi="Times New Roman" w:cs="Times New Roman"/>
          <w:sz w:val="24"/>
          <w:szCs w:val="24"/>
        </w:rPr>
      </w:pPr>
      <w:r w:rsidRPr="000431F7">
        <w:rPr>
          <w:rFonts w:ascii="Times New Roman" w:hAnsi="Times New Roman" w:cs="Times New Roman"/>
          <w:sz w:val="24"/>
          <w:szCs w:val="24"/>
        </w:rPr>
        <w:t>Zgodnie z art. 18z</w:t>
      </w:r>
      <w:r w:rsidR="00C96CA0" w:rsidRPr="000431F7">
        <w:rPr>
          <w:rFonts w:ascii="Times New Roman" w:hAnsi="Times New Roman" w:cs="Times New Roman"/>
          <w:sz w:val="24"/>
          <w:szCs w:val="24"/>
        </w:rPr>
        <w:t>zb</w:t>
      </w:r>
      <w:r w:rsidRPr="000431F7">
        <w:rPr>
          <w:rFonts w:ascii="Times New Roman" w:hAnsi="Times New Roman" w:cs="Times New Roman"/>
          <w:sz w:val="24"/>
          <w:szCs w:val="24"/>
        </w:rPr>
        <w:t xml:space="preserve"> ust. 2</w:t>
      </w:r>
      <w:r w:rsidR="00E709AB">
        <w:rPr>
          <w:rFonts w:ascii="Times New Roman" w:hAnsi="Times New Roman" w:cs="Times New Roman"/>
          <w:sz w:val="24"/>
          <w:szCs w:val="24"/>
        </w:rPr>
        <w:t>,</w:t>
      </w:r>
      <w:r w:rsidRPr="000431F7">
        <w:rPr>
          <w:rFonts w:ascii="Times New Roman" w:hAnsi="Times New Roman" w:cs="Times New Roman"/>
          <w:sz w:val="24"/>
          <w:szCs w:val="24"/>
        </w:rPr>
        <w:t xml:space="preserve"> informacje o treści rozstrzygnięcia oraz o rodzaju i charakterze naruszenia zawierającą imię i nazwisko osoby fizycznej lub firmę (nazwę) innego podmiotu, na który nałożona została sankcja, muszą być przekazane do publicznej wiadomości dopiero po doręczeniu decyzji stronie postępowania.</w:t>
      </w:r>
    </w:p>
    <w:p w14:paraId="6FF2947C" w14:textId="63C266EF" w:rsidR="00F532DE" w:rsidRPr="000431F7" w:rsidRDefault="00F532DE" w:rsidP="004742CC">
      <w:pPr>
        <w:spacing w:before="120" w:after="0" w:line="360" w:lineRule="auto"/>
        <w:jc w:val="both"/>
        <w:rPr>
          <w:rFonts w:ascii="Times New Roman" w:hAnsi="Times New Roman" w:cs="Times New Roman"/>
          <w:sz w:val="24"/>
          <w:szCs w:val="24"/>
        </w:rPr>
      </w:pPr>
      <w:r w:rsidRPr="000431F7">
        <w:rPr>
          <w:rFonts w:ascii="Times New Roman" w:hAnsi="Times New Roman" w:cs="Times New Roman"/>
          <w:sz w:val="24"/>
          <w:szCs w:val="24"/>
        </w:rPr>
        <w:t>Zgodnie z art. 18z</w:t>
      </w:r>
      <w:r w:rsidR="00C96CA0" w:rsidRPr="000431F7">
        <w:rPr>
          <w:rFonts w:ascii="Times New Roman" w:hAnsi="Times New Roman" w:cs="Times New Roman"/>
          <w:sz w:val="24"/>
          <w:szCs w:val="24"/>
        </w:rPr>
        <w:t>zb</w:t>
      </w:r>
      <w:r w:rsidRPr="000431F7">
        <w:rPr>
          <w:rFonts w:ascii="Times New Roman" w:hAnsi="Times New Roman" w:cs="Times New Roman"/>
          <w:sz w:val="24"/>
          <w:szCs w:val="24"/>
        </w:rPr>
        <w:t xml:space="preserve"> ust. 3 </w:t>
      </w:r>
      <w:r w:rsidR="00DB02A9" w:rsidRPr="000431F7">
        <w:rPr>
          <w:rFonts w:ascii="Times New Roman" w:hAnsi="Times New Roman" w:cs="Times New Roman"/>
          <w:sz w:val="24"/>
          <w:szCs w:val="24"/>
        </w:rPr>
        <w:t>KNF</w:t>
      </w:r>
      <w:r w:rsidRPr="000431F7">
        <w:rPr>
          <w:rFonts w:ascii="Times New Roman" w:hAnsi="Times New Roman" w:cs="Times New Roman"/>
          <w:sz w:val="24"/>
          <w:szCs w:val="24"/>
        </w:rPr>
        <w:t xml:space="preserve"> ma prawo, </w:t>
      </w:r>
      <w:r w:rsidR="004E204E" w:rsidRPr="000431F7">
        <w:rPr>
          <w:rFonts w:ascii="Times New Roman" w:hAnsi="Times New Roman" w:cs="Times New Roman"/>
          <w:sz w:val="24"/>
          <w:szCs w:val="24"/>
        </w:rPr>
        <w:t>w drodze</w:t>
      </w:r>
      <w:r w:rsidRPr="000431F7">
        <w:rPr>
          <w:rFonts w:ascii="Times New Roman" w:hAnsi="Times New Roman" w:cs="Times New Roman"/>
          <w:sz w:val="24"/>
          <w:szCs w:val="24"/>
        </w:rPr>
        <w:t xml:space="preserve"> uchwał</w:t>
      </w:r>
      <w:r w:rsidR="004E204E" w:rsidRPr="000431F7">
        <w:rPr>
          <w:rFonts w:ascii="Times New Roman" w:hAnsi="Times New Roman" w:cs="Times New Roman"/>
          <w:sz w:val="24"/>
          <w:szCs w:val="24"/>
        </w:rPr>
        <w:t>y</w:t>
      </w:r>
      <w:r w:rsidRPr="000431F7">
        <w:rPr>
          <w:rFonts w:ascii="Times New Roman" w:hAnsi="Times New Roman" w:cs="Times New Roman"/>
          <w:sz w:val="24"/>
          <w:szCs w:val="24"/>
        </w:rPr>
        <w:t xml:space="preserve">, opóźnić publikację informacji o decyzji lub przekazać tę informację w formie anonimowej (bez wskazywania osoby fizycznej lub podmiotu, wobec którego zastosowano środek) w określonych przypadkach, gdy: </w:t>
      </w:r>
    </w:p>
    <w:p w14:paraId="48375427" w14:textId="13265E2D" w:rsidR="00F532DE" w:rsidRPr="000431F7" w:rsidRDefault="00F532DE" w:rsidP="004742CC">
      <w:pPr>
        <w:pStyle w:val="Akapitzlist"/>
        <w:numPr>
          <w:ilvl w:val="0"/>
          <w:numId w:val="37"/>
        </w:numPr>
        <w:spacing w:before="120" w:after="0" w:line="360" w:lineRule="auto"/>
        <w:ind w:left="426" w:hanging="426"/>
        <w:jc w:val="both"/>
        <w:rPr>
          <w:rFonts w:ascii="Times New Roman" w:hAnsi="Times New Roman" w:cs="Times New Roman"/>
          <w:sz w:val="24"/>
          <w:szCs w:val="24"/>
        </w:rPr>
      </w:pPr>
      <w:r w:rsidRPr="000431F7">
        <w:rPr>
          <w:rFonts w:ascii="Times New Roman" w:hAnsi="Times New Roman" w:cs="Times New Roman"/>
          <w:sz w:val="24"/>
          <w:szCs w:val="24"/>
        </w:rPr>
        <w:t xml:space="preserve">ujawnienie informacji mogłoby wyrządzić </w:t>
      </w:r>
      <w:r w:rsidR="00C96CA0" w:rsidRPr="000431F7">
        <w:rPr>
          <w:rFonts w:ascii="Times New Roman" w:hAnsi="Times New Roman" w:cs="Times New Roman"/>
          <w:sz w:val="24"/>
          <w:szCs w:val="24"/>
        </w:rPr>
        <w:t xml:space="preserve">niewspółmierną i </w:t>
      </w:r>
      <w:r w:rsidRPr="000431F7">
        <w:rPr>
          <w:rFonts w:ascii="Times New Roman" w:hAnsi="Times New Roman" w:cs="Times New Roman"/>
          <w:sz w:val="24"/>
          <w:szCs w:val="24"/>
        </w:rPr>
        <w:t xml:space="preserve">znaczącą szkodę uczestnikom rynku finansowego; </w:t>
      </w:r>
    </w:p>
    <w:p w14:paraId="0DA446CB" w14:textId="77777777" w:rsidR="00F532DE" w:rsidRPr="000431F7" w:rsidRDefault="00F532DE" w:rsidP="004742CC">
      <w:pPr>
        <w:pStyle w:val="Akapitzlist"/>
        <w:numPr>
          <w:ilvl w:val="0"/>
          <w:numId w:val="37"/>
        </w:numPr>
        <w:spacing w:before="120" w:after="0" w:line="360" w:lineRule="auto"/>
        <w:ind w:left="426" w:hanging="426"/>
        <w:jc w:val="both"/>
        <w:rPr>
          <w:rFonts w:ascii="Times New Roman" w:hAnsi="Times New Roman" w:cs="Times New Roman"/>
          <w:sz w:val="24"/>
          <w:szCs w:val="24"/>
        </w:rPr>
      </w:pPr>
      <w:r w:rsidRPr="000431F7">
        <w:rPr>
          <w:rFonts w:ascii="Times New Roman" w:hAnsi="Times New Roman" w:cs="Times New Roman"/>
          <w:sz w:val="24"/>
          <w:szCs w:val="24"/>
        </w:rPr>
        <w:t xml:space="preserve">podanie danych osobowych lub nazwy podmiotu byłoby nieproporcjonalne do wagi naruszenia; </w:t>
      </w:r>
    </w:p>
    <w:p w14:paraId="15213B9C" w14:textId="5F507C4A" w:rsidR="00396548" w:rsidRPr="004742CC" w:rsidRDefault="00F532DE" w:rsidP="004742CC">
      <w:pPr>
        <w:pStyle w:val="Akapitzlist"/>
        <w:numPr>
          <w:ilvl w:val="0"/>
          <w:numId w:val="37"/>
        </w:numPr>
        <w:spacing w:before="120" w:after="0" w:line="360" w:lineRule="auto"/>
        <w:ind w:left="426" w:hanging="426"/>
        <w:jc w:val="both"/>
        <w:rPr>
          <w:rFonts w:ascii="Times New Roman" w:hAnsi="Times New Roman" w:cs="Times New Roman"/>
          <w:sz w:val="24"/>
          <w:szCs w:val="24"/>
        </w:rPr>
      </w:pPr>
      <w:r w:rsidRPr="000431F7">
        <w:rPr>
          <w:rFonts w:ascii="Times New Roman" w:hAnsi="Times New Roman" w:cs="Times New Roman"/>
          <w:sz w:val="24"/>
          <w:szCs w:val="24"/>
        </w:rPr>
        <w:t>ujawnienie stanowiłoby zagrożenie dla stabilności systemu finansowego lub wpłynęłoby negatywnie na trwające postępowania administracyjne, wyjaśniające lub karne.</w:t>
      </w:r>
    </w:p>
    <w:p w14:paraId="1ABD15F5" w14:textId="6E5C7E11" w:rsidR="00F532DE" w:rsidRPr="000431F7" w:rsidRDefault="00F532DE" w:rsidP="004742CC">
      <w:pPr>
        <w:spacing w:before="120" w:after="0" w:line="360" w:lineRule="auto"/>
        <w:jc w:val="both"/>
        <w:rPr>
          <w:rFonts w:ascii="Times New Roman" w:hAnsi="Times New Roman" w:cs="Times New Roman"/>
          <w:sz w:val="24"/>
          <w:szCs w:val="24"/>
        </w:rPr>
      </w:pPr>
      <w:r w:rsidRPr="000431F7">
        <w:rPr>
          <w:rFonts w:ascii="Times New Roman" w:hAnsi="Times New Roman" w:cs="Times New Roman"/>
          <w:sz w:val="24"/>
          <w:szCs w:val="24"/>
        </w:rPr>
        <w:lastRenderedPageBreak/>
        <w:t>Zgodnie z art. 18z</w:t>
      </w:r>
      <w:r w:rsidR="00C96CA0" w:rsidRPr="000431F7">
        <w:rPr>
          <w:rFonts w:ascii="Times New Roman" w:hAnsi="Times New Roman" w:cs="Times New Roman"/>
          <w:sz w:val="24"/>
          <w:szCs w:val="24"/>
        </w:rPr>
        <w:t>zb</w:t>
      </w:r>
      <w:r w:rsidRPr="000431F7">
        <w:rPr>
          <w:rFonts w:ascii="Times New Roman" w:hAnsi="Times New Roman" w:cs="Times New Roman"/>
          <w:sz w:val="24"/>
          <w:szCs w:val="24"/>
        </w:rPr>
        <w:t xml:space="preserve"> ust. 4 </w:t>
      </w:r>
      <w:r w:rsidR="00DB02A9" w:rsidRPr="000431F7">
        <w:rPr>
          <w:rFonts w:ascii="Times New Roman" w:hAnsi="Times New Roman" w:cs="Times New Roman"/>
          <w:sz w:val="24"/>
          <w:szCs w:val="24"/>
        </w:rPr>
        <w:t>KNF</w:t>
      </w:r>
      <w:r w:rsidRPr="000431F7">
        <w:rPr>
          <w:rFonts w:ascii="Times New Roman" w:hAnsi="Times New Roman" w:cs="Times New Roman"/>
          <w:sz w:val="24"/>
          <w:szCs w:val="24"/>
        </w:rPr>
        <w:t xml:space="preserve"> może całkowicie zrezygnować z publikacji informacji o sankcjach, je</w:t>
      </w:r>
      <w:r w:rsidR="00E709AB">
        <w:rPr>
          <w:rFonts w:ascii="Times New Roman" w:hAnsi="Times New Roman" w:cs="Times New Roman"/>
          <w:sz w:val="24"/>
          <w:szCs w:val="24"/>
        </w:rPr>
        <w:t>że</w:t>
      </w:r>
      <w:r w:rsidRPr="000431F7">
        <w:rPr>
          <w:rFonts w:ascii="Times New Roman" w:hAnsi="Times New Roman" w:cs="Times New Roman"/>
          <w:sz w:val="24"/>
          <w:szCs w:val="24"/>
        </w:rPr>
        <w:t>li stwierdzi, że mogłoby to zagrozić stabilności systemu finansowego lub szkoda wyrządzona podmiotom odpowiedzialnym za naruszenie byłaby niewspółmierna do wagi naruszenia.</w:t>
      </w:r>
    </w:p>
    <w:p w14:paraId="63000722" w14:textId="6D5D3E5F" w:rsidR="00F532DE" w:rsidRPr="000431F7" w:rsidRDefault="00F532DE" w:rsidP="004742CC">
      <w:pPr>
        <w:spacing w:before="120" w:after="0" w:line="360" w:lineRule="auto"/>
        <w:jc w:val="both"/>
        <w:rPr>
          <w:rFonts w:ascii="Times New Roman" w:hAnsi="Times New Roman" w:cs="Times New Roman"/>
          <w:sz w:val="24"/>
          <w:szCs w:val="24"/>
        </w:rPr>
      </w:pPr>
      <w:r w:rsidRPr="000431F7">
        <w:rPr>
          <w:rFonts w:ascii="Times New Roman" w:hAnsi="Times New Roman" w:cs="Times New Roman"/>
          <w:sz w:val="24"/>
          <w:szCs w:val="24"/>
        </w:rPr>
        <w:t>Z kolei art. 18z</w:t>
      </w:r>
      <w:r w:rsidR="00C96CA0" w:rsidRPr="000431F7">
        <w:rPr>
          <w:rFonts w:ascii="Times New Roman" w:hAnsi="Times New Roman" w:cs="Times New Roman"/>
          <w:sz w:val="24"/>
          <w:szCs w:val="24"/>
        </w:rPr>
        <w:t>zb</w:t>
      </w:r>
      <w:r w:rsidRPr="000431F7">
        <w:rPr>
          <w:rFonts w:ascii="Times New Roman" w:hAnsi="Times New Roman" w:cs="Times New Roman"/>
          <w:sz w:val="24"/>
          <w:szCs w:val="24"/>
        </w:rPr>
        <w:t xml:space="preserve"> ust. 5 dotyczy sytuacji, w której początkowo </w:t>
      </w:r>
      <w:r w:rsidR="00DB02A9" w:rsidRPr="000431F7">
        <w:rPr>
          <w:rFonts w:ascii="Times New Roman" w:hAnsi="Times New Roman" w:cs="Times New Roman"/>
          <w:sz w:val="24"/>
          <w:szCs w:val="24"/>
        </w:rPr>
        <w:t>KNF</w:t>
      </w:r>
      <w:r w:rsidRPr="000431F7">
        <w:rPr>
          <w:rFonts w:ascii="Times New Roman" w:hAnsi="Times New Roman" w:cs="Times New Roman"/>
          <w:sz w:val="24"/>
          <w:szCs w:val="24"/>
        </w:rPr>
        <w:t xml:space="preserve"> zdecydowała się nie ujawniać imienia i nazwiska osoby fizycznej lub nazwy podmiotu, niemniej gdy ustały przesłanki do ich niepublikowania</w:t>
      </w:r>
      <w:r w:rsidR="00E709AB">
        <w:rPr>
          <w:rFonts w:ascii="Times New Roman" w:hAnsi="Times New Roman" w:cs="Times New Roman"/>
          <w:sz w:val="24"/>
          <w:szCs w:val="24"/>
        </w:rPr>
        <w:t>,</w:t>
      </w:r>
      <w:r w:rsidRPr="000431F7">
        <w:rPr>
          <w:rFonts w:ascii="Times New Roman" w:hAnsi="Times New Roman" w:cs="Times New Roman"/>
          <w:sz w:val="24"/>
          <w:szCs w:val="24"/>
        </w:rPr>
        <w:t xml:space="preserve"> może ona opublikować te dane. Jednak publikacja musi nastąpić najpóźniej w terminie 5 lat od dnia wydania decyzji o zastosowaniu środka, o którym mowa w art. 18z</w:t>
      </w:r>
      <w:r w:rsidR="002008CA" w:rsidRPr="000431F7">
        <w:rPr>
          <w:rFonts w:ascii="Times New Roman" w:hAnsi="Times New Roman" w:cs="Times New Roman"/>
          <w:sz w:val="24"/>
          <w:szCs w:val="24"/>
        </w:rPr>
        <w:t>z</w:t>
      </w:r>
      <w:r w:rsidRPr="000431F7">
        <w:rPr>
          <w:rFonts w:ascii="Times New Roman" w:hAnsi="Times New Roman" w:cs="Times New Roman"/>
          <w:sz w:val="24"/>
          <w:szCs w:val="24"/>
        </w:rPr>
        <w:t xml:space="preserve"> ust. 1</w:t>
      </w:r>
      <w:r w:rsidR="002008CA" w:rsidRPr="000431F7">
        <w:rPr>
          <w:rFonts w:ascii="Times New Roman" w:hAnsi="Times New Roman" w:cs="Times New Roman"/>
          <w:sz w:val="24"/>
          <w:szCs w:val="24"/>
        </w:rPr>
        <w:t>,</w:t>
      </w:r>
      <w:r w:rsidRPr="000431F7">
        <w:rPr>
          <w:rFonts w:ascii="Times New Roman" w:hAnsi="Times New Roman" w:cs="Times New Roman"/>
          <w:sz w:val="24"/>
          <w:szCs w:val="24"/>
        </w:rPr>
        <w:t xml:space="preserve"> 2</w:t>
      </w:r>
      <w:r w:rsidR="002008CA" w:rsidRPr="000431F7">
        <w:rPr>
          <w:rFonts w:ascii="Times New Roman" w:hAnsi="Times New Roman" w:cs="Times New Roman"/>
          <w:sz w:val="24"/>
          <w:szCs w:val="24"/>
        </w:rPr>
        <w:t xml:space="preserve">, 8 i 9 </w:t>
      </w:r>
      <w:r w:rsidRPr="000431F7">
        <w:rPr>
          <w:rFonts w:ascii="Times New Roman" w:hAnsi="Times New Roman" w:cs="Times New Roman"/>
          <w:sz w:val="24"/>
          <w:szCs w:val="24"/>
        </w:rPr>
        <w:t>.</w:t>
      </w:r>
    </w:p>
    <w:p w14:paraId="131E86DC" w14:textId="38A3B092" w:rsidR="00F532DE" w:rsidRPr="000431F7" w:rsidRDefault="00F532DE" w:rsidP="004742CC">
      <w:pPr>
        <w:spacing w:before="120" w:after="0" w:line="360" w:lineRule="auto"/>
        <w:jc w:val="both"/>
        <w:rPr>
          <w:rFonts w:ascii="Times New Roman" w:hAnsi="Times New Roman" w:cs="Times New Roman"/>
          <w:sz w:val="24"/>
          <w:szCs w:val="24"/>
        </w:rPr>
      </w:pPr>
      <w:r w:rsidRPr="000431F7">
        <w:rPr>
          <w:rFonts w:ascii="Times New Roman" w:hAnsi="Times New Roman" w:cs="Times New Roman"/>
          <w:sz w:val="24"/>
          <w:szCs w:val="24"/>
        </w:rPr>
        <w:t>Zgodnie z art. 18z</w:t>
      </w:r>
      <w:r w:rsidR="002008CA" w:rsidRPr="000431F7">
        <w:rPr>
          <w:rFonts w:ascii="Times New Roman" w:hAnsi="Times New Roman" w:cs="Times New Roman"/>
          <w:sz w:val="24"/>
          <w:szCs w:val="24"/>
        </w:rPr>
        <w:t>zb</w:t>
      </w:r>
      <w:r w:rsidRPr="000431F7">
        <w:rPr>
          <w:rFonts w:ascii="Times New Roman" w:hAnsi="Times New Roman" w:cs="Times New Roman"/>
          <w:sz w:val="24"/>
          <w:szCs w:val="24"/>
        </w:rPr>
        <w:t xml:space="preserve"> ust. 6 informacje o sankcjach muszą być dostępne na stronie internetowej Komisji przez co najmniej 5 lat od dnia ich udostępnienia. Wyjątek stanowią informacje dotyczące imienia i nazwiska osoby fizycznej, które są dostępne publicznie przez okres jednego roku.</w:t>
      </w:r>
    </w:p>
    <w:p w14:paraId="152861CB" w14:textId="2D2EA771" w:rsidR="00F532DE" w:rsidRPr="000431F7" w:rsidRDefault="00F532DE" w:rsidP="004742CC">
      <w:pPr>
        <w:spacing w:before="120" w:after="0" w:line="360" w:lineRule="auto"/>
        <w:jc w:val="both"/>
        <w:rPr>
          <w:rFonts w:ascii="Times New Roman" w:hAnsi="Times New Roman" w:cs="Times New Roman"/>
          <w:sz w:val="24"/>
          <w:szCs w:val="24"/>
        </w:rPr>
      </w:pPr>
      <w:r w:rsidRPr="000431F7">
        <w:rPr>
          <w:rFonts w:ascii="Times New Roman" w:hAnsi="Times New Roman" w:cs="Times New Roman"/>
          <w:sz w:val="24"/>
          <w:szCs w:val="24"/>
        </w:rPr>
        <w:t>Dodanie art. 18zz</w:t>
      </w:r>
      <w:r w:rsidR="002008CA" w:rsidRPr="000431F7">
        <w:rPr>
          <w:rFonts w:ascii="Times New Roman" w:hAnsi="Times New Roman" w:cs="Times New Roman"/>
          <w:sz w:val="24"/>
          <w:szCs w:val="24"/>
        </w:rPr>
        <w:t>c</w:t>
      </w:r>
      <w:r w:rsidRPr="000431F7">
        <w:rPr>
          <w:rFonts w:ascii="Times New Roman" w:hAnsi="Times New Roman" w:cs="Times New Roman"/>
          <w:sz w:val="24"/>
          <w:szCs w:val="24"/>
        </w:rPr>
        <w:t xml:space="preserve"> ma na celu zapewnienie stosowania art. 53 rozporządzenia 2023/2631.</w:t>
      </w:r>
      <w:r w:rsidRPr="000431F7">
        <w:rPr>
          <w:rFonts w:ascii="Times New Roman" w:hAnsi="Times New Roman" w:cs="Times New Roman"/>
          <w:b/>
          <w:bCs/>
          <w:sz w:val="24"/>
          <w:szCs w:val="24"/>
        </w:rPr>
        <w:t xml:space="preserve"> </w:t>
      </w:r>
      <w:r w:rsidRPr="000431F7">
        <w:rPr>
          <w:rFonts w:ascii="Times New Roman" w:hAnsi="Times New Roman" w:cs="Times New Roman"/>
          <w:sz w:val="24"/>
          <w:szCs w:val="24"/>
        </w:rPr>
        <w:t>Art.</w:t>
      </w:r>
      <w:r w:rsidR="00E709AB">
        <w:rPr>
          <w:rFonts w:ascii="Times New Roman" w:hAnsi="Times New Roman" w:cs="Times New Roman"/>
          <w:sz w:val="24"/>
          <w:szCs w:val="24"/>
        </w:rPr>
        <w:t> </w:t>
      </w:r>
      <w:r w:rsidRPr="000431F7">
        <w:rPr>
          <w:rFonts w:ascii="Times New Roman" w:hAnsi="Times New Roman" w:cs="Times New Roman"/>
          <w:sz w:val="24"/>
          <w:szCs w:val="24"/>
        </w:rPr>
        <w:t>18zz</w:t>
      </w:r>
      <w:r w:rsidR="002008CA" w:rsidRPr="000431F7">
        <w:rPr>
          <w:rFonts w:ascii="Times New Roman" w:hAnsi="Times New Roman" w:cs="Times New Roman"/>
          <w:sz w:val="24"/>
          <w:szCs w:val="24"/>
        </w:rPr>
        <w:t>c</w:t>
      </w:r>
      <w:r w:rsidRPr="000431F7">
        <w:rPr>
          <w:rFonts w:ascii="Times New Roman" w:hAnsi="Times New Roman" w:cs="Times New Roman"/>
          <w:sz w:val="24"/>
          <w:szCs w:val="24"/>
        </w:rPr>
        <w:t xml:space="preserve"> określa współpracę między </w:t>
      </w:r>
      <w:r w:rsidR="00DB02A9" w:rsidRPr="000431F7">
        <w:rPr>
          <w:rFonts w:ascii="Times New Roman" w:hAnsi="Times New Roman" w:cs="Times New Roman"/>
          <w:sz w:val="24"/>
          <w:szCs w:val="24"/>
        </w:rPr>
        <w:t>KNF</w:t>
      </w:r>
      <w:r w:rsidRPr="000431F7">
        <w:rPr>
          <w:rFonts w:ascii="Times New Roman" w:hAnsi="Times New Roman" w:cs="Times New Roman"/>
          <w:sz w:val="24"/>
          <w:szCs w:val="24"/>
        </w:rPr>
        <w:t xml:space="preserve"> a ESMA. Regularne raportowanie i przekazywanie informacji na temat sankcji pozwala ESMA na monitorowanie zgodności z przepisami oraz ocenę skuteczności działań podejmowanych przez krajowe organy nadzoru, co z kolei przyczynia się do stabilności i spójności rynków finansowych w całej </w:t>
      </w:r>
      <w:r w:rsidR="00DB02A9" w:rsidRPr="000431F7">
        <w:rPr>
          <w:rFonts w:ascii="Times New Roman" w:hAnsi="Times New Roman" w:cs="Times New Roman"/>
          <w:sz w:val="24"/>
          <w:szCs w:val="24"/>
        </w:rPr>
        <w:t>UE</w:t>
      </w:r>
      <w:r w:rsidRPr="000431F7">
        <w:rPr>
          <w:rFonts w:ascii="Times New Roman" w:hAnsi="Times New Roman" w:cs="Times New Roman"/>
          <w:sz w:val="24"/>
          <w:szCs w:val="24"/>
        </w:rPr>
        <w:t>.</w:t>
      </w:r>
    </w:p>
    <w:p w14:paraId="2C6B5FB7" w14:textId="7AB990CD" w:rsidR="00F532DE" w:rsidRPr="000431F7" w:rsidRDefault="00F532DE" w:rsidP="004742CC">
      <w:pPr>
        <w:spacing w:before="120" w:after="0" w:line="360" w:lineRule="auto"/>
        <w:jc w:val="both"/>
        <w:rPr>
          <w:rFonts w:ascii="Times New Roman" w:hAnsi="Times New Roman" w:cs="Times New Roman"/>
          <w:sz w:val="24"/>
          <w:szCs w:val="24"/>
        </w:rPr>
      </w:pPr>
      <w:r w:rsidRPr="000431F7">
        <w:rPr>
          <w:rFonts w:ascii="Times New Roman" w:hAnsi="Times New Roman" w:cs="Times New Roman"/>
          <w:sz w:val="24"/>
          <w:szCs w:val="24"/>
        </w:rPr>
        <w:t>Zgodnie z art. 18zz</w:t>
      </w:r>
      <w:r w:rsidR="002008CA" w:rsidRPr="000431F7">
        <w:rPr>
          <w:rFonts w:ascii="Times New Roman" w:hAnsi="Times New Roman" w:cs="Times New Roman"/>
          <w:sz w:val="24"/>
          <w:szCs w:val="24"/>
        </w:rPr>
        <w:t>c</w:t>
      </w:r>
      <w:r w:rsidRPr="000431F7">
        <w:rPr>
          <w:rFonts w:ascii="Times New Roman" w:hAnsi="Times New Roman" w:cs="Times New Roman"/>
          <w:sz w:val="24"/>
          <w:szCs w:val="24"/>
        </w:rPr>
        <w:t xml:space="preserve"> ust. 1 </w:t>
      </w:r>
      <w:r w:rsidR="00DB02A9" w:rsidRPr="000431F7">
        <w:rPr>
          <w:rFonts w:ascii="Times New Roman" w:hAnsi="Times New Roman" w:cs="Times New Roman"/>
          <w:sz w:val="24"/>
          <w:szCs w:val="24"/>
        </w:rPr>
        <w:t>KNF</w:t>
      </w:r>
      <w:r w:rsidRPr="000431F7">
        <w:rPr>
          <w:rFonts w:ascii="Times New Roman" w:hAnsi="Times New Roman" w:cs="Times New Roman"/>
          <w:sz w:val="24"/>
          <w:szCs w:val="24"/>
        </w:rPr>
        <w:t xml:space="preserve"> ma obowiązek przekazywać ESMA informacje dotyczące</w:t>
      </w:r>
      <w:r w:rsidR="00972E4B" w:rsidRPr="000431F7">
        <w:rPr>
          <w:rFonts w:ascii="Times New Roman" w:hAnsi="Times New Roman" w:cs="Times New Roman"/>
          <w:sz w:val="24"/>
          <w:szCs w:val="24"/>
        </w:rPr>
        <w:t xml:space="preserve"> </w:t>
      </w:r>
      <w:r w:rsidRPr="000431F7">
        <w:rPr>
          <w:rFonts w:ascii="Times New Roman" w:hAnsi="Times New Roman" w:cs="Times New Roman"/>
          <w:sz w:val="24"/>
          <w:szCs w:val="24"/>
        </w:rPr>
        <w:t>treści rozstrzygnięcia oraz rodzaju i charakteru naruszenia, czyli wszystkie informacje, które są publikowane zgodnie z art. 18z</w:t>
      </w:r>
      <w:r w:rsidR="002008CA" w:rsidRPr="000431F7">
        <w:rPr>
          <w:rFonts w:ascii="Times New Roman" w:hAnsi="Times New Roman" w:cs="Times New Roman"/>
          <w:sz w:val="24"/>
          <w:szCs w:val="24"/>
        </w:rPr>
        <w:t>zb</w:t>
      </w:r>
      <w:r w:rsidRPr="000431F7">
        <w:rPr>
          <w:rFonts w:ascii="Times New Roman" w:hAnsi="Times New Roman" w:cs="Times New Roman"/>
          <w:sz w:val="24"/>
          <w:szCs w:val="24"/>
        </w:rPr>
        <w:t xml:space="preserve"> ust. 1. Obejmuje to dane dotyczące sankcji nałożonych na podmioty za naruszenia przepisów, takie jak imię i nazwisko osoby fizycznej lub nazwę podmiotu oraz szczegóły dotyczące charakteru naruszenia</w:t>
      </w:r>
      <w:r w:rsidR="00F2796F" w:rsidRPr="000431F7">
        <w:rPr>
          <w:rFonts w:ascii="Times New Roman" w:hAnsi="Times New Roman" w:cs="Times New Roman"/>
          <w:sz w:val="24"/>
          <w:szCs w:val="24"/>
        </w:rPr>
        <w:t>. Informacje te będą przekazywane ESMA wraz z ich przekazaniem przez KNF do publicznej wiadomości.</w:t>
      </w:r>
    </w:p>
    <w:p w14:paraId="2E43C14E" w14:textId="62B9D93A" w:rsidR="00F532DE" w:rsidRPr="000431F7" w:rsidRDefault="00972E4B" w:rsidP="004742CC">
      <w:pPr>
        <w:spacing w:before="120" w:after="0" w:line="360" w:lineRule="auto"/>
        <w:jc w:val="both"/>
        <w:rPr>
          <w:rFonts w:ascii="Times New Roman" w:hAnsi="Times New Roman" w:cs="Times New Roman"/>
          <w:sz w:val="24"/>
          <w:szCs w:val="24"/>
        </w:rPr>
      </w:pPr>
      <w:r w:rsidRPr="000431F7">
        <w:rPr>
          <w:rFonts w:ascii="Times New Roman" w:hAnsi="Times New Roman" w:cs="Times New Roman"/>
          <w:sz w:val="24"/>
          <w:szCs w:val="24"/>
        </w:rPr>
        <w:t>Zgodnie z art. 18zz</w:t>
      </w:r>
      <w:r w:rsidR="002008CA" w:rsidRPr="000431F7">
        <w:rPr>
          <w:rFonts w:ascii="Times New Roman" w:hAnsi="Times New Roman" w:cs="Times New Roman"/>
          <w:sz w:val="24"/>
          <w:szCs w:val="24"/>
        </w:rPr>
        <w:t>c</w:t>
      </w:r>
      <w:r w:rsidRPr="000431F7">
        <w:rPr>
          <w:rFonts w:ascii="Times New Roman" w:hAnsi="Times New Roman" w:cs="Times New Roman"/>
          <w:sz w:val="24"/>
          <w:szCs w:val="24"/>
        </w:rPr>
        <w:t xml:space="preserve"> ust. </w:t>
      </w:r>
      <w:r w:rsidR="00F2796F" w:rsidRPr="000431F7">
        <w:rPr>
          <w:rFonts w:ascii="Times New Roman" w:hAnsi="Times New Roman" w:cs="Times New Roman"/>
          <w:sz w:val="24"/>
          <w:szCs w:val="24"/>
        </w:rPr>
        <w:t>2</w:t>
      </w:r>
      <w:r w:rsidR="00F2796F" w:rsidRPr="000431F7">
        <w:rPr>
          <w:rFonts w:ascii="Times New Roman" w:hAnsi="Times New Roman" w:cs="Times New Roman"/>
          <w:b/>
          <w:bCs/>
          <w:sz w:val="24"/>
          <w:szCs w:val="24"/>
        </w:rPr>
        <w:t xml:space="preserve"> </w:t>
      </w:r>
      <w:r w:rsidR="00F2796F" w:rsidRPr="000431F7">
        <w:rPr>
          <w:rFonts w:ascii="Times New Roman" w:hAnsi="Times New Roman" w:cs="Times New Roman"/>
          <w:sz w:val="24"/>
          <w:szCs w:val="24"/>
        </w:rPr>
        <w:t xml:space="preserve">KNF będzie zobowiązany przekazywać ESMA również </w:t>
      </w:r>
      <w:r w:rsidR="00F532DE" w:rsidRPr="000431F7">
        <w:rPr>
          <w:rFonts w:ascii="Times New Roman" w:hAnsi="Times New Roman" w:cs="Times New Roman"/>
          <w:sz w:val="24"/>
          <w:szCs w:val="24"/>
        </w:rPr>
        <w:t>informacje o zastosowaniu środków wymienionych w art. 18z</w:t>
      </w:r>
      <w:r w:rsidR="002008CA" w:rsidRPr="000431F7">
        <w:rPr>
          <w:rFonts w:ascii="Times New Roman" w:hAnsi="Times New Roman" w:cs="Times New Roman"/>
          <w:sz w:val="24"/>
          <w:szCs w:val="24"/>
        </w:rPr>
        <w:t>zb</w:t>
      </w:r>
      <w:r w:rsidR="00F532DE" w:rsidRPr="000431F7">
        <w:rPr>
          <w:rFonts w:ascii="Times New Roman" w:hAnsi="Times New Roman" w:cs="Times New Roman"/>
          <w:sz w:val="24"/>
          <w:szCs w:val="24"/>
        </w:rPr>
        <w:t xml:space="preserve"> ust. 3 i 4. Oznacza to, że Komisja musi także raportować, je</w:t>
      </w:r>
      <w:r w:rsidR="00E709AB">
        <w:rPr>
          <w:rFonts w:ascii="Times New Roman" w:hAnsi="Times New Roman" w:cs="Times New Roman"/>
          <w:sz w:val="24"/>
          <w:szCs w:val="24"/>
        </w:rPr>
        <w:t>że</w:t>
      </w:r>
      <w:r w:rsidR="00F532DE" w:rsidRPr="000431F7">
        <w:rPr>
          <w:rFonts w:ascii="Times New Roman" w:hAnsi="Times New Roman" w:cs="Times New Roman"/>
          <w:sz w:val="24"/>
          <w:szCs w:val="24"/>
        </w:rPr>
        <w:t>li zdecydowała się opóźnić publikację informacji o nałożonych sankcjach, zanonimizować dane dotyczące osoby fizycznej lub podmiotu bądź całkowicie zrezygnować z publikacji tych danych.</w:t>
      </w:r>
      <w:r w:rsidR="00F2796F" w:rsidRPr="000431F7">
        <w:rPr>
          <w:rFonts w:ascii="Times New Roman" w:hAnsi="Times New Roman" w:cs="Times New Roman"/>
          <w:sz w:val="24"/>
          <w:szCs w:val="24"/>
        </w:rPr>
        <w:t xml:space="preserve"> Informacje te będą przekazywane ESMA niezwłocznie po zastosowaniu tych środków.</w:t>
      </w:r>
    </w:p>
    <w:p w14:paraId="785B8E4C" w14:textId="3FEAE2BC" w:rsidR="00F532DE" w:rsidRPr="000431F7" w:rsidRDefault="00F532DE" w:rsidP="004742CC">
      <w:pPr>
        <w:spacing w:before="120" w:after="0" w:line="360" w:lineRule="auto"/>
        <w:jc w:val="both"/>
        <w:rPr>
          <w:rFonts w:ascii="Times New Roman" w:hAnsi="Times New Roman" w:cs="Times New Roman"/>
          <w:sz w:val="24"/>
          <w:szCs w:val="24"/>
        </w:rPr>
      </w:pPr>
      <w:r w:rsidRPr="000431F7">
        <w:rPr>
          <w:rFonts w:ascii="Times New Roman" w:hAnsi="Times New Roman" w:cs="Times New Roman"/>
          <w:sz w:val="24"/>
          <w:szCs w:val="24"/>
        </w:rPr>
        <w:t>Zgodnie z art. 18zz</w:t>
      </w:r>
      <w:r w:rsidR="002008CA" w:rsidRPr="000431F7">
        <w:rPr>
          <w:rFonts w:ascii="Times New Roman" w:hAnsi="Times New Roman" w:cs="Times New Roman"/>
          <w:sz w:val="24"/>
          <w:szCs w:val="24"/>
        </w:rPr>
        <w:t>c</w:t>
      </w:r>
      <w:r w:rsidRPr="000431F7">
        <w:rPr>
          <w:rFonts w:ascii="Times New Roman" w:hAnsi="Times New Roman" w:cs="Times New Roman"/>
          <w:sz w:val="24"/>
          <w:szCs w:val="24"/>
        </w:rPr>
        <w:t xml:space="preserve"> ust. </w:t>
      </w:r>
      <w:r w:rsidR="00F2796F" w:rsidRPr="000431F7">
        <w:rPr>
          <w:rFonts w:ascii="Times New Roman" w:hAnsi="Times New Roman" w:cs="Times New Roman"/>
          <w:sz w:val="24"/>
          <w:szCs w:val="24"/>
        </w:rPr>
        <w:t>3</w:t>
      </w:r>
      <w:r w:rsidRPr="000431F7">
        <w:rPr>
          <w:rFonts w:ascii="Times New Roman" w:hAnsi="Times New Roman" w:cs="Times New Roman"/>
          <w:sz w:val="24"/>
          <w:szCs w:val="24"/>
        </w:rPr>
        <w:t xml:space="preserve"> </w:t>
      </w:r>
      <w:r w:rsidR="00DB02A9" w:rsidRPr="000431F7">
        <w:rPr>
          <w:rFonts w:ascii="Times New Roman" w:hAnsi="Times New Roman" w:cs="Times New Roman"/>
          <w:sz w:val="24"/>
          <w:szCs w:val="24"/>
        </w:rPr>
        <w:t>KNF</w:t>
      </w:r>
      <w:r w:rsidRPr="000431F7">
        <w:rPr>
          <w:rFonts w:ascii="Times New Roman" w:hAnsi="Times New Roman" w:cs="Times New Roman"/>
          <w:sz w:val="24"/>
          <w:szCs w:val="24"/>
        </w:rPr>
        <w:t xml:space="preserve"> jest zobowiązana do corocznego przekazywania ESMA raportu dotyczącego przypadków zastosowania środków, o których mowa w art. 18z</w:t>
      </w:r>
      <w:r w:rsidR="002008CA" w:rsidRPr="000431F7">
        <w:rPr>
          <w:rFonts w:ascii="Times New Roman" w:hAnsi="Times New Roman" w:cs="Times New Roman"/>
          <w:sz w:val="24"/>
          <w:szCs w:val="24"/>
        </w:rPr>
        <w:t>z</w:t>
      </w:r>
      <w:r w:rsidRPr="000431F7">
        <w:rPr>
          <w:rFonts w:ascii="Times New Roman" w:hAnsi="Times New Roman" w:cs="Times New Roman"/>
          <w:sz w:val="24"/>
          <w:szCs w:val="24"/>
        </w:rPr>
        <w:t xml:space="preserve"> ust. 1</w:t>
      </w:r>
      <w:r w:rsidR="00F2796F" w:rsidRPr="000431F7">
        <w:rPr>
          <w:rFonts w:ascii="Times New Roman" w:hAnsi="Times New Roman" w:cs="Times New Roman"/>
          <w:sz w:val="24"/>
          <w:szCs w:val="24"/>
        </w:rPr>
        <w:t xml:space="preserve">, </w:t>
      </w:r>
      <w:r w:rsidRPr="000431F7">
        <w:rPr>
          <w:rFonts w:ascii="Times New Roman" w:hAnsi="Times New Roman" w:cs="Times New Roman"/>
          <w:sz w:val="24"/>
          <w:szCs w:val="24"/>
        </w:rPr>
        <w:t>2,</w:t>
      </w:r>
      <w:r w:rsidR="00F2796F" w:rsidRPr="000431F7">
        <w:rPr>
          <w:rFonts w:ascii="Times New Roman" w:hAnsi="Times New Roman" w:cs="Times New Roman"/>
          <w:sz w:val="24"/>
          <w:szCs w:val="24"/>
        </w:rPr>
        <w:t xml:space="preserve"> 8 i 9,</w:t>
      </w:r>
      <w:r w:rsidRPr="000431F7">
        <w:rPr>
          <w:rFonts w:ascii="Times New Roman" w:hAnsi="Times New Roman" w:cs="Times New Roman"/>
          <w:sz w:val="24"/>
          <w:szCs w:val="24"/>
        </w:rPr>
        <w:t xml:space="preserve"> w </w:t>
      </w:r>
      <w:r w:rsidRPr="000431F7">
        <w:rPr>
          <w:rFonts w:ascii="Times New Roman" w:hAnsi="Times New Roman" w:cs="Times New Roman"/>
          <w:sz w:val="24"/>
          <w:szCs w:val="24"/>
        </w:rPr>
        <w:lastRenderedPageBreak/>
        <w:t>poprzednim roku kalendarzowym. Informacja musi obejmować wszystkie sankcje, które zostały nałożone w okresie jednego roku, a także szczegóły dotyczące rodzaju naruszeń, na które te sankcje były odpowiedzią.</w:t>
      </w:r>
    </w:p>
    <w:p w14:paraId="6B6EE5F4" w14:textId="36401045" w:rsidR="00F532DE" w:rsidRPr="000431F7" w:rsidRDefault="00F532DE" w:rsidP="004742CC">
      <w:pPr>
        <w:spacing w:before="120" w:after="0" w:line="360" w:lineRule="auto"/>
        <w:jc w:val="both"/>
        <w:rPr>
          <w:rFonts w:ascii="Times New Roman" w:hAnsi="Times New Roman" w:cs="Times New Roman"/>
          <w:sz w:val="24"/>
          <w:szCs w:val="24"/>
        </w:rPr>
      </w:pPr>
      <w:r w:rsidRPr="000431F7">
        <w:rPr>
          <w:rFonts w:ascii="Times New Roman" w:hAnsi="Times New Roman" w:cs="Times New Roman"/>
          <w:sz w:val="24"/>
          <w:szCs w:val="24"/>
        </w:rPr>
        <w:t xml:space="preserve">Dodatkowo art. </w:t>
      </w:r>
      <w:r w:rsidR="002008CA" w:rsidRPr="000431F7">
        <w:rPr>
          <w:rFonts w:ascii="Times New Roman" w:hAnsi="Times New Roman" w:cs="Times New Roman"/>
          <w:sz w:val="24"/>
          <w:szCs w:val="24"/>
        </w:rPr>
        <w:t>8</w:t>
      </w:r>
      <w:r w:rsidRPr="000431F7">
        <w:rPr>
          <w:rFonts w:ascii="Times New Roman" w:hAnsi="Times New Roman" w:cs="Times New Roman"/>
          <w:sz w:val="24"/>
          <w:szCs w:val="24"/>
        </w:rPr>
        <w:t xml:space="preserve"> pkt </w:t>
      </w:r>
      <w:r w:rsidR="002008CA" w:rsidRPr="000431F7">
        <w:rPr>
          <w:rFonts w:ascii="Times New Roman" w:hAnsi="Times New Roman" w:cs="Times New Roman"/>
          <w:sz w:val="24"/>
          <w:szCs w:val="24"/>
        </w:rPr>
        <w:t>7</w:t>
      </w:r>
      <w:r w:rsidRPr="000431F7">
        <w:rPr>
          <w:rFonts w:ascii="Times New Roman" w:hAnsi="Times New Roman" w:cs="Times New Roman"/>
          <w:sz w:val="24"/>
          <w:szCs w:val="24"/>
        </w:rPr>
        <w:t xml:space="preserve"> i </w:t>
      </w:r>
      <w:r w:rsidR="002008CA" w:rsidRPr="000431F7">
        <w:rPr>
          <w:rFonts w:ascii="Times New Roman" w:hAnsi="Times New Roman" w:cs="Times New Roman"/>
          <w:sz w:val="24"/>
          <w:szCs w:val="24"/>
        </w:rPr>
        <w:t>8</w:t>
      </w:r>
      <w:r w:rsidRPr="000431F7">
        <w:rPr>
          <w:rFonts w:ascii="Times New Roman" w:hAnsi="Times New Roman" w:cs="Times New Roman"/>
          <w:sz w:val="24"/>
          <w:szCs w:val="24"/>
        </w:rPr>
        <w:t xml:space="preserve"> projektu wprowadza</w:t>
      </w:r>
      <w:r w:rsidR="002008CA" w:rsidRPr="000431F7">
        <w:rPr>
          <w:rFonts w:ascii="Times New Roman" w:hAnsi="Times New Roman" w:cs="Times New Roman"/>
          <w:sz w:val="24"/>
          <w:szCs w:val="24"/>
        </w:rPr>
        <w:t>ją</w:t>
      </w:r>
      <w:r w:rsidRPr="000431F7">
        <w:rPr>
          <w:rFonts w:ascii="Times New Roman" w:hAnsi="Times New Roman" w:cs="Times New Roman"/>
          <w:sz w:val="24"/>
          <w:szCs w:val="24"/>
        </w:rPr>
        <w:t xml:space="preserve"> zmiany wynikowe, które obejmują zmiany art. 19e oraz art. 20b ustawy o nadzorze nad rynkiem finansowym. </w:t>
      </w:r>
    </w:p>
    <w:p w14:paraId="0E45AA2E" w14:textId="44D8BCBB" w:rsidR="00396548" w:rsidRPr="000431F7" w:rsidRDefault="00F532DE" w:rsidP="004742CC">
      <w:pPr>
        <w:pStyle w:val="ZARTzmartartykuempunktem"/>
        <w:spacing w:before="120"/>
        <w:ind w:left="0" w:firstLine="0"/>
        <w:rPr>
          <w:rFonts w:ascii="Times New Roman" w:hAnsi="Times New Roman" w:cs="Times New Roman"/>
          <w:szCs w:val="24"/>
        </w:rPr>
      </w:pPr>
      <w:r w:rsidRPr="000431F7">
        <w:rPr>
          <w:rFonts w:ascii="Times New Roman" w:hAnsi="Times New Roman" w:cs="Times New Roman"/>
          <w:szCs w:val="24"/>
        </w:rPr>
        <w:t>Wynikiem zmian wprowadzających nowy rodzaj kontroli, określony w projektowanym art. 18z</w:t>
      </w:r>
      <w:r w:rsidR="0076706F" w:rsidRPr="000431F7">
        <w:rPr>
          <w:rFonts w:ascii="Times New Roman" w:hAnsi="Times New Roman" w:cs="Times New Roman"/>
          <w:szCs w:val="24"/>
        </w:rPr>
        <w:t>q</w:t>
      </w:r>
      <w:r w:rsidRPr="000431F7">
        <w:rPr>
          <w:rFonts w:ascii="Times New Roman" w:hAnsi="Times New Roman" w:cs="Times New Roman"/>
          <w:szCs w:val="24"/>
        </w:rPr>
        <w:t xml:space="preserve"> ustawy o nadzorze nad rynkiem finansowym, jest wprowadzenie zmian w art. 20b tej ustawy (art. </w:t>
      </w:r>
      <w:r w:rsidR="0076706F" w:rsidRPr="000431F7">
        <w:rPr>
          <w:rFonts w:ascii="Times New Roman" w:hAnsi="Times New Roman" w:cs="Times New Roman"/>
          <w:szCs w:val="24"/>
        </w:rPr>
        <w:t>8</w:t>
      </w:r>
      <w:r w:rsidRPr="000431F7">
        <w:rPr>
          <w:rFonts w:ascii="Times New Roman" w:hAnsi="Times New Roman" w:cs="Times New Roman"/>
          <w:szCs w:val="24"/>
        </w:rPr>
        <w:t xml:space="preserve"> pkt </w:t>
      </w:r>
      <w:r w:rsidR="0076706F" w:rsidRPr="000431F7">
        <w:rPr>
          <w:rFonts w:ascii="Times New Roman" w:hAnsi="Times New Roman" w:cs="Times New Roman"/>
          <w:szCs w:val="24"/>
        </w:rPr>
        <w:t>9</w:t>
      </w:r>
      <w:r w:rsidRPr="000431F7">
        <w:rPr>
          <w:rFonts w:ascii="Times New Roman" w:hAnsi="Times New Roman" w:cs="Times New Roman"/>
          <w:szCs w:val="24"/>
        </w:rPr>
        <w:t>), polegających na dodaniu art. 18z</w:t>
      </w:r>
      <w:r w:rsidR="0076706F" w:rsidRPr="000431F7">
        <w:rPr>
          <w:rFonts w:ascii="Times New Roman" w:hAnsi="Times New Roman" w:cs="Times New Roman"/>
          <w:szCs w:val="24"/>
        </w:rPr>
        <w:t>q</w:t>
      </w:r>
      <w:r w:rsidRPr="000431F7">
        <w:rPr>
          <w:rFonts w:ascii="Times New Roman" w:hAnsi="Times New Roman" w:cs="Times New Roman"/>
          <w:szCs w:val="24"/>
        </w:rPr>
        <w:t xml:space="preserve"> ust.1, w celu uzupełnienia przepisu określającego odpowiedzialność karną za utrudnianie lub udaremnianie przeprowadzenia kontroli. </w:t>
      </w:r>
      <w:r w:rsidR="000E3205" w:rsidRPr="000431F7">
        <w:rPr>
          <w:rFonts w:ascii="Times New Roman" w:hAnsi="Times New Roman" w:cs="Times New Roman"/>
          <w:szCs w:val="24"/>
        </w:rPr>
        <w:t>Przy czym zmiana art. 20b stanowi również wdrożenie art. 49 ust. 1 lit. b rozporządzenia 2023/2631, w części</w:t>
      </w:r>
      <w:r w:rsidR="007D2000">
        <w:rPr>
          <w:rFonts w:ascii="Times New Roman" w:hAnsi="Times New Roman" w:cs="Times New Roman"/>
          <w:szCs w:val="24"/>
        </w:rPr>
        <w:t>,</w:t>
      </w:r>
      <w:r w:rsidR="000E3205" w:rsidRPr="000431F7">
        <w:rPr>
          <w:rFonts w:ascii="Times New Roman" w:hAnsi="Times New Roman" w:cs="Times New Roman"/>
          <w:szCs w:val="24"/>
        </w:rPr>
        <w:t xml:space="preserve"> w której zobowiązuje on państwa członkowskie do przyznania właściwym organom uprawnienia do nakładania kar administracyjnych i podejmowania innych odpowiednich środków administracyjnych, które muszą być skuteczne, proporcjonalne i odstraszające i które są nakładane w przypadkach braku współpracy przy czynnościach kontrolnych lub niezastosowania się do czynności kontrolnych. Zgodnie z dotychczasową praktyką naruszenia tego typu przybierają formę sankcji karnych. Z kolei art.</w:t>
      </w:r>
      <w:r w:rsidR="007D2000">
        <w:rPr>
          <w:rFonts w:ascii="Times New Roman" w:hAnsi="Times New Roman" w:cs="Times New Roman"/>
          <w:szCs w:val="24"/>
        </w:rPr>
        <w:t> </w:t>
      </w:r>
      <w:r w:rsidR="000E3205" w:rsidRPr="000431F7">
        <w:rPr>
          <w:rFonts w:ascii="Times New Roman" w:hAnsi="Times New Roman" w:cs="Times New Roman"/>
          <w:szCs w:val="24"/>
        </w:rPr>
        <w:t>49 ust. 2 rozporządzenia 2023/2631 dopuszcza możliwość ustanowienia przez państwa członkowskie takiej sankcji.</w:t>
      </w:r>
    </w:p>
    <w:p w14:paraId="69B763FA" w14:textId="3EF78C21" w:rsidR="00F532DE" w:rsidRDefault="00F532DE" w:rsidP="000431F7">
      <w:pPr>
        <w:pStyle w:val="PKTpunkt"/>
        <w:spacing w:before="120"/>
        <w:ind w:left="0" w:firstLine="0"/>
        <w:rPr>
          <w:rFonts w:ascii="Times New Roman" w:hAnsi="Times New Roman" w:cs="Times New Roman"/>
          <w:szCs w:val="24"/>
        </w:rPr>
      </w:pPr>
      <w:r w:rsidRPr="000431F7">
        <w:rPr>
          <w:rFonts w:ascii="Times New Roman" w:hAnsi="Times New Roman" w:cs="Times New Roman"/>
          <w:szCs w:val="24"/>
        </w:rPr>
        <w:t xml:space="preserve">W odniesieniu do nakładanych przez KNF decyzji o karach pieniężnych należy również wskazać, że zgodnie z art. </w:t>
      </w:r>
      <w:r w:rsidR="0076706F" w:rsidRPr="000431F7">
        <w:rPr>
          <w:rFonts w:ascii="Times New Roman" w:hAnsi="Times New Roman" w:cs="Times New Roman"/>
          <w:szCs w:val="24"/>
        </w:rPr>
        <w:t>8</w:t>
      </w:r>
      <w:r w:rsidRPr="000431F7">
        <w:rPr>
          <w:rFonts w:ascii="Times New Roman" w:hAnsi="Times New Roman" w:cs="Times New Roman"/>
          <w:szCs w:val="24"/>
        </w:rPr>
        <w:t xml:space="preserve"> pkt </w:t>
      </w:r>
      <w:r w:rsidR="0076706F" w:rsidRPr="000431F7">
        <w:rPr>
          <w:rFonts w:ascii="Times New Roman" w:hAnsi="Times New Roman" w:cs="Times New Roman"/>
          <w:szCs w:val="24"/>
        </w:rPr>
        <w:t>7</w:t>
      </w:r>
      <w:r w:rsidRPr="000431F7">
        <w:rPr>
          <w:rFonts w:ascii="Times New Roman" w:hAnsi="Times New Roman" w:cs="Times New Roman"/>
          <w:szCs w:val="24"/>
        </w:rPr>
        <w:t xml:space="preserve"> projektu ustawy, który nadaje nowe brzmienie art. 19e ust. 1 i 2 ustawy o nadzorze nad rynkiem finansowym, wpływy z tytułu kar pieniężnych nakładanych przez </w:t>
      </w:r>
      <w:r w:rsidR="00DB02A9" w:rsidRPr="000431F7">
        <w:rPr>
          <w:rFonts w:ascii="Times New Roman" w:hAnsi="Times New Roman" w:cs="Times New Roman"/>
          <w:szCs w:val="24"/>
        </w:rPr>
        <w:t>KNF</w:t>
      </w:r>
      <w:r w:rsidRPr="000431F7">
        <w:rPr>
          <w:rFonts w:ascii="Times New Roman" w:hAnsi="Times New Roman" w:cs="Times New Roman"/>
          <w:szCs w:val="24"/>
        </w:rPr>
        <w:t xml:space="preserve"> na podstawie dodawanego art. 18</w:t>
      </w:r>
      <w:r w:rsidR="007611D3" w:rsidRPr="000431F7">
        <w:rPr>
          <w:rFonts w:ascii="Times New Roman" w:hAnsi="Times New Roman" w:cs="Times New Roman"/>
          <w:szCs w:val="24"/>
        </w:rPr>
        <w:t>z</w:t>
      </w:r>
      <w:r w:rsidR="0076706F" w:rsidRPr="000431F7">
        <w:rPr>
          <w:rFonts w:ascii="Times New Roman" w:hAnsi="Times New Roman" w:cs="Times New Roman"/>
          <w:szCs w:val="24"/>
        </w:rPr>
        <w:t>z</w:t>
      </w:r>
      <w:r w:rsidR="007611D3" w:rsidRPr="000431F7">
        <w:rPr>
          <w:rFonts w:ascii="Times New Roman" w:hAnsi="Times New Roman" w:cs="Times New Roman"/>
          <w:szCs w:val="24"/>
        </w:rPr>
        <w:t xml:space="preserve"> ust. 1</w:t>
      </w:r>
      <w:r w:rsidRPr="000431F7">
        <w:rPr>
          <w:rFonts w:ascii="Times New Roman" w:hAnsi="Times New Roman" w:cs="Times New Roman"/>
          <w:szCs w:val="24"/>
        </w:rPr>
        <w:t xml:space="preserve"> </w:t>
      </w:r>
      <w:r w:rsidRPr="004742CC">
        <w:rPr>
          <w:rFonts w:ascii="Times New Roman" w:hAnsi="Times New Roman" w:cs="Times New Roman"/>
          <w:szCs w:val="24"/>
        </w:rPr>
        <w:t xml:space="preserve">pkt </w:t>
      </w:r>
      <w:r w:rsidR="0076706F" w:rsidRPr="004742CC">
        <w:rPr>
          <w:rFonts w:ascii="Times New Roman" w:hAnsi="Times New Roman" w:cs="Times New Roman"/>
          <w:szCs w:val="24"/>
        </w:rPr>
        <w:t>2</w:t>
      </w:r>
      <w:r w:rsidR="007611D3" w:rsidRPr="004742CC">
        <w:rPr>
          <w:rFonts w:ascii="Times New Roman" w:hAnsi="Times New Roman" w:cs="Times New Roman"/>
          <w:szCs w:val="24"/>
        </w:rPr>
        <w:t xml:space="preserve"> i</w:t>
      </w:r>
      <w:r w:rsidRPr="004742CC">
        <w:rPr>
          <w:rFonts w:ascii="Times New Roman" w:hAnsi="Times New Roman" w:cs="Times New Roman"/>
          <w:szCs w:val="24"/>
        </w:rPr>
        <w:t xml:space="preserve"> 3 </w:t>
      </w:r>
      <w:r w:rsidR="007611D3" w:rsidRPr="004742CC">
        <w:rPr>
          <w:rFonts w:ascii="Times New Roman" w:hAnsi="Times New Roman" w:cs="Times New Roman"/>
          <w:szCs w:val="24"/>
        </w:rPr>
        <w:t>oraz</w:t>
      </w:r>
      <w:r w:rsidRPr="004742CC">
        <w:rPr>
          <w:rFonts w:ascii="Times New Roman" w:hAnsi="Times New Roman" w:cs="Times New Roman"/>
          <w:szCs w:val="24"/>
        </w:rPr>
        <w:t xml:space="preserve"> ust. 2 </w:t>
      </w:r>
      <w:r w:rsidRPr="000431F7">
        <w:rPr>
          <w:rFonts w:ascii="Times New Roman" w:hAnsi="Times New Roman" w:cs="Times New Roman"/>
          <w:szCs w:val="24"/>
        </w:rPr>
        <w:t xml:space="preserve">ustawy o nadzorze nad rynkiem finansowym stanowić będą przychód Funduszu Edukacji Finansowej, o którym mowa w ustawie o rozpatrywaniu reklamacji przez podmioty rynku finansowego, o Rzeczniku Finansowym i o Funduszu Edukacji. </w:t>
      </w:r>
    </w:p>
    <w:p w14:paraId="2AC7DB10" w14:textId="75692E4C" w:rsidR="003C1AC6" w:rsidRPr="004742CC" w:rsidRDefault="00A00123" w:rsidP="007D2000">
      <w:pPr>
        <w:pStyle w:val="ZARTzmartartykuempunktem"/>
        <w:spacing w:after="120" w:line="240" w:lineRule="auto"/>
        <w:ind w:left="0" w:firstLine="0"/>
        <w:rPr>
          <w:rFonts w:ascii="Times New Roman" w:hAnsi="Times New Roman" w:cs="Times New Roman"/>
          <w:b/>
          <w:bCs/>
          <w:szCs w:val="24"/>
        </w:rPr>
      </w:pPr>
      <w:r w:rsidRPr="000431F7">
        <w:rPr>
          <w:rStyle w:val="Ppogrubienie"/>
          <w:rFonts w:ascii="Times New Roman" w:hAnsi="Times New Roman" w:cs="Times New Roman"/>
          <w:szCs w:val="24"/>
        </w:rPr>
        <w:t>9</w:t>
      </w:r>
      <w:r w:rsidR="003C1AC6" w:rsidRPr="000431F7">
        <w:rPr>
          <w:rStyle w:val="Ppogrubienie"/>
          <w:rFonts w:ascii="Times New Roman" w:hAnsi="Times New Roman" w:cs="Times New Roman"/>
          <w:szCs w:val="24"/>
        </w:rPr>
        <w:t>.</w:t>
      </w:r>
      <w:r w:rsidR="00396548">
        <w:rPr>
          <w:rStyle w:val="Ppogrubienie"/>
          <w:rFonts w:ascii="Times New Roman" w:hAnsi="Times New Roman" w:cs="Times New Roman"/>
          <w:szCs w:val="24"/>
        </w:rPr>
        <w:tab/>
      </w:r>
      <w:r w:rsidR="007D2000">
        <w:rPr>
          <w:rStyle w:val="Ppogrubienie"/>
          <w:rFonts w:ascii="Times New Roman" w:hAnsi="Times New Roman" w:cs="Times New Roman"/>
          <w:szCs w:val="24"/>
        </w:rPr>
        <w:t>Z</w:t>
      </w:r>
      <w:r w:rsidR="003C1AC6" w:rsidRPr="000431F7">
        <w:rPr>
          <w:rStyle w:val="Ppogrubienie"/>
          <w:rFonts w:ascii="Times New Roman" w:hAnsi="Times New Roman" w:cs="Times New Roman"/>
          <w:szCs w:val="24"/>
        </w:rPr>
        <w:t>miany w ustawie</w:t>
      </w:r>
      <w:r w:rsidR="003C1AC6" w:rsidRPr="004742CC">
        <w:rPr>
          <w:rFonts w:ascii="Times New Roman" w:hAnsi="Times New Roman" w:cs="Times New Roman"/>
          <w:szCs w:val="24"/>
        </w:rPr>
        <w:t xml:space="preserve"> </w:t>
      </w:r>
      <w:r w:rsidR="003C1AC6" w:rsidRPr="004742CC">
        <w:rPr>
          <w:rFonts w:ascii="Times New Roman" w:hAnsi="Times New Roman" w:cs="Times New Roman"/>
          <w:b/>
          <w:bCs/>
          <w:szCs w:val="24"/>
        </w:rPr>
        <w:t>z dnia 5 listopada 2009 r. o spółdzielczych kasach oszczędnościowo</w:t>
      </w:r>
      <w:r w:rsidR="007D2000">
        <w:noBreakHyphen/>
      </w:r>
      <w:r w:rsidR="003C1AC6" w:rsidRPr="004742CC">
        <w:rPr>
          <w:rFonts w:ascii="Times New Roman" w:hAnsi="Times New Roman" w:cs="Times New Roman"/>
          <w:b/>
          <w:bCs/>
          <w:szCs w:val="24"/>
        </w:rPr>
        <w:t>kredytowych</w:t>
      </w:r>
      <w:r w:rsidR="0096520E" w:rsidRPr="004742CC">
        <w:rPr>
          <w:rFonts w:ascii="Times New Roman" w:hAnsi="Times New Roman" w:cs="Times New Roman"/>
          <w:b/>
          <w:bCs/>
          <w:szCs w:val="24"/>
        </w:rPr>
        <w:t xml:space="preserve"> (art. </w:t>
      </w:r>
      <w:r w:rsidRPr="004742CC">
        <w:rPr>
          <w:rFonts w:ascii="Times New Roman" w:hAnsi="Times New Roman" w:cs="Times New Roman"/>
          <w:b/>
          <w:bCs/>
          <w:szCs w:val="24"/>
        </w:rPr>
        <w:t>9</w:t>
      </w:r>
      <w:r w:rsidR="0096520E" w:rsidRPr="004742CC">
        <w:rPr>
          <w:rFonts w:ascii="Times New Roman" w:hAnsi="Times New Roman" w:cs="Times New Roman"/>
          <w:b/>
          <w:bCs/>
          <w:szCs w:val="24"/>
        </w:rPr>
        <w:t xml:space="preserve">) </w:t>
      </w:r>
    </w:p>
    <w:p w14:paraId="3CBF86D9" w14:textId="0A3275B3" w:rsidR="003C1AC6" w:rsidRPr="000431F7" w:rsidRDefault="00560E11" w:rsidP="004742CC">
      <w:pPr>
        <w:pStyle w:val="ZARTzmartartykuempunktem"/>
        <w:spacing w:before="120"/>
        <w:ind w:left="0" w:firstLine="0"/>
        <w:rPr>
          <w:rFonts w:ascii="Times New Roman" w:hAnsi="Times New Roman" w:cs="Times New Roman"/>
          <w:szCs w:val="24"/>
        </w:rPr>
      </w:pPr>
      <w:r w:rsidRPr="000431F7">
        <w:rPr>
          <w:rFonts w:ascii="Times New Roman" w:hAnsi="Times New Roman" w:cs="Times New Roman"/>
          <w:szCs w:val="24"/>
        </w:rPr>
        <w:t>Ustawodawca krajowy nie zdecydował się na wdrożenie do polskiego porządku prawnego wyłączenia, o którym mowa w art. 2 ust. 4 rozporządzenia 2022/2554, tj. wyłączenia podmiotów,</w:t>
      </w:r>
      <w:r w:rsidRPr="000431F7">
        <w:rPr>
          <w:rFonts w:ascii="Times New Roman" w:hAnsi="Times New Roman" w:cs="Times New Roman"/>
          <w:color w:val="000000"/>
          <w:szCs w:val="24"/>
          <w:shd w:val="clear" w:color="auto" w:fill="FFFFFF"/>
        </w:rPr>
        <w:t xml:space="preserve"> o których mowa w art. 2 ust. 5 pkt 4–23 dyrektywy 2013/36/UE, mających siedzibę na ich odpowiednich terytoriach. W polskim systemie prawnym ww. podmiotom odpowiadają </w:t>
      </w:r>
      <w:r w:rsidRPr="000431F7">
        <w:rPr>
          <w:rFonts w:ascii="Times New Roman" w:hAnsi="Times New Roman" w:cs="Times New Roman"/>
          <w:szCs w:val="24"/>
        </w:rPr>
        <w:t>spółdzielcze kasy oszczędnościowo-kredytowe w rozumieniu ustawy z dnia 5</w:t>
      </w:r>
      <w:r w:rsidR="007D2000">
        <w:rPr>
          <w:rFonts w:ascii="Times New Roman" w:hAnsi="Times New Roman" w:cs="Times New Roman"/>
          <w:szCs w:val="24"/>
        </w:rPr>
        <w:t> </w:t>
      </w:r>
      <w:r w:rsidRPr="000431F7">
        <w:rPr>
          <w:rFonts w:ascii="Times New Roman" w:hAnsi="Times New Roman" w:cs="Times New Roman"/>
          <w:szCs w:val="24"/>
        </w:rPr>
        <w:t>listopada 2009 r. o spółdzielczych kasach oszczędnościowo</w:t>
      </w:r>
      <w:r w:rsidR="00AC35F5">
        <w:rPr>
          <w:rFonts w:ascii="Times New Roman" w:hAnsi="Times New Roman" w:cs="Times New Roman"/>
          <w:szCs w:val="24"/>
        </w:rPr>
        <w:t>-</w:t>
      </w:r>
      <w:r w:rsidRPr="000431F7">
        <w:rPr>
          <w:rFonts w:ascii="Times New Roman" w:hAnsi="Times New Roman" w:cs="Times New Roman"/>
          <w:szCs w:val="24"/>
        </w:rPr>
        <w:t xml:space="preserve">kredytowych oraz banki </w:t>
      </w:r>
      <w:r w:rsidRPr="000431F7">
        <w:rPr>
          <w:rFonts w:ascii="Times New Roman" w:hAnsi="Times New Roman" w:cs="Times New Roman"/>
          <w:szCs w:val="24"/>
        </w:rPr>
        <w:lastRenderedPageBreak/>
        <w:t>państwowe</w:t>
      </w:r>
      <w:r w:rsidR="007D2000">
        <w:rPr>
          <w:rFonts w:ascii="Times New Roman" w:hAnsi="Times New Roman" w:cs="Times New Roman"/>
          <w:szCs w:val="24"/>
        </w:rPr>
        <w:t>,</w:t>
      </w:r>
      <w:r w:rsidRPr="000431F7">
        <w:rPr>
          <w:rFonts w:ascii="Times New Roman" w:hAnsi="Times New Roman" w:cs="Times New Roman"/>
          <w:szCs w:val="24"/>
        </w:rPr>
        <w:t xml:space="preserve"> tj. </w:t>
      </w:r>
      <w:r w:rsidR="00DB02A9" w:rsidRPr="000431F7">
        <w:rPr>
          <w:rFonts w:ascii="Times New Roman" w:hAnsi="Times New Roman" w:cs="Times New Roman"/>
          <w:szCs w:val="24"/>
        </w:rPr>
        <w:t>BGK</w:t>
      </w:r>
      <w:r w:rsidRPr="000431F7">
        <w:rPr>
          <w:rFonts w:ascii="Times New Roman" w:hAnsi="Times New Roman" w:cs="Times New Roman"/>
          <w:szCs w:val="24"/>
        </w:rPr>
        <w:t>. Z uwagi na zakres działalności ww. podmiotów wskazana jest rezygnacja z zastosowania opcji narodowe</w:t>
      </w:r>
      <w:r w:rsidR="00456ACB" w:rsidRPr="000431F7">
        <w:rPr>
          <w:rFonts w:ascii="Times New Roman" w:hAnsi="Times New Roman" w:cs="Times New Roman"/>
          <w:szCs w:val="24"/>
        </w:rPr>
        <w:t>j</w:t>
      </w:r>
      <w:r w:rsidRPr="000431F7">
        <w:rPr>
          <w:rFonts w:ascii="Times New Roman" w:hAnsi="Times New Roman" w:cs="Times New Roman"/>
          <w:szCs w:val="24"/>
        </w:rPr>
        <w:t>, o której mowa w art. 2 ust. 4.</w:t>
      </w:r>
    </w:p>
    <w:p w14:paraId="01D470AC" w14:textId="66586F43" w:rsidR="00560E11" w:rsidRPr="000431F7" w:rsidRDefault="00560E11" w:rsidP="004742CC">
      <w:pPr>
        <w:pStyle w:val="ZARTzmartartykuempunktem"/>
        <w:spacing w:before="120"/>
        <w:ind w:left="0" w:firstLine="0"/>
        <w:rPr>
          <w:rFonts w:ascii="Times New Roman" w:hAnsi="Times New Roman" w:cs="Times New Roman"/>
          <w:szCs w:val="24"/>
        </w:rPr>
      </w:pPr>
      <w:r w:rsidRPr="000431F7">
        <w:rPr>
          <w:rFonts w:ascii="Times New Roman" w:hAnsi="Times New Roman" w:cs="Times New Roman"/>
          <w:szCs w:val="24"/>
        </w:rPr>
        <w:t>Dodatkowo, w przypadku SKOK, z uwagi na zakres i wielkość prowadzonej działalności niektórych ze SKOK</w:t>
      </w:r>
      <w:r w:rsidR="00DB02A9" w:rsidRPr="000431F7">
        <w:rPr>
          <w:rFonts w:ascii="Times New Roman" w:hAnsi="Times New Roman" w:cs="Times New Roman"/>
          <w:szCs w:val="24"/>
        </w:rPr>
        <w:t>-</w:t>
      </w:r>
      <w:r w:rsidRPr="000431F7">
        <w:rPr>
          <w:rFonts w:ascii="Times New Roman" w:hAnsi="Times New Roman" w:cs="Times New Roman"/>
          <w:szCs w:val="24"/>
        </w:rPr>
        <w:t>ów projektodawca podjął decyzję o rozszerzeniu zakresu obowiązków dotyczących zarządzania ryzykiem związanym z ICT, w stosunku do obowiązków wynikających z rozporządzenia 2022/2554. W przypadku podmiotów objętych fakultatywnym wyłączeniem, o którym mowa w art. 2 ust. 4, w</w:t>
      </w:r>
      <w:r w:rsidR="0039749B" w:rsidRPr="000431F7">
        <w:rPr>
          <w:rFonts w:ascii="Times New Roman" w:hAnsi="Times New Roman" w:cs="Times New Roman"/>
          <w:szCs w:val="24"/>
        </w:rPr>
        <w:t xml:space="preserve"> zakresie zarządzania </w:t>
      </w:r>
      <w:r w:rsidR="009D2C7A" w:rsidRPr="000431F7">
        <w:rPr>
          <w:rFonts w:ascii="Times New Roman" w:hAnsi="Times New Roman" w:cs="Times New Roman"/>
          <w:szCs w:val="24"/>
        </w:rPr>
        <w:t>ryzyk</w:t>
      </w:r>
      <w:r w:rsidR="0039749B" w:rsidRPr="000431F7">
        <w:rPr>
          <w:rFonts w:ascii="Times New Roman" w:hAnsi="Times New Roman" w:cs="Times New Roman"/>
          <w:szCs w:val="24"/>
        </w:rPr>
        <w:t>iem, znajduje</w:t>
      </w:r>
      <w:r w:rsidR="00987740">
        <w:rPr>
          <w:rFonts w:ascii="Times New Roman" w:hAnsi="Times New Roman" w:cs="Times New Roman"/>
          <w:szCs w:val="24"/>
        </w:rPr>
        <w:t xml:space="preserve"> </w:t>
      </w:r>
      <w:r w:rsidR="00301519" w:rsidRPr="000431F7">
        <w:rPr>
          <w:rFonts w:ascii="Times New Roman" w:hAnsi="Times New Roman" w:cs="Times New Roman"/>
          <w:szCs w:val="24"/>
        </w:rPr>
        <w:t>zastosowanie</w:t>
      </w:r>
      <w:r w:rsidR="0039749B" w:rsidRPr="000431F7">
        <w:rPr>
          <w:rFonts w:ascii="Times New Roman" w:hAnsi="Times New Roman" w:cs="Times New Roman"/>
          <w:szCs w:val="24"/>
        </w:rPr>
        <w:t xml:space="preserve"> art. 16 tego rozporządzenia, określający uproszczone ramy zarz</w:t>
      </w:r>
      <w:r w:rsidR="00042C2D" w:rsidRPr="000431F7">
        <w:rPr>
          <w:rFonts w:ascii="Times New Roman" w:hAnsi="Times New Roman" w:cs="Times New Roman"/>
          <w:szCs w:val="24"/>
        </w:rPr>
        <w:t>ą</w:t>
      </w:r>
      <w:r w:rsidR="0039749B" w:rsidRPr="000431F7">
        <w:rPr>
          <w:rFonts w:ascii="Times New Roman" w:hAnsi="Times New Roman" w:cs="Times New Roman"/>
          <w:szCs w:val="24"/>
        </w:rPr>
        <w:t xml:space="preserve">dzania </w:t>
      </w:r>
      <w:r w:rsidR="009D2C7A" w:rsidRPr="000431F7">
        <w:rPr>
          <w:rFonts w:ascii="Times New Roman" w:hAnsi="Times New Roman" w:cs="Times New Roman"/>
          <w:szCs w:val="24"/>
        </w:rPr>
        <w:t>ryzyk</w:t>
      </w:r>
      <w:r w:rsidR="0039749B" w:rsidRPr="000431F7">
        <w:rPr>
          <w:rFonts w:ascii="Times New Roman" w:hAnsi="Times New Roman" w:cs="Times New Roman"/>
          <w:szCs w:val="24"/>
        </w:rPr>
        <w:t xml:space="preserve">iem. Należy podkreślić, że </w:t>
      </w:r>
      <w:r w:rsidR="00301519" w:rsidRPr="000431F7">
        <w:rPr>
          <w:rFonts w:ascii="Times New Roman" w:hAnsi="Times New Roman" w:cs="Times New Roman"/>
          <w:szCs w:val="24"/>
        </w:rPr>
        <w:t>podmioty wskazane w art. 16 ust. 1</w:t>
      </w:r>
      <w:r w:rsidR="004E65A7" w:rsidRPr="000431F7">
        <w:rPr>
          <w:rFonts w:ascii="Times New Roman" w:hAnsi="Times New Roman" w:cs="Times New Roman"/>
          <w:szCs w:val="24"/>
        </w:rPr>
        <w:t xml:space="preserve"> rozporządzenia 2022/2554</w:t>
      </w:r>
      <w:r w:rsidR="00301519" w:rsidRPr="000431F7">
        <w:rPr>
          <w:rFonts w:ascii="Times New Roman" w:hAnsi="Times New Roman" w:cs="Times New Roman"/>
          <w:szCs w:val="24"/>
        </w:rPr>
        <w:t xml:space="preserve"> to małe podmioty</w:t>
      </w:r>
      <w:r w:rsidR="007D2000">
        <w:rPr>
          <w:rFonts w:ascii="Times New Roman" w:hAnsi="Times New Roman" w:cs="Times New Roman"/>
          <w:szCs w:val="24"/>
        </w:rPr>
        <w:t>,</w:t>
      </w:r>
      <w:r w:rsidR="00301519" w:rsidRPr="000431F7">
        <w:rPr>
          <w:rFonts w:ascii="Times New Roman" w:hAnsi="Times New Roman" w:cs="Times New Roman"/>
          <w:szCs w:val="24"/>
        </w:rPr>
        <w:t xml:space="preserve"> np. małe instytucje pracowniczych programów emerytalnych czy małe instytucje płatnicze</w:t>
      </w:r>
      <w:r w:rsidR="007D2000">
        <w:rPr>
          <w:rFonts w:ascii="Times New Roman" w:hAnsi="Times New Roman" w:cs="Times New Roman"/>
          <w:szCs w:val="24"/>
        </w:rPr>
        <w:t>,</w:t>
      </w:r>
      <w:r w:rsidR="00301519" w:rsidRPr="000431F7">
        <w:rPr>
          <w:rFonts w:ascii="Times New Roman" w:hAnsi="Times New Roman" w:cs="Times New Roman"/>
          <w:szCs w:val="24"/>
        </w:rPr>
        <w:t xml:space="preserve"> w stosunku do których zakres obowiązków wskazanych w tym przepisie jest adekwatny. Jednak w przypadku podmiotów takich jak SKOK zakres obowiązków wskazanych w tym przepisie nie </w:t>
      </w:r>
      <w:r w:rsidR="00042C2D" w:rsidRPr="000431F7">
        <w:rPr>
          <w:rFonts w:ascii="Times New Roman" w:hAnsi="Times New Roman" w:cs="Times New Roman"/>
          <w:szCs w:val="24"/>
        </w:rPr>
        <w:t>wydaje</w:t>
      </w:r>
      <w:r w:rsidR="00301519" w:rsidRPr="000431F7">
        <w:rPr>
          <w:rFonts w:ascii="Times New Roman" w:hAnsi="Times New Roman" w:cs="Times New Roman"/>
          <w:szCs w:val="24"/>
        </w:rPr>
        <w:t xml:space="preserve"> się wystarczający dla zapewnienia skutecznego zarządzania </w:t>
      </w:r>
      <w:r w:rsidR="009D2C7A" w:rsidRPr="000431F7">
        <w:rPr>
          <w:rFonts w:ascii="Times New Roman" w:hAnsi="Times New Roman" w:cs="Times New Roman"/>
          <w:szCs w:val="24"/>
        </w:rPr>
        <w:t>ryzyk</w:t>
      </w:r>
      <w:r w:rsidR="00301519" w:rsidRPr="000431F7">
        <w:rPr>
          <w:rFonts w:ascii="Times New Roman" w:hAnsi="Times New Roman" w:cs="Times New Roman"/>
          <w:szCs w:val="24"/>
        </w:rPr>
        <w:t xml:space="preserve">iem związanym z ICT. </w:t>
      </w:r>
    </w:p>
    <w:p w14:paraId="6B3FA575" w14:textId="519E2EDA" w:rsidR="00301519" w:rsidRPr="000431F7" w:rsidRDefault="00301519" w:rsidP="004742CC">
      <w:pPr>
        <w:pStyle w:val="ZPKTzmpktartykuempunktem"/>
        <w:spacing w:before="120"/>
        <w:ind w:left="0" w:firstLine="0"/>
        <w:rPr>
          <w:rFonts w:ascii="Times New Roman" w:hAnsi="Times New Roman" w:cs="Times New Roman"/>
          <w:szCs w:val="24"/>
        </w:rPr>
      </w:pPr>
      <w:r w:rsidRPr="000431F7">
        <w:rPr>
          <w:rFonts w:ascii="Times New Roman" w:hAnsi="Times New Roman" w:cs="Times New Roman"/>
          <w:szCs w:val="24"/>
        </w:rPr>
        <w:t xml:space="preserve">Należy wskazać, </w:t>
      </w:r>
      <w:r w:rsidR="000F1B82" w:rsidRPr="000431F7">
        <w:rPr>
          <w:rFonts w:ascii="Times New Roman" w:hAnsi="Times New Roman" w:cs="Times New Roman"/>
          <w:szCs w:val="24"/>
        </w:rPr>
        <w:t xml:space="preserve">że </w:t>
      </w:r>
      <w:r w:rsidRPr="000431F7">
        <w:rPr>
          <w:rFonts w:ascii="Times New Roman" w:hAnsi="Times New Roman" w:cs="Times New Roman"/>
          <w:szCs w:val="24"/>
        </w:rPr>
        <w:t>w dotychczasowym stanie prawnym SKOK</w:t>
      </w:r>
      <w:r w:rsidR="004E65A7" w:rsidRPr="000431F7">
        <w:rPr>
          <w:rFonts w:ascii="Times New Roman" w:hAnsi="Times New Roman" w:cs="Times New Roman"/>
          <w:szCs w:val="24"/>
        </w:rPr>
        <w:t>-</w:t>
      </w:r>
      <w:r w:rsidRPr="000431F7">
        <w:rPr>
          <w:rFonts w:ascii="Times New Roman" w:hAnsi="Times New Roman" w:cs="Times New Roman"/>
          <w:szCs w:val="24"/>
        </w:rPr>
        <w:t>i są wymienione w załączniku</w:t>
      </w:r>
      <w:r w:rsidR="007D2000">
        <w:rPr>
          <w:rFonts w:ascii="Times New Roman" w:hAnsi="Times New Roman" w:cs="Times New Roman"/>
          <w:szCs w:val="24"/>
        </w:rPr>
        <w:t> </w:t>
      </w:r>
      <w:r w:rsidRPr="000431F7">
        <w:rPr>
          <w:rFonts w:ascii="Times New Roman" w:hAnsi="Times New Roman" w:cs="Times New Roman"/>
          <w:szCs w:val="24"/>
        </w:rPr>
        <w:t xml:space="preserve">1 do ustawy o krajowym systemie </w:t>
      </w:r>
      <w:proofErr w:type="spellStart"/>
      <w:r w:rsidRPr="000431F7">
        <w:rPr>
          <w:rFonts w:ascii="Times New Roman" w:hAnsi="Times New Roman" w:cs="Times New Roman"/>
          <w:szCs w:val="24"/>
        </w:rPr>
        <w:t>cyberbezpieczeństwa</w:t>
      </w:r>
      <w:proofErr w:type="spellEnd"/>
      <w:r w:rsidRPr="000431F7">
        <w:rPr>
          <w:rFonts w:ascii="Times New Roman" w:hAnsi="Times New Roman" w:cs="Times New Roman"/>
          <w:szCs w:val="24"/>
        </w:rPr>
        <w:t xml:space="preserve"> jako podmioty objęte regulacją tej ustawy. W przypadku nowej regulacji dyrektywy 2022/2555, część SKOK</w:t>
      </w:r>
      <w:r w:rsidR="004E65A7" w:rsidRPr="000431F7">
        <w:rPr>
          <w:rFonts w:ascii="Times New Roman" w:hAnsi="Times New Roman" w:cs="Times New Roman"/>
          <w:szCs w:val="24"/>
        </w:rPr>
        <w:t>-</w:t>
      </w:r>
      <w:r w:rsidRPr="000431F7">
        <w:rPr>
          <w:rFonts w:ascii="Times New Roman" w:hAnsi="Times New Roman" w:cs="Times New Roman"/>
          <w:szCs w:val="24"/>
        </w:rPr>
        <w:t xml:space="preserve">ów spełni kryteria kwalifikacji </w:t>
      </w:r>
      <w:r w:rsidR="004E65A7" w:rsidRPr="000431F7">
        <w:rPr>
          <w:rFonts w:ascii="Times New Roman" w:hAnsi="Times New Roman" w:cs="Times New Roman"/>
          <w:szCs w:val="24"/>
        </w:rPr>
        <w:t xml:space="preserve">z </w:t>
      </w:r>
      <w:r w:rsidRPr="000431F7">
        <w:rPr>
          <w:rFonts w:ascii="Times New Roman" w:hAnsi="Times New Roman" w:cs="Times New Roman"/>
          <w:szCs w:val="24"/>
        </w:rPr>
        <w:t>art. 3 tej dyrektywy, jako podmioty kluczowe</w:t>
      </w:r>
      <w:r w:rsidR="007D2000">
        <w:rPr>
          <w:rFonts w:ascii="Times New Roman" w:hAnsi="Times New Roman" w:cs="Times New Roman"/>
          <w:szCs w:val="24"/>
        </w:rPr>
        <w:t>,</w:t>
      </w:r>
      <w:r w:rsidRPr="000431F7">
        <w:rPr>
          <w:rFonts w:ascii="Times New Roman" w:hAnsi="Times New Roman" w:cs="Times New Roman"/>
          <w:szCs w:val="24"/>
        </w:rPr>
        <w:t xml:space="preserve"> tj. objęte zakresem regulacji ww. dyrekt</w:t>
      </w:r>
      <w:r w:rsidR="002441F6" w:rsidRPr="000431F7">
        <w:rPr>
          <w:rFonts w:ascii="Times New Roman" w:hAnsi="Times New Roman" w:cs="Times New Roman"/>
          <w:szCs w:val="24"/>
        </w:rPr>
        <w:t>y</w:t>
      </w:r>
      <w:r w:rsidRPr="000431F7">
        <w:rPr>
          <w:rFonts w:ascii="Times New Roman" w:hAnsi="Times New Roman" w:cs="Times New Roman"/>
          <w:szCs w:val="24"/>
        </w:rPr>
        <w:t xml:space="preserve">wy. </w:t>
      </w:r>
    </w:p>
    <w:p w14:paraId="507DEE4C" w14:textId="6D40E5A3" w:rsidR="00745C63" w:rsidRPr="000431F7" w:rsidRDefault="00301519" w:rsidP="004742CC">
      <w:pPr>
        <w:pStyle w:val="ZARTzmartartykuempunktem"/>
        <w:spacing w:before="120"/>
        <w:ind w:left="0" w:firstLine="0"/>
        <w:rPr>
          <w:rFonts w:ascii="Times New Roman" w:hAnsi="Times New Roman" w:cs="Times New Roman"/>
          <w:color w:val="000000"/>
          <w:szCs w:val="24"/>
          <w:shd w:val="clear" w:color="auto" w:fill="FFFFFF"/>
        </w:rPr>
      </w:pPr>
      <w:r w:rsidRPr="000431F7">
        <w:rPr>
          <w:rFonts w:ascii="Times New Roman" w:hAnsi="Times New Roman" w:cs="Times New Roman"/>
          <w:szCs w:val="24"/>
        </w:rPr>
        <w:t>Z uwagi na powyższe, kierując się także, jako wskazówką interpretacyjną</w:t>
      </w:r>
      <w:r w:rsidR="00517AF2">
        <w:rPr>
          <w:rFonts w:ascii="Times New Roman" w:hAnsi="Times New Roman" w:cs="Times New Roman"/>
          <w:szCs w:val="24"/>
        </w:rPr>
        <w:t>,</w:t>
      </w:r>
      <w:r w:rsidRPr="000431F7">
        <w:rPr>
          <w:rFonts w:ascii="Times New Roman" w:hAnsi="Times New Roman" w:cs="Times New Roman"/>
          <w:szCs w:val="24"/>
        </w:rPr>
        <w:t xml:space="preserve"> zasadą równoważności wymogów, wyrażoną w art. 4 dyrektywy 2022/2555, zgodnie z którą </w:t>
      </w:r>
      <w:r w:rsidRPr="000431F7">
        <w:rPr>
          <w:rFonts w:ascii="Times New Roman" w:hAnsi="Times New Roman" w:cs="Times New Roman"/>
          <w:color w:val="000000"/>
          <w:szCs w:val="24"/>
          <w:shd w:val="clear" w:color="auto" w:fill="FFFFFF"/>
        </w:rPr>
        <w:t xml:space="preserve">w przypadku braku równoważności co do skutku, wymogów w zakresie zarządzania </w:t>
      </w:r>
      <w:r w:rsidR="009D2C7A" w:rsidRPr="000431F7">
        <w:rPr>
          <w:rFonts w:ascii="Times New Roman" w:hAnsi="Times New Roman" w:cs="Times New Roman"/>
          <w:color w:val="000000"/>
          <w:szCs w:val="24"/>
          <w:shd w:val="clear" w:color="auto" w:fill="FFFFFF"/>
        </w:rPr>
        <w:t>ryzyk</w:t>
      </w:r>
      <w:r w:rsidRPr="000431F7">
        <w:rPr>
          <w:rFonts w:ascii="Times New Roman" w:hAnsi="Times New Roman" w:cs="Times New Roman"/>
          <w:color w:val="000000"/>
          <w:szCs w:val="24"/>
          <w:shd w:val="clear" w:color="auto" w:fill="FFFFFF"/>
        </w:rPr>
        <w:t>iem lub zgłaszania poważnych incydentów, określonych w sektorowych aktach prawnych U</w:t>
      </w:r>
      <w:r w:rsidR="00DB02A9" w:rsidRPr="000431F7">
        <w:rPr>
          <w:rFonts w:ascii="Times New Roman" w:hAnsi="Times New Roman" w:cs="Times New Roman"/>
          <w:color w:val="000000"/>
          <w:szCs w:val="24"/>
          <w:shd w:val="clear" w:color="auto" w:fill="FFFFFF"/>
        </w:rPr>
        <w:t>E</w:t>
      </w:r>
      <w:r w:rsidRPr="000431F7">
        <w:rPr>
          <w:rFonts w:ascii="Times New Roman" w:hAnsi="Times New Roman" w:cs="Times New Roman"/>
          <w:color w:val="000000"/>
          <w:szCs w:val="24"/>
          <w:shd w:val="clear" w:color="auto" w:fill="FFFFFF"/>
        </w:rPr>
        <w:t xml:space="preserve">, w odniesieniu do podmiotów kluczowych i ważnych w rozumieniu art. 3 tej dyrektywy, </w:t>
      </w:r>
      <w:r w:rsidR="007B137A" w:rsidRPr="000431F7">
        <w:rPr>
          <w:rFonts w:ascii="Times New Roman" w:hAnsi="Times New Roman" w:cs="Times New Roman"/>
          <w:color w:val="000000"/>
          <w:szCs w:val="24"/>
          <w:shd w:val="clear" w:color="auto" w:fill="FFFFFF"/>
        </w:rPr>
        <w:t>wskazanych w projektowanym art. 18z</w:t>
      </w:r>
      <w:r w:rsidR="00727657" w:rsidRPr="000431F7">
        <w:rPr>
          <w:rFonts w:ascii="Times New Roman" w:hAnsi="Times New Roman" w:cs="Times New Roman"/>
          <w:color w:val="000000"/>
          <w:szCs w:val="24"/>
          <w:shd w:val="clear" w:color="auto" w:fill="FFFFFF"/>
        </w:rPr>
        <w:t>g</w:t>
      </w:r>
      <w:r w:rsidR="007B137A" w:rsidRPr="000431F7">
        <w:rPr>
          <w:rFonts w:ascii="Times New Roman" w:hAnsi="Times New Roman" w:cs="Times New Roman"/>
          <w:color w:val="000000"/>
          <w:szCs w:val="24"/>
          <w:shd w:val="clear" w:color="auto" w:fill="FFFFFF"/>
        </w:rPr>
        <w:t xml:space="preserve"> ust. </w:t>
      </w:r>
      <w:r w:rsidR="00727657" w:rsidRPr="000431F7">
        <w:rPr>
          <w:rFonts w:ascii="Times New Roman" w:hAnsi="Times New Roman" w:cs="Times New Roman"/>
          <w:color w:val="000000"/>
          <w:szCs w:val="24"/>
          <w:shd w:val="clear" w:color="auto" w:fill="FFFFFF"/>
        </w:rPr>
        <w:t>4</w:t>
      </w:r>
      <w:r w:rsidR="007B137A" w:rsidRPr="000431F7">
        <w:rPr>
          <w:rFonts w:ascii="Times New Roman" w:hAnsi="Times New Roman" w:cs="Times New Roman"/>
          <w:color w:val="000000"/>
          <w:szCs w:val="24"/>
          <w:shd w:val="clear" w:color="auto" w:fill="FFFFFF"/>
        </w:rPr>
        <w:t xml:space="preserve"> i </w:t>
      </w:r>
      <w:r w:rsidR="00727657" w:rsidRPr="000431F7">
        <w:rPr>
          <w:rFonts w:ascii="Times New Roman" w:hAnsi="Times New Roman" w:cs="Times New Roman"/>
          <w:color w:val="000000"/>
          <w:szCs w:val="24"/>
          <w:shd w:val="clear" w:color="auto" w:fill="FFFFFF"/>
        </w:rPr>
        <w:t>5</w:t>
      </w:r>
      <w:r w:rsidR="007B137A" w:rsidRPr="000431F7">
        <w:rPr>
          <w:rFonts w:ascii="Times New Roman" w:hAnsi="Times New Roman" w:cs="Times New Roman"/>
          <w:color w:val="000000"/>
          <w:szCs w:val="24"/>
          <w:shd w:val="clear" w:color="auto" w:fill="FFFFFF"/>
        </w:rPr>
        <w:t xml:space="preserve"> ustawy </w:t>
      </w:r>
      <w:r w:rsidR="007B137A" w:rsidRPr="000431F7">
        <w:rPr>
          <w:rFonts w:ascii="Times New Roman" w:hAnsi="Times New Roman" w:cs="Times New Roman"/>
          <w:szCs w:val="24"/>
        </w:rPr>
        <w:t>o nadzorze nad rynkiem finansowym</w:t>
      </w:r>
      <w:r w:rsidR="007B137A" w:rsidRPr="000431F7">
        <w:rPr>
          <w:rFonts w:ascii="Times New Roman" w:hAnsi="Times New Roman" w:cs="Times New Roman"/>
          <w:color w:val="000000"/>
          <w:szCs w:val="24"/>
          <w:shd w:val="clear" w:color="auto" w:fill="FFFFFF"/>
        </w:rPr>
        <w:t>,</w:t>
      </w:r>
      <w:r w:rsidRPr="000431F7">
        <w:rPr>
          <w:rFonts w:ascii="Times New Roman" w:hAnsi="Times New Roman" w:cs="Times New Roman"/>
          <w:color w:val="000000"/>
          <w:szCs w:val="24"/>
          <w:shd w:val="clear" w:color="auto" w:fill="FFFFFF"/>
        </w:rPr>
        <w:t xml:space="preserve"> powinna znaleźć, w tym zakresie, zastosowanie regulacja dyrektywy </w:t>
      </w:r>
      <w:r w:rsidRPr="000431F7">
        <w:rPr>
          <w:rFonts w:ascii="Times New Roman" w:hAnsi="Times New Roman" w:cs="Times New Roman"/>
          <w:szCs w:val="24"/>
        </w:rPr>
        <w:t>2022/2555</w:t>
      </w:r>
      <w:r w:rsidRPr="000431F7">
        <w:rPr>
          <w:rFonts w:ascii="Times New Roman" w:hAnsi="Times New Roman" w:cs="Times New Roman"/>
          <w:color w:val="000000"/>
          <w:szCs w:val="24"/>
          <w:shd w:val="clear" w:color="auto" w:fill="FFFFFF"/>
        </w:rPr>
        <w:t xml:space="preserve">, projektodawca zdecydował się wprowadzić </w:t>
      </w:r>
      <w:r w:rsidR="004E65A7" w:rsidRPr="000431F7">
        <w:rPr>
          <w:rFonts w:ascii="Times New Roman" w:hAnsi="Times New Roman" w:cs="Times New Roman"/>
          <w:szCs w:val="24"/>
        </w:rPr>
        <w:t>p</w:t>
      </w:r>
      <w:r w:rsidRPr="000431F7">
        <w:rPr>
          <w:rFonts w:ascii="Times New Roman" w:hAnsi="Times New Roman" w:cs="Times New Roman"/>
          <w:szCs w:val="24"/>
        </w:rPr>
        <w:t>rojektowany art. 4a ustawy</w:t>
      </w:r>
      <w:r w:rsidR="0062322C" w:rsidRPr="000431F7">
        <w:rPr>
          <w:rFonts w:ascii="Times New Roman" w:hAnsi="Times New Roman" w:cs="Times New Roman"/>
          <w:szCs w:val="24"/>
        </w:rPr>
        <w:t xml:space="preserve"> z dnia 5 listopada 2009</w:t>
      </w:r>
      <w:r w:rsidR="00396548">
        <w:rPr>
          <w:rFonts w:ascii="Times New Roman" w:hAnsi="Times New Roman" w:cs="Times New Roman"/>
          <w:szCs w:val="24"/>
        </w:rPr>
        <w:t> </w:t>
      </w:r>
      <w:r w:rsidR="0062322C" w:rsidRPr="000431F7">
        <w:rPr>
          <w:rFonts w:ascii="Times New Roman" w:hAnsi="Times New Roman" w:cs="Times New Roman"/>
          <w:szCs w:val="24"/>
        </w:rPr>
        <w:t>r.</w:t>
      </w:r>
      <w:r w:rsidRPr="000431F7">
        <w:rPr>
          <w:rFonts w:ascii="Times New Roman" w:hAnsi="Times New Roman" w:cs="Times New Roman"/>
          <w:szCs w:val="24"/>
        </w:rPr>
        <w:t xml:space="preserve"> o spółdzielczych kasach oszczędnościowo-kredytowych</w:t>
      </w:r>
      <w:r w:rsidRPr="000431F7">
        <w:rPr>
          <w:rFonts w:ascii="Times New Roman" w:hAnsi="Times New Roman" w:cs="Times New Roman"/>
          <w:color w:val="000000"/>
          <w:szCs w:val="24"/>
          <w:shd w:val="clear" w:color="auto" w:fill="FFFFFF"/>
        </w:rPr>
        <w:t>, który rozszerzy zakres obowiązków niektórych SKOK</w:t>
      </w:r>
      <w:r w:rsidR="00DB02A9" w:rsidRPr="000431F7">
        <w:rPr>
          <w:rFonts w:ascii="Times New Roman" w:hAnsi="Times New Roman" w:cs="Times New Roman"/>
          <w:color w:val="000000"/>
          <w:szCs w:val="24"/>
          <w:shd w:val="clear" w:color="auto" w:fill="FFFFFF"/>
        </w:rPr>
        <w:t>-ów</w:t>
      </w:r>
      <w:r w:rsidRPr="000431F7">
        <w:rPr>
          <w:rFonts w:ascii="Times New Roman" w:hAnsi="Times New Roman" w:cs="Times New Roman"/>
          <w:color w:val="000000"/>
          <w:szCs w:val="24"/>
          <w:shd w:val="clear" w:color="auto" w:fill="FFFFFF"/>
        </w:rPr>
        <w:t xml:space="preserve">, w stosunku do obowiązków wynikających z rozporządzenia 2022/2554 i wskaże na obowiązek stosowania </w:t>
      </w:r>
      <w:r w:rsidR="00D900E6" w:rsidRPr="000431F7">
        <w:rPr>
          <w:rFonts w:ascii="Times New Roman" w:hAnsi="Times New Roman" w:cs="Times New Roman"/>
          <w:color w:val="000000"/>
          <w:szCs w:val="24"/>
          <w:shd w:val="clear" w:color="auto" w:fill="FFFFFF"/>
        </w:rPr>
        <w:t xml:space="preserve">jego </w:t>
      </w:r>
      <w:r w:rsidRPr="000431F7">
        <w:rPr>
          <w:rFonts w:ascii="Times New Roman" w:hAnsi="Times New Roman" w:cs="Times New Roman"/>
          <w:color w:val="000000"/>
          <w:szCs w:val="24"/>
          <w:shd w:val="clear" w:color="auto" w:fill="FFFFFF"/>
        </w:rPr>
        <w:t>postanowień</w:t>
      </w:r>
      <w:r w:rsidR="00A00123" w:rsidRPr="000431F7">
        <w:rPr>
          <w:rFonts w:ascii="Times New Roman" w:hAnsi="Times New Roman" w:cs="Times New Roman"/>
          <w:color w:val="000000"/>
          <w:szCs w:val="24"/>
          <w:shd w:val="clear" w:color="auto" w:fill="FFFFFF"/>
        </w:rPr>
        <w:t>.</w:t>
      </w:r>
    </w:p>
    <w:p w14:paraId="7834AE87" w14:textId="3094F227" w:rsidR="007B137A" w:rsidRPr="000431F7" w:rsidRDefault="00745C63" w:rsidP="004742CC">
      <w:pPr>
        <w:pStyle w:val="ZUSTzmustartykuempunktem"/>
        <w:spacing w:before="120"/>
        <w:ind w:left="0" w:firstLine="0"/>
        <w:rPr>
          <w:rFonts w:ascii="Times New Roman" w:hAnsi="Times New Roman" w:cs="Times New Roman"/>
          <w:szCs w:val="24"/>
        </w:rPr>
      </w:pPr>
      <w:r w:rsidRPr="000431F7">
        <w:rPr>
          <w:rFonts w:ascii="Times New Roman" w:hAnsi="Times New Roman" w:cs="Times New Roman"/>
          <w:color w:val="000000"/>
          <w:szCs w:val="24"/>
          <w:shd w:val="clear" w:color="auto" w:fill="FFFFFF"/>
        </w:rPr>
        <w:t xml:space="preserve">Projektowany art. 4a wskazuje, że </w:t>
      </w:r>
      <w:r w:rsidR="003D335A" w:rsidRPr="000431F7">
        <w:rPr>
          <w:rFonts w:ascii="Times New Roman" w:hAnsi="Times New Roman" w:cs="Times New Roman"/>
          <w:szCs w:val="24"/>
        </w:rPr>
        <w:t xml:space="preserve">Kasy i Kasa Krajowa są obowiązane do stosowania rozporządzenia Parlamentu Europejskiego i Rady (UE) 2022/2554. Zgodnie z </w:t>
      </w:r>
      <w:r w:rsidR="00727657" w:rsidRPr="000431F7">
        <w:rPr>
          <w:rFonts w:ascii="Times New Roman" w:hAnsi="Times New Roman" w:cs="Times New Roman"/>
          <w:szCs w:val="24"/>
        </w:rPr>
        <w:t xml:space="preserve">tym przepisem </w:t>
      </w:r>
      <w:r w:rsidR="003D335A" w:rsidRPr="000431F7">
        <w:rPr>
          <w:rFonts w:ascii="Times New Roman" w:hAnsi="Times New Roman" w:cs="Times New Roman"/>
          <w:szCs w:val="24"/>
        </w:rPr>
        <w:t>Kasy i Kasa Krajowa, która jest podmiotem kluczowym</w:t>
      </w:r>
      <w:r w:rsidR="007B137A" w:rsidRPr="000431F7">
        <w:rPr>
          <w:rFonts w:ascii="Times New Roman" w:hAnsi="Times New Roman" w:cs="Times New Roman"/>
          <w:szCs w:val="24"/>
        </w:rPr>
        <w:t xml:space="preserve"> </w:t>
      </w:r>
      <w:r w:rsidR="003D335A" w:rsidRPr="000431F7">
        <w:rPr>
          <w:rFonts w:ascii="Times New Roman" w:hAnsi="Times New Roman" w:cs="Times New Roman"/>
          <w:szCs w:val="24"/>
        </w:rPr>
        <w:t>lub podmiotem ważnym,</w:t>
      </w:r>
      <w:r w:rsidR="007B137A" w:rsidRPr="000431F7">
        <w:rPr>
          <w:rFonts w:ascii="Times New Roman" w:hAnsi="Times New Roman" w:cs="Times New Roman"/>
          <w:szCs w:val="24"/>
        </w:rPr>
        <w:t xml:space="preserve"> zgodnie z </w:t>
      </w:r>
      <w:r w:rsidR="007B137A" w:rsidRPr="000431F7">
        <w:rPr>
          <w:rFonts w:ascii="Times New Roman" w:hAnsi="Times New Roman" w:cs="Times New Roman"/>
          <w:szCs w:val="24"/>
        </w:rPr>
        <w:lastRenderedPageBreak/>
        <w:t>kryteriami wskazanymi w dyrektywie 2022/2555,</w:t>
      </w:r>
      <w:r w:rsidR="003D335A" w:rsidRPr="000431F7">
        <w:rPr>
          <w:rFonts w:ascii="Times New Roman" w:hAnsi="Times New Roman" w:cs="Times New Roman"/>
          <w:szCs w:val="24"/>
        </w:rPr>
        <w:t xml:space="preserve"> jest obowiązana do stosowania rozporządzenia, z wyłączeniem art. 16 tego rozporządzenia. </w:t>
      </w:r>
    </w:p>
    <w:p w14:paraId="6F90B3DA" w14:textId="6DB67CC6" w:rsidR="00A00123" w:rsidRPr="004742CC" w:rsidRDefault="003D335A" w:rsidP="004742CC">
      <w:pPr>
        <w:pStyle w:val="ZUSTzmustartykuempunktem"/>
        <w:spacing w:before="120"/>
        <w:ind w:left="0" w:firstLine="0"/>
        <w:rPr>
          <w:rStyle w:val="Ppogrubienie"/>
          <w:rFonts w:ascii="Times New Roman" w:hAnsi="Times New Roman" w:cs="Times New Roman"/>
          <w:b w:val="0"/>
          <w:szCs w:val="24"/>
        </w:rPr>
      </w:pPr>
      <w:r w:rsidRPr="000431F7">
        <w:rPr>
          <w:rFonts w:ascii="Times New Roman" w:hAnsi="Times New Roman" w:cs="Times New Roman"/>
          <w:szCs w:val="24"/>
        </w:rPr>
        <w:t xml:space="preserve">Ponadto do nadzoru w </w:t>
      </w:r>
      <w:r w:rsidR="00D543D0" w:rsidRPr="000431F7">
        <w:rPr>
          <w:rFonts w:ascii="Times New Roman" w:hAnsi="Times New Roman" w:cs="Times New Roman"/>
          <w:szCs w:val="24"/>
        </w:rPr>
        <w:t xml:space="preserve">tym </w:t>
      </w:r>
      <w:r w:rsidRPr="000431F7">
        <w:rPr>
          <w:rFonts w:ascii="Times New Roman" w:hAnsi="Times New Roman" w:cs="Times New Roman"/>
          <w:szCs w:val="24"/>
        </w:rPr>
        <w:t>zakresie stosuje się przepisy ustawy z dnia 21 lipca 2006 r. o nadzorze nad rynkiem finansowym dotyczące</w:t>
      </w:r>
      <w:r w:rsidR="00456ACB" w:rsidRPr="000431F7">
        <w:rPr>
          <w:rFonts w:ascii="Times New Roman" w:hAnsi="Times New Roman" w:cs="Times New Roman"/>
          <w:szCs w:val="24"/>
        </w:rPr>
        <w:t xml:space="preserve"> </w:t>
      </w:r>
      <w:r w:rsidR="00727657" w:rsidRPr="000431F7">
        <w:rPr>
          <w:rFonts w:ascii="Times New Roman" w:hAnsi="Times New Roman" w:cs="Times New Roman"/>
          <w:szCs w:val="24"/>
        </w:rPr>
        <w:t>nadzoru nad przestrzeganiem przepisów</w:t>
      </w:r>
      <w:r w:rsidR="00727657" w:rsidRPr="000431F7" w:rsidDel="00727657">
        <w:rPr>
          <w:rFonts w:ascii="Times New Roman" w:hAnsi="Times New Roman" w:cs="Times New Roman"/>
          <w:szCs w:val="24"/>
        </w:rPr>
        <w:t xml:space="preserve"> </w:t>
      </w:r>
      <w:r w:rsidR="00727657" w:rsidRPr="000431F7">
        <w:rPr>
          <w:rFonts w:ascii="Times New Roman" w:hAnsi="Times New Roman" w:cs="Times New Roman"/>
          <w:szCs w:val="24"/>
        </w:rPr>
        <w:t>rozporządzenia 2022/2554</w:t>
      </w:r>
      <w:r w:rsidRPr="004742CC">
        <w:rPr>
          <w:rFonts w:ascii="Times New Roman" w:hAnsi="Times New Roman" w:cs="Times New Roman"/>
          <w:szCs w:val="24"/>
        </w:rPr>
        <w:t>.</w:t>
      </w:r>
    </w:p>
    <w:p w14:paraId="079A0D3C" w14:textId="2C86F4CC" w:rsidR="002854F8" w:rsidRPr="000431F7" w:rsidRDefault="00A00123" w:rsidP="004742CC">
      <w:pPr>
        <w:pStyle w:val="ARTartustawynprozporzdzenia"/>
        <w:tabs>
          <w:tab w:val="left" w:pos="426"/>
        </w:tabs>
        <w:ind w:firstLine="0"/>
        <w:rPr>
          <w:rStyle w:val="Ppogrubienie"/>
          <w:rFonts w:ascii="Times New Roman" w:hAnsi="Times New Roman" w:cs="Times New Roman"/>
          <w:b w:val="0"/>
          <w:bCs/>
          <w:szCs w:val="24"/>
        </w:rPr>
      </w:pPr>
      <w:r w:rsidRPr="000431F7">
        <w:rPr>
          <w:rStyle w:val="Ppogrubienie"/>
          <w:rFonts w:ascii="Times New Roman" w:hAnsi="Times New Roman" w:cs="Times New Roman"/>
          <w:szCs w:val="24"/>
        </w:rPr>
        <w:t>10</w:t>
      </w:r>
      <w:r w:rsidR="000C5658" w:rsidRPr="000431F7">
        <w:rPr>
          <w:rStyle w:val="Ppogrubienie"/>
          <w:rFonts w:ascii="Times New Roman" w:hAnsi="Times New Roman" w:cs="Times New Roman"/>
          <w:szCs w:val="24"/>
        </w:rPr>
        <w:t>.</w:t>
      </w:r>
      <w:r w:rsidR="00396548">
        <w:rPr>
          <w:rStyle w:val="Ppogrubienie"/>
          <w:rFonts w:ascii="Times New Roman" w:hAnsi="Times New Roman" w:cs="Times New Roman"/>
          <w:szCs w:val="24"/>
        </w:rPr>
        <w:tab/>
      </w:r>
      <w:r w:rsidR="00517AF2">
        <w:rPr>
          <w:rStyle w:val="Ppogrubienie"/>
          <w:rFonts w:ascii="Times New Roman" w:hAnsi="Times New Roman" w:cs="Times New Roman"/>
          <w:szCs w:val="24"/>
        </w:rPr>
        <w:t>Z</w:t>
      </w:r>
      <w:r w:rsidR="002854F8" w:rsidRPr="000431F7">
        <w:rPr>
          <w:rStyle w:val="Ppogrubienie"/>
          <w:rFonts w:ascii="Times New Roman" w:hAnsi="Times New Roman" w:cs="Times New Roman"/>
          <w:szCs w:val="24"/>
        </w:rPr>
        <w:t xml:space="preserve">miany w ustawie </w:t>
      </w:r>
      <w:r w:rsidR="002854F8" w:rsidRPr="000431F7">
        <w:rPr>
          <w:rFonts w:ascii="Times New Roman" w:hAnsi="Times New Roman" w:cs="Times New Roman"/>
          <w:b/>
          <w:bCs/>
          <w:szCs w:val="24"/>
        </w:rPr>
        <w:t xml:space="preserve">z dnia 19 sierpnia 2011 </w:t>
      </w:r>
      <w:r w:rsidR="00C33B77" w:rsidRPr="000431F7">
        <w:rPr>
          <w:rFonts w:ascii="Times New Roman" w:hAnsi="Times New Roman" w:cs="Times New Roman"/>
          <w:b/>
          <w:bCs/>
          <w:szCs w:val="24"/>
        </w:rPr>
        <w:t xml:space="preserve">r. </w:t>
      </w:r>
      <w:r w:rsidR="002854F8" w:rsidRPr="000431F7">
        <w:rPr>
          <w:rFonts w:ascii="Times New Roman" w:hAnsi="Times New Roman" w:cs="Times New Roman"/>
          <w:b/>
          <w:bCs/>
          <w:szCs w:val="24"/>
        </w:rPr>
        <w:t>o usługach płatniczych</w:t>
      </w:r>
      <w:r w:rsidR="00B41D91" w:rsidRPr="000431F7">
        <w:rPr>
          <w:rFonts w:ascii="Times New Roman" w:hAnsi="Times New Roman" w:cs="Times New Roman"/>
          <w:b/>
          <w:bCs/>
          <w:szCs w:val="24"/>
        </w:rPr>
        <w:t xml:space="preserve"> (art. </w:t>
      </w:r>
      <w:r w:rsidRPr="000431F7">
        <w:rPr>
          <w:rFonts w:ascii="Times New Roman" w:hAnsi="Times New Roman" w:cs="Times New Roman"/>
          <w:b/>
          <w:bCs/>
          <w:szCs w:val="24"/>
        </w:rPr>
        <w:t>10</w:t>
      </w:r>
      <w:r w:rsidR="00B41D91" w:rsidRPr="000431F7">
        <w:rPr>
          <w:rFonts w:ascii="Times New Roman" w:hAnsi="Times New Roman" w:cs="Times New Roman"/>
          <w:b/>
          <w:bCs/>
          <w:szCs w:val="24"/>
        </w:rPr>
        <w:t xml:space="preserve">) </w:t>
      </w:r>
    </w:p>
    <w:p w14:paraId="4FCFD4D0" w14:textId="1F8799FD" w:rsidR="00BB10B7" w:rsidRPr="000431F7" w:rsidRDefault="002854F8" w:rsidP="004742CC">
      <w:pPr>
        <w:pStyle w:val="ARTartustawynprozporzdzenia"/>
        <w:ind w:firstLine="0"/>
        <w:rPr>
          <w:rFonts w:ascii="Times New Roman" w:hAnsi="Times New Roman" w:cs="Times New Roman"/>
          <w:szCs w:val="24"/>
        </w:rPr>
      </w:pPr>
      <w:r w:rsidRPr="000431F7">
        <w:rPr>
          <w:rFonts w:ascii="Times New Roman" w:hAnsi="Times New Roman" w:cs="Times New Roman"/>
          <w:b/>
          <w:bCs/>
          <w:szCs w:val="24"/>
        </w:rPr>
        <w:t xml:space="preserve">Art. </w:t>
      </w:r>
      <w:r w:rsidR="00A00123" w:rsidRPr="000431F7">
        <w:rPr>
          <w:rFonts w:ascii="Times New Roman" w:hAnsi="Times New Roman" w:cs="Times New Roman"/>
          <w:b/>
          <w:bCs/>
          <w:szCs w:val="24"/>
        </w:rPr>
        <w:t>10</w:t>
      </w:r>
      <w:r w:rsidRPr="000431F7">
        <w:rPr>
          <w:rFonts w:ascii="Times New Roman" w:hAnsi="Times New Roman" w:cs="Times New Roman"/>
          <w:szCs w:val="24"/>
        </w:rPr>
        <w:t xml:space="preserve"> wprowadza zmiany do ustawy z dnia 19 sierpnia 2011 </w:t>
      </w:r>
      <w:r w:rsidR="00667C49" w:rsidRPr="000431F7">
        <w:rPr>
          <w:rFonts w:ascii="Times New Roman" w:hAnsi="Times New Roman" w:cs="Times New Roman"/>
          <w:szCs w:val="24"/>
        </w:rPr>
        <w:t xml:space="preserve">r. </w:t>
      </w:r>
      <w:r w:rsidRPr="000431F7">
        <w:rPr>
          <w:rFonts w:ascii="Times New Roman" w:hAnsi="Times New Roman" w:cs="Times New Roman"/>
          <w:szCs w:val="24"/>
        </w:rPr>
        <w:t>o usługach płatniczych, mające na celu transpozycję przepisów dyrektywy 2022/2556</w:t>
      </w:r>
      <w:r w:rsidR="00FA216D" w:rsidRPr="000431F7">
        <w:rPr>
          <w:rFonts w:ascii="Times New Roman" w:hAnsi="Times New Roman" w:cs="Times New Roman"/>
          <w:szCs w:val="24"/>
        </w:rPr>
        <w:t>,</w:t>
      </w:r>
      <w:r w:rsidRPr="000431F7">
        <w:rPr>
          <w:rFonts w:ascii="Times New Roman" w:hAnsi="Times New Roman" w:cs="Times New Roman"/>
          <w:szCs w:val="24"/>
        </w:rPr>
        <w:t xml:space="preserve"> w zakresie implementacji art. 7 tej dyrektywy</w:t>
      </w:r>
      <w:r w:rsidR="00FF73B0" w:rsidRPr="000431F7">
        <w:rPr>
          <w:rFonts w:ascii="Times New Roman" w:hAnsi="Times New Roman" w:cs="Times New Roman"/>
          <w:szCs w:val="24"/>
        </w:rPr>
        <w:t>,</w:t>
      </w:r>
      <w:r w:rsidR="004214C5" w:rsidRPr="000431F7">
        <w:rPr>
          <w:rFonts w:ascii="Times New Roman" w:hAnsi="Times New Roman" w:cs="Times New Roman"/>
          <w:szCs w:val="24"/>
        </w:rPr>
        <w:t xml:space="preserve"> </w:t>
      </w:r>
      <w:r w:rsidRPr="000431F7">
        <w:rPr>
          <w:rFonts w:ascii="Times New Roman" w:hAnsi="Times New Roman" w:cs="Times New Roman"/>
          <w:szCs w:val="24"/>
        </w:rPr>
        <w:t xml:space="preserve">wprowadzającego zmiany </w:t>
      </w:r>
      <w:r w:rsidR="00042C2D" w:rsidRPr="000431F7">
        <w:rPr>
          <w:rFonts w:ascii="Times New Roman" w:hAnsi="Times New Roman" w:cs="Times New Roman"/>
          <w:szCs w:val="24"/>
        </w:rPr>
        <w:t>w</w:t>
      </w:r>
      <w:r w:rsidRPr="000431F7">
        <w:rPr>
          <w:rFonts w:ascii="Times New Roman" w:hAnsi="Times New Roman" w:cs="Times New Roman"/>
          <w:szCs w:val="24"/>
        </w:rPr>
        <w:t xml:space="preserve"> dyrektyw</w:t>
      </w:r>
      <w:r w:rsidR="00042C2D" w:rsidRPr="000431F7">
        <w:rPr>
          <w:rFonts w:ascii="Times New Roman" w:hAnsi="Times New Roman" w:cs="Times New Roman"/>
          <w:szCs w:val="24"/>
        </w:rPr>
        <w:t>ie</w:t>
      </w:r>
      <w:r w:rsidRPr="000431F7">
        <w:rPr>
          <w:rFonts w:ascii="Times New Roman" w:hAnsi="Times New Roman" w:cs="Times New Roman"/>
          <w:szCs w:val="24"/>
        </w:rPr>
        <w:t xml:space="preserve"> 2015/2366</w:t>
      </w:r>
      <w:r w:rsidR="000C5658" w:rsidRPr="004742CC">
        <w:rPr>
          <w:rFonts w:ascii="Times New Roman" w:hAnsi="Times New Roman" w:cs="Times New Roman"/>
          <w:b/>
          <w:bCs/>
          <w:color w:val="333333"/>
          <w:szCs w:val="24"/>
          <w:shd w:val="clear" w:color="auto" w:fill="FFFFFF"/>
        </w:rPr>
        <w:t xml:space="preserve"> </w:t>
      </w:r>
      <w:r w:rsidR="000C5658" w:rsidRPr="000431F7">
        <w:rPr>
          <w:rFonts w:ascii="Times New Roman" w:hAnsi="Times New Roman" w:cs="Times New Roman"/>
          <w:color w:val="333333"/>
          <w:szCs w:val="24"/>
          <w:shd w:val="clear" w:color="auto" w:fill="FFFFFF"/>
        </w:rPr>
        <w:t>Parlamentu Europejskiego i</w:t>
      </w:r>
      <w:r w:rsidR="002562D9" w:rsidRPr="000431F7">
        <w:rPr>
          <w:rFonts w:ascii="Times New Roman" w:hAnsi="Times New Roman" w:cs="Times New Roman"/>
          <w:color w:val="333333"/>
          <w:szCs w:val="24"/>
          <w:shd w:val="clear" w:color="auto" w:fill="FFFFFF"/>
        </w:rPr>
        <w:t> </w:t>
      </w:r>
      <w:r w:rsidR="000C5658" w:rsidRPr="000431F7">
        <w:rPr>
          <w:rFonts w:ascii="Times New Roman" w:hAnsi="Times New Roman" w:cs="Times New Roman"/>
          <w:color w:val="333333"/>
          <w:szCs w:val="24"/>
          <w:shd w:val="clear" w:color="auto" w:fill="FFFFFF"/>
        </w:rPr>
        <w:t xml:space="preserve">Rady 2015/2366 z dnia 25 listopada 2015 r. </w:t>
      </w:r>
      <w:r w:rsidRPr="000431F7">
        <w:rPr>
          <w:rFonts w:ascii="Times New Roman" w:hAnsi="Times New Roman" w:cs="Times New Roman"/>
          <w:color w:val="000000"/>
          <w:szCs w:val="24"/>
          <w:shd w:val="clear" w:color="auto" w:fill="FFFFFF"/>
        </w:rPr>
        <w:t>w sprawie usług płatniczych w ramach rynku wewnętrznego zmieniającej dyrektywy 2002/65/WE, 2009/110/WE, 2013/36/UE i</w:t>
      </w:r>
      <w:r w:rsidR="002562D9" w:rsidRPr="000431F7">
        <w:rPr>
          <w:rFonts w:ascii="Times New Roman" w:hAnsi="Times New Roman" w:cs="Times New Roman"/>
          <w:color w:val="000000"/>
          <w:szCs w:val="24"/>
          <w:shd w:val="clear" w:color="auto" w:fill="FFFFFF"/>
        </w:rPr>
        <w:t> </w:t>
      </w:r>
      <w:r w:rsidRPr="000431F7">
        <w:rPr>
          <w:rFonts w:ascii="Times New Roman" w:hAnsi="Times New Roman" w:cs="Times New Roman"/>
          <w:color w:val="000000"/>
          <w:szCs w:val="24"/>
          <w:shd w:val="clear" w:color="auto" w:fill="FFFFFF"/>
        </w:rPr>
        <w:t>rozporządzenie (UE) nr 1093/2010 oraz uchylając</w:t>
      </w:r>
      <w:r w:rsidR="000F6F8A" w:rsidRPr="000431F7">
        <w:rPr>
          <w:rFonts w:ascii="Times New Roman" w:hAnsi="Times New Roman" w:cs="Times New Roman"/>
          <w:color w:val="000000"/>
          <w:szCs w:val="24"/>
          <w:shd w:val="clear" w:color="auto" w:fill="FFFFFF"/>
        </w:rPr>
        <w:t>ej</w:t>
      </w:r>
      <w:r w:rsidRPr="000431F7">
        <w:rPr>
          <w:rFonts w:ascii="Times New Roman" w:hAnsi="Times New Roman" w:cs="Times New Roman"/>
          <w:color w:val="000000"/>
          <w:szCs w:val="24"/>
          <w:shd w:val="clear" w:color="auto" w:fill="FFFFFF"/>
        </w:rPr>
        <w:t xml:space="preserve"> dyrektywę 2007/64/WE</w:t>
      </w:r>
      <w:r w:rsidR="00DB02A9" w:rsidRPr="000431F7">
        <w:rPr>
          <w:rFonts w:ascii="Times New Roman" w:hAnsi="Times New Roman" w:cs="Times New Roman"/>
          <w:szCs w:val="24"/>
        </w:rPr>
        <w:t xml:space="preserve">, </w:t>
      </w:r>
      <w:r w:rsidR="003B7139" w:rsidRPr="000431F7">
        <w:rPr>
          <w:rFonts w:ascii="Times New Roman" w:hAnsi="Times New Roman" w:cs="Times New Roman"/>
          <w:szCs w:val="24"/>
        </w:rPr>
        <w:t>zwanej dalej „</w:t>
      </w:r>
      <w:r w:rsidRPr="000431F7">
        <w:rPr>
          <w:rFonts w:ascii="Times New Roman" w:hAnsi="Times New Roman" w:cs="Times New Roman"/>
          <w:szCs w:val="24"/>
        </w:rPr>
        <w:t>dyrektyw</w:t>
      </w:r>
      <w:r w:rsidR="003B7139" w:rsidRPr="000431F7">
        <w:rPr>
          <w:rFonts w:ascii="Times New Roman" w:hAnsi="Times New Roman" w:cs="Times New Roman"/>
          <w:szCs w:val="24"/>
        </w:rPr>
        <w:t>ą</w:t>
      </w:r>
      <w:r w:rsidRPr="000431F7">
        <w:rPr>
          <w:rFonts w:ascii="Times New Roman" w:hAnsi="Times New Roman" w:cs="Times New Roman"/>
          <w:szCs w:val="24"/>
        </w:rPr>
        <w:t xml:space="preserve"> PSD II</w:t>
      </w:r>
      <w:r w:rsidR="003B7139" w:rsidRPr="000431F7">
        <w:rPr>
          <w:rFonts w:ascii="Times New Roman" w:hAnsi="Times New Roman" w:cs="Times New Roman"/>
          <w:szCs w:val="24"/>
        </w:rPr>
        <w:t>”</w:t>
      </w:r>
      <w:r w:rsidRPr="000431F7">
        <w:rPr>
          <w:rFonts w:ascii="Times New Roman" w:hAnsi="Times New Roman" w:cs="Times New Roman"/>
          <w:szCs w:val="24"/>
        </w:rPr>
        <w:t>. Wprowadzane do ustawy zmiany obejmują:</w:t>
      </w:r>
    </w:p>
    <w:p w14:paraId="4093D9E9" w14:textId="62099C5D" w:rsidR="00097D03" w:rsidRPr="000431F7" w:rsidRDefault="00097D03" w:rsidP="004742CC">
      <w:pPr>
        <w:spacing w:before="120" w:after="0" w:line="360" w:lineRule="auto"/>
        <w:ind w:left="426" w:hanging="426"/>
        <w:jc w:val="both"/>
        <w:rPr>
          <w:rFonts w:ascii="Times New Roman" w:hAnsi="Times New Roman" w:cs="Times New Roman"/>
          <w:sz w:val="24"/>
          <w:szCs w:val="24"/>
        </w:rPr>
      </w:pPr>
      <w:r w:rsidRPr="000431F7">
        <w:rPr>
          <w:rFonts w:ascii="Times New Roman" w:hAnsi="Times New Roman" w:cs="Times New Roman"/>
          <w:sz w:val="24"/>
          <w:szCs w:val="24"/>
        </w:rPr>
        <w:t>1)</w:t>
      </w:r>
      <w:r w:rsidR="00396548">
        <w:rPr>
          <w:rFonts w:ascii="Times New Roman" w:hAnsi="Times New Roman" w:cs="Times New Roman"/>
          <w:sz w:val="24"/>
          <w:szCs w:val="24"/>
        </w:rPr>
        <w:tab/>
      </w:r>
      <w:r w:rsidRPr="000431F7">
        <w:rPr>
          <w:rFonts w:ascii="Times New Roman" w:hAnsi="Times New Roman" w:cs="Times New Roman"/>
          <w:sz w:val="24"/>
          <w:szCs w:val="24"/>
        </w:rPr>
        <w:t xml:space="preserve">w art. 2 po pkt 9aa dodaje się pkt 9ab, w którym wprowadzane jest wyjaśnienie skrótu ICT </w:t>
      </w:r>
      <w:r w:rsidR="00AC35F5">
        <w:rPr>
          <w:rFonts w:ascii="Times New Roman" w:hAnsi="Times New Roman" w:cs="Times New Roman"/>
          <w:sz w:val="24"/>
          <w:szCs w:val="24"/>
        </w:rPr>
        <w:t>–</w:t>
      </w:r>
      <w:r w:rsidRPr="000431F7">
        <w:rPr>
          <w:rFonts w:ascii="Times New Roman" w:hAnsi="Times New Roman" w:cs="Times New Roman"/>
          <w:sz w:val="24"/>
          <w:szCs w:val="24"/>
        </w:rPr>
        <w:t xml:space="preserve"> technologie informacyjno-komunikacyjne, o których mowa w rozporządzeniu 2022/2554, w celu posługiwania się tym skrótem w</w:t>
      </w:r>
      <w:r w:rsidR="00987740">
        <w:rPr>
          <w:rFonts w:ascii="Times New Roman" w:hAnsi="Times New Roman" w:cs="Times New Roman"/>
          <w:sz w:val="24"/>
          <w:szCs w:val="24"/>
        </w:rPr>
        <w:t xml:space="preserve"> </w:t>
      </w:r>
      <w:r w:rsidRPr="000431F7">
        <w:rPr>
          <w:rFonts w:ascii="Times New Roman" w:hAnsi="Times New Roman" w:cs="Times New Roman"/>
          <w:sz w:val="24"/>
          <w:szCs w:val="24"/>
        </w:rPr>
        <w:t>dalszych przepisach ustawy;</w:t>
      </w:r>
    </w:p>
    <w:p w14:paraId="123BC08D" w14:textId="25C077E0" w:rsidR="002854F8" w:rsidRPr="000431F7" w:rsidRDefault="00097D03" w:rsidP="004742CC">
      <w:pPr>
        <w:spacing w:before="120" w:after="0" w:line="360" w:lineRule="auto"/>
        <w:ind w:left="426" w:hanging="426"/>
        <w:jc w:val="both"/>
        <w:rPr>
          <w:rFonts w:ascii="Times New Roman" w:hAnsi="Times New Roman" w:cs="Times New Roman"/>
          <w:szCs w:val="24"/>
        </w:rPr>
      </w:pPr>
      <w:r w:rsidRPr="000431F7">
        <w:rPr>
          <w:rStyle w:val="Ppogrubienie"/>
          <w:rFonts w:ascii="Times New Roman" w:hAnsi="Times New Roman" w:cs="Times New Roman"/>
          <w:b w:val="0"/>
          <w:bCs/>
          <w:sz w:val="24"/>
          <w:szCs w:val="24"/>
        </w:rPr>
        <w:t>2</w:t>
      </w:r>
      <w:r w:rsidR="002854F8" w:rsidRPr="000431F7">
        <w:rPr>
          <w:rStyle w:val="Ppogrubienie"/>
          <w:rFonts w:ascii="Times New Roman" w:hAnsi="Times New Roman" w:cs="Times New Roman"/>
          <w:b w:val="0"/>
          <w:bCs/>
          <w:sz w:val="24"/>
          <w:szCs w:val="24"/>
        </w:rPr>
        <w:t>)</w:t>
      </w:r>
      <w:r w:rsidR="00396548">
        <w:rPr>
          <w:rStyle w:val="Ppogrubienie"/>
          <w:rFonts w:ascii="Times New Roman" w:hAnsi="Times New Roman" w:cs="Times New Roman"/>
          <w:b w:val="0"/>
          <w:bCs/>
          <w:sz w:val="24"/>
          <w:szCs w:val="24"/>
        </w:rPr>
        <w:tab/>
      </w:r>
      <w:r w:rsidR="002854F8" w:rsidRPr="000431F7">
        <w:rPr>
          <w:rStyle w:val="Ppogrubienie"/>
          <w:rFonts w:ascii="Times New Roman" w:hAnsi="Times New Roman" w:cs="Times New Roman"/>
          <w:b w:val="0"/>
          <w:bCs/>
          <w:sz w:val="24"/>
          <w:szCs w:val="24"/>
        </w:rPr>
        <w:t xml:space="preserve">w art. 6 ust. 10 otrzymuje nowe brzmienie </w:t>
      </w:r>
      <w:r w:rsidR="00DC0C01" w:rsidRPr="000431F7">
        <w:rPr>
          <w:rStyle w:val="Ppogrubienie"/>
          <w:rFonts w:ascii="Times New Roman" w:hAnsi="Times New Roman" w:cs="Times New Roman"/>
          <w:b w:val="0"/>
          <w:bCs/>
          <w:sz w:val="24"/>
          <w:szCs w:val="24"/>
        </w:rPr>
        <w:t>z uwagi</w:t>
      </w:r>
      <w:r w:rsidR="002854F8" w:rsidRPr="000431F7">
        <w:rPr>
          <w:rStyle w:val="Ppogrubienie"/>
          <w:rFonts w:ascii="Times New Roman" w:hAnsi="Times New Roman" w:cs="Times New Roman"/>
          <w:b w:val="0"/>
          <w:bCs/>
          <w:sz w:val="24"/>
          <w:szCs w:val="24"/>
        </w:rPr>
        <w:t xml:space="preserve"> na konieczność </w:t>
      </w:r>
      <w:r w:rsidR="00DC0C01" w:rsidRPr="000431F7">
        <w:rPr>
          <w:rStyle w:val="Ppogrubienie"/>
          <w:rFonts w:ascii="Times New Roman" w:hAnsi="Times New Roman" w:cs="Times New Roman"/>
          <w:b w:val="0"/>
          <w:bCs/>
          <w:sz w:val="24"/>
          <w:szCs w:val="24"/>
        </w:rPr>
        <w:t>dostosowania</w:t>
      </w:r>
      <w:r w:rsidR="002854F8" w:rsidRPr="000431F7">
        <w:rPr>
          <w:rStyle w:val="Ppogrubienie"/>
          <w:rFonts w:ascii="Times New Roman" w:hAnsi="Times New Roman" w:cs="Times New Roman"/>
          <w:b w:val="0"/>
          <w:bCs/>
          <w:sz w:val="24"/>
          <w:szCs w:val="24"/>
        </w:rPr>
        <w:t xml:space="preserve"> wyłączenia z zakresu </w:t>
      </w:r>
      <w:r w:rsidR="00DC0C01" w:rsidRPr="000431F7">
        <w:rPr>
          <w:rStyle w:val="Ppogrubienie"/>
          <w:rFonts w:ascii="Times New Roman" w:hAnsi="Times New Roman" w:cs="Times New Roman"/>
          <w:b w:val="0"/>
          <w:bCs/>
          <w:sz w:val="24"/>
          <w:szCs w:val="24"/>
        </w:rPr>
        <w:t>stosowania</w:t>
      </w:r>
      <w:r w:rsidR="002854F8" w:rsidRPr="000431F7">
        <w:rPr>
          <w:rStyle w:val="Ppogrubienie"/>
          <w:rFonts w:ascii="Times New Roman" w:hAnsi="Times New Roman" w:cs="Times New Roman"/>
          <w:b w:val="0"/>
          <w:bCs/>
          <w:sz w:val="24"/>
          <w:szCs w:val="24"/>
        </w:rPr>
        <w:t xml:space="preserve"> ustawy do nowego brzmienia </w:t>
      </w:r>
      <w:r w:rsidR="002854F8" w:rsidRPr="000431F7">
        <w:rPr>
          <w:rFonts w:ascii="Times New Roman" w:hAnsi="Times New Roman" w:cs="Times New Roman"/>
          <w:color w:val="000000"/>
          <w:sz w:val="24"/>
          <w:szCs w:val="24"/>
          <w:shd w:val="clear" w:color="auto" w:fill="FFFFFF"/>
        </w:rPr>
        <w:t>art. 3 lit. j</w:t>
      </w:r>
      <w:r w:rsidR="00DC0C01" w:rsidRPr="000431F7">
        <w:rPr>
          <w:rFonts w:ascii="Times New Roman" w:hAnsi="Times New Roman" w:cs="Times New Roman"/>
          <w:color w:val="000000"/>
          <w:sz w:val="24"/>
          <w:szCs w:val="24"/>
          <w:shd w:val="clear" w:color="auto" w:fill="FFFFFF"/>
        </w:rPr>
        <w:t xml:space="preserve"> zwierającego od</w:t>
      </w:r>
      <w:r w:rsidR="00DB02A9" w:rsidRPr="000431F7">
        <w:rPr>
          <w:rFonts w:ascii="Times New Roman" w:hAnsi="Times New Roman" w:cs="Times New Roman"/>
          <w:color w:val="000000"/>
          <w:sz w:val="24"/>
          <w:szCs w:val="24"/>
          <w:shd w:val="clear" w:color="auto" w:fill="FFFFFF"/>
        </w:rPr>
        <w:t>esłanie</w:t>
      </w:r>
      <w:r w:rsidR="00DC0C01" w:rsidRPr="000431F7">
        <w:rPr>
          <w:rFonts w:ascii="Times New Roman" w:hAnsi="Times New Roman" w:cs="Times New Roman"/>
          <w:color w:val="000000"/>
          <w:sz w:val="24"/>
          <w:szCs w:val="24"/>
          <w:shd w:val="clear" w:color="auto" w:fill="FFFFFF"/>
        </w:rPr>
        <w:t xml:space="preserve"> do </w:t>
      </w:r>
      <w:r w:rsidR="00DC0C01" w:rsidRPr="000431F7">
        <w:rPr>
          <w:rFonts w:ascii="Times New Roman" w:hAnsi="Times New Roman" w:cs="Times New Roman"/>
          <w:sz w:val="24"/>
          <w:szCs w:val="24"/>
        </w:rPr>
        <w:t>technologi</w:t>
      </w:r>
      <w:r w:rsidR="00DE5572" w:rsidRPr="000431F7">
        <w:rPr>
          <w:rFonts w:ascii="Times New Roman" w:hAnsi="Times New Roman" w:cs="Times New Roman"/>
          <w:sz w:val="24"/>
          <w:szCs w:val="24"/>
        </w:rPr>
        <w:t>i</w:t>
      </w:r>
      <w:r w:rsidR="00DC0C01" w:rsidRPr="000431F7">
        <w:rPr>
          <w:rFonts w:ascii="Times New Roman" w:hAnsi="Times New Roman" w:cs="Times New Roman"/>
          <w:sz w:val="24"/>
          <w:szCs w:val="24"/>
        </w:rPr>
        <w:t xml:space="preserve"> informacyjno-komunikacyjn</w:t>
      </w:r>
      <w:r w:rsidR="00B41D91" w:rsidRPr="000431F7">
        <w:rPr>
          <w:rFonts w:ascii="Times New Roman" w:hAnsi="Times New Roman" w:cs="Times New Roman"/>
          <w:sz w:val="24"/>
          <w:szCs w:val="24"/>
        </w:rPr>
        <w:t>ych</w:t>
      </w:r>
      <w:r w:rsidR="00DC0C01" w:rsidRPr="000431F7">
        <w:rPr>
          <w:rFonts w:ascii="Times New Roman" w:hAnsi="Times New Roman" w:cs="Times New Roman"/>
          <w:sz w:val="24"/>
          <w:szCs w:val="24"/>
        </w:rPr>
        <w:t xml:space="preserve"> (ICT)</w:t>
      </w:r>
      <w:r w:rsidR="002562D9" w:rsidRPr="000431F7">
        <w:rPr>
          <w:rFonts w:ascii="Times New Roman" w:hAnsi="Times New Roman" w:cs="Times New Roman"/>
          <w:sz w:val="24"/>
          <w:szCs w:val="24"/>
        </w:rPr>
        <w:t>;</w:t>
      </w:r>
    </w:p>
    <w:p w14:paraId="47A554E8" w14:textId="5F687038" w:rsidR="00DE5572" w:rsidRPr="000431F7" w:rsidRDefault="00FA216D" w:rsidP="004742CC">
      <w:pPr>
        <w:spacing w:before="120" w:after="0" w:line="360" w:lineRule="auto"/>
        <w:ind w:left="426" w:hanging="426"/>
        <w:jc w:val="both"/>
        <w:rPr>
          <w:rFonts w:ascii="Times New Roman" w:hAnsi="Times New Roman" w:cs="Times New Roman"/>
          <w:szCs w:val="24"/>
        </w:rPr>
      </w:pPr>
      <w:r w:rsidRPr="000431F7">
        <w:rPr>
          <w:rFonts w:ascii="Times New Roman" w:hAnsi="Times New Roman" w:cs="Times New Roman"/>
          <w:sz w:val="24"/>
          <w:szCs w:val="24"/>
        </w:rPr>
        <w:t>3</w:t>
      </w:r>
      <w:r w:rsidR="00DE5572" w:rsidRPr="000431F7">
        <w:rPr>
          <w:rFonts w:ascii="Times New Roman" w:hAnsi="Times New Roman" w:cs="Times New Roman"/>
          <w:sz w:val="24"/>
          <w:szCs w:val="24"/>
        </w:rPr>
        <w:t>)</w:t>
      </w:r>
      <w:r w:rsidR="00396548">
        <w:rPr>
          <w:rFonts w:ascii="Times New Roman" w:hAnsi="Times New Roman" w:cs="Times New Roman"/>
          <w:sz w:val="24"/>
          <w:szCs w:val="24"/>
        </w:rPr>
        <w:tab/>
      </w:r>
      <w:r w:rsidR="00DE5572" w:rsidRPr="000431F7">
        <w:rPr>
          <w:rFonts w:ascii="Times New Roman" w:hAnsi="Times New Roman" w:cs="Times New Roman"/>
          <w:sz w:val="24"/>
          <w:szCs w:val="24"/>
        </w:rPr>
        <w:t>dodanie się art. 32</w:t>
      </w:r>
      <w:r w:rsidR="00AE5FB3" w:rsidRPr="000431F7">
        <w:rPr>
          <w:rFonts w:ascii="Times New Roman" w:hAnsi="Times New Roman" w:cs="Times New Roman"/>
          <w:sz w:val="24"/>
          <w:szCs w:val="24"/>
        </w:rPr>
        <w:t>g</w:t>
      </w:r>
      <w:r w:rsidR="00DE5572" w:rsidRPr="000431F7">
        <w:rPr>
          <w:rFonts w:ascii="Times New Roman" w:hAnsi="Times New Roman" w:cs="Times New Roman"/>
          <w:sz w:val="24"/>
          <w:szCs w:val="24"/>
        </w:rPr>
        <w:t>a ma na celu implementację dodawanego w art. 96 dyrektywy PS</w:t>
      </w:r>
      <w:r w:rsidR="00DB02A9" w:rsidRPr="000431F7">
        <w:rPr>
          <w:rFonts w:ascii="Times New Roman" w:hAnsi="Times New Roman" w:cs="Times New Roman"/>
          <w:sz w:val="24"/>
          <w:szCs w:val="24"/>
        </w:rPr>
        <w:t xml:space="preserve">D </w:t>
      </w:r>
      <w:r w:rsidR="00DE5572" w:rsidRPr="000431F7">
        <w:rPr>
          <w:rFonts w:ascii="Times New Roman" w:hAnsi="Times New Roman" w:cs="Times New Roman"/>
          <w:sz w:val="24"/>
          <w:szCs w:val="24"/>
        </w:rPr>
        <w:t>II ust.</w:t>
      </w:r>
      <w:r w:rsidR="00691B28" w:rsidRPr="000431F7">
        <w:rPr>
          <w:rFonts w:ascii="Times New Roman" w:hAnsi="Times New Roman" w:cs="Times New Roman"/>
          <w:sz w:val="24"/>
          <w:szCs w:val="24"/>
        </w:rPr>
        <w:t xml:space="preserve"> </w:t>
      </w:r>
      <w:r w:rsidR="00DE5572" w:rsidRPr="000431F7">
        <w:rPr>
          <w:rFonts w:ascii="Times New Roman" w:hAnsi="Times New Roman" w:cs="Times New Roman"/>
          <w:sz w:val="24"/>
          <w:szCs w:val="24"/>
        </w:rPr>
        <w:t>7. Zgodnie z projektowanym przepisem art. 32g</w:t>
      </w:r>
      <w:r w:rsidR="00AE5FB3" w:rsidRPr="000431F7">
        <w:rPr>
          <w:rFonts w:ascii="Times New Roman" w:hAnsi="Times New Roman" w:cs="Times New Roman"/>
          <w:sz w:val="24"/>
          <w:szCs w:val="24"/>
        </w:rPr>
        <w:t>a</w:t>
      </w:r>
      <w:r w:rsidR="00DE5572" w:rsidRPr="000431F7">
        <w:rPr>
          <w:rFonts w:ascii="Times New Roman" w:hAnsi="Times New Roman" w:cs="Times New Roman"/>
          <w:sz w:val="24"/>
          <w:szCs w:val="24"/>
        </w:rPr>
        <w:t xml:space="preserve"> dot. przekazywania przez dostawców</w:t>
      </w:r>
      <w:r w:rsidR="00987740">
        <w:rPr>
          <w:rFonts w:ascii="Times New Roman" w:hAnsi="Times New Roman" w:cs="Times New Roman"/>
          <w:sz w:val="24"/>
          <w:szCs w:val="24"/>
        </w:rPr>
        <w:t xml:space="preserve"> </w:t>
      </w:r>
      <w:r w:rsidR="00DE5572" w:rsidRPr="000431F7">
        <w:rPr>
          <w:rFonts w:ascii="Times New Roman" w:hAnsi="Times New Roman" w:cs="Times New Roman"/>
          <w:sz w:val="24"/>
          <w:szCs w:val="24"/>
        </w:rPr>
        <w:t xml:space="preserve">niezwłocznie KNF lub innemu właściwemu organowi nadzoru </w:t>
      </w:r>
      <w:r w:rsidR="00F31230" w:rsidRPr="000431F7">
        <w:rPr>
          <w:rFonts w:ascii="Times New Roman" w:hAnsi="Times New Roman" w:cs="Times New Roman"/>
          <w:sz w:val="24"/>
          <w:szCs w:val="24"/>
        </w:rPr>
        <w:t xml:space="preserve">informacji </w:t>
      </w:r>
      <w:r w:rsidR="00DE5572" w:rsidRPr="000431F7">
        <w:rPr>
          <w:rFonts w:ascii="Times New Roman" w:hAnsi="Times New Roman" w:cs="Times New Roman"/>
          <w:sz w:val="24"/>
          <w:szCs w:val="24"/>
        </w:rPr>
        <w:t>o poważnym incydencie operacyjnym lub incydencie związanym z bezpieczeństwem, w tym o charakterze teleinformatycznym</w:t>
      </w:r>
      <w:r w:rsidR="002F61DE" w:rsidRPr="000431F7">
        <w:rPr>
          <w:rFonts w:ascii="Times New Roman" w:hAnsi="Times New Roman" w:cs="Times New Roman"/>
          <w:sz w:val="24"/>
          <w:szCs w:val="24"/>
        </w:rPr>
        <w:t xml:space="preserve">, </w:t>
      </w:r>
      <w:r w:rsidR="00DE5572" w:rsidRPr="000431F7">
        <w:rPr>
          <w:rFonts w:ascii="Times New Roman" w:hAnsi="Times New Roman" w:cs="Times New Roman"/>
          <w:sz w:val="24"/>
          <w:szCs w:val="24"/>
        </w:rPr>
        <w:t>nie stosuj</w:t>
      </w:r>
      <w:r w:rsidR="002F61DE" w:rsidRPr="000431F7">
        <w:rPr>
          <w:rFonts w:ascii="Times New Roman" w:hAnsi="Times New Roman" w:cs="Times New Roman"/>
          <w:sz w:val="24"/>
          <w:szCs w:val="24"/>
        </w:rPr>
        <w:t>e</w:t>
      </w:r>
      <w:r w:rsidR="00DE5572" w:rsidRPr="000431F7">
        <w:rPr>
          <w:rFonts w:ascii="Times New Roman" w:hAnsi="Times New Roman" w:cs="Times New Roman"/>
          <w:sz w:val="24"/>
          <w:szCs w:val="24"/>
        </w:rPr>
        <w:t xml:space="preserve"> się do dostawców usług płatniczych, o których mowa w art. 4</w:t>
      </w:r>
      <w:r w:rsidR="000F1B82" w:rsidRPr="000431F7">
        <w:rPr>
          <w:rFonts w:ascii="Times New Roman" w:hAnsi="Times New Roman" w:cs="Times New Roman"/>
          <w:sz w:val="24"/>
          <w:szCs w:val="24"/>
        </w:rPr>
        <w:t xml:space="preserve"> </w:t>
      </w:r>
      <w:r w:rsidR="00FF73B0" w:rsidRPr="000431F7">
        <w:rPr>
          <w:rFonts w:ascii="Times New Roman" w:hAnsi="Times New Roman" w:cs="Times New Roman"/>
          <w:sz w:val="24"/>
          <w:szCs w:val="24"/>
        </w:rPr>
        <w:t>ust. 2 pkt 1–4, 6, 9, 12;</w:t>
      </w:r>
    </w:p>
    <w:p w14:paraId="209B919A" w14:textId="2CA0F365" w:rsidR="00DC0C01" w:rsidRPr="000431F7" w:rsidRDefault="00FA216D" w:rsidP="004742CC">
      <w:pPr>
        <w:spacing w:before="120" w:after="0" w:line="360" w:lineRule="auto"/>
        <w:ind w:left="426" w:hanging="426"/>
        <w:jc w:val="both"/>
        <w:rPr>
          <w:rFonts w:ascii="Times New Roman" w:hAnsi="Times New Roman" w:cs="Times New Roman"/>
          <w:sz w:val="24"/>
          <w:szCs w:val="24"/>
        </w:rPr>
      </w:pPr>
      <w:r w:rsidRPr="000431F7">
        <w:rPr>
          <w:rFonts w:ascii="Times New Roman" w:hAnsi="Times New Roman" w:cs="Times New Roman"/>
          <w:sz w:val="24"/>
          <w:szCs w:val="24"/>
        </w:rPr>
        <w:t>4</w:t>
      </w:r>
      <w:r w:rsidR="00DC0C01" w:rsidRPr="000431F7">
        <w:rPr>
          <w:rFonts w:ascii="Times New Roman" w:hAnsi="Times New Roman" w:cs="Times New Roman"/>
          <w:sz w:val="24"/>
          <w:szCs w:val="24"/>
        </w:rPr>
        <w:t>)</w:t>
      </w:r>
      <w:r w:rsidR="00396548">
        <w:rPr>
          <w:rFonts w:ascii="Times New Roman" w:hAnsi="Times New Roman" w:cs="Times New Roman"/>
          <w:sz w:val="24"/>
          <w:szCs w:val="24"/>
        </w:rPr>
        <w:tab/>
      </w:r>
      <w:r w:rsidR="00DC0C01" w:rsidRPr="000431F7">
        <w:rPr>
          <w:rFonts w:ascii="Times New Roman" w:hAnsi="Times New Roman" w:cs="Times New Roman"/>
          <w:sz w:val="24"/>
          <w:szCs w:val="24"/>
        </w:rPr>
        <w:t>w art. 61 ust. 1 pkt 6 otrzymuje nowe brzmienie w celu uwzględnieni</w:t>
      </w:r>
      <w:r w:rsidR="00AE5FB3" w:rsidRPr="000431F7">
        <w:rPr>
          <w:rFonts w:ascii="Times New Roman" w:hAnsi="Times New Roman" w:cs="Times New Roman"/>
          <w:sz w:val="24"/>
          <w:szCs w:val="24"/>
        </w:rPr>
        <w:t>a</w:t>
      </w:r>
      <w:r w:rsidR="00DC0C01" w:rsidRPr="000431F7">
        <w:rPr>
          <w:rFonts w:ascii="Times New Roman" w:hAnsi="Times New Roman" w:cs="Times New Roman"/>
          <w:sz w:val="24"/>
          <w:szCs w:val="24"/>
        </w:rPr>
        <w:t xml:space="preserve"> zmian wprowadzonych </w:t>
      </w:r>
      <w:r w:rsidR="00DC0C01" w:rsidRPr="000431F7">
        <w:rPr>
          <w:rFonts w:ascii="Times New Roman" w:hAnsi="Times New Roman" w:cs="Times New Roman"/>
          <w:color w:val="000000"/>
          <w:sz w:val="24"/>
          <w:szCs w:val="24"/>
          <w:shd w:val="clear" w:color="auto" w:fill="FFFFFF"/>
        </w:rPr>
        <w:t xml:space="preserve">w art. 5 ust. 1 </w:t>
      </w:r>
      <w:r w:rsidR="00DC0C01" w:rsidRPr="000431F7">
        <w:rPr>
          <w:rFonts w:ascii="Times New Roman" w:hAnsi="Times New Roman" w:cs="Times New Roman"/>
          <w:sz w:val="24"/>
          <w:szCs w:val="24"/>
        </w:rPr>
        <w:t>dyrektyw</w:t>
      </w:r>
      <w:r w:rsidRPr="000431F7">
        <w:rPr>
          <w:rFonts w:ascii="Times New Roman" w:hAnsi="Times New Roman" w:cs="Times New Roman"/>
          <w:sz w:val="24"/>
          <w:szCs w:val="24"/>
        </w:rPr>
        <w:t>y</w:t>
      </w:r>
      <w:r w:rsidR="00DC0C01" w:rsidRPr="000431F7">
        <w:rPr>
          <w:rFonts w:ascii="Times New Roman" w:hAnsi="Times New Roman" w:cs="Times New Roman"/>
          <w:sz w:val="24"/>
          <w:szCs w:val="24"/>
        </w:rPr>
        <w:t xml:space="preserve"> PSD II w zakresie pkt 2 li</w:t>
      </w:r>
      <w:r w:rsidR="00A3013A">
        <w:rPr>
          <w:rFonts w:ascii="Times New Roman" w:hAnsi="Times New Roman" w:cs="Times New Roman"/>
          <w:sz w:val="24"/>
          <w:szCs w:val="24"/>
        </w:rPr>
        <w:t>t</w:t>
      </w:r>
      <w:r w:rsidR="00DC0C01" w:rsidRPr="000431F7">
        <w:rPr>
          <w:rFonts w:ascii="Times New Roman" w:hAnsi="Times New Roman" w:cs="Times New Roman"/>
          <w:sz w:val="24"/>
          <w:szCs w:val="24"/>
        </w:rPr>
        <w:t xml:space="preserve">. </w:t>
      </w:r>
      <w:r w:rsidR="00A3013A">
        <w:rPr>
          <w:rFonts w:ascii="Times New Roman" w:hAnsi="Times New Roman" w:cs="Times New Roman"/>
          <w:sz w:val="24"/>
          <w:szCs w:val="24"/>
        </w:rPr>
        <w:t>a</w:t>
      </w:r>
      <w:r w:rsidR="00DC0C01" w:rsidRPr="000431F7">
        <w:rPr>
          <w:rFonts w:ascii="Times New Roman" w:hAnsi="Times New Roman" w:cs="Times New Roman"/>
          <w:sz w:val="24"/>
          <w:szCs w:val="24"/>
        </w:rPr>
        <w:t xml:space="preserve"> (i). </w:t>
      </w:r>
      <w:r w:rsidRPr="000431F7">
        <w:rPr>
          <w:rFonts w:ascii="Times New Roman" w:hAnsi="Times New Roman" w:cs="Times New Roman"/>
          <w:sz w:val="24"/>
          <w:szCs w:val="24"/>
        </w:rPr>
        <w:t>Z</w:t>
      </w:r>
      <w:r w:rsidR="00DC0C01" w:rsidRPr="000431F7">
        <w:rPr>
          <w:rFonts w:ascii="Times New Roman" w:hAnsi="Times New Roman" w:cs="Times New Roman"/>
          <w:sz w:val="24"/>
          <w:szCs w:val="24"/>
        </w:rPr>
        <w:t>godnie z tymi zmianami rozszerza się zakres opisu systemu zarządzania ryzykiem i kontroli wewnętrznej, o którym mowa w art. 64 ust. 1 pkt 3, dołączanego do wniosku o wydanie zezwolenia, o którym mowa w art. 60 ust. 1</w:t>
      </w:r>
      <w:r w:rsidR="00D6536B">
        <w:rPr>
          <w:rFonts w:ascii="Times New Roman" w:hAnsi="Times New Roman" w:cs="Times New Roman"/>
          <w:sz w:val="24"/>
          <w:szCs w:val="24"/>
        </w:rPr>
        <w:t>,</w:t>
      </w:r>
      <w:r w:rsidR="00DC0C01" w:rsidRPr="000431F7">
        <w:rPr>
          <w:rFonts w:ascii="Times New Roman" w:hAnsi="Times New Roman" w:cs="Times New Roman"/>
          <w:sz w:val="24"/>
          <w:szCs w:val="24"/>
        </w:rPr>
        <w:t xml:space="preserve"> tj. zezwolenia na świadczenie usług płatniczych w</w:t>
      </w:r>
      <w:r w:rsidR="002562D9" w:rsidRPr="000431F7">
        <w:rPr>
          <w:rFonts w:ascii="Times New Roman" w:hAnsi="Times New Roman" w:cs="Times New Roman"/>
          <w:sz w:val="24"/>
          <w:szCs w:val="24"/>
        </w:rPr>
        <w:t> </w:t>
      </w:r>
      <w:r w:rsidR="00DC0C01" w:rsidRPr="000431F7">
        <w:rPr>
          <w:rFonts w:ascii="Times New Roman" w:hAnsi="Times New Roman" w:cs="Times New Roman"/>
          <w:sz w:val="24"/>
          <w:szCs w:val="24"/>
        </w:rPr>
        <w:t>charakterze krajowej instytucji płatniczej</w:t>
      </w:r>
      <w:r w:rsidR="002562D9" w:rsidRPr="000431F7">
        <w:rPr>
          <w:rFonts w:ascii="Times New Roman" w:hAnsi="Times New Roman" w:cs="Times New Roman"/>
          <w:sz w:val="24"/>
          <w:szCs w:val="24"/>
        </w:rPr>
        <w:t>;</w:t>
      </w:r>
    </w:p>
    <w:p w14:paraId="7D0D6A62" w14:textId="35A63153" w:rsidR="00DE5572" w:rsidRPr="000431F7" w:rsidRDefault="00FA216D" w:rsidP="004742CC">
      <w:pPr>
        <w:spacing w:before="120" w:after="0" w:line="360" w:lineRule="auto"/>
        <w:ind w:left="426" w:hanging="426"/>
        <w:jc w:val="both"/>
        <w:rPr>
          <w:rFonts w:ascii="Times New Roman" w:hAnsi="Times New Roman" w:cs="Times New Roman"/>
          <w:szCs w:val="24"/>
        </w:rPr>
      </w:pPr>
      <w:r w:rsidRPr="000431F7">
        <w:rPr>
          <w:rFonts w:ascii="Times New Roman" w:hAnsi="Times New Roman" w:cs="Times New Roman"/>
          <w:sz w:val="24"/>
          <w:szCs w:val="24"/>
        </w:rPr>
        <w:lastRenderedPageBreak/>
        <w:t>5</w:t>
      </w:r>
      <w:r w:rsidR="002F61DE" w:rsidRPr="000431F7">
        <w:rPr>
          <w:rFonts w:ascii="Times New Roman" w:hAnsi="Times New Roman" w:cs="Times New Roman"/>
          <w:sz w:val="24"/>
          <w:szCs w:val="24"/>
        </w:rPr>
        <w:t>)</w:t>
      </w:r>
      <w:r w:rsidR="00396548">
        <w:rPr>
          <w:rFonts w:ascii="Times New Roman" w:hAnsi="Times New Roman" w:cs="Times New Roman"/>
          <w:sz w:val="24"/>
          <w:szCs w:val="24"/>
        </w:rPr>
        <w:tab/>
      </w:r>
      <w:r w:rsidR="002F61DE" w:rsidRPr="000431F7">
        <w:rPr>
          <w:rFonts w:ascii="Times New Roman" w:hAnsi="Times New Roman" w:cs="Times New Roman"/>
          <w:sz w:val="24"/>
          <w:szCs w:val="24"/>
        </w:rPr>
        <w:t>zmiany wprowadzone w art. 64a:</w:t>
      </w:r>
    </w:p>
    <w:p w14:paraId="67836AF1" w14:textId="5B8C6B1E" w:rsidR="002F61DE" w:rsidRPr="000431F7" w:rsidRDefault="002F61DE" w:rsidP="004742CC">
      <w:pPr>
        <w:spacing w:before="120" w:after="0" w:line="360" w:lineRule="auto"/>
        <w:ind w:left="910" w:hanging="476"/>
        <w:jc w:val="both"/>
        <w:rPr>
          <w:rFonts w:ascii="Times New Roman" w:hAnsi="Times New Roman" w:cs="Times New Roman"/>
          <w:color w:val="000000"/>
          <w:sz w:val="24"/>
          <w:szCs w:val="24"/>
        </w:rPr>
      </w:pPr>
      <w:r w:rsidRPr="000431F7">
        <w:rPr>
          <w:rFonts w:ascii="Times New Roman" w:hAnsi="Times New Roman" w:cs="Times New Roman"/>
          <w:sz w:val="24"/>
          <w:szCs w:val="24"/>
        </w:rPr>
        <w:t>a)</w:t>
      </w:r>
      <w:r w:rsidR="00396548">
        <w:rPr>
          <w:rFonts w:ascii="Times New Roman" w:hAnsi="Times New Roman" w:cs="Times New Roman"/>
          <w:sz w:val="24"/>
          <w:szCs w:val="24"/>
        </w:rPr>
        <w:tab/>
      </w:r>
      <w:r w:rsidRPr="000431F7">
        <w:rPr>
          <w:rFonts w:ascii="Times New Roman" w:hAnsi="Times New Roman" w:cs="Times New Roman"/>
          <w:sz w:val="24"/>
          <w:szCs w:val="24"/>
        </w:rPr>
        <w:t>ust. 1 pkt 4 lit. b otrzymuje nowe brzmienie w celu transpozycji zmian wprowadzonych do art. 5 ust. 1 lit. f dyrektywy PSD II. Zgodnie z art. 64a w skład systemu zarządzania ryzykiem i kontroli wewnętrznej, o którym mowa w art. 64 ust.</w:t>
      </w:r>
      <w:r w:rsidR="00D6536B">
        <w:rPr>
          <w:rFonts w:ascii="Times New Roman" w:hAnsi="Times New Roman" w:cs="Times New Roman"/>
          <w:sz w:val="24"/>
          <w:szCs w:val="24"/>
        </w:rPr>
        <w:t> </w:t>
      </w:r>
      <w:r w:rsidRPr="000431F7">
        <w:rPr>
          <w:rFonts w:ascii="Times New Roman" w:hAnsi="Times New Roman" w:cs="Times New Roman"/>
          <w:sz w:val="24"/>
          <w:szCs w:val="24"/>
        </w:rPr>
        <w:t xml:space="preserve">1 pkt 3, wchodzi </w:t>
      </w:r>
      <w:r w:rsidRPr="000431F7">
        <w:rPr>
          <w:rFonts w:ascii="Times New Roman" w:hAnsi="Times New Roman" w:cs="Times New Roman"/>
          <w:color w:val="000000"/>
          <w:sz w:val="24"/>
          <w:szCs w:val="24"/>
        </w:rPr>
        <w:t>opis procedur monitorowania incydentów związanych z bezpieczeństwem oraz monitorowania i</w:t>
      </w:r>
      <w:r w:rsidR="002562D9" w:rsidRPr="000431F7">
        <w:rPr>
          <w:rFonts w:ascii="Times New Roman" w:hAnsi="Times New Roman" w:cs="Times New Roman"/>
          <w:color w:val="000000"/>
          <w:sz w:val="24"/>
          <w:szCs w:val="24"/>
        </w:rPr>
        <w:t> </w:t>
      </w:r>
      <w:r w:rsidRPr="000431F7">
        <w:rPr>
          <w:rFonts w:ascii="Times New Roman" w:hAnsi="Times New Roman" w:cs="Times New Roman"/>
          <w:color w:val="000000"/>
          <w:sz w:val="24"/>
          <w:szCs w:val="24"/>
        </w:rPr>
        <w:t>rozpatrywania skarg użytkowników, w tym skarg związanych z bezpieczeństwem, a także działań następczych w przypadku wystąpienia takich incydentów i skarg, wraz z mechanizmem zgłaszania incydentów uwzględniającym obowiązki instytucji płatniczej w zakresie zgłaszania, o których mowa w art. 32g i art. 32h. N</w:t>
      </w:r>
      <w:r w:rsidR="00AA1C79" w:rsidRPr="000431F7">
        <w:rPr>
          <w:rFonts w:ascii="Times New Roman" w:hAnsi="Times New Roman" w:cs="Times New Roman"/>
          <w:color w:val="000000"/>
          <w:sz w:val="24"/>
          <w:szCs w:val="24"/>
        </w:rPr>
        <w:t>o</w:t>
      </w:r>
      <w:r w:rsidRPr="000431F7">
        <w:rPr>
          <w:rFonts w:ascii="Times New Roman" w:hAnsi="Times New Roman" w:cs="Times New Roman"/>
          <w:color w:val="000000"/>
          <w:sz w:val="24"/>
          <w:szCs w:val="24"/>
        </w:rPr>
        <w:t xml:space="preserve">we brzmienie uwzględnia </w:t>
      </w:r>
      <w:r w:rsidR="00AA1C79" w:rsidRPr="000431F7">
        <w:rPr>
          <w:rFonts w:ascii="Times New Roman" w:hAnsi="Times New Roman" w:cs="Times New Roman"/>
          <w:color w:val="000000"/>
          <w:sz w:val="24"/>
          <w:szCs w:val="24"/>
        </w:rPr>
        <w:t>postanowienia</w:t>
      </w:r>
      <w:r w:rsidRPr="000431F7">
        <w:rPr>
          <w:rFonts w:ascii="Times New Roman" w:hAnsi="Times New Roman" w:cs="Times New Roman"/>
          <w:color w:val="000000"/>
          <w:sz w:val="24"/>
          <w:szCs w:val="24"/>
        </w:rPr>
        <w:t xml:space="preserve"> rozporządzenia 2022/2554</w:t>
      </w:r>
      <w:r w:rsidR="00AA1C79" w:rsidRPr="000431F7">
        <w:rPr>
          <w:rFonts w:ascii="Times New Roman" w:hAnsi="Times New Roman" w:cs="Times New Roman"/>
          <w:color w:val="000000"/>
          <w:sz w:val="24"/>
          <w:szCs w:val="24"/>
        </w:rPr>
        <w:t xml:space="preserve"> i wprowadza zmianę</w:t>
      </w:r>
      <w:r w:rsidR="00F31230" w:rsidRPr="000431F7">
        <w:rPr>
          <w:rFonts w:ascii="Times New Roman" w:hAnsi="Times New Roman" w:cs="Times New Roman"/>
          <w:color w:val="000000"/>
          <w:sz w:val="24"/>
          <w:szCs w:val="24"/>
        </w:rPr>
        <w:t>,</w:t>
      </w:r>
      <w:r w:rsidR="00AA1C79" w:rsidRPr="000431F7">
        <w:rPr>
          <w:rFonts w:ascii="Times New Roman" w:hAnsi="Times New Roman" w:cs="Times New Roman"/>
          <w:color w:val="000000"/>
          <w:sz w:val="24"/>
          <w:szCs w:val="24"/>
        </w:rPr>
        <w:t xml:space="preserve"> zgodnie z którą</w:t>
      </w:r>
      <w:r w:rsidR="00987740">
        <w:rPr>
          <w:rFonts w:ascii="Times New Roman" w:hAnsi="Times New Roman" w:cs="Times New Roman"/>
          <w:color w:val="000000"/>
          <w:sz w:val="24"/>
          <w:szCs w:val="24"/>
        </w:rPr>
        <w:t xml:space="preserve"> </w:t>
      </w:r>
      <w:r w:rsidR="00C41BA3">
        <w:rPr>
          <w:rFonts w:ascii="Times New Roman" w:hAnsi="Times New Roman" w:cs="Times New Roman"/>
          <w:color w:val="000000"/>
          <w:sz w:val="24"/>
          <w:szCs w:val="24"/>
        </w:rPr>
        <w:t xml:space="preserve"> w </w:t>
      </w:r>
      <w:r w:rsidR="00AA1C79" w:rsidRPr="000431F7">
        <w:rPr>
          <w:rFonts w:ascii="Times New Roman" w:hAnsi="Times New Roman" w:cs="Times New Roman"/>
          <w:color w:val="000000"/>
          <w:sz w:val="24"/>
          <w:szCs w:val="24"/>
        </w:rPr>
        <w:t xml:space="preserve">ww. opisie należy uwzględnić </w:t>
      </w:r>
      <w:r w:rsidR="00AA1C79" w:rsidRPr="000431F7">
        <w:rPr>
          <w:rFonts w:ascii="Times New Roman" w:hAnsi="Times New Roman" w:cs="Times New Roman"/>
          <w:sz w:val="24"/>
          <w:szCs w:val="24"/>
        </w:rPr>
        <w:t>mechanizm zgłaszania incydentów uwzględniający obowiązki instytucji płatniczej w, o których mowa w rozdziale III rozporządzenia</w:t>
      </w:r>
      <w:r w:rsidR="00667C49" w:rsidRPr="000431F7">
        <w:rPr>
          <w:rFonts w:ascii="Times New Roman" w:hAnsi="Times New Roman" w:cs="Times New Roman"/>
          <w:sz w:val="24"/>
          <w:szCs w:val="24"/>
        </w:rPr>
        <w:t xml:space="preserve"> </w:t>
      </w:r>
      <w:r w:rsidR="00AA1C79" w:rsidRPr="000431F7">
        <w:rPr>
          <w:rFonts w:ascii="Times New Roman" w:hAnsi="Times New Roman" w:cs="Times New Roman"/>
          <w:sz w:val="24"/>
          <w:szCs w:val="24"/>
        </w:rPr>
        <w:t>2022/2554</w:t>
      </w:r>
      <w:r w:rsidR="00D6536B">
        <w:rPr>
          <w:rFonts w:ascii="Times New Roman" w:hAnsi="Times New Roman" w:cs="Times New Roman"/>
          <w:sz w:val="24"/>
          <w:szCs w:val="24"/>
        </w:rPr>
        <w:t>;</w:t>
      </w:r>
      <w:r w:rsidR="00477CFE" w:rsidRPr="000431F7">
        <w:rPr>
          <w:rFonts w:ascii="Times New Roman" w:hAnsi="Times New Roman" w:cs="Times New Roman"/>
          <w:sz w:val="24"/>
          <w:szCs w:val="24"/>
        </w:rPr>
        <w:t xml:space="preserve"> </w:t>
      </w:r>
      <w:r w:rsidR="00477CFE" w:rsidRPr="000431F7">
        <w:rPr>
          <w:rFonts w:ascii="Times New Roman" w:hAnsi="Times New Roman" w:cs="Times New Roman"/>
          <w:color w:val="000000"/>
          <w:sz w:val="24"/>
          <w:szCs w:val="24"/>
        </w:rPr>
        <w:t>ponadto, aby zmniejszyć obciążenia administracyjne oraz uniknąć złożoności i powielania wymogów w zakresie sprawozdawczości, przepisy dotyczące zgłaszania incydentów na podstawie dyrektywy PSD II powinny przestać mieć zastosowanie do dostawców usług płatniczych, którzy są uregulowani w tej dyrektywie i którzy także podlegają rozporządzeniu (UE) 2022/2554, umożliwiając tym samym tym dostawcom usług płatniczych korzystanie z jednolitego, w pełni zharmonizowanego mechanizmu zgłaszania incydentów w odniesieniu do wszystkich incydentów operacyjnych lub incydentów w zakresie bezpieczeństwa związanych z płatnościami, niezależnie od tego, czy takie incydenty są związane z ICT.</w:t>
      </w:r>
      <w:r w:rsidR="00987740">
        <w:rPr>
          <w:rFonts w:ascii="Times New Roman" w:hAnsi="Times New Roman" w:cs="Times New Roman"/>
          <w:color w:val="000000"/>
          <w:sz w:val="24"/>
          <w:szCs w:val="24"/>
        </w:rPr>
        <w:t xml:space="preserve"> </w:t>
      </w:r>
      <w:r w:rsidR="00477CFE" w:rsidRPr="000431F7">
        <w:rPr>
          <w:rFonts w:ascii="Times New Roman" w:hAnsi="Times New Roman" w:cs="Times New Roman"/>
          <w:color w:val="000000"/>
          <w:sz w:val="24"/>
          <w:szCs w:val="24"/>
        </w:rPr>
        <w:t xml:space="preserve">Proponowane rozszerzenie podmiotowe wyłączenia obowiązku stosowania art. 32g i art. 32h ma zapobiec dublowaniu się obowiązków na gruncie ustawy o usługach płatniczych i przepisów projektowanych </w:t>
      </w:r>
      <w:r w:rsidR="00FA216D" w:rsidRPr="000431F7">
        <w:rPr>
          <w:rFonts w:ascii="Times New Roman" w:hAnsi="Times New Roman" w:cs="Times New Roman"/>
          <w:color w:val="000000"/>
          <w:sz w:val="24"/>
          <w:szCs w:val="24"/>
        </w:rPr>
        <w:t xml:space="preserve">w </w:t>
      </w:r>
      <w:r w:rsidR="00477CFE" w:rsidRPr="000431F7">
        <w:rPr>
          <w:rFonts w:ascii="Times New Roman" w:hAnsi="Times New Roman" w:cs="Times New Roman"/>
          <w:color w:val="000000"/>
          <w:sz w:val="24"/>
          <w:szCs w:val="24"/>
        </w:rPr>
        <w:t>art. 6 projektu UC32</w:t>
      </w:r>
      <w:r w:rsidR="00D6536B">
        <w:rPr>
          <w:rFonts w:ascii="Times New Roman" w:hAnsi="Times New Roman" w:cs="Times New Roman"/>
          <w:color w:val="000000"/>
          <w:sz w:val="24"/>
          <w:szCs w:val="24"/>
        </w:rPr>
        <w:t>,</w:t>
      </w:r>
    </w:p>
    <w:p w14:paraId="011096CE" w14:textId="5192707E" w:rsidR="00AA1C79" w:rsidRPr="000431F7" w:rsidRDefault="00AA1C79" w:rsidP="004742CC">
      <w:pPr>
        <w:spacing w:before="120" w:after="0" w:line="360" w:lineRule="auto"/>
        <w:ind w:left="910" w:hanging="476"/>
        <w:jc w:val="both"/>
        <w:rPr>
          <w:rFonts w:ascii="Times New Roman" w:hAnsi="Times New Roman" w:cs="Times New Roman"/>
          <w:szCs w:val="24"/>
        </w:rPr>
      </w:pPr>
      <w:r w:rsidRPr="000431F7">
        <w:rPr>
          <w:rFonts w:ascii="Times New Roman" w:hAnsi="Times New Roman" w:cs="Times New Roman"/>
          <w:sz w:val="24"/>
          <w:szCs w:val="24"/>
        </w:rPr>
        <w:t>b)</w:t>
      </w:r>
      <w:r w:rsidR="00396548">
        <w:rPr>
          <w:rFonts w:ascii="Times New Roman" w:hAnsi="Times New Roman" w:cs="Times New Roman"/>
          <w:sz w:val="24"/>
          <w:szCs w:val="24"/>
        </w:rPr>
        <w:tab/>
      </w:r>
      <w:r w:rsidRPr="000431F7">
        <w:rPr>
          <w:rFonts w:ascii="Times New Roman" w:hAnsi="Times New Roman" w:cs="Times New Roman"/>
          <w:sz w:val="24"/>
          <w:szCs w:val="24"/>
        </w:rPr>
        <w:t xml:space="preserve">ust. 1 pkt 4 lit. e otrzymuje nowe brzmienie w celu transpozycji art. 5 ust. 1 lit h – podobnie jak w przypadku zmian w art. 64a ust. 1 pkt 4 lit. b, zmiany mają na celu uwzględnienie </w:t>
      </w:r>
      <w:r w:rsidR="004E65A7" w:rsidRPr="000431F7">
        <w:rPr>
          <w:rFonts w:ascii="Times New Roman" w:hAnsi="Times New Roman" w:cs="Times New Roman"/>
          <w:sz w:val="24"/>
          <w:szCs w:val="24"/>
        </w:rPr>
        <w:t xml:space="preserve">odesłania </w:t>
      </w:r>
      <w:r w:rsidRPr="000431F7">
        <w:rPr>
          <w:rFonts w:ascii="Times New Roman" w:hAnsi="Times New Roman" w:cs="Times New Roman"/>
          <w:sz w:val="24"/>
          <w:szCs w:val="24"/>
        </w:rPr>
        <w:t xml:space="preserve">do rozporządzenia 2022/2554 i wskazanie, że opis rozwiązań </w:t>
      </w:r>
      <w:r w:rsidR="007805A6" w:rsidRPr="000431F7">
        <w:rPr>
          <w:rFonts w:ascii="Times New Roman" w:hAnsi="Times New Roman" w:cs="Times New Roman"/>
          <w:sz w:val="24"/>
          <w:szCs w:val="24"/>
        </w:rPr>
        <w:t>zapewniających ciągłość działania obejmuje</w:t>
      </w:r>
      <w:r w:rsidR="00987740">
        <w:rPr>
          <w:rFonts w:ascii="Times New Roman" w:hAnsi="Times New Roman" w:cs="Times New Roman"/>
          <w:sz w:val="24"/>
          <w:szCs w:val="24"/>
        </w:rPr>
        <w:t xml:space="preserve"> </w:t>
      </w:r>
      <w:r w:rsidR="007805A6" w:rsidRPr="000431F7">
        <w:rPr>
          <w:rFonts w:ascii="Times New Roman" w:hAnsi="Times New Roman" w:cs="Times New Roman"/>
          <w:sz w:val="24"/>
          <w:szCs w:val="24"/>
        </w:rPr>
        <w:t xml:space="preserve">wyczerpujące i dokładne określenie krytycznych operacji oraz określenie skutecznych planów awaryjnych i procedury na rzecz ciągłości działania w zakresie ICT oraz planów reagowania i przywracania sprawności ICT, a także procedury na potrzeby regularnego </w:t>
      </w:r>
      <w:r w:rsidR="007805A6" w:rsidRPr="000431F7">
        <w:rPr>
          <w:rFonts w:ascii="Times New Roman" w:hAnsi="Times New Roman" w:cs="Times New Roman"/>
          <w:sz w:val="24"/>
          <w:szCs w:val="24"/>
        </w:rPr>
        <w:lastRenderedPageBreak/>
        <w:t>weryfikowania i przeglądu adekwatności i skuteczności takich planów zgodnie z</w:t>
      </w:r>
      <w:r w:rsidR="002562D9" w:rsidRPr="000431F7">
        <w:rPr>
          <w:rFonts w:ascii="Times New Roman" w:hAnsi="Times New Roman" w:cs="Times New Roman"/>
          <w:sz w:val="24"/>
          <w:szCs w:val="24"/>
        </w:rPr>
        <w:t> </w:t>
      </w:r>
      <w:r w:rsidR="007805A6" w:rsidRPr="000431F7">
        <w:rPr>
          <w:rFonts w:ascii="Times New Roman" w:hAnsi="Times New Roman" w:cs="Times New Roman"/>
          <w:sz w:val="24"/>
          <w:szCs w:val="24"/>
        </w:rPr>
        <w:t>rozporządzeniem 2022/2554</w:t>
      </w:r>
      <w:r w:rsidR="00D6536B">
        <w:rPr>
          <w:rFonts w:ascii="Times New Roman" w:hAnsi="Times New Roman" w:cs="Times New Roman"/>
          <w:sz w:val="24"/>
          <w:szCs w:val="24"/>
        </w:rPr>
        <w:t>,</w:t>
      </w:r>
    </w:p>
    <w:p w14:paraId="0560E3B5" w14:textId="6744B31B" w:rsidR="00FF73B0" w:rsidRPr="000431F7" w:rsidRDefault="00AA1C79" w:rsidP="004742CC">
      <w:pPr>
        <w:spacing w:before="120" w:after="0" w:line="360" w:lineRule="auto"/>
        <w:ind w:left="910" w:hanging="476"/>
        <w:jc w:val="both"/>
        <w:rPr>
          <w:rFonts w:ascii="Times New Roman" w:hAnsi="Times New Roman" w:cs="Times New Roman"/>
          <w:szCs w:val="24"/>
        </w:rPr>
      </w:pPr>
      <w:r w:rsidRPr="000431F7">
        <w:rPr>
          <w:rFonts w:ascii="Times New Roman" w:hAnsi="Times New Roman" w:cs="Times New Roman"/>
          <w:sz w:val="24"/>
          <w:szCs w:val="24"/>
        </w:rPr>
        <w:t>c)</w:t>
      </w:r>
      <w:r w:rsidR="00396548">
        <w:rPr>
          <w:rFonts w:ascii="Times New Roman" w:hAnsi="Times New Roman" w:cs="Times New Roman"/>
          <w:sz w:val="24"/>
          <w:szCs w:val="24"/>
        </w:rPr>
        <w:tab/>
      </w:r>
      <w:r w:rsidRPr="000431F7">
        <w:rPr>
          <w:rFonts w:ascii="Times New Roman" w:hAnsi="Times New Roman" w:cs="Times New Roman"/>
          <w:sz w:val="24"/>
          <w:szCs w:val="24"/>
        </w:rPr>
        <w:t>ust. 3a otrzymuje nowe brzmienie w celu zapewnienia transpozycji zmian w art. 5 ust.</w:t>
      </w:r>
      <w:r w:rsidR="00D6536B">
        <w:rPr>
          <w:rFonts w:ascii="Times New Roman" w:hAnsi="Times New Roman" w:cs="Times New Roman"/>
          <w:sz w:val="24"/>
          <w:szCs w:val="24"/>
        </w:rPr>
        <w:t> </w:t>
      </w:r>
      <w:r w:rsidRPr="000431F7">
        <w:rPr>
          <w:rFonts w:ascii="Times New Roman" w:hAnsi="Times New Roman" w:cs="Times New Roman"/>
          <w:sz w:val="24"/>
          <w:szCs w:val="24"/>
        </w:rPr>
        <w:t xml:space="preserve">1 akapit trzeci dyrektywy PSD II, mających na celu uwzględnienie odpowiednich postanowień rozporządzenia 2022/2554. </w:t>
      </w:r>
      <w:r w:rsidR="00F31230" w:rsidRPr="000431F7">
        <w:rPr>
          <w:rFonts w:ascii="Times New Roman" w:hAnsi="Times New Roman" w:cs="Times New Roman"/>
          <w:sz w:val="24"/>
          <w:szCs w:val="24"/>
        </w:rPr>
        <w:t xml:space="preserve">Zgodnie </w:t>
      </w:r>
      <w:r w:rsidR="00691B28" w:rsidRPr="000431F7">
        <w:rPr>
          <w:rFonts w:ascii="Times New Roman" w:hAnsi="Times New Roman" w:cs="Times New Roman"/>
          <w:sz w:val="24"/>
          <w:szCs w:val="24"/>
        </w:rPr>
        <w:t xml:space="preserve">z nowym brzmieniem ust. 3a </w:t>
      </w:r>
      <w:r w:rsidR="00F31230" w:rsidRPr="000431F7">
        <w:rPr>
          <w:rFonts w:ascii="Times New Roman" w:hAnsi="Times New Roman" w:cs="Times New Roman"/>
          <w:sz w:val="24"/>
          <w:szCs w:val="24"/>
        </w:rPr>
        <w:t xml:space="preserve">środki </w:t>
      </w:r>
      <w:r w:rsidR="00691B28" w:rsidRPr="000431F7">
        <w:rPr>
          <w:rFonts w:ascii="Times New Roman" w:hAnsi="Times New Roman" w:cs="Times New Roman"/>
          <w:sz w:val="24"/>
          <w:szCs w:val="24"/>
        </w:rPr>
        <w:t>kontroli bezpieczeństwa i ograniczania ryzyka, o których mowa w ust. 1 pkt 4 lit. g, wskazują sposób zapewnienia wysokiego poziomu operacyjnej odporności cyfrowej</w:t>
      </w:r>
      <w:r w:rsidR="007805A6" w:rsidRPr="000431F7">
        <w:rPr>
          <w:rFonts w:ascii="Times New Roman" w:hAnsi="Times New Roman" w:cs="Times New Roman"/>
          <w:sz w:val="24"/>
          <w:szCs w:val="24"/>
        </w:rPr>
        <w:t>,</w:t>
      </w:r>
      <w:r w:rsidR="00691B28" w:rsidRPr="000431F7">
        <w:rPr>
          <w:rFonts w:ascii="Times New Roman" w:hAnsi="Times New Roman" w:cs="Times New Roman"/>
          <w:sz w:val="24"/>
          <w:szCs w:val="24"/>
        </w:rPr>
        <w:t xml:space="preserve"> zgodnie z rozdziałem II rozporządzenia 2022/2554, w szczególności w zakresie bezpieczeństwa technicznego i ochrony danych, w tym w odniesieniu do oprogramowania i systemów ICT stosowanych przez wnioskodawcę lub podmiot, któremu wnioskodawca powierzył wykonywanie całości albo części czynności operacyjnych. Środki te obejmują również środki bezpieczeństwa, o których mowa w dziale </w:t>
      </w:r>
      <w:proofErr w:type="spellStart"/>
      <w:r w:rsidR="00691B28" w:rsidRPr="000431F7">
        <w:rPr>
          <w:rFonts w:ascii="Times New Roman" w:hAnsi="Times New Roman" w:cs="Times New Roman"/>
          <w:sz w:val="24"/>
          <w:szCs w:val="24"/>
        </w:rPr>
        <w:t>IIa</w:t>
      </w:r>
      <w:proofErr w:type="spellEnd"/>
      <w:r w:rsidR="007805A6" w:rsidRPr="000431F7">
        <w:rPr>
          <w:rFonts w:ascii="Times New Roman" w:hAnsi="Times New Roman" w:cs="Times New Roman"/>
          <w:sz w:val="24"/>
          <w:szCs w:val="24"/>
        </w:rPr>
        <w:t xml:space="preserve"> ustawy zmienianej</w:t>
      </w:r>
      <w:r w:rsidR="00FF73B0" w:rsidRPr="000431F7">
        <w:rPr>
          <w:rFonts w:ascii="Times New Roman" w:hAnsi="Times New Roman" w:cs="Times New Roman"/>
          <w:sz w:val="24"/>
          <w:szCs w:val="24"/>
        </w:rPr>
        <w:t>;</w:t>
      </w:r>
    </w:p>
    <w:p w14:paraId="7CA4C589" w14:textId="27115DCF" w:rsidR="00691B28" w:rsidRPr="004742CC" w:rsidRDefault="00D6536B" w:rsidP="004742CC">
      <w:pPr>
        <w:spacing w:before="120" w:after="0" w:line="360" w:lineRule="auto"/>
        <w:ind w:left="426" w:hanging="426"/>
        <w:jc w:val="both"/>
        <w:rPr>
          <w:rFonts w:ascii="Times New Roman" w:hAnsi="Times New Roman" w:cs="Times New Roman"/>
          <w:color w:val="000000"/>
          <w:szCs w:val="24"/>
          <w:shd w:val="clear" w:color="auto" w:fill="FFFFFF"/>
        </w:rPr>
      </w:pPr>
      <w:r>
        <w:rPr>
          <w:rFonts w:ascii="Times New Roman" w:hAnsi="Times New Roman" w:cs="Times New Roman"/>
          <w:sz w:val="24"/>
          <w:szCs w:val="24"/>
        </w:rPr>
        <w:t>6</w:t>
      </w:r>
      <w:r w:rsidR="00FF73B0" w:rsidRPr="000431F7">
        <w:rPr>
          <w:rFonts w:ascii="Times New Roman" w:hAnsi="Times New Roman" w:cs="Times New Roman"/>
          <w:sz w:val="24"/>
          <w:szCs w:val="24"/>
        </w:rPr>
        <w:t>)</w:t>
      </w:r>
      <w:r w:rsidR="00396548">
        <w:rPr>
          <w:rFonts w:ascii="Times New Roman" w:hAnsi="Times New Roman" w:cs="Times New Roman"/>
          <w:sz w:val="24"/>
          <w:szCs w:val="24"/>
        </w:rPr>
        <w:tab/>
      </w:r>
      <w:r w:rsidR="00FF73B0" w:rsidRPr="000431F7">
        <w:rPr>
          <w:rFonts w:ascii="Times New Roman" w:hAnsi="Times New Roman" w:cs="Times New Roman"/>
          <w:sz w:val="24"/>
          <w:szCs w:val="24"/>
        </w:rPr>
        <w:t xml:space="preserve">zmiany art. 86 ust. 5 mają na celu implementację </w:t>
      </w:r>
      <w:r w:rsidR="00664C79" w:rsidRPr="000431F7">
        <w:rPr>
          <w:rFonts w:ascii="Times New Roman" w:hAnsi="Times New Roman" w:cs="Times New Roman"/>
          <w:sz w:val="24"/>
          <w:szCs w:val="24"/>
        </w:rPr>
        <w:t>zmiany art. 19 ust. 6 akapit drugi dyrektywy 2015/2366, wprowadzonej art. 7 pkt 3 dyrektywy 2022/2556. Art. 86 ust. 5 reguluje powierzanie czynności operacyjnych związanych ze świadczeniem usług płatniczych lub z działalnością w zakresie wydawania pieniądza elektronicznego, z uwagi na powyższe przepis ten wymaga uzupełnienia w związku ze zmian</w:t>
      </w:r>
      <w:r w:rsidR="00042C2D" w:rsidRPr="000431F7">
        <w:rPr>
          <w:rFonts w:ascii="Times New Roman" w:hAnsi="Times New Roman" w:cs="Times New Roman"/>
          <w:sz w:val="24"/>
          <w:szCs w:val="24"/>
        </w:rPr>
        <w:t>ą</w:t>
      </w:r>
      <w:r w:rsidR="00664C79" w:rsidRPr="000431F7">
        <w:rPr>
          <w:rFonts w:ascii="Times New Roman" w:hAnsi="Times New Roman" w:cs="Times New Roman"/>
          <w:sz w:val="24"/>
          <w:szCs w:val="24"/>
        </w:rPr>
        <w:t xml:space="preserve"> brzmienia art. 19 ust.</w:t>
      </w:r>
      <w:r>
        <w:rPr>
          <w:rFonts w:ascii="Times New Roman" w:hAnsi="Times New Roman" w:cs="Times New Roman"/>
          <w:sz w:val="24"/>
          <w:szCs w:val="24"/>
        </w:rPr>
        <w:t> </w:t>
      </w:r>
      <w:r w:rsidR="00664C79" w:rsidRPr="000431F7">
        <w:rPr>
          <w:rFonts w:ascii="Times New Roman" w:hAnsi="Times New Roman" w:cs="Times New Roman"/>
          <w:sz w:val="24"/>
          <w:szCs w:val="24"/>
        </w:rPr>
        <w:t xml:space="preserve">6 akapit drugi dyrektywy </w:t>
      </w:r>
      <w:r w:rsidR="00FA216D" w:rsidRPr="000431F7">
        <w:rPr>
          <w:rFonts w:ascii="Times New Roman" w:hAnsi="Times New Roman" w:cs="Times New Roman"/>
          <w:sz w:val="24"/>
          <w:szCs w:val="24"/>
        </w:rPr>
        <w:t>PSD II</w:t>
      </w:r>
      <w:r w:rsidR="00664C79" w:rsidRPr="000431F7">
        <w:rPr>
          <w:rFonts w:ascii="Times New Roman" w:hAnsi="Times New Roman" w:cs="Times New Roman"/>
          <w:sz w:val="24"/>
          <w:szCs w:val="24"/>
        </w:rPr>
        <w:t xml:space="preserve">, który reguluje </w:t>
      </w:r>
      <w:r w:rsidR="00664C79" w:rsidRPr="004742CC">
        <w:rPr>
          <w:rFonts w:ascii="Times New Roman" w:hAnsi="Times New Roman" w:cs="Times New Roman"/>
          <w:color w:val="000000"/>
          <w:sz w:val="24"/>
          <w:szCs w:val="24"/>
          <w:shd w:val="clear" w:color="auto" w:fill="FFFFFF"/>
        </w:rPr>
        <w:t>zlecanie w ramach outsourcingu ważnych funkcji operacyjnych, łącznie z systemami ICT</w:t>
      </w:r>
      <w:r w:rsidR="00F15370" w:rsidRPr="004742CC">
        <w:rPr>
          <w:rFonts w:ascii="Times New Roman" w:hAnsi="Times New Roman" w:cs="Times New Roman"/>
          <w:color w:val="000000"/>
          <w:sz w:val="24"/>
          <w:szCs w:val="24"/>
          <w:shd w:val="clear" w:color="auto" w:fill="FFFFFF"/>
        </w:rPr>
        <w:t>.</w:t>
      </w:r>
    </w:p>
    <w:p w14:paraId="5DFE491D" w14:textId="5D3586E2" w:rsidR="00F15370" w:rsidRPr="000431F7" w:rsidRDefault="00B41A0A" w:rsidP="004742CC">
      <w:pPr>
        <w:pStyle w:val="ARTartustawynprozporzdzenia"/>
        <w:tabs>
          <w:tab w:val="left" w:pos="426"/>
        </w:tabs>
        <w:ind w:firstLine="0"/>
        <w:rPr>
          <w:rFonts w:ascii="Times New Roman" w:hAnsi="Times New Roman" w:cs="Times New Roman"/>
          <w:szCs w:val="24"/>
        </w:rPr>
      </w:pPr>
      <w:r w:rsidRPr="000431F7">
        <w:rPr>
          <w:rFonts w:ascii="Times New Roman" w:hAnsi="Times New Roman" w:cs="Times New Roman"/>
          <w:b/>
          <w:szCs w:val="24"/>
        </w:rPr>
        <w:t>1</w:t>
      </w:r>
      <w:r w:rsidR="00A00123" w:rsidRPr="000431F7">
        <w:rPr>
          <w:rFonts w:ascii="Times New Roman" w:hAnsi="Times New Roman" w:cs="Times New Roman"/>
          <w:b/>
          <w:szCs w:val="24"/>
        </w:rPr>
        <w:t>1</w:t>
      </w:r>
      <w:r w:rsidR="00F15370" w:rsidRPr="000431F7">
        <w:rPr>
          <w:rFonts w:ascii="Times New Roman" w:hAnsi="Times New Roman" w:cs="Times New Roman"/>
          <w:b/>
          <w:szCs w:val="24"/>
        </w:rPr>
        <w:t>.</w:t>
      </w:r>
      <w:r w:rsidR="00B66E01">
        <w:rPr>
          <w:rFonts w:ascii="Times New Roman" w:hAnsi="Times New Roman" w:cs="Times New Roman"/>
          <w:b/>
          <w:szCs w:val="24"/>
        </w:rPr>
        <w:tab/>
      </w:r>
      <w:r w:rsidR="00D6536B">
        <w:rPr>
          <w:rFonts w:ascii="Times New Roman" w:hAnsi="Times New Roman" w:cs="Times New Roman"/>
          <w:b/>
          <w:szCs w:val="24"/>
        </w:rPr>
        <w:t>Z</w:t>
      </w:r>
      <w:r w:rsidR="00F15370" w:rsidRPr="000431F7">
        <w:rPr>
          <w:rFonts w:ascii="Times New Roman" w:hAnsi="Times New Roman" w:cs="Times New Roman"/>
          <w:b/>
          <w:szCs w:val="24"/>
        </w:rPr>
        <w:t xml:space="preserve">miany w </w:t>
      </w:r>
      <w:r w:rsidR="00F15370" w:rsidRPr="004742CC">
        <w:rPr>
          <w:rFonts w:ascii="Times New Roman" w:hAnsi="Times New Roman" w:cs="Times New Roman"/>
          <w:b/>
          <w:bCs/>
          <w:szCs w:val="24"/>
        </w:rPr>
        <w:t>ustawie z dnia 15 stycznia 2015 r. o obligacjach</w:t>
      </w:r>
      <w:r w:rsidR="00F15370" w:rsidRPr="004742CC">
        <w:rPr>
          <w:rFonts w:ascii="Times New Roman" w:hAnsi="Times New Roman" w:cs="Times New Roman"/>
          <w:szCs w:val="24"/>
        </w:rPr>
        <w:t xml:space="preserve"> </w:t>
      </w:r>
      <w:r w:rsidR="00F15370" w:rsidRPr="000431F7">
        <w:rPr>
          <w:rFonts w:ascii="Times New Roman" w:hAnsi="Times New Roman" w:cs="Times New Roman"/>
          <w:b/>
          <w:szCs w:val="24"/>
        </w:rPr>
        <w:t xml:space="preserve">(art. </w:t>
      </w:r>
      <w:r w:rsidRPr="000431F7">
        <w:rPr>
          <w:rFonts w:ascii="Times New Roman" w:hAnsi="Times New Roman" w:cs="Times New Roman"/>
          <w:b/>
          <w:szCs w:val="24"/>
        </w:rPr>
        <w:t>1</w:t>
      </w:r>
      <w:r w:rsidR="00A00123" w:rsidRPr="000431F7">
        <w:rPr>
          <w:rFonts w:ascii="Times New Roman" w:hAnsi="Times New Roman" w:cs="Times New Roman"/>
          <w:b/>
          <w:szCs w:val="24"/>
        </w:rPr>
        <w:t>1</w:t>
      </w:r>
      <w:r w:rsidR="00F15370" w:rsidRPr="000431F7">
        <w:rPr>
          <w:rFonts w:ascii="Times New Roman" w:hAnsi="Times New Roman" w:cs="Times New Roman"/>
          <w:b/>
          <w:szCs w:val="24"/>
        </w:rPr>
        <w:t>)</w:t>
      </w:r>
    </w:p>
    <w:p w14:paraId="0235B930" w14:textId="1C53A093" w:rsidR="00713AC9" w:rsidRPr="000431F7" w:rsidRDefault="00E63040" w:rsidP="004742CC">
      <w:pPr>
        <w:spacing w:before="120" w:after="0" w:line="360" w:lineRule="auto"/>
        <w:jc w:val="both"/>
        <w:rPr>
          <w:rFonts w:ascii="Times New Roman" w:hAnsi="Times New Roman" w:cs="Times New Roman"/>
          <w:sz w:val="24"/>
          <w:szCs w:val="24"/>
        </w:rPr>
      </w:pPr>
      <w:r w:rsidRPr="000431F7">
        <w:rPr>
          <w:rFonts w:ascii="Times New Roman" w:hAnsi="Times New Roman" w:cs="Times New Roman"/>
          <w:b/>
          <w:bCs/>
          <w:sz w:val="24"/>
          <w:szCs w:val="24"/>
        </w:rPr>
        <w:t xml:space="preserve">Art. </w:t>
      </w:r>
      <w:r w:rsidR="00B41A0A" w:rsidRPr="000431F7">
        <w:rPr>
          <w:rFonts w:ascii="Times New Roman" w:hAnsi="Times New Roman" w:cs="Times New Roman"/>
          <w:b/>
          <w:bCs/>
          <w:sz w:val="24"/>
          <w:szCs w:val="24"/>
        </w:rPr>
        <w:t>1</w:t>
      </w:r>
      <w:r w:rsidR="00A00123" w:rsidRPr="000431F7">
        <w:rPr>
          <w:rFonts w:ascii="Times New Roman" w:hAnsi="Times New Roman" w:cs="Times New Roman"/>
          <w:b/>
          <w:bCs/>
          <w:sz w:val="24"/>
          <w:szCs w:val="24"/>
        </w:rPr>
        <w:t>1</w:t>
      </w:r>
      <w:r w:rsidRPr="000431F7">
        <w:rPr>
          <w:rFonts w:ascii="Times New Roman" w:hAnsi="Times New Roman" w:cs="Times New Roman"/>
          <w:sz w:val="24"/>
          <w:szCs w:val="24"/>
        </w:rPr>
        <w:t xml:space="preserve"> wprowadza zmiany w ustawie z dnia 15 stycznia 2015 r. o obligacjach mające na celu zapewnienie stosowania rozporządzenia 2023/2631. </w:t>
      </w:r>
    </w:p>
    <w:p w14:paraId="427D508F" w14:textId="77777777" w:rsidR="003D335A" w:rsidRPr="000431F7" w:rsidRDefault="00A858B5" w:rsidP="004742CC">
      <w:pPr>
        <w:spacing w:before="120" w:after="0" w:line="360" w:lineRule="auto"/>
        <w:jc w:val="both"/>
        <w:rPr>
          <w:rFonts w:ascii="Times New Roman" w:hAnsi="Times New Roman" w:cs="Times New Roman"/>
          <w:sz w:val="24"/>
          <w:szCs w:val="24"/>
        </w:rPr>
      </w:pPr>
      <w:r w:rsidRPr="000431F7">
        <w:rPr>
          <w:rFonts w:ascii="Times New Roman" w:hAnsi="Times New Roman" w:cs="Times New Roman"/>
          <w:sz w:val="24"/>
          <w:szCs w:val="24"/>
        </w:rPr>
        <w:t>Zmodyfikowano dotychczasow</w:t>
      </w:r>
      <w:r w:rsidR="00713AC9" w:rsidRPr="000431F7">
        <w:rPr>
          <w:rFonts w:ascii="Times New Roman" w:hAnsi="Times New Roman" w:cs="Times New Roman"/>
          <w:sz w:val="24"/>
          <w:szCs w:val="24"/>
        </w:rPr>
        <w:t>e brzmienie</w:t>
      </w:r>
      <w:r w:rsidRPr="000431F7">
        <w:rPr>
          <w:rFonts w:ascii="Times New Roman" w:hAnsi="Times New Roman" w:cs="Times New Roman"/>
          <w:sz w:val="24"/>
          <w:szCs w:val="24"/>
        </w:rPr>
        <w:t xml:space="preserve"> </w:t>
      </w:r>
      <w:r w:rsidR="003C1080" w:rsidRPr="000431F7">
        <w:rPr>
          <w:rFonts w:ascii="Times New Roman" w:hAnsi="Times New Roman" w:cs="Times New Roman"/>
          <w:sz w:val="24"/>
          <w:szCs w:val="24"/>
        </w:rPr>
        <w:t>art. 6 ust.</w:t>
      </w:r>
      <w:r w:rsidR="005F72F3" w:rsidRPr="000431F7">
        <w:rPr>
          <w:rFonts w:ascii="Times New Roman" w:hAnsi="Times New Roman" w:cs="Times New Roman"/>
          <w:sz w:val="24"/>
          <w:szCs w:val="24"/>
        </w:rPr>
        <w:t xml:space="preserve"> </w:t>
      </w:r>
      <w:r w:rsidR="003C1080" w:rsidRPr="000431F7">
        <w:rPr>
          <w:rFonts w:ascii="Times New Roman" w:hAnsi="Times New Roman" w:cs="Times New Roman"/>
          <w:sz w:val="24"/>
          <w:szCs w:val="24"/>
        </w:rPr>
        <w:t>2 pkt 4</w:t>
      </w:r>
      <w:r w:rsidR="005D6894" w:rsidRPr="000431F7">
        <w:rPr>
          <w:rFonts w:ascii="Times New Roman" w:hAnsi="Times New Roman" w:cs="Times New Roman"/>
          <w:b/>
          <w:bCs/>
          <w:sz w:val="24"/>
          <w:szCs w:val="24"/>
        </w:rPr>
        <w:t xml:space="preserve"> </w:t>
      </w:r>
      <w:r w:rsidR="005D6894" w:rsidRPr="000431F7">
        <w:rPr>
          <w:rFonts w:ascii="Times New Roman" w:hAnsi="Times New Roman" w:cs="Times New Roman"/>
          <w:sz w:val="24"/>
          <w:szCs w:val="24"/>
        </w:rPr>
        <w:t>ustawy o obligacjach</w:t>
      </w:r>
      <w:r w:rsidRPr="000431F7">
        <w:rPr>
          <w:rFonts w:ascii="Times New Roman" w:hAnsi="Times New Roman" w:cs="Times New Roman"/>
          <w:sz w:val="24"/>
          <w:szCs w:val="24"/>
        </w:rPr>
        <w:t>.</w:t>
      </w:r>
      <w:r w:rsidR="005F72F3" w:rsidRPr="000431F7">
        <w:rPr>
          <w:rFonts w:ascii="Times New Roman" w:hAnsi="Times New Roman" w:cs="Times New Roman"/>
          <w:sz w:val="24"/>
          <w:szCs w:val="24"/>
        </w:rPr>
        <w:t xml:space="preserve"> </w:t>
      </w:r>
      <w:r w:rsidR="00713AC9" w:rsidRPr="000431F7">
        <w:rPr>
          <w:rFonts w:ascii="Times New Roman" w:hAnsi="Times New Roman" w:cs="Times New Roman"/>
          <w:sz w:val="24"/>
          <w:szCs w:val="24"/>
        </w:rPr>
        <w:t xml:space="preserve">W celu uniknięcia wątpliwości interpretacyjnych, ale także </w:t>
      </w:r>
      <w:r w:rsidR="003C1080" w:rsidRPr="000431F7">
        <w:rPr>
          <w:rFonts w:ascii="Times New Roman" w:hAnsi="Times New Roman" w:cs="Times New Roman"/>
          <w:sz w:val="24"/>
          <w:szCs w:val="24"/>
        </w:rPr>
        <w:t xml:space="preserve">dla uniknięcia niepotrzebnego dublowania treści w dokumentach emisyjnych przygotowywanych w związku z emisją </w:t>
      </w:r>
      <w:r w:rsidR="00F855A1" w:rsidRPr="000431F7">
        <w:rPr>
          <w:rFonts w:ascii="Times New Roman" w:hAnsi="Times New Roman" w:cs="Times New Roman"/>
          <w:sz w:val="24"/>
          <w:szCs w:val="24"/>
        </w:rPr>
        <w:t xml:space="preserve">europejskich </w:t>
      </w:r>
      <w:r w:rsidR="003C1080" w:rsidRPr="000431F7">
        <w:rPr>
          <w:rFonts w:ascii="Times New Roman" w:hAnsi="Times New Roman" w:cs="Times New Roman"/>
          <w:sz w:val="24"/>
          <w:szCs w:val="24"/>
        </w:rPr>
        <w:t>zielonych obligacji,</w:t>
      </w:r>
      <w:r w:rsidR="00F855A1" w:rsidRPr="000431F7">
        <w:rPr>
          <w:rFonts w:ascii="Times New Roman" w:hAnsi="Times New Roman" w:cs="Times New Roman"/>
          <w:sz w:val="24"/>
          <w:szCs w:val="24"/>
        </w:rPr>
        <w:t xml:space="preserve"> zdecydowano się uregulować praktykę emitentów przy opisywaniu celu emisji w warunkach emisji.</w:t>
      </w:r>
      <w:r w:rsidR="005F72F3" w:rsidRPr="000431F7">
        <w:rPr>
          <w:rFonts w:ascii="Times New Roman" w:hAnsi="Times New Roman" w:cs="Times New Roman"/>
          <w:sz w:val="24"/>
          <w:szCs w:val="24"/>
        </w:rPr>
        <w:t xml:space="preserve"> W</w:t>
      </w:r>
      <w:r w:rsidR="00713AC9" w:rsidRPr="000431F7">
        <w:rPr>
          <w:rFonts w:ascii="Times New Roman" w:hAnsi="Times New Roman" w:cs="Times New Roman"/>
          <w:sz w:val="24"/>
          <w:szCs w:val="24"/>
        </w:rPr>
        <w:t xml:space="preserve"> przypadku tego rodzaju papierów dłużnych w warunkach emisji </w:t>
      </w:r>
      <w:r w:rsidR="005F72F3" w:rsidRPr="000431F7">
        <w:rPr>
          <w:rFonts w:ascii="Times New Roman" w:hAnsi="Times New Roman" w:cs="Times New Roman"/>
          <w:sz w:val="24"/>
          <w:szCs w:val="24"/>
        </w:rPr>
        <w:t xml:space="preserve">należy </w:t>
      </w:r>
      <w:r w:rsidR="00F855A1" w:rsidRPr="000431F7">
        <w:rPr>
          <w:rFonts w:ascii="Times New Roman" w:hAnsi="Times New Roman" w:cs="Times New Roman"/>
          <w:sz w:val="24"/>
          <w:szCs w:val="24"/>
        </w:rPr>
        <w:t>ogóln</w:t>
      </w:r>
      <w:r w:rsidR="005F72F3" w:rsidRPr="000431F7">
        <w:rPr>
          <w:rFonts w:ascii="Times New Roman" w:hAnsi="Times New Roman" w:cs="Times New Roman"/>
          <w:sz w:val="24"/>
          <w:szCs w:val="24"/>
        </w:rPr>
        <w:t>ie</w:t>
      </w:r>
      <w:r w:rsidR="00F855A1" w:rsidRPr="000431F7">
        <w:rPr>
          <w:rFonts w:ascii="Times New Roman" w:hAnsi="Times New Roman" w:cs="Times New Roman"/>
          <w:sz w:val="24"/>
          <w:szCs w:val="24"/>
        </w:rPr>
        <w:t xml:space="preserve"> wskaza</w:t>
      </w:r>
      <w:r w:rsidR="005F72F3" w:rsidRPr="000431F7">
        <w:rPr>
          <w:rFonts w:ascii="Times New Roman" w:hAnsi="Times New Roman" w:cs="Times New Roman"/>
          <w:sz w:val="24"/>
          <w:szCs w:val="24"/>
        </w:rPr>
        <w:t xml:space="preserve">ć ten cel </w:t>
      </w:r>
      <w:r w:rsidR="00F855A1" w:rsidRPr="000431F7">
        <w:rPr>
          <w:rFonts w:ascii="Times New Roman" w:hAnsi="Times New Roman" w:cs="Times New Roman"/>
          <w:sz w:val="24"/>
          <w:szCs w:val="24"/>
        </w:rPr>
        <w:t>wraz z informacją, że planowana alokacja przychodów z obligacji została określona w arkuszu informacyjnym europejskiej zielonej obligacji, o którym mowa w art. 10 ust. 1 lit. a rozporządzenia 2023/2631.</w:t>
      </w:r>
    </w:p>
    <w:p w14:paraId="6F55509C" w14:textId="6522C101" w:rsidR="005F0738" w:rsidRPr="000431F7" w:rsidRDefault="003C1080" w:rsidP="004742CC">
      <w:pPr>
        <w:spacing w:before="120" w:after="0" w:line="360" w:lineRule="auto"/>
        <w:jc w:val="both"/>
        <w:rPr>
          <w:rFonts w:ascii="Times New Roman" w:hAnsi="Times New Roman" w:cs="Times New Roman"/>
          <w:sz w:val="24"/>
          <w:szCs w:val="24"/>
        </w:rPr>
      </w:pPr>
      <w:r w:rsidRPr="000431F7">
        <w:rPr>
          <w:rFonts w:ascii="Times New Roman" w:hAnsi="Times New Roman" w:cs="Times New Roman"/>
          <w:sz w:val="24"/>
          <w:szCs w:val="24"/>
        </w:rPr>
        <w:lastRenderedPageBreak/>
        <w:t>Ponadto uchyl</w:t>
      </w:r>
      <w:r w:rsidR="00AF3CE3" w:rsidRPr="000431F7">
        <w:rPr>
          <w:rFonts w:ascii="Times New Roman" w:hAnsi="Times New Roman" w:cs="Times New Roman"/>
          <w:sz w:val="24"/>
          <w:szCs w:val="24"/>
        </w:rPr>
        <w:t>ono</w:t>
      </w:r>
      <w:r w:rsidR="005F0738" w:rsidRPr="000431F7">
        <w:rPr>
          <w:rFonts w:ascii="Times New Roman" w:hAnsi="Times New Roman" w:cs="Times New Roman"/>
          <w:sz w:val="24"/>
          <w:szCs w:val="24"/>
        </w:rPr>
        <w:t xml:space="preserve"> art. 27p–27r</w:t>
      </w:r>
      <w:r w:rsidR="005D6894" w:rsidRPr="000431F7">
        <w:rPr>
          <w:rFonts w:ascii="Times New Roman" w:hAnsi="Times New Roman" w:cs="Times New Roman"/>
          <w:b/>
          <w:bCs/>
          <w:sz w:val="24"/>
          <w:szCs w:val="24"/>
        </w:rPr>
        <w:t xml:space="preserve"> </w:t>
      </w:r>
      <w:r w:rsidR="005D6894" w:rsidRPr="000431F7">
        <w:rPr>
          <w:rFonts w:ascii="Times New Roman" w:hAnsi="Times New Roman" w:cs="Times New Roman"/>
          <w:sz w:val="24"/>
          <w:szCs w:val="24"/>
        </w:rPr>
        <w:t>tej ustawy</w:t>
      </w:r>
      <w:r w:rsidR="00AF3CE3" w:rsidRPr="000431F7">
        <w:rPr>
          <w:rFonts w:ascii="Times New Roman" w:hAnsi="Times New Roman" w:cs="Times New Roman"/>
          <w:sz w:val="24"/>
          <w:szCs w:val="24"/>
        </w:rPr>
        <w:t>.</w:t>
      </w:r>
      <w:r w:rsidR="00293434" w:rsidRPr="000431F7">
        <w:rPr>
          <w:rFonts w:ascii="Times New Roman" w:hAnsi="Times New Roman" w:cs="Times New Roman"/>
          <w:sz w:val="24"/>
          <w:szCs w:val="24"/>
        </w:rPr>
        <w:t xml:space="preserve"> </w:t>
      </w:r>
      <w:r w:rsidR="00AF3CE3" w:rsidRPr="000431F7">
        <w:rPr>
          <w:rFonts w:ascii="Times New Roman" w:hAnsi="Times New Roman" w:cs="Times New Roman"/>
          <w:sz w:val="24"/>
          <w:szCs w:val="24"/>
        </w:rPr>
        <w:t>Ma to</w:t>
      </w:r>
      <w:r w:rsidR="005F0738" w:rsidRPr="000431F7">
        <w:rPr>
          <w:rFonts w:ascii="Times New Roman" w:hAnsi="Times New Roman" w:cs="Times New Roman"/>
          <w:sz w:val="24"/>
          <w:szCs w:val="24"/>
        </w:rPr>
        <w:t xml:space="preserve"> na celu usunięcie tzw. </w:t>
      </w:r>
      <w:proofErr w:type="spellStart"/>
      <w:r w:rsidR="005F0738" w:rsidRPr="000431F7">
        <w:rPr>
          <w:rFonts w:ascii="Times New Roman" w:hAnsi="Times New Roman" w:cs="Times New Roman"/>
          <w:sz w:val="24"/>
          <w:szCs w:val="24"/>
        </w:rPr>
        <w:t>gold</w:t>
      </w:r>
      <w:proofErr w:type="spellEnd"/>
      <w:r w:rsidR="005F0738" w:rsidRPr="000431F7">
        <w:rPr>
          <w:rFonts w:ascii="Times New Roman" w:hAnsi="Times New Roman" w:cs="Times New Roman"/>
          <w:sz w:val="24"/>
          <w:szCs w:val="24"/>
        </w:rPr>
        <w:t xml:space="preserve"> </w:t>
      </w:r>
      <w:proofErr w:type="spellStart"/>
      <w:r w:rsidR="005F0738" w:rsidRPr="000431F7">
        <w:rPr>
          <w:rFonts w:ascii="Times New Roman" w:hAnsi="Times New Roman" w:cs="Times New Roman"/>
          <w:sz w:val="24"/>
          <w:szCs w:val="24"/>
        </w:rPr>
        <w:t>platingu</w:t>
      </w:r>
      <w:proofErr w:type="spellEnd"/>
      <w:r w:rsidR="005F0738" w:rsidRPr="000431F7">
        <w:rPr>
          <w:rFonts w:ascii="Times New Roman" w:hAnsi="Times New Roman" w:cs="Times New Roman"/>
          <w:sz w:val="24"/>
          <w:szCs w:val="24"/>
        </w:rPr>
        <w:t>, który z uwagi na przepisy art. 27p ust. 1 wiąże cel emisji obligacji transformacyjnej z tożsamym celem emisji europejskich zielonych obligacji (</w:t>
      </w:r>
      <w:proofErr w:type="spellStart"/>
      <w:r w:rsidR="005F0738" w:rsidRPr="000431F7">
        <w:rPr>
          <w:rFonts w:ascii="Times New Roman" w:hAnsi="Times New Roman" w:cs="Times New Roman"/>
          <w:sz w:val="24"/>
          <w:szCs w:val="24"/>
        </w:rPr>
        <w:t>EuGB</w:t>
      </w:r>
      <w:proofErr w:type="spellEnd"/>
      <w:r w:rsidR="005F0738" w:rsidRPr="000431F7">
        <w:rPr>
          <w:rFonts w:ascii="Times New Roman" w:hAnsi="Times New Roman" w:cs="Times New Roman"/>
          <w:sz w:val="24"/>
          <w:szCs w:val="24"/>
        </w:rPr>
        <w:t>). Rozwiązanie to sprawia, że każda emitowana na podstawie tej ustawy europejska zielona obligacja stawałaby się z automatu obligacją transformacyjną, a co za tym idzie</w:t>
      </w:r>
      <w:r w:rsidR="00056381">
        <w:rPr>
          <w:rFonts w:ascii="Times New Roman" w:hAnsi="Times New Roman" w:cs="Times New Roman"/>
          <w:sz w:val="24"/>
          <w:szCs w:val="24"/>
        </w:rPr>
        <w:t>,</w:t>
      </w:r>
      <w:r w:rsidR="005F0738" w:rsidRPr="000431F7">
        <w:rPr>
          <w:rFonts w:ascii="Times New Roman" w:hAnsi="Times New Roman" w:cs="Times New Roman"/>
          <w:sz w:val="24"/>
          <w:szCs w:val="24"/>
        </w:rPr>
        <w:t xml:space="preserve"> jej emitent musiałaby dodatkowo spełniać wymagania określone dla takich obligacji</w:t>
      </w:r>
      <w:r w:rsidR="00293434" w:rsidRPr="000431F7">
        <w:rPr>
          <w:rFonts w:ascii="Times New Roman" w:hAnsi="Times New Roman" w:cs="Times New Roman"/>
          <w:sz w:val="24"/>
          <w:szCs w:val="24"/>
        </w:rPr>
        <w:t xml:space="preserve"> </w:t>
      </w:r>
      <w:r w:rsidR="005F0738" w:rsidRPr="000431F7">
        <w:rPr>
          <w:rFonts w:ascii="Times New Roman" w:hAnsi="Times New Roman" w:cs="Times New Roman"/>
          <w:sz w:val="24"/>
          <w:szCs w:val="24"/>
        </w:rPr>
        <w:t>(np. uzyskanie ratingu, zapewnienie minimalnej wartości emisji w kwocie 20 mln zł czy przyjęcie minimalnej wartość nominalnej dla europejskiej zielonej obligacji w kwocie 1 tys. zł).</w:t>
      </w:r>
    </w:p>
    <w:p w14:paraId="780A673E" w14:textId="6CE4A1F0" w:rsidR="00691B28" w:rsidRPr="000431F7" w:rsidRDefault="00E63040" w:rsidP="004742CC">
      <w:pPr>
        <w:pStyle w:val="LITlitera"/>
        <w:tabs>
          <w:tab w:val="left" w:pos="426"/>
        </w:tabs>
        <w:spacing w:before="120"/>
        <w:ind w:left="0" w:firstLine="0"/>
        <w:rPr>
          <w:rFonts w:ascii="Times New Roman" w:hAnsi="Times New Roman" w:cs="Times New Roman"/>
          <w:b/>
          <w:bCs w:val="0"/>
          <w:szCs w:val="24"/>
        </w:rPr>
      </w:pPr>
      <w:r w:rsidRPr="000431F7">
        <w:rPr>
          <w:rFonts w:ascii="Times New Roman" w:hAnsi="Times New Roman" w:cs="Times New Roman"/>
          <w:b/>
          <w:bCs w:val="0"/>
          <w:szCs w:val="24"/>
        </w:rPr>
        <w:t>1</w:t>
      </w:r>
      <w:r w:rsidR="00A00123" w:rsidRPr="000431F7">
        <w:rPr>
          <w:rFonts w:ascii="Times New Roman" w:hAnsi="Times New Roman" w:cs="Times New Roman"/>
          <w:b/>
          <w:bCs w:val="0"/>
          <w:szCs w:val="24"/>
        </w:rPr>
        <w:t>2</w:t>
      </w:r>
      <w:r w:rsidR="00691B28" w:rsidRPr="000431F7">
        <w:rPr>
          <w:rFonts w:ascii="Times New Roman" w:hAnsi="Times New Roman" w:cs="Times New Roman"/>
          <w:b/>
          <w:bCs w:val="0"/>
          <w:szCs w:val="24"/>
        </w:rPr>
        <w:t>.</w:t>
      </w:r>
      <w:r w:rsidR="00B66E01">
        <w:rPr>
          <w:rFonts w:ascii="Times New Roman" w:hAnsi="Times New Roman" w:cs="Times New Roman"/>
          <w:b/>
          <w:bCs w:val="0"/>
          <w:szCs w:val="24"/>
        </w:rPr>
        <w:tab/>
      </w:r>
      <w:r w:rsidR="00056381">
        <w:rPr>
          <w:rFonts w:ascii="Times New Roman" w:hAnsi="Times New Roman" w:cs="Times New Roman"/>
          <w:b/>
          <w:bCs w:val="0"/>
          <w:szCs w:val="24"/>
        </w:rPr>
        <w:t>Z</w:t>
      </w:r>
      <w:r w:rsidR="00691B28" w:rsidRPr="000431F7">
        <w:rPr>
          <w:rFonts w:ascii="Times New Roman" w:hAnsi="Times New Roman" w:cs="Times New Roman"/>
          <w:b/>
          <w:bCs w:val="0"/>
          <w:szCs w:val="24"/>
        </w:rPr>
        <w:t>miany w ustawie z dnia 5 sierpnia 2015 r. o rozpatrywaniu reklamacji przez podmioty rynku finansowego, o Rzeczniku Finansowym i o Funduszu Edukacji Finansowej</w:t>
      </w:r>
      <w:r w:rsidR="00B41D91" w:rsidRPr="000431F7">
        <w:rPr>
          <w:rFonts w:ascii="Times New Roman" w:hAnsi="Times New Roman" w:cs="Times New Roman"/>
          <w:b/>
          <w:bCs w:val="0"/>
          <w:szCs w:val="24"/>
        </w:rPr>
        <w:t xml:space="preserve"> (art. </w:t>
      </w:r>
      <w:r w:rsidR="003C1AC6" w:rsidRPr="000431F7">
        <w:rPr>
          <w:rFonts w:ascii="Times New Roman" w:hAnsi="Times New Roman" w:cs="Times New Roman"/>
          <w:b/>
          <w:bCs w:val="0"/>
          <w:szCs w:val="24"/>
        </w:rPr>
        <w:t>1</w:t>
      </w:r>
      <w:r w:rsidR="00A00123" w:rsidRPr="000431F7">
        <w:rPr>
          <w:rFonts w:ascii="Times New Roman" w:hAnsi="Times New Roman" w:cs="Times New Roman"/>
          <w:b/>
          <w:bCs w:val="0"/>
          <w:szCs w:val="24"/>
        </w:rPr>
        <w:t>2</w:t>
      </w:r>
      <w:r w:rsidR="00B41D91" w:rsidRPr="000431F7">
        <w:rPr>
          <w:rFonts w:ascii="Times New Roman" w:hAnsi="Times New Roman" w:cs="Times New Roman"/>
          <w:b/>
          <w:bCs w:val="0"/>
          <w:szCs w:val="24"/>
        </w:rPr>
        <w:t>)</w:t>
      </w:r>
    </w:p>
    <w:p w14:paraId="2281A32D" w14:textId="6628B614" w:rsidR="00EF6E1D" w:rsidRPr="000431F7" w:rsidRDefault="003C2362" w:rsidP="004742CC">
      <w:pPr>
        <w:pStyle w:val="ARTartustawynprozporzdzenia"/>
        <w:ind w:firstLine="0"/>
        <w:rPr>
          <w:rFonts w:ascii="Times New Roman" w:hAnsi="Times New Roman" w:cs="Times New Roman"/>
          <w:szCs w:val="24"/>
        </w:rPr>
      </w:pPr>
      <w:r w:rsidRPr="000431F7">
        <w:rPr>
          <w:rStyle w:val="Ppogrubienie"/>
          <w:rFonts w:ascii="Times New Roman" w:hAnsi="Times New Roman" w:cs="Times New Roman"/>
          <w:szCs w:val="24"/>
        </w:rPr>
        <w:t>Art. </w:t>
      </w:r>
      <w:r w:rsidR="003C1AC6" w:rsidRPr="000431F7">
        <w:rPr>
          <w:rStyle w:val="Ppogrubienie"/>
          <w:rFonts w:ascii="Times New Roman" w:hAnsi="Times New Roman" w:cs="Times New Roman"/>
          <w:szCs w:val="24"/>
        </w:rPr>
        <w:t>1</w:t>
      </w:r>
      <w:r w:rsidR="00A00123" w:rsidRPr="000431F7">
        <w:rPr>
          <w:rStyle w:val="Ppogrubienie"/>
          <w:rFonts w:ascii="Times New Roman" w:hAnsi="Times New Roman" w:cs="Times New Roman"/>
          <w:szCs w:val="24"/>
        </w:rPr>
        <w:t>2</w:t>
      </w:r>
      <w:r w:rsidRPr="000431F7">
        <w:rPr>
          <w:rFonts w:ascii="Times New Roman" w:hAnsi="Times New Roman" w:cs="Times New Roman"/>
          <w:szCs w:val="24"/>
        </w:rPr>
        <w:t> </w:t>
      </w:r>
      <w:r w:rsidR="00D30920" w:rsidRPr="000431F7">
        <w:rPr>
          <w:rFonts w:ascii="Times New Roman" w:hAnsi="Times New Roman" w:cs="Times New Roman"/>
          <w:szCs w:val="24"/>
        </w:rPr>
        <w:t>wprowadza zmiany w art. 43g pkt 1</w:t>
      </w:r>
      <w:r w:rsidR="00056381">
        <w:rPr>
          <w:rFonts w:ascii="Times New Roman" w:hAnsi="Times New Roman" w:cs="Times New Roman"/>
          <w:szCs w:val="24"/>
        </w:rPr>
        <w:t xml:space="preserve"> </w:t>
      </w:r>
      <w:r w:rsidR="00D30920" w:rsidRPr="000431F7">
        <w:rPr>
          <w:rFonts w:ascii="Times New Roman" w:hAnsi="Times New Roman" w:cs="Times New Roman"/>
          <w:szCs w:val="24"/>
        </w:rPr>
        <w:t>ustawy z dnia 5 sierpnia 2015 r. o rozpatrywaniu reklamacji przez podmioty rynku finansowego, o Rzeczniku Finansowym i o Funduszu Edukacji Finansowej</w:t>
      </w:r>
      <w:r w:rsidR="00987740">
        <w:rPr>
          <w:rFonts w:ascii="Times New Roman" w:hAnsi="Times New Roman" w:cs="Times New Roman"/>
          <w:szCs w:val="24"/>
        </w:rPr>
        <w:t xml:space="preserve"> </w:t>
      </w:r>
      <w:r w:rsidR="00D30920" w:rsidRPr="000431F7">
        <w:rPr>
          <w:rFonts w:ascii="Times New Roman" w:hAnsi="Times New Roman" w:cs="Times New Roman"/>
          <w:szCs w:val="24"/>
        </w:rPr>
        <w:t xml:space="preserve">o charakterze wynikowym, mające na celu uwzględnienie w przychodach Funduszu Edukacji Finansowej wpływów z tytułu </w:t>
      </w:r>
      <w:r w:rsidR="00102166" w:rsidRPr="000431F7">
        <w:rPr>
          <w:rFonts w:ascii="Times New Roman" w:hAnsi="Times New Roman" w:cs="Times New Roman"/>
          <w:szCs w:val="24"/>
        </w:rPr>
        <w:t>kar pieniężnych,</w:t>
      </w:r>
      <w:r w:rsidR="00987740">
        <w:rPr>
          <w:rFonts w:ascii="Times New Roman" w:hAnsi="Times New Roman" w:cs="Times New Roman"/>
          <w:szCs w:val="24"/>
        </w:rPr>
        <w:t xml:space="preserve"> </w:t>
      </w:r>
      <w:r w:rsidR="00102166" w:rsidRPr="000431F7">
        <w:rPr>
          <w:rFonts w:ascii="Times New Roman" w:hAnsi="Times New Roman" w:cs="Times New Roman"/>
          <w:szCs w:val="24"/>
        </w:rPr>
        <w:t>o których mowa w</w:t>
      </w:r>
      <w:r w:rsidR="00056381">
        <w:rPr>
          <w:rFonts w:ascii="Times New Roman" w:hAnsi="Times New Roman" w:cs="Times New Roman"/>
          <w:szCs w:val="24"/>
        </w:rPr>
        <w:t> </w:t>
      </w:r>
      <w:r w:rsidR="00102166" w:rsidRPr="000431F7">
        <w:rPr>
          <w:rFonts w:ascii="Times New Roman" w:hAnsi="Times New Roman" w:cs="Times New Roman"/>
          <w:szCs w:val="24"/>
        </w:rPr>
        <w:t>art.</w:t>
      </w:r>
      <w:r w:rsidR="00056381">
        <w:rPr>
          <w:rFonts w:ascii="Times New Roman" w:hAnsi="Times New Roman" w:cs="Times New Roman"/>
          <w:szCs w:val="24"/>
        </w:rPr>
        <w:t> </w:t>
      </w:r>
      <w:r w:rsidR="00102166" w:rsidRPr="004742CC">
        <w:rPr>
          <w:rFonts w:ascii="Times New Roman" w:hAnsi="Times New Roman" w:cs="Times New Roman"/>
          <w:szCs w:val="24"/>
        </w:rPr>
        <w:t>18z</w:t>
      </w:r>
      <w:r w:rsidR="00FA216D" w:rsidRPr="004742CC">
        <w:rPr>
          <w:rFonts w:ascii="Times New Roman" w:hAnsi="Times New Roman" w:cs="Times New Roman"/>
          <w:szCs w:val="24"/>
        </w:rPr>
        <w:t>m</w:t>
      </w:r>
      <w:r w:rsidR="00102166" w:rsidRPr="004742CC">
        <w:rPr>
          <w:rFonts w:ascii="Times New Roman" w:hAnsi="Times New Roman" w:cs="Times New Roman"/>
          <w:szCs w:val="24"/>
        </w:rPr>
        <w:t xml:space="preserve"> ust. 1 pkt 3</w:t>
      </w:r>
      <w:r w:rsidR="00042C2D" w:rsidRPr="004742CC">
        <w:rPr>
          <w:rFonts w:ascii="Times New Roman" w:hAnsi="Times New Roman" w:cs="Times New Roman"/>
          <w:szCs w:val="24"/>
        </w:rPr>
        <w:t xml:space="preserve"> </w:t>
      </w:r>
      <w:r w:rsidR="00102166" w:rsidRPr="004742CC">
        <w:rPr>
          <w:rFonts w:ascii="Times New Roman" w:hAnsi="Times New Roman" w:cs="Times New Roman"/>
          <w:szCs w:val="24"/>
        </w:rPr>
        <w:t>oraz art. 18z</w:t>
      </w:r>
      <w:r w:rsidR="00FA216D" w:rsidRPr="004742CC">
        <w:rPr>
          <w:rFonts w:ascii="Times New Roman" w:hAnsi="Times New Roman" w:cs="Times New Roman"/>
          <w:szCs w:val="24"/>
        </w:rPr>
        <w:t>z</w:t>
      </w:r>
      <w:r w:rsidR="00042C2D" w:rsidRPr="004742CC">
        <w:rPr>
          <w:rFonts w:ascii="Times New Roman" w:hAnsi="Times New Roman" w:cs="Times New Roman"/>
          <w:szCs w:val="24"/>
        </w:rPr>
        <w:t xml:space="preserve"> </w:t>
      </w:r>
      <w:r w:rsidR="00102166" w:rsidRPr="004742CC">
        <w:rPr>
          <w:rFonts w:ascii="Times New Roman" w:hAnsi="Times New Roman" w:cs="Times New Roman"/>
          <w:szCs w:val="24"/>
        </w:rPr>
        <w:t xml:space="preserve">ust. 1 pkt </w:t>
      </w:r>
      <w:r w:rsidR="00FA216D" w:rsidRPr="004742CC">
        <w:rPr>
          <w:rFonts w:ascii="Times New Roman" w:hAnsi="Times New Roman" w:cs="Times New Roman"/>
          <w:szCs w:val="24"/>
        </w:rPr>
        <w:t>2</w:t>
      </w:r>
      <w:r w:rsidR="00102166" w:rsidRPr="004742CC">
        <w:rPr>
          <w:rFonts w:ascii="Times New Roman" w:hAnsi="Times New Roman" w:cs="Times New Roman"/>
          <w:szCs w:val="24"/>
        </w:rPr>
        <w:t>, 3 i ust. 2</w:t>
      </w:r>
      <w:r w:rsidR="00D30920" w:rsidRPr="000431F7">
        <w:rPr>
          <w:rFonts w:ascii="Times New Roman" w:hAnsi="Times New Roman" w:cs="Times New Roman"/>
          <w:szCs w:val="24"/>
        </w:rPr>
        <w:t xml:space="preserve">. </w:t>
      </w:r>
    </w:p>
    <w:p w14:paraId="1E3602C2" w14:textId="5A8E1F43" w:rsidR="00AB45DB" w:rsidRPr="000431F7" w:rsidRDefault="00E63040" w:rsidP="004742CC">
      <w:pPr>
        <w:pStyle w:val="ARTartustawynprozporzdzenia"/>
        <w:tabs>
          <w:tab w:val="left" w:pos="426"/>
        </w:tabs>
        <w:ind w:firstLine="0"/>
        <w:rPr>
          <w:rFonts w:ascii="Times New Roman" w:hAnsi="Times New Roman" w:cs="Times New Roman"/>
          <w:b/>
          <w:bCs/>
          <w:szCs w:val="24"/>
        </w:rPr>
      </w:pPr>
      <w:r w:rsidRPr="000431F7">
        <w:rPr>
          <w:rStyle w:val="Ppogrubienie"/>
          <w:rFonts w:ascii="Times New Roman" w:hAnsi="Times New Roman" w:cs="Times New Roman"/>
          <w:szCs w:val="24"/>
        </w:rPr>
        <w:t>1</w:t>
      </w:r>
      <w:r w:rsidR="00A00123" w:rsidRPr="000431F7">
        <w:rPr>
          <w:rStyle w:val="Ppogrubienie"/>
          <w:rFonts w:ascii="Times New Roman" w:hAnsi="Times New Roman" w:cs="Times New Roman"/>
          <w:szCs w:val="24"/>
        </w:rPr>
        <w:t>3</w:t>
      </w:r>
      <w:r w:rsidR="00AB45DB" w:rsidRPr="000431F7">
        <w:rPr>
          <w:rStyle w:val="Ppogrubienie"/>
          <w:rFonts w:ascii="Times New Roman" w:hAnsi="Times New Roman" w:cs="Times New Roman"/>
          <w:szCs w:val="24"/>
        </w:rPr>
        <w:t>.</w:t>
      </w:r>
      <w:r w:rsidR="00B66E01">
        <w:rPr>
          <w:rStyle w:val="Ppogrubienie"/>
          <w:rFonts w:ascii="Times New Roman" w:hAnsi="Times New Roman" w:cs="Times New Roman"/>
          <w:szCs w:val="24"/>
        </w:rPr>
        <w:tab/>
      </w:r>
      <w:r w:rsidR="00E24ECD">
        <w:rPr>
          <w:rFonts w:ascii="Times New Roman" w:hAnsi="Times New Roman" w:cs="Times New Roman"/>
          <w:b/>
          <w:bCs/>
          <w:szCs w:val="24"/>
        </w:rPr>
        <w:t>Z</w:t>
      </w:r>
      <w:r w:rsidR="00AB45DB" w:rsidRPr="000431F7">
        <w:rPr>
          <w:rFonts w:ascii="Times New Roman" w:hAnsi="Times New Roman" w:cs="Times New Roman"/>
          <w:b/>
          <w:bCs/>
          <w:szCs w:val="24"/>
        </w:rPr>
        <w:t>miany w ustawie z dnia 11 września 2015 r. o działalności ubezpieczeniowej i</w:t>
      </w:r>
      <w:r w:rsidR="002562D9" w:rsidRPr="000431F7">
        <w:rPr>
          <w:rFonts w:ascii="Times New Roman" w:hAnsi="Times New Roman" w:cs="Times New Roman"/>
          <w:b/>
          <w:bCs/>
          <w:szCs w:val="24"/>
        </w:rPr>
        <w:t> </w:t>
      </w:r>
      <w:r w:rsidR="00AB45DB" w:rsidRPr="000431F7">
        <w:rPr>
          <w:rFonts w:ascii="Times New Roman" w:hAnsi="Times New Roman" w:cs="Times New Roman"/>
          <w:b/>
          <w:bCs/>
          <w:szCs w:val="24"/>
        </w:rPr>
        <w:t>reasekuracyjnej</w:t>
      </w:r>
      <w:r w:rsidR="00B41D91" w:rsidRPr="000431F7">
        <w:rPr>
          <w:rFonts w:ascii="Times New Roman" w:hAnsi="Times New Roman" w:cs="Times New Roman"/>
          <w:b/>
          <w:bCs/>
          <w:szCs w:val="24"/>
        </w:rPr>
        <w:t xml:space="preserve"> (art. </w:t>
      </w:r>
      <w:r w:rsidR="00102166" w:rsidRPr="000431F7">
        <w:rPr>
          <w:rFonts w:ascii="Times New Roman" w:hAnsi="Times New Roman" w:cs="Times New Roman"/>
          <w:b/>
          <w:bCs/>
          <w:szCs w:val="24"/>
        </w:rPr>
        <w:t>1</w:t>
      </w:r>
      <w:r w:rsidR="00A00123" w:rsidRPr="000431F7">
        <w:rPr>
          <w:rFonts w:ascii="Times New Roman" w:hAnsi="Times New Roman" w:cs="Times New Roman"/>
          <w:b/>
          <w:bCs/>
          <w:szCs w:val="24"/>
        </w:rPr>
        <w:t>3</w:t>
      </w:r>
      <w:r w:rsidR="00B41D91" w:rsidRPr="000431F7">
        <w:rPr>
          <w:rFonts w:ascii="Times New Roman" w:hAnsi="Times New Roman" w:cs="Times New Roman"/>
          <w:b/>
          <w:bCs/>
          <w:szCs w:val="24"/>
        </w:rPr>
        <w:t xml:space="preserve">) </w:t>
      </w:r>
    </w:p>
    <w:p w14:paraId="5CDB28D7" w14:textId="3DA73A62" w:rsidR="00102166" w:rsidRPr="000431F7" w:rsidRDefault="00AB45DB" w:rsidP="004742CC">
      <w:pPr>
        <w:pStyle w:val="ZUSTzmustartykuempunktem"/>
        <w:spacing w:before="120"/>
        <w:ind w:left="0" w:firstLine="0"/>
        <w:rPr>
          <w:rFonts w:ascii="Times New Roman" w:hAnsi="Times New Roman" w:cs="Times New Roman"/>
          <w:color w:val="000000"/>
          <w:szCs w:val="24"/>
          <w:shd w:val="clear" w:color="auto" w:fill="FFFFFF"/>
        </w:rPr>
      </w:pPr>
      <w:r w:rsidRPr="000431F7">
        <w:rPr>
          <w:rFonts w:ascii="Times New Roman" w:hAnsi="Times New Roman" w:cs="Times New Roman"/>
          <w:b/>
          <w:bCs/>
          <w:szCs w:val="24"/>
        </w:rPr>
        <w:t>Ar</w:t>
      </w:r>
      <w:r w:rsidR="00B41D91" w:rsidRPr="000431F7">
        <w:rPr>
          <w:rFonts w:ascii="Times New Roman" w:hAnsi="Times New Roman" w:cs="Times New Roman"/>
          <w:b/>
          <w:bCs/>
          <w:szCs w:val="24"/>
        </w:rPr>
        <w:t>t</w:t>
      </w:r>
      <w:r w:rsidRPr="000431F7">
        <w:rPr>
          <w:rFonts w:ascii="Times New Roman" w:hAnsi="Times New Roman" w:cs="Times New Roman"/>
          <w:b/>
          <w:bCs/>
          <w:szCs w:val="24"/>
        </w:rPr>
        <w:t xml:space="preserve">. </w:t>
      </w:r>
      <w:r w:rsidR="00102166" w:rsidRPr="000431F7">
        <w:rPr>
          <w:rFonts w:ascii="Times New Roman" w:hAnsi="Times New Roman" w:cs="Times New Roman"/>
          <w:b/>
          <w:bCs/>
          <w:szCs w:val="24"/>
        </w:rPr>
        <w:t>1</w:t>
      </w:r>
      <w:r w:rsidR="00A00123" w:rsidRPr="000431F7">
        <w:rPr>
          <w:rFonts w:ascii="Times New Roman" w:hAnsi="Times New Roman" w:cs="Times New Roman"/>
          <w:b/>
          <w:bCs/>
          <w:szCs w:val="24"/>
        </w:rPr>
        <w:t>3</w:t>
      </w:r>
      <w:r w:rsidRPr="000431F7">
        <w:rPr>
          <w:rFonts w:ascii="Times New Roman" w:hAnsi="Times New Roman" w:cs="Times New Roman"/>
          <w:szCs w:val="24"/>
        </w:rPr>
        <w:t xml:space="preserve"> wprowadza zmiany w ustawie z dnia 11 września 2015 r. o działalności ubezpieczeniowej i reasekuracyjnej, mające na celu transpozycję przepisów dyrektywy 2022/2556 w zakresie implementacji art. 2, który wprowadza zmiany dyrektywy </w:t>
      </w:r>
      <w:r w:rsidR="0081661A" w:rsidRPr="000431F7">
        <w:rPr>
          <w:rFonts w:ascii="Times New Roman" w:hAnsi="Times New Roman" w:cs="Times New Roman"/>
          <w:szCs w:val="24"/>
        </w:rPr>
        <w:t xml:space="preserve">Parlamentu Europejskiego i Rady 2009/138/WE z dnia 25 listopada 2009 r. w sprawie </w:t>
      </w:r>
      <w:r w:rsidRPr="000431F7">
        <w:rPr>
          <w:rFonts w:ascii="Times New Roman" w:hAnsi="Times New Roman" w:cs="Times New Roman"/>
          <w:szCs w:val="24"/>
        </w:rPr>
        <w:t xml:space="preserve">podejmowania </w:t>
      </w:r>
      <w:r w:rsidRPr="000431F7">
        <w:rPr>
          <w:rFonts w:ascii="Times New Roman" w:hAnsi="Times New Roman" w:cs="Times New Roman"/>
          <w:color w:val="000000"/>
          <w:szCs w:val="24"/>
          <w:shd w:val="clear" w:color="auto" w:fill="FFFFFF"/>
        </w:rPr>
        <w:t>i prowadzenia działalności ubezpieczeniowej i reasekuracyjnej (Wypłacalność II)</w:t>
      </w:r>
      <w:r w:rsidR="00DB02A9" w:rsidRPr="000431F7">
        <w:rPr>
          <w:rFonts w:ascii="Times New Roman" w:hAnsi="Times New Roman" w:cs="Times New Roman"/>
          <w:color w:val="000000"/>
          <w:szCs w:val="24"/>
          <w:shd w:val="clear" w:color="auto" w:fill="FFFFFF"/>
        </w:rPr>
        <w:t xml:space="preserve">, </w:t>
      </w:r>
      <w:r w:rsidR="0081661A" w:rsidRPr="000431F7">
        <w:rPr>
          <w:rFonts w:ascii="Times New Roman" w:hAnsi="Times New Roman" w:cs="Times New Roman"/>
          <w:color w:val="000000"/>
          <w:szCs w:val="24"/>
          <w:shd w:val="clear" w:color="auto" w:fill="FFFFFF"/>
        </w:rPr>
        <w:t>zwanej dalej „dyrektywą</w:t>
      </w:r>
      <w:r w:rsidR="00B93520" w:rsidRPr="000431F7">
        <w:rPr>
          <w:rFonts w:ascii="Times New Roman" w:hAnsi="Times New Roman" w:cs="Times New Roman"/>
          <w:color w:val="000000"/>
          <w:szCs w:val="24"/>
          <w:shd w:val="clear" w:color="auto" w:fill="FFFFFF"/>
        </w:rPr>
        <w:t xml:space="preserve"> </w:t>
      </w:r>
      <w:r w:rsidR="00B93520" w:rsidRPr="000431F7">
        <w:rPr>
          <w:rFonts w:ascii="Times New Roman" w:hAnsi="Times New Roman" w:cs="Times New Roman"/>
          <w:szCs w:val="24"/>
        </w:rPr>
        <w:t>2009/138/WE”</w:t>
      </w:r>
      <w:r w:rsidRPr="000431F7">
        <w:rPr>
          <w:rFonts w:ascii="Times New Roman" w:hAnsi="Times New Roman" w:cs="Times New Roman"/>
          <w:color w:val="000000"/>
          <w:szCs w:val="24"/>
          <w:shd w:val="clear" w:color="auto" w:fill="FFFFFF"/>
        </w:rPr>
        <w:t xml:space="preserve">. </w:t>
      </w:r>
      <w:r w:rsidRPr="000431F7">
        <w:rPr>
          <w:rFonts w:ascii="Times New Roman" w:hAnsi="Times New Roman" w:cs="Times New Roman"/>
          <w:szCs w:val="24"/>
        </w:rPr>
        <w:t xml:space="preserve">Wprowadzane do ustawy zmiany obejmują zmianę w art. 47 </w:t>
      </w:r>
      <w:r w:rsidR="00DB02A9" w:rsidRPr="000431F7">
        <w:rPr>
          <w:rFonts w:ascii="Times New Roman" w:hAnsi="Times New Roman" w:cs="Times New Roman"/>
          <w:szCs w:val="24"/>
        </w:rPr>
        <w:t xml:space="preserve">przez </w:t>
      </w:r>
      <w:r w:rsidRPr="000431F7">
        <w:rPr>
          <w:rFonts w:ascii="Times New Roman" w:hAnsi="Times New Roman" w:cs="Times New Roman"/>
          <w:szCs w:val="24"/>
        </w:rPr>
        <w:t>dodanie ust. 2 i 3 w celu transpozycji zmian wprowadzonych w art.</w:t>
      </w:r>
      <w:r w:rsidR="00B93520" w:rsidRPr="000431F7">
        <w:rPr>
          <w:rFonts w:ascii="Times New Roman" w:hAnsi="Times New Roman" w:cs="Times New Roman"/>
          <w:szCs w:val="24"/>
        </w:rPr>
        <w:t xml:space="preserve"> </w:t>
      </w:r>
      <w:r w:rsidRPr="000431F7">
        <w:rPr>
          <w:rFonts w:ascii="Times New Roman" w:hAnsi="Times New Roman" w:cs="Times New Roman"/>
          <w:color w:val="000000"/>
          <w:szCs w:val="24"/>
          <w:shd w:val="clear" w:color="auto" w:fill="FFFFFF"/>
        </w:rPr>
        <w:t>41 ust. 4 dyrektywy</w:t>
      </w:r>
      <w:r w:rsidR="00B93520" w:rsidRPr="000431F7">
        <w:rPr>
          <w:rFonts w:ascii="Times New Roman" w:hAnsi="Times New Roman" w:cs="Times New Roman"/>
          <w:color w:val="000000"/>
          <w:szCs w:val="24"/>
          <w:shd w:val="clear" w:color="auto" w:fill="FFFFFF"/>
        </w:rPr>
        <w:t xml:space="preserve"> </w:t>
      </w:r>
      <w:r w:rsidR="00B93520" w:rsidRPr="000431F7">
        <w:rPr>
          <w:rFonts w:ascii="Times New Roman" w:hAnsi="Times New Roman" w:cs="Times New Roman"/>
          <w:szCs w:val="24"/>
        </w:rPr>
        <w:t>2009/138/WE</w:t>
      </w:r>
      <w:r w:rsidRPr="000431F7">
        <w:rPr>
          <w:rFonts w:ascii="Times New Roman" w:hAnsi="Times New Roman" w:cs="Times New Roman"/>
          <w:color w:val="000000"/>
          <w:szCs w:val="24"/>
          <w:shd w:val="clear" w:color="auto" w:fill="FFFFFF"/>
        </w:rPr>
        <w:t xml:space="preserve">. </w:t>
      </w:r>
    </w:p>
    <w:p w14:paraId="48041D80" w14:textId="322137BE" w:rsidR="007754BA" w:rsidRPr="000431F7" w:rsidRDefault="00AB45DB" w:rsidP="004742CC">
      <w:pPr>
        <w:pStyle w:val="ZUSTzmustartykuempunktem"/>
        <w:spacing w:before="120"/>
        <w:ind w:left="0" w:firstLine="0"/>
        <w:rPr>
          <w:rFonts w:ascii="Times New Roman" w:hAnsi="Times New Roman" w:cs="Times New Roman"/>
          <w:szCs w:val="24"/>
        </w:rPr>
      </w:pPr>
      <w:r w:rsidRPr="000431F7">
        <w:rPr>
          <w:rFonts w:ascii="Times New Roman" w:hAnsi="Times New Roman" w:cs="Times New Roman"/>
          <w:color w:val="000000"/>
          <w:szCs w:val="24"/>
          <w:shd w:val="clear" w:color="auto" w:fill="FFFFFF"/>
        </w:rPr>
        <w:t xml:space="preserve">Zgodnie projektowanym przepisem art. 47 ust. 2 </w:t>
      </w:r>
      <w:r w:rsidR="008046F8" w:rsidRPr="000431F7">
        <w:rPr>
          <w:rFonts w:ascii="Times New Roman" w:hAnsi="Times New Roman" w:cs="Times New Roman"/>
          <w:color w:val="000000"/>
          <w:szCs w:val="24"/>
          <w:shd w:val="clear" w:color="auto" w:fill="FFFFFF"/>
        </w:rPr>
        <w:t>ustawy</w:t>
      </w:r>
      <w:r w:rsidR="00102166" w:rsidRPr="000431F7">
        <w:rPr>
          <w:rFonts w:ascii="Times New Roman" w:hAnsi="Times New Roman" w:cs="Times New Roman"/>
          <w:color w:val="000000"/>
          <w:szCs w:val="24"/>
          <w:shd w:val="clear" w:color="auto" w:fill="FFFFFF"/>
        </w:rPr>
        <w:t xml:space="preserve">, </w:t>
      </w:r>
      <w:r w:rsidRPr="000431F7">
        <w:rPr>
          <w:rFonts w:ascii="Times New Roman" w:hAnsi="Times New Roman" w:cs="Times New Roman"/>
          <w:szCs w:val="24"/>
        </w:rPr>
        <w:t xml:space="preserve">zakład ubezpieczeń i zakład reasekuracji stosują odpowiednie i współmierne systemy, zasoby i procedury, w szczególności ustanawiają sieci i systemy informatyczne oraz zarządzają nimi zgodnie z rozporządzeniem 2022/2554. </w:t>
      </w:r>
      <w:bookmarkStart w:id="28" w:name="_Hlk163129017"/>
      <w:r w:rsidRPr="000431F7">
        <w:rPr>
          <w:rFonts w:ascii="Times New Roman" w:hAnsi="Times New Roman" w:cs="Times New Roman"/>
          <w:szCs w:val="24"/>
        </w:rPr>
        <w:t>Projektowany art. 47 ust. 3</w:t>
      </w:r>
      <w:r w:rsidR="008046F8" w:rsidRPr="000431F7">
        <w:rPr>
          <w:rFonts w:ascii="Times New Roman" w:hAnsi="Times New Roman" w:cs="Times New Roman"/>
          <w:szCs w:val="24"/>
        </w:rPr>
        <w:t xml:space="preserve"> ustawy </w:t>
      </w:r>
      <w:r w:rsidR="00B93520" w:rsidRPr="000431F7">
        <w:rPr>
          <w:rFonts w:ascii="Times New Roman" w:hAnsi="Times New Roman" w:cs="Times New Roman"/>
          <w:szCs w:val="24"/>
        </w:rPr>
        <w:t xml:space="preserve">z dnia 11 września 2015 r </w:t>
      </w:r>
      <w:r w:rsidR="008046F8" w:rsidRPr="000431F7">
        <w:rPr>
          <w:rFonts w:ascii="Times New Roman" w:hAnsi="Times New Roman" w:cs="Times New Roman"/>
          <w:szCs w:val="24"/>
        </w:rPr>
        <w:t xml:space="preserve">o działalności ubezpieczeniowej i reasekuracyjnej </w:t>
      </w:r>
      <w:r w:rsidRPr="000431F7">
        <w:rPr>
          <w:rFonts w:ascii="Times New Roman" w:hAnsi="Times New Roman" w:cs="Times New Roman"/>
          <w:szCs w:val="24"/>
        </w:rPr>
        <w:t xml:space="preserve">wskazuje, że </w:t>
      </w:r>
      <w:r w:rsidR="00AE5FB3" w:rsidRPr="000431F7">
        <w:rPr>
          <w:rFonts w:ascii="Times New Roman" w:hAnsi="Times New Roman" w:cs="Times New Roman"/>
          <w:szCs w:val="24"/>
        </w:rPr>
        <w:t>przepisu ust. 2 nie stosuje się do zakładów ubezpieczeń, które spełniają warunki, o których mowa</w:t>
      </w:r>
      <w:r w:rsidR="00C353CC" w:rsidRPr="000431F7">
        <w:rPr>
          <w:rFonts w:ascii="Times New Roman" w:hAnsi="Times New Roman" w:cs="Times New Roman"/>
          <w:szCs w:val="24"/>
        </w:rPr>
        <w:t xml:space="preserve"> </w:t>
      </w:r>
      <w:r w:rsidR="00C353CC" w:rsidRPr="004742CC">
        <w:rPr>
          <w:rFonts w:ascii="Times New Roman" w:hAnsi="Times New Roman" w:cs="Times New Roman"/>
          <w:szCs w:val="24"/>
        </w:rPr>
        <w:t>w art. 101 ust. 1</w:t>
      </w:r>
      <w:r w:rsidR="00987740">
        <w:rPr>
          <w:rFonts w:ascii="Times New Roman" w:hAnsi="Times New Roman" w:cs="Times New Roman"/>
          <w:szCs w:val="24"/>
        </w:rPr>
        <w:t xml:space="preserve"> </w:t>
      </w:r>
      <w:r w:rsidR="00C353CC" w:rsidRPr="004742CC">
        <w:rPr>
          <w:rFonts w:ascii="Times New Roman" w:hAnsi="Times New Roman" w:cs="Times New Roman"/>
          <w:szCs w:val="24"/>
        </w:rPr>
        <w:t>lub</w:t>
      </w:r>
      <w:r w:rsidR="00987740">
        <w:rPr>
          <w:rFonts w:ascii="Times New Roman" w:hAnsi="Times New Roman" w:cs="Times New Roman"/>
          <w:szCs w:val="24"/>
        </w:rPr>
        <w:t xml:space="preserve"> </w:t>
      </w:r>
      <w:r w:rsidR="00C353CC" w:rsidRPr="004742CC">
        <w:rPr>
          <w:rFonts w:ascii="Times New Roman" w:hAnsi="Times New Roman" w:cs="Times New Roman"/>
          <w:szCs w:val="24"/>
        </w:rPr>
        <w:t>art. 109 ust. 1</w:t>
      </w:r>
      <w:r w:rsidR="00AE5FB3" w:rsidRPr="000431F7">
        <w:rPr>
          <w:rFonts w:ascii="Times New Roman" w:hAnsi="Times New Roman" w:cs="Times New Roman"/>
          <w:szCs w:val="24"/>
        </w:rPr>
        <w:t>.</w:t>
      </w:r>
      <w:r w:rsidR="0071222F" w:rsidRPr="000431F7">
        <w:rPr>
          <w:rFonts w:ascii="Times New Roman" w:hAnsi="Times New Roman" w:cs="Times New Roman"/>
          <w:szCs w:val="24"/>
        </w:rPr>
        <w:t xml:space="preserve"> </w:t>
      </w:r>
      <w:r w:rsidR="007754BA" w:rsidRPr="000431F7">
        <w:rPr>
          <w:rFonts w:ascii="Times New Roman" w:hAnsi="Times New Roman" w:cs="Times New Roman"/>
          <w:szCs w:val="24"/>
        </w:rPr>
        <w:lastRenderedPageBreak/>
        <w:t xml:space="preserve">Odpowiednie stosowanie </w:t>
      </w:r>
      <w:r w:rsidR="0071222F" w:rsidRPr="000431F7">
        <w:rPr>
          <w:rFonts w:ascii="Times New Roman" w:hAnsi="Times New Roman" w:cs="Times New Roman"/>
          <w:szCs w:val="24"/>
        </w:rPr>
        <w:t xml:space="preserve">art. 101 ust. </w:t>
      </w:r>
      <w:r w:rsidR="00B87D4E" w:rsidRPr="000431F7">
        <w:rPr>
          <w:rFonts w:ascii="Times New Roman" w:hAnsi="Times New Roman" w:cs="Times New Roman"/>
          <w:szCs w:val="24"/>
        </w:rPr>
        <w:t xml:space="preserve">2 i </w:t>
      </w:r>
      <w:r w:rsidR="0071222F" w:rsidRPr="000431F7">
        <w:rPr>
          <w:rFonts w:ascii="Times New Roman" w:hAnsi="Times New Roman" w:cs="Times New Roman"/>
          <w:szCs w:val="24"/>
        </w:rPr>
        <w:t xml:space="preserve">4 </w:t>
      </w:r>
      <w:r w:rsidR="007754BA" w:rsidRPr="000431F7">
        <w:rPr>
          <w:rFonts w:ascii="Times New Roman" w:hAnsi="Times New Roman" w:cs="Times New Roman"/>
          <w:szCs w:val="24"/>
        </w:rPr>
        <w:t xml:space="preserve">polegałoby na tym, że jeżeli którakolwiek z kwot, o których mowa w </w:t>
      </w:r>
      <w:r w:rsidR="0071222F" w:rsidRPr="000431F7">
        <w:rPr>
          <w:rFonts w:ascii="Times New Roman" w:hAnsi="Times New Roman" w:cs="Times New Roman"/>
          <w:szCs w:val="24"/>
        </w:rPr>
        <w:t>art. 101 ust. 1 pkt 1</w:t>
      </w:r>
      <w:r w:rsidR="0004186C">
        <w:rPr>
          <w:rFonts w:ascii="Times New Roman" w:hAnsi="Times New Roman" w:cs="Times New Roman"/>
          <w:szCs w:val="24"/>
        </w:rPr>
        <w:t>–</w:t>
      </w:r>
      <w:r w:rsidR="0071222F" w:rsidRPr="000431F7">
        <w:rPr>
          <w:rFonts w:ascii="Times New Roman" w:hAnsi="Times New Roman" w:cs="Times New Roman"/>
          <w:szCs w:val="24"/>
        </w:rPr>
        <w:t>6</w:t>
      </w:r>
      <w:r w:rsidR="007754BA" w:rsidRPr="000431F7">
        <w:rPr>
          <w:rFonts w:ascii="Times New Roman" w:hAnsi="Times New Roman" w:cs="Times New Roman"/>
          <w:szCs w:val="24"/>
        </w:rPr>
        <w:t xml:space="preserve">, zostanie przekroczona w 3 kolejnych latach obrotowych, zakład ubezpieczeń </w:t>
      </w:r>
      <w:r w:rsidR="0071222F" w:rsidRPr="000431F7">
        <w:rPr>
          <w:rFonts w:ascii="Times New Roman" w:hAnsi="Times New Roman" w:cs="Times New Roman"/>
          <w:szCs w:val="24"/>
        </w:rPr>
        <w:t>powinien dostosować s</w:t>
      </w:r>
      <w:r w:rsidR="007754BA" w:rsidRPr="000431F7">
        <w:rPr>
          <w:rFonts w:ascii="Times New Roman" w:hAnsi="Times New Roman" w:cs="Times New Roman"/>
          <w:szCs w:val="24"/>
        </w:rPr>
        <w:t xml:space="preserve">woją działalność do wymogów określonych w </w:t>
      </w:r>
      <w:r w:rsidR="0071222F" w:rsidRPr="000431F7">
        <w:rPr>
          <w:rFonts w:ascii="Times New Roman" w:hAnsi="Times New Roman" w:cs="Times New Roman"/>
          <w:szCs w:val="24"/>
        </w:rPr>
        <w:t>art. 47 ust. 2 ustawy</w:t>
      </w:r>
      <w:r w:rsidR="007754BA" w:rsidRPr="000431F7">
        <w:rPr>
          <w:rFonts w:ascii="Times New Roman" w:hAnsi="Times New Roman" w:cs="Times New Roman"/>
          <w:szCs w:val="24"/>
        </w:rPr>
        <w:t>, począwszy od</w:t>
      </w:r>
      <w:r w:rsidR="00987740">
        <w:rPr>
          <w:rFonts w:ascii="Times New Roman" w:hAnsi="Times New Roman" w:cs="Times New Roman"/>
          <w:szCs w:val="24"/>
        </w:rPr>
        <w:t xml:space="preserve"> </w:t>
      </w:r>
      <w:r w:rsidR="007754BA" w:rsidRPr="000431F7">
        <w:rPr>
          <w:rFonts w:ascii="Times New Roman" w:hAnsi="Times New Roman" w:cs="Times New Roman"/>
          <w:szCs w:val="24"/>
        </w:rPr>
        <w:t xml:space="preserve">kolejnego roku obrotowego. </w:t>
      </w:r>
    </w:p>
    <w:bookmarkEnd w:id="28"/>
    <w:p w14:paraId="445446E8" w14:textId="6D2D97EB" w:rsidR="00AB45DB" w:rsidRPr="000431F7" w:rsidRDefault="003C1AC6" w:rsidP="004742CC">
      <w:pPr>
        <w:pStyle w:val="Tekstkomentarza"/>
        <w:tabs>
          <w:tab w:val="left" w:pos="426"/>
        </w:tabs>
        <w:spacing w:before="120" w:after="0" w:line="360" w:lineRule="auto"/>
        <w:jc w:val="both"/>
        <w:rPr>
          <w:rFonts w:ascii="Times New Roman" w:hAnsi="Times New Roman" w:cs="Times New Roman"/>
          <w:b/>
          <w:bCs/>
          <w:sz w:val="24"/>
          <w:szCs w:val="24"/>
        </w:rPr>
      </w:pPr>
      <w:r w:rsidRPr="000431F7">
        <w:rPr>
          <w:rFonts w:ascii="Times New Roman" w:hAnsi="Times New Roman" w:cs="Times New Roman"/>
          <w:b/>
          <w:bCs/>
          <w:sz w:val="24"/>
          <w:szCs w:val="24"/>
        </w:rPr>
        <w:t>1</w:t>
      </w:r>
      <w:r w:rsidR="00A00123" w:rsidRPr="000431F7">
        <w:rPr>
          <w:rFonts w:ascii="Times New Roman" w:hAnsi="Times New Roman" w:cs="Times New Roman"/>
          <w:b/>
          <w:bCs/>
          <w:sz w:val="24"/>
          <w:szCs w:val="24"/>
        </w:rPr>
        <w:t>4</w:t>
      </w:r>
      <w:r w:rsidR="00AB45DB" w:rsidRPr="000431F7">
        <w:rPr>
          <w:rFonts w:ascii="Times New Roman" w:hAnsi="Times New Roman" w:cs="Times New Roman"/>
          <w:b/>
          <w:bCs/>
          <w:sz w:val="24"/>
          <w:szCs w:val="24"/>
        </w:rPr>
        <w:t>.</w:t>
      </w:r>
      <w:r w:rsidR="00B66E01">
        <w:rPr>
          <w:rFonts w:ascii="Times New Roman" w:hAnsi="Times New Roman" w:cs="Times New Roman"/>
          <w:b/>
          <w:bCs/>
          <w:sz w:val="24"/>
          <w:szCs w:val="24"/>
        </w:rPr>
        <w:tab/>
      </w:r>
      <w:r w:rsidR="00E24ECD">
        <w:rPr>
          <w:rFonts w:ascii="Times New Roman" w:hAnsi="Times New Roman" w:cs="Times New Roman"/>
          <w:b/>
          <w:bCs/>
          <w:sz w:val="24"/>
          <w:szCs w:val="24"/>
        </w:rPr>
        <w:t>Z</w:t>
      </w:r>
      <w:r w:rsidR="00AB45DB" w:rsidRPr="000431F7">
        <w:rPr>
          <w:rFonts w:ascii="Times New Roman" w:hAnsi="Times New Roman" w:cs="Times New Roman"/>
          <w:b/>
          <w:bCs/>
          <w:sz w:val="24"/>
          <w:szCs w:val="24"/>
        </w:rPr>
        <w:t>miany w ustawie z dnia 10 czerwca 2016 r. o Bankowym Funduszu Gwarancyjnym, systemie gwarantowania depozytów oraz przymusowej restrukturyzacji</w:t>
      </w:r>
      <w:r w:rsidR="00B41D91" w:rsidRPr="000431F7">
        <w:rPr>
          <w:rFonts w:ascii="Times New Roman" w:hAnsi="Times New Roman" w:cs="Times New Roman"/>
          <w:b/>
          <w:bCs/>
          <w:sz w:val="24"/>
          <w:szCs w:val="24"/>
        </w:rPr>
        <w:t xml:space="preserve"> (art. </w:t>
      </w:r>
      <w:r w:rsidR="00102166" w:rsidRPr="000431F7">
        <w:rPr>
          <w:rFonts w:ascii="Times New Roman" w:hAnsi="Times New Roman" w:cs="Times New Roman"/>
          <w:b/>
          <w:bCs/>
          <w:sz w:val="24"/>
          <w:szCs w:val="24"/>
        </w:rPr>
        <w:t>1</w:t>
      </w:r>
      <w:r w:rsidR="00A00123" w:rsidRPr="000431F7">
        <w:rPr>
          <w:rFonts w:ascii="Times New Roman" w:hAnsi="Times New Roman" w:cs="Times New Roman"/>
          <w:b/>
          <w:bCs/>
          <w:sz w:val="24"/>
          <w:szCs w:val="24"/>
        </w:rPr>
        <w:t>4</w:t>
      </w:r>
      <w:r w:rsidR="00B41D91" w:rsidRPr="000431F7">
        <w:rPr>
          <w:rFonts w:ascii="Times New Roman" w:hAnsi="Times New Roman" w:cs="Times New Roman"/>
          <w:b/>
          <w:bCs/>
          <w:sz w:val="24"/>
          <w:szCs w:val="24"/>
        </w:rPr>
        <w:t xml:space="preserve">) </w:t>
      </w:r>
    </w:p>
    <w:p w14:paraId="3443F2F1" w14:textId="07B29B74" w:rsidR="00176CCF" w:rsidRPr="000431F7" w:rsidRDefault="00AB45DB" w:rsidP="004742CC">
      <w:pPr>
        <w:pStyle w:val="Tekstkomentarza"/>
        <w:spacing w:before="120" w:after="0" w:line="360" w:lineRule="auto"/>
        <w:jc w:val="both"/>
        <w:rPr>
          <w:rFonts w:ascii="Times New Roman" w:hAnsi="Times New Roman" w:cs="Times New Roman"/>
          <w:sz w:val="24"/>
          <w:szCs w:val="24"/>
        </w:rPr>
      </w:pPr>
      <w:r w:rsidRPr="000431F7">
        <w:rPr>
          <w:rStyle w:val="Ppogrubienie"/>
          <w:rFonts w:ascii="Times New Roman" w:hAnsi="Times New Roman" w:cs="Times New Roman"/>
          <w:sz w:val="24"/>
          <w:szCs w:val="24"/>
        </w:rPr>
        <w:t xml:space="preserve">Art. </w:t>
      </w:r>
      <w:r w:rsidR="00102166" w:rsidRPr="000431F7">
        <w:rPr>
          <w:rStyle w:val="Ppogrubienie"/>
          <w:rFonts w:ascii="Times New Roman" w:hAnsi="Times New Roman" w:cs="Times New Roman"/>
          <w:sz w:val="24"/>
          <w:szCs w:val="24"/>
        </w:rPr>
        <w:t>1</w:t>
      </w:r>
      <w:r w:rsidR="00A00123" w:rsidRPr="000431F7">
        <w:rPr>
          <w:rStyle w:val="Ppogrubienie"/>
          <w:rFonts w:ascii="Times New Roman" w:hAnsi="Times New Roman" w:cs="Times New Roman"/>
          <w:sz w:val="24"/>
          <w:szCs w:val="24"/>
        </w:rPr>
        <w:t>4</w:t>
      </w:r>
      <w:r w:rsidRPr="000431F7">
        <w:rPr>
          <w:rStyle w:val="Ppogrubienie"/>
          <w:rFonts w:ascii="Times New Roman" w:hAnsi="Times New Roman" w:cs="Times New Roman"/>
          <w:sz w:val="24"/>
          <w:szCs w:val="24"/>
        </w:rPr>
        <w:t xml:space="preserve"> </w:t>
      </w:r>
      <w:r w:rsidRPr="000431F7">
        <w:rPr>
          <w:rStyle w:val="Ppogrubienie"/>
          <w:rFonts w:ascii="Times New Roman" w:hAnsi="Times New Roman" w:cs="Times New Roman"/>
          <w:b w:val="0"/>
          <w:bCs/>
          <w:sz w:val="24"/>
          <w:szCs w:val="24"/>
        </w:rPr>
        <w:t>wprowadza z</w:t>
      </w:r>
      <w:r w:rsidRPr="000431F7">
        <w:rPr>
          <w:rFonts w:ascii="Times New Roman" w:hAnsi="Times New Roman" w:cs="Times New Roman"/>
          <w:sz w:val="24"/>
          <w:szCs w:val="24"/>
        </w:rPr>
        <w:t xml:space="preserve">miany </w:t>
      </w:r>
      <w:r w:rsidR="00667C49" w:rsidRPr="000431F7">
        <w:rPr>
          <w:rFonts w:ascii="Times New Roman" w:hAnsi="Times New Roman" w:cs="Times New Roman"/>
          <w:sz w:val="24"/>
          <w:szCs w:val="24"/>
        </w:rPr>
        <w:t xml:space="preserve">do </w:t>
      </w:r>
      <w:r w:rsidR="0064387B" w:rsidRPr="000431F7">
        <w:rPr>
          <w:rFonts w:ascii="Times New Roman" w:hAnsi="Times New Roman" w:cs="Times New Roman"/>
          <w:sz w:val="24"/>
          <w:szCs w:val="24"/>
        </w:rPr>
        <w:t>ustawy z dnia 10 czerwca 2016 r. o Bankowym Funduszu Gwarancyjnym, systemie gwarantowania depozytów oraz przymusowej restrukturyzacji</w:t>
      </w:r>
      <w:r w:rsidR="000265D5" w:rsidRPr="000431F7">
        <w:rPr>
          <w:rFonts w:ascii="Times New Roman" w:hAnsi="Times New Roman" w:cs="Times New Roman"/>
          <w:sz w:val="24"/>
          <w:szCs w:val="24"/>
        </w:rPr>
        <w:t xml:space="preserve"> (dalej zwanej </w:t>
      </w:r>
      <w:r w:rsidR="0004421B" w:rsidRPr="000431F7">
        <w:rPr>
          <w:rFonts w:ascii="Times New Roman" w:hAnsi="Times New Roman" w:cs="Times New Roman"/>
          <w:sz w:val="24"/>
          <w:szCs w:val="24"/>
        </w:rPr>
        <w:t>„</w:t>
      </w:r>
      <w:r w:rsidR="000265D5" w:rsidRPr="000431F7">
        <w:rPr>
          <w:rFonts w:ascii="Times New Roman" w:hAnsi="Times New Roman" w:cs="Times New Roman"/>
          <w:sz w:val="24"/>
          <w:szCs w:val="24"/>
        </w:rPr>
        <w:t>ustawą o BFG</w:t>
      </w:r>
      <w:r w:rsidR="0004421B" w:rsidRPr="000431F7">
        <w:rPr>
          <w:rFonts w:ascii="Times New Roman" w:hAnsi="Times New Roman" w:cs="Times New Roman"/>
          <w:sz w:val="24"/>
          <w:szCs w:val="24"/>
        </w:rPr>
        <w:t>”</w:t>
      </w:r>
      <w:r w:rsidR="000265D5" w:rsidRPr="000431F7">
        <w:rPr>
          <w:rFonts w:ascii="Times New Roman" w:hAnsi="Times New Roman" w:cs="Times New Roman"/>
          <w:sz w:val="24"/>
          <w:szCs w:val="24"/>
        </w:rPr>
        <w:t>)</w:t>
      </w:r>
      <w:r w:rsidR="0064387B" w:rsidRPr="000431F7">
        <w:rPr>
          <w:rFonts w:ascii="Times New Roman" w:hAnsi="Times New Roman" w:cs="Times New Roman"/>
          <w:sz w:val="24"/>
          <w:szCs w:val="24"/>
        </w:rPr>
        <w:t xml:space="preserve">. </w:t>
      </w:r>
    </w:p>
    <w:p w14:paraId="4ACC2204" w14:textId="04396B61" w:rsidR="00176CCF" w:rsidRPr="000431F7" w:rsidRDefault="00176CCF" w:rsidP="004742CC">
      <w:pPr>
        <w:spacing w:before="120" w:after="0" w:line="360" w:lineRule="auto"/>
        <w:jc w:val="both"/>
        <w:rPr>
          <w:rFonts w:ascii="Times New Roman" w:hAnsi="Times New Roman" w:cs="Times New Roman"/>
          <w:sz w:val="24"/>
          <w:szCs w:val="24"/>
        </w:rPr>
      </w:pPr>
      <w:r w:rsidRPr="000431F7">
        <w:rPr>
          <w:rFonts w:ascii="Times New Roman" w:hAnsi="Times New Roman" w:cs="Times New Roman"/>
          <w:sz w:val="24"/>
          <w:szCs w:val="24"/>
        </w:rPr>
        <w:t xml:space="preserve">W art. 2 ustawy o BFG wprowadza się uzupełnienie zakresu definicji </w:t>
      </w:r>
      <w:r w:rsidR="0004421B" w:rsidRPr="000431F7">
        <w:rPr>
          <w:rFonts w:ascii="Times New Roman" w:hAnsi="Times New Roman" w:cs="Times New Roman"/>
          <w:sz w:val="24"/>
          <w:szCs w:val="24"/>
        </w:rPr>
        <w:t>o</w:t>
      </w:r>
      <w:r w:rsidRPr="000431F7">
        <w:rPr>
          <w:rFonts w:ascii="Times New Roman" w:hAnsi="Times New Roman" w:cs="Times New Roman"/>
          <w:sz w:val="24"/>
          <w:szCs w:val="24"/>
        </w:rPr>
        <w:t xml:space="preserve"> oznaczenie rozporządzenia 2022/2554.</w:t>
      </w:r>
    </w:p>
    <w:p w14:paraId="1441BE3C" w14:textId="5E0FA064" w:rsidR="00176CCF" w:rsidRPr="000431F7" w:rsidRDefault="00176CCF" w:rsidP="004742CC">
      <w:pPr>
        <w:pStyle w:val="Tekstkomentarza"/>
        <w:spacing w:before="120" w:after="0" w:line="360" w:lineRule="auto"/>
        <w:jc w:val="both"/>
        <w:rPr>
          <w:rFonts w:ascii="Times New Roman" w:hAnsi="Times New Roman" w:cs="Times New Roman"/>
          <w:sz w:val="24"/>
          <w:szCs w:val="24"/>
        </w:rPr>
      </w:pPr>
      <w:r w:rsidRPr="000431F7">
        <w:rPr>
          <w:rFonts w:ascii="Times New Roman" w:hAnsi="Times New Roman" w:cs="Times New Roman"/>
          <w:sz w:val="24"/>
          <w:szCs w:val="24"/>
        </w:rPr>
        <w:t xml:space="preserve">W art. 80 ustawy o BFG dodaje się ust. 2a, który </w:t>
      </w:r>
      <w:r w:rsidR="0004421B" w:rsidRPr="000431F7">
        <w:rPr>
          <w:rFonts w:ascii="Times New Roman" w:hAnsi="Times New Roman" w:cs="Times New Roman"/>
          <w:sz w:val="24"/>
          <w:szCs w:val="24"/>
        </w:rPr>
        <w:t>precyzuje</w:t>
      </w:r>
      <w:r w:rsidRPr="000431F7">
        <w:rPr>
          <w:rFonts w:ascii="Times New Roman" w:hAnsi="Times New Roman" w:cs="Times New Roman"/>
          <w:sz w:val="24"/>
          <w:szCs w:val="24"/>
        </w:rPr>
        <w:t xml:space="preserve"> wymóg dokonywania przez BFG oceny wykonalności planów przymusowej restrukturyzacji i grupowych planów przymusowej restrukturyzacji, z zastosowaniem określonych w tym przepisie kryteriów</w:t>
      </w:r>
      <w:r w:rsidR="0004421B" w:rsidRPr="000431F7">
        <w:rPr>
          <w:rFonts w:ascii="Times New Roman" w:hAnsi="Times New Roman" w:cs="Times New Roman"/>
          <w:sz w:val="24"/>
          <w:szCs w:val="24"/>
        </w:rPr>
        <w:t>. Tym</w:t>
      </w:r>
      <w:r w:rsidRPr="000431F7">
        <w:rPr>
          <w:rFonts w:ascii="Times New Roman" w:hAnsi="Times New Roman" w:cs="Times New Roman"/>
          <w:sz w:val="24"/>
          <w:szCs w:val="24"/>
        </w:rPr>
        <w:t xml:space="preserve"> samym </w:t>
      </w:r>
      <w:r w:rsidR="0004421B" w:rsidRPr="000431F7">
        <w:rPr>
          <w:rFonts w:ascii="Times New Roman" w:hAnsi="Times New Roman" w:cs="Times New Roman"/>
          <w:sz w:val="24"/>
          <w:szCs w:val="24"/>
        </w:rPr>
        <w:t>uzupełnia się regulację</w:t>
      </w:r>
      <w:r w:rsidRPr="000431F7">
        <w:rPr>
          <w:rFonts w:ascii="Times New Roman" w:hAnsi="Times New Roman" w:cs="Times New Roman"/>
          <w:sz w:val="24"/>
          <w:szCs w:val="24"/>
        </w:rPr>
        <w:t xml:space="preserve"> ust. 3 w art. 80, który odnosi się do takiej oceny. Przepis ten wraz ze znowelizowanym w art. 87 ustawy o BFG brzmieniem upoważnienia ustawowego umożliwi jednocześnie uzupełnienie implementacji sekcji C załącznika do dyrektywy Parlamentu Europejskiego i Rady 2014/59/UE z dnia 15 maja 2014 r. ustanawiającej ramy na potrzeby prowadzenia działań naprawczych oraz restrukturyzacji i uporządkowanej likwidacji w odniesieniu do instytucji kredytowych i firm inwestycyjnych oraz zmieniającej dyrektywę Rady 82/891/EWG i dyrektywy Parlamentu Europejskiego i Rady 2001/24/WE, 2002/47/WE, 2004/25/WE, 2005/56/WE, 2007/36/WE, 2011/35/UE, 2012/30/UE i 2013/36/EU oraz rozporządzenia Parlamentu Europejskiego i Rady (UE) nr 1093/2010 i (UE) nr 648/2012, zwanej dalej „dyrektywą 2014/59/UE”</w:t>
      </w:r>
      <w:r w:rsidR="0004421B" w:rsidRPr="000431F7">
        <w:rPr>
          <w:rFonts w:ascii="Times New Roman" w:hAnsi="Times New Roman" w:cs="Times New Roman"/>
          <w:sz w:val="24"/>
          <w:szCs w:val="24"/>
        </w:rPr>
        <w:t>, który został zmieniony</w:t>
      </w:r>
      <w:r w:rsidRPr="000431F7">
        <w:rPr>
          <w:rFonts w:ascii="Times New Roman" w:hAnsi="Times New Roman" w:cs="Times New Roman"/>
          <w:sz w:val="24"/>
          <w:szCs w:val="24"/>
        </w:rPr>
        <w:t xml:space="preserve"> dyrektywą 2022/2556. Kryteria wskazane art. 80 ust. 2a mają charakter ogólny, zaś ich rozwinięcie przewiduje się w akcie wykonawczym, który zostanie wydany na podstawie nowelizowanego art. 87 ustawy o BFG. Przepis art. 80 ust. 2a stanowi tym samym materialną podstawę dla znowelizowania upoważnienia ustawowego. Kryteria oceny wykonalności ww. planów, na poziomie generalnego ujęcia, pozostają zakresowo zgodne z sekcją C załącznika do dyrektywy 2014/59/UE, która na poziomie szczegółowym zostanie odzwierciedlona w akcie wykonawczym i odpowiadają: w odniesieniu do struktury i operacji punktom 1</w:t>
      </w:r>
      <w:r w:rsidR="00AC35F5">
        <w:rPr>
          <w:rFonts w:ascii="Times New Roman" w:hAnsi="Times New Roman" w:cs="Times New Roman"/>
          <w:sz w:val="24"/>
          <w:szCs w:val="24"/>
        </w:rPr>
        <w:t>–</w:t>
      </w:r>
      <w:r w:rsidRPr="000431F7">
        <w:rPr>
          <w:rFonts w:ascii="Times New Roman" w:hAnsi="Times New Roman" w:cs="Times New Roman"/>
          <w:sz w:val="24"/>
          <w:szCs w:val="24"/>
        </w:rPr>
        <w:t>7, 16, 18</w:t>
      </w:r>
      <w:r w:rsidR="00AC35F5">
        <w:rPr>
          <w:rFonts w:ascii="Times New Roman" w:hAnsi="Times New Roman" w:cs="Times New Roman"/>
          <w:sz w:val="24"/>
          <w:szCs w:val="24"/>
        </w:rPr>
        <w:t>–</w:t>
      </w:r>
      <w:r w:rsidRPr="000431F7">
        <w:rPr>
          <w:rFonts w:ascii="Times New Roman" w:hAnsi="Times New Roman" w:cs="Times New Roman"/>
          <w:sz w:val="24"/>
          <w:szCs w:val="24"/>
        </w:rPr>
        <w:t>19; w odniesieniu do zasobów finansowych punktom 13</w:t>
      </w:r>
      <w:r w:rsidR="00AC35F5">
        <w:rPr>
          <w:rFonts w:ascii="Times New Roman" w:hAnsi="Times New Roman" w:cs="Times New Roman"/>
          <w:sz w:val="24"/>
          <w:szCs w:val="24"/>
        </w:rPr>
        <w:t>–</w:t>
      </w:r>
      <w:r w:rsidRPr="000431F7">
        <w:rPr>
          <w:rFonts w:ascii="Times New Roman" w:hAnsi="Times New Roman" w:cs="Times New Roman"/>
          <w:sz w:val="24"/>
          <w:szCs w:val="24"/>
        </w:rPr>
        <w:t>15 i 17; w odniesieniu do informacji punktom 8</w:t>
      </w:r>
      <w:r w:rsidR="00AC35F5">
        <w:rPr>
          <w:rFonts w:ascii="Times New Roman" w:hAnsi="Times New Roman" w:cs="Times New Roman"/>
          <w:sz w:val="24"/>
          <w:szCs w:val="24"/>
        </w:rPr>
        <w:t>–</w:t>
      </w:r>
      <w:r w:rsidRPr="000431F7">
        <w:rPr>
          <w:rFonts w:ascii="Times New Roman" w:hAnsi="Times New Roman" w:cs="Times New Roman"/>
          <w:sz w:val="24"/>
          <w:szCs w:val="24"/>
        </w:rPr>
        <w:t xml:space="preserve">12; w odniesieniu do kwestii transgranicznych punktowi 20; w odniesieniu do </w:t>
      </w:r>
      <w:r w:rsidRPr="000431F7">
        <w:rPr>
          <w:rFonts w:ascii="Times New Roman" w:hAnsi="Times New Roman" w:cs="Times New Roman"/>
          <w:sz w:val="24"/>
          <w:szCs w:val="24"/>
        </w:rPr>
        <w:lastRenderedPageBreak/>
        <w:t xml:space="preserve">wpływu przymusowej restrukturyzacji (w dyrektywie: </w:t>
      </w:r>
      <w:r w:rsidRPr="000431F7">
        <w:rPr>
          <w:rFonts w:ascii="Times New Roman" w:hAnsi="Times New Roman" w:cs="Times New Roman"/>
          <w:color w:val="000000"/>
          <w:sz w:val="24"/>
          <w:szCs w:val="24"/>
          <w:shd w:val="clear" w:color="auto" w:fill="FFFFFF"/>
        </w:rPr>
        <w:t>restrukturyzacji i uporządkowanej likwidacji) na systemy finansowe i gospodarki realne poszczególnych państw członkowskich lub Unii Europejskiej punktom 21</w:t>
      </w:r>
      <w:r w:rsidR="00AC35F5">
        <w:rPr>
          <w:rFonts w:ascii="Times New Roman" w:hAnsi="Times New Roman" w:cs="Times New Roman"/>
          <w:color w:val="000000"/>
          <w:sz w:val="24"/>
          <w:szCs w:val="24"/>
          <w:shd w:val="clear" w:color="auto" w:fill="FFFFFF"/>
        </w:rPr>
        <w:t>–</w:t>
      </w:r>
      <w:r w:rsidRPr="000431F7">
        <w:rPr>
          <w:rFonts w:ascii="Times New Roman" w:hAnsi="Times New Roman" w:cs="Times New Roman"/>
          <w:color w:val="000000"/>
          <w:sz w:val="24"/>
          <w:szCs w:val="24"/>
          <w:shd w:val="clear" w:color="auto" w:fill="FFFFFF"/>
        </w:rPr>
        <w:t>28</w:t>
      </w:r>
      <w:r w:rsidR="0004421B" w:rsidRPr="000431F7">
        <w:rPr>
          <w:rFonts w:ascii="Times New Roman" w:hAnsi="Times New Roman" w:cs="Times New Roman"/>
          <w:color w:val="000000"/>
          <w:sz w:val="24"/>
          <w:szCs w:val="24"/>
          <w:shd w:val="clear" w:color="auto" w:fill="FFFFFF"/>
        </w:rPr>
        <w:t xml:space="preserve"> ww. sekcji C</w:t>
      </w:r>
      <w:r w:rsidRPr="000431F7">
        <w:rPr>
          <w:rFonts w:ascii="Times New Roman" w:hAnsi="Times New Roman" w:cs="Times New Roman"/>
          <w:color w:val="000000"/>
          <w:sz w:val="24"/>
          <w:szCs w:val="24"/>
          <w:shd w:val="clear" w:color="auto" w:fill="FFFFFF"/>
        </w:rPr>
        <w:t>.</w:t>
      </w:r>
    </w:p>
    <w:p w14:paraId="392BC1EA" w14:textId="5C4F7F26" w:rsidR="00176CCF" w:rsidRPr="000431F7" w:rsidRDefault="00176CCF" w:rsidP="004742CC">
      <w:pPr>
        <w:pStyle w:val="Tekstkomentarza"/>
        <w:spacing w:before="120" w:after="0" w:line="360" w:lineRule="auto"/>
        <w:jc w:val="both"/>
        <w:rPr>
          <w:rFonts w:ascii="Times New Roman" w:hAnsi="Times New Roman" w:cs="Times New Roman"/>
          <w:sz w:val="24"/>
          <w:szCs w:val="24"/>
        </w:rPr>
      </w:pPr>
      <w:r w:rsidRPr="000431F7">
        <w:rPr>
          <w:rFonts w:ascii="Times New Roman" w:hAnsi="Times New Roman" w:cs="Times New Roman"/>
          <w:sz w:val="24"/>
          <w:szCs w:val="24"/>
        </w:rPr>
        <w:t>Zmiany wprowadzone w art. 81 ust. 1 pkt 3 i pkt 16 ustawy mają na celu implementację art. 5 pkt 1</w:t>
      </w:r>
      <w:r w:rsidR="00987740">
        <w:rPr>
          <w:rFonts w:ascii="Times New Roman" w:hAnsi="Times New Roman" w:cs="Times New Roman"/>
          <w:sz w:val="24"/>
          <w:szCs w:val="24"/>
        </w:rPr>
        <w:t xml:space="preserve"> </w:t>
      </w:r>
      <w:r w:rsidRPr="000431F7">
        <w:rPr>
          <w:rFonts w:ascii="Times New Roman" w:hAnsi="Times New Roman" w:cs="Times New Roman"/>
          <w:sz w:val="24"/>
          <w:szCs w:val="24"/>
        </w:rPr>
        <w:t>pkt a i b</w:t>
      </w:r>
      <w:r w:rsidR="00987740">
        <w:rPr>
          <w:rFonts w:ascii="Times New Roman" w:hAnsi="Times New Roman" w:cs="Times New Roman"/>
          <w:sz w:val="24"/>
          <w:szCs w:val="24"/>
        </w:rPr>
        <w:t xml:space="preserve"> </w:t>
      </w:r>
      <w:r w:rsidRPr="000431F7">
        <w:rPr>
          <w:rFonts w:ascii="Times New Roman" w:hAnsi="Times New Roman" w:cs="Times New Roman"/>
          <w:sz w:val="24"/>
          <w:szCs w:val="24"/>
        </w:rPr>
        <w:t>dyrektywy 2022/2556, przewidującego zmianę art. 10 ust. 7 lit. c i q dyrektywy 2014/59/UE i precyzują kwestie, które powinny zostać uwzględniane w kontekście planowania i oceny wykonalności działań w przypadku wszczęcia przymusowej restrukturyzacji, w celu ich dostosowania do unijnych ram operacyjnej odporności cyfrowej.</w:t>
      </w:r>
    </w:p>
    <w:p w14:paraId="33473CB1" w14:textId="6EF32B5E" w:rsidR="003C2362" w:rsidRPr="000431F7" w:rsidRDefault="00176CCF" w:rsidP="004742CC">
      <w:pPr>
        <w:spacing w:before="120" w:after="0" w:line="360" w:lineRule="auto"/>
        <w:jc w:val="both"/>
        <w:rPr>
          <w:rFonts w:ascii="Times New Roman" w:hAnsi="Times New Roman" w:cs="Times New Roman"/>
          <w:sz w:val="24"/>
          <w:szCs w:val="24"/>
        </w:rPr>
      </w:pPr>
      <w:bookmarkStart w:id="29" w:name="_Hlk193356915"/>
      <w:r w:rsidRPr="000431F7">
        <w:rPr>
          <w:rFonts w:ascii="Times New Roman" w:hAnsi="Times New Roman" w:cs="Times New Roman"/>
          <w:sz w:val="24"/>
          <w:szCs w:val="24"/>
        </w:rPr>
        <w:t>W art. 87 ustawy o BFG modyfikuje się dotychczasowe upoważnienie ustawowe do wydania aktu wykonawczego przez wskazanie, że wydawane rozporządzenie w zakresie swojej regulacji będzie obejmowało także uszczegółowienie kryteriów dokonywanej przez BFG oceny wykonalności planów przymusowej restrukturyzacji i grupowych planów przymusowej restrukturyzacji, o których mowa w dodawanym ust</w:t>
      </w:r>
      <w:r w:rsidR="00032470">
        <w:rPr>
          <w:rFonts w:ascii="Times New Roman" w:hAnsi="Times New Roman" w:cs="Times New Roman"/>
          <w:sz w:val="24"/>
          <w:szCs w:val="24"/>
        </w:rPr>
        <w:t>.</w:t>
      </w:r>
      <w:r w:rsidRPr="000431F7">
        <w:rPr>
          <w:rFonts w:ascii="Times New Roman" w:hAnsi="Times New Roman" w:cs="Times New Roman"/>
          <w:sz w:val="24"/>
          <w:szCs w:val="24"/>
        </w:rPr>
        <w:t xml:space="preserve"> 2a w art. 80 ustawy o BFG. Rozszerzenie upoważnienia w art. 87 ustawy o BFG umożliwi także ujęcie w wydawanym rozporządzeniu kwestii wskazanych w </w:t>
      </w:r>
      <w:r w:rsidR="0004421B" w:rsidRPr="000431F7">
        <w:rPr>
          <w:rFonts w:ascii="Times New Roman" w:hAnsi="Times New Roman" w:cs="Times New Roman"/>
          <w:sz w:val="24"/>
          <w:szCs w:val="24"/>
        </w:rPr>
        <w:t>s</w:t>
      </w:r>
      <w:r w:rsidRPr="000431F7">
        <w:rPr>
          <w:rFonts w:ascii="Times New Roman" w:hAnsi="Times New Roman" w:cs="Times New Roman"/>
          <w:sz w:val="24"/>
          <w:szCs w:val="24"/>
        </w:rPr>
        <w:t xml:space="preserve">ekcji C </w:t>
      </w:r>
      <w:r w:rsidR="0004421B" w:rsidRPr="000431F7">
        <w:rPr>
          <w:rFonts w:ascii="Times New Roman" w:hAnsi="Times New Roman" w:cs="Times New Roman"/>
          <w:sz w:val="24"/>
          <w:szCs w:val="24"/>
        </w:rPr>
        <w:t>z</w:t>
      </w:r>
      <w:r w:rsidRPr="000431F7">
        <w:rPr>
          <w:rFonts w:ascii="Times New Roman" w:hAnsi="Times New Roman" w:cs="Times New Roman"/>
          <w:sz w:val="24"/>
          <w:szCs w:val="24"/>
        </w:rPr>
        <w:t>ałącznika do dyrektywy 2014/59/UE ze zmianami wynikającymi z dyrektywy 2022/2556.</w:t>
      </w:r>
      <w:bookmarkEnd w:id="29"/>
    </w:p>
    <w:p w14:paraId="6CBEFCAB" w14:textId="322EAC07" w:rsidR="003C1AC6" w:rsidRPr="000431F7" w:rsidRDefault="003C1AC6" w:rsidP="004742CC">
      <w:pPr>
        <w:pStyle w:val="ARTartustawynprozporzdzenia"/>
        <w:keepNext/>
        <w:tabs>
          <w:tab w:val="left" w:pos="426"/>
        </w:tabs>
        <w:ind w:firstLine="0"/>
        <w:rPr>
          <w:rFonts w:ascii="Times New Roman" w:hAnsi="Times New Roman" w:cs="Times New Roman"/>
          <w:b/>
          <w:bCs/>
          <w:szCs w:val="24"/>
        </w:rPr>
      </w:pPr>
      <w:r w:rsidRPr="000431F7">
        <w:rPr>
          <w:rStyle w:val="Ppogrubienie"/>
          <w:rFonts w:ascii="Times New Roman" w:hAnsi="Times New Roman" w:cs="Times New Roman"/>
          <w:szCs w:val="24"/>
        </w:rPr>
        <w:t>1</w:t>
      </w:r>
      <w:r w:rsidR="00A00123" w:rsidRPr="000431F7">
        <w:rPr>
          <w:rStyle w:val="Ppogrubienie"/>
          <w:rFonts w:ascii="Times New Roman" w:hAnsi="Times New Roman" w:cs="Times New Roman"/>
          <w:szCs w:val="24"/>
        </w:rPr>
        <w:t>5</w:t>
      </w:r>
      <w:r w:rsidRPr="000431F7">
        <w:rPr>
          <w:rStyle w:val="Ppogrubienie"/>
          <w:rFonts w:ascii="Times New Roman" w:hAnsi="Times New Roman" w:cs="Times New Roman"/>
          <w:szCs w:val="24"/>
        </w:rPr>
        <w:t>.</w:t>
      </w:r>
      <w:r w:rsidR="00B66E01">
        <w:rPr>
          <w:rStyle w:val="Ppogrubienie"/>
          <w:rFonts w:ascii="Times New Roman" w:hAnsi="Times New Roman" w:cs="Times New Roman"/>
          <w:szCs w:val="24"/>
        </w:rPr>
        <w:tab/>
      </w:r>
      <w:r w:rsidR="00032470">
        <w:rPr>
          <w:rStyle w:val="Ppogrubienie"/>
          <w:rFonts w:ascii="Times New Roman" w:hAnsi="Times New Roman" w:cs="Times New Roman"/>
          <w:szCs w:val="24"/>
        </w:rPr>
        <w:t>Z</w:t>
      </w:r>
      <w:r w:rsidRPr="000431F7">
        <w:rPr>
          <w:rStyle w:val="Ppogrubienie"/>
          <w:rFonts w:ascii="Times New Roman" w:hAnsi="Times New Roman" w:cs="Times New Roman"/>
          <w:szCs w:val="24"/>
        </w:rPr>
        <w:t xml:space="preserve">miany w ustawie </w:t>
      </w:r>
      <w:r w:rsidRPr="000431F7">
        <w:rPr>
          <w:rFonts w:ascii="Times New Roman" w:hAnsi="Times New Roman" w:cs="Times New Roman"/>
          <w:b/>
          <w:bCs/>
          <w:szCs w:val="24"/>
        </w:rPr>
        <w:t xml:space="preserve">z dnia </w:t>
      </w:r>
      <w:r w:rsidR="00C51E94" w:rsidRPr="004742CC">
        <w:rPr>
          <w:rFonts w:ascii="Times New Roman" w:hAnsi="Times New Roman" w:cs="Times New Roman"/>
          <w:b/>
          <w:bCs/>
          <w:szCs w:val="24"/>
        </w:rPr>
        <w:t>15 grudnia 2017 r. o dystrybucji ubezpieczeń</w:t>
      </w:r>
      <w:r w:rsidR="00C51E94" w:rsidRPr="004742CC">
        <w:rPr>
          <w:rFonts w:ascii="Times New Roman" w:hAnsi="Times New Roman" w:cs="Times New Roman"/>
          <w:szCs w:val="24"/>
        </w:rPr>
        <w:t xml:space="preserve"> </w:t>
      </w:r>
      <w:r w:rsidRPr="000431F7">
        <w:rPr>
          <w:rFonts w:ascii="Times New Roman" w:hAnsi="Times New Roman" w:cs="Times New Roman"/>
          <w:b/>
          <w:bCs/>
          <w:szCs w:val="24"/>
        </w:rPr>
        <w:t>(art. 1</w:t>
      </w:r>
      <w:r w:rsidR="00A00123" w:rsidRPr="000431F7">
        <w:rPr>
          <w:rFonts w:ascii="Times New Roman" w:hAnsi="Times New Roman" w:cs="Times New Roman"/>
          <w:b/>
          <w:bCs/>
          <w:szCs w:val="24"/>
        </w:rPr>
        <w:t>5</w:t>
      </w:r>
      <w:r w:rsidRPr="000431F7">
        <w:rPr>
          <w:rFonts w:ascii="Times New Roman" w:hAnsi="Times New Roman" w:cs="Times New Roman"/>
          <w:b/>
          <w:bCs/>
          <w:szCs w:val="24"/>
        </w:rPr>
        <w:t>)</w:t>
      </w:r>
    </w:p>
    <w:p w14:paraId="4DB695A5" w14:textId="438A4D54" w:rsidR="003C1AC6" w:rsidRPr="000431F7" w:rsidRDefault="00C51E94" w:rsidP="004742CC">
      <w:pPr>
        <w:spacing w:before="120" w:after="0" w:line="360" w:lineRule="auto"/>
        <w:jc w:val="both"/>
        <w:rPr>
          <w:rFonts w:ascii="Times New Roman" w:hAnsi="Times New Roman" w:cs="Times New Roman"/>
          <w:sz w:val="24"/>
          <w:szCs w:val="24"/>
        </w:rPr>
      </w:pPr>
      <w:r w:rsidRPr="000431F7">
        <w:rPr>
          <w:rFonts w:ascii="Times New Roman" w:hAnsi="Times New Roman" w:cs="Times New Roman"/>
          <w:b/>
          <w:bCs/>
          <w:sz w:val="24"/>
          <w:szCs w:val="24"/>
        </w:rPr>
        <w:t xml:space="preserve">Art. </w:t>
      </w:r>
      <w:r w:rsidR="00B41A0A" w:rsidRPr="000431F7">
        <w:rPr>
          <w:rFonts w:ascii="Times New Roman" w:hAnsi="Times New Roman" w:cs="Times New Roman"/>
          <w:b/>
          <w:bCs/>
          <w:sz w:val="24"/>
          <w:szCs w:val="24"/>
        </w:rPr>
        <w:t>1</w:t>
      </w:r>
      <w:r w:rsidR="00A00123" w:rsidRPr="000431F7">
        <w:rPr>
          <w:rFonts w:ascii="Times New Roman" w:hAnsi="Times New Roman" w:cs="Times New Roman"/>
          <w:b/>
          <w:bCs/>
          <w:sz w:val="24"/>
          <w:szCs w:val="24"/>
        </w:rPr>
        <w:t>5</w:t>
      </w:r>
      <w:r w:rsidR="000265D5" w:rsidRPr="000431F7">
        <w:rPr>
          <w:rFonts w:ascii="Times New Roman" w:hAnsi="Times New Roman" w:cs="Times New Roman"/>
          <w:b/>
          <w:bCs/>
          <w:sz w:val="24"/>
          <w:szCs w:val="24"/>
        </w:rPr>
        <w:t xml:space="preserve"> </w:t>
      </w:r>
      <w:r w:rsidRPr="000431F7">
        <w:rPr>
          <w:rFonts w:ascii="Times New Roman" w:hAnsi="Times New Roman" w:cs="Times New Roman"/>
          <w:sz w:val="24"/>
          <w:szCs w:val="24"/>
        </w:rPr>
        <w:t>zmiany w ustawie</w:t>
      </w:r>
      <w:r w:rsidR="00987740">
        <w:rPr>
          <w:rFonts w:ascii="Times New Roman" w:hAnsi="Times New Roman" w:cs="Times New Roman"/>
          <w:sz w:val="24"/>
          <w:szCs w:val="24"/>
        </w:rPr>
        <w:t xml:space="preserve"> </w:t>
      </w:r>
      <w:r w:rsidR="00032470">
        <w:rPr>
          <w:rFonts w:ascii="Times New Roman" w:hAnsi="Times New Roman" w:cs="Times New Roman"/>
          <w:sz w:val="24"/>
          <w:szCs w:val="24"/>
        </w:rPr>
        <w:t xml:space="preserve">z </w:t>
      </w:r>
      <w:r w:rsidRPr="000431F7">
        <w:rPr>
          <w:rFonts w:ascii="Times New Roman" w:hAnsi="Times New Roman" w:cs="Times New Roman"/>
          <w:sz w:val="24"/>
          <w:szCs w:val="24"/>
        </w:rPr>
        <w:t>dnia 15 grudnia 2017 r. o dystrybucji ubezpieczeń mają charakter korekt legislacyjnych. Zgodnie z art. 32 pkt 20 ustawy z dnia 16 sierpnia 2023 r. o zmianie niektórych ustaw w związku z zapewnieniem rozwoju rynku finansowego oraz ochrony inwestorów na tym rynku</w:t>
      </w:r>
      <w:r w:rsidR="000265D5" w:rsidRPr="000431F7">
        <w:rPr>
          <w:rFonts w:ascii="Times New Roman" w:hAnsi="Times New Roman" w:cs="Times New Roman"/>
          <w:sz w:val="24"/>
          <w:szCs w:val="24"/>
        </w:rPr>
        <w:t>,</w:t>
      </w:r>
      <w:r w:rsidRPr="000431F7">
        <w:rPr>
          <w:rFonts w:ascii="Times New Roman" w:hAnsi="Times New Roman" w:cs="Times New Roman"/>
          <w:sz w:val="24"/>
          <w:szCs w:val="24"/>
        </w:rPr>
        <w:t xml:space="preserve"> dotychczasowa treść art. 80 ustawy z dnia 15 grudnia 2017 r. o dystrybucji ubezpieczeń została oznacza jako ust. 1 i został dodany ust. 2. Jednocześnie ustawa ta nie zaktualizowała właściwego odniesienia do poprawionego przepisu w art. 83, który określa możliwość nakładania przez organ nadzoru kar pieniężnych za odmowę udzielenia wyjaśnień lub informacji przez zakład ubezpieczeń (art. 80 pkt 1), agenta ubezpieczeniowego i agenta oferującego ubezpieczenia uzupełniające (art. 80 pkt 2) oraz brokera ubezpieczeniowego i brokera reasekuracyjnego (art. 80 pkt 2). Proponuje się więc odpowiednią korektę odesłania.</w:t>
      </w:r>
      <w:r w:rsidR="000F4FE3" w:rsidRPr="000431F7">
        <w:rPr>
          <w:rFonts w:ascii="Times New Roman" w:hAnsi="Times New Roman" w:cs="Times New Roman"/>
          <w:sz w:val="24"/>
          <w:szCs w:val="24"/>
        </w:rPr>
        <w:t xml:space="preserve"> </w:t>
      </w:r>
      <w:r w:rsidR="00020965" w:rsidRPr="000431F7">
        <w:rPr>
          <w:rFonts w:ascii="Times New Roman" w:hAnsi="Times New Roman" w:cs="Times New Roman"/>
          <w:sz w:val="24"/>
          <w:szCs w:val="24"/>
        </w:rPr>
        <w:t xml:space="preserve">Obecny stan </w:t>
      </w:r>
      <w:r w:rsidR="003015AB" w:rsidRPr="000431F7">
        <w:rPr>
          <w:rFonts w:ascii="Times New Roman" w:hAnsi="Times New Roman" w:cs="Times New Roman"/>
          <w:sz w:val="24"/>
          <w:szCs w:val="24"/>
        </w:rPr>
        <w:t xml:space="preserve">prawny może </w:t>
      </w:r>
      <w:r w:rsidR="00020965" w:rsidRPr="000431F7">
        <w:rPr>
          <w:rFonts w:ascii="Times New Roman" w:hAnsi="Times New Roman" w:cs="Times New Roman"/>
          <w:sz w:val="24"/>
          <w:szCs w:val="24"/>
        </w:rPr>
        <w:t>powod</w:t>
      </w:r>
      <w:r w:rsidR="003015AB" w:rsidRPr="000431F7">
        <w:rPr>
          <w:rFonts w:ascii="Times New Roman" w:hAnsi="Times New Roman" w:cs="Times New Roman"/>
          <w:sz w:val="24"/>
          <w:szCs w:val="24"/>
        </w:rPr>
        <w:t xml:space="preserve">ować wątpliwości co do </w:t>
      </w:r>
      <w:r w:rsidR="00020965" w:rsidRPr="000431F7">
        <w:rPr>
          <w:rFonts w:ascii="Times New Roman" w:hAnsi="Times New Roman" w:cs="Times New Roman"/>
          <w:sz w:val="24"/>
          <w:szCs w:val="24"/>
        </w:rPr>
        <w:t>możliwości nałożenia kary pieniężnej przez KNF</w:t>
      </w:r>
      <w:r w:rsidR="00032470">
        <w:rPr>
          <w:rFonts w:ascii="Times New Roman" w:hAnsi="Times New Roman" w:cs="Times New Roman"/>
          <w:sz w:val="24"/>
          <w:szCs w:val="24"/>
        </w:rPr>
        <w:t>,</w:t>
      </w:r>
      <w:r w:rsidR="00020965" w:rsidRPr="000431F7">
        <w:rPr>
          <w:rFonts w:ascii="Times New Roman" w:hAnsi="Times New Roman" w:cs="Times New Roman"/>
          <w:sz w:val="24"/>
          <w:szCs w:val="24"/>
        </w:rPr>
        <w:t xml:space="preserve"> jeżeli zakład ubezpieczeń, agent ubezpieczeniowy</w:t>
      </w:r>
      <w:r w:rsidR="000265D5" w:rsidRPr="000431F7">
        <w:rPr>
          <w:rFonts w:ascii="Times New Roman" w:hAnsi="Times New Roman" w:cs="Times New Roman"/>
          <w:sz w:val="24"/>
          <w:szCs w:val="24"/>
        </w:rPr>
        <w:t>,</w:t>
      </w:r>
      <w:r w:rsidR="00020965" w:rsidRPr="000431F7">
        <w:rPr>
          <w:rFonts w:ascii="Times New Roman" w:hAnsi="Times New Roman" w:cs="Times New Roman"/>
          <w:sz w:val="24"/>
          <w:szCs w:val="24"/>
        </w:rPr>
        <w:t xml:space="preserve"> agent oferujący ubezpieczenia uzupełniające, broker ubezpieczeniowy i broker reasekuracyjny odmawiają udzielenia wyjaśnień i informacji dotyczących ich działalności. </w:t>
      </w:r>
      <w:r w:rsidR="000F4FE3" w:rsidRPr="000431F7">
        <w:rPr>
          <w:rFonts w:ascii="Times New Roman" w:hAnsi="Times New Roman" w:cs="Times New Roman"/>
          <w:sz w:val="24"/>
          <w:szCs w:val="24"/>
        </w:rPr>
        <w:t>Odpowiednie korekty zostały też uwzględnione w art. 62</w:t>
      </w:r>
      <w:r w:rsidR="00020965" w:rsidRPr="000431F7">
        <w:rPr>
          <w:rFonts w:ascii="Times New Roman" w:hAnsi="Times New Roman" w:cs="Times New Roman"/>
          <w:sz w:val="24"/>
          <w:szCs w:val="24"/>
        </w:rPr>
        <w:t xml:space="preserve"> określającym zakres nadzoru KNF </w:t>
      </w:r>
      <w:r w:rsidR="003015AB" w:rsidRPr="000431F7">
        <w:rPr>
          <w:rFonts w:ascii="Times New Roman" w:hAnsi="Times New Roman" w:cs="Times New Roman"/>
          <w:sz w:val="24"/>
          <w:szCs w:val="24"/>
        </w:rPr>
        <w:t xml:space="preserve">nad </w:t>
      </w:r>
      <w:r w:rsidR="00020965" w:rsidRPr="000431F7">
        <w:rPr>
          <w:rFonts w:ascii="Times New Roman" w:hAnsi="Times New Roman" w:cs="Times New Roman"/>
          <w:sz w:val="24"/>
          <w:szCs w:val="24"/>
        </w:rPr>
        <w:t xml:space="preserve">działalnością agentów </w:t>
      </w:r>
      <w:r w:rsidR="00020965" w:rsidRPr="000431F7">
        <w:rPr>
          <w:rFonts w:ascii="Times New Roman" w:hAnsi="Times New Roman" w:cs="Times New Roman"/>
          <w:sz w:val="24"/>
          <w:szCs w:val="24"/>
        </w:rPr>
        <w:lastRenderedPageBreak/>
        <w:t>ubezpieczeniowych i agentów oferujących ubezpieczenia uzupełniające</w:t>
      </w:r>
      <w:r w:rsidR="003015AB" w:rsidRPr="000431F7">
        <w:rPr>
          <w:rFonts w:ascii="Times New Roman" w:hAnsi="Times New Roman" w:cs="Times New Roman"/>
          <w:sz w:val="24"/>
          <w:szCs w:val="24"/>
        </w:rPr>
        <w:t>. Brak korekty może powodować wątpliwości odnośnie zakresu nadzoru.</w:t>
      </w:r>
    </w:p>
    <w:p w14:paraId="7F6790BC" w14:textId="516462D7" w:rsidR="003C2362" w:rsidRPr="000431F7" w:rsidRDefault="003C2362" w:rsidP="004742CC">
      <w:pPr>
        <w:pStyle w:val="ARTartustawynprozporzdzenia"/>
        <w:keepNext/>
        <w:tabs>
          <w:tab w:val="left" w:pos="426"/>
        </w:tabs>
        <w:ind w:firstLine="0"/>
        <w:rPr>
          <w:rFonts w:ascii="Times New Roman" w:hAnsi="Times New Roman" w:cs="Times New Roman"/>
          <w:b/>
          <w:bCs/>
          <w:szCs w:val="24"/>
        </w:rPr>
      </w:pPr>
      <w:r w:rsidRPr="000431F7">
        <w:rPr>
          <w:rStyle w:val="Ppogrubienie"/>
          <w:rFonts w:ascii="Times New Roman" w:hAnsi="Times New Roman" w:cs="Times New Roman"/>
          <w:szCs w:val="24"/>
        </w:rPr>
        <w:t>1</w:t>
      </w:r>
      <w:r w:rsidR="00A00123" w:rsidRPr="000431F7">
        <w:rPr>
          <w:rStyle w:val="Ppogrubienie"/>
          <w:rFonts w:ascii="Times New Roman" w:hAnsi="Times New Roman" w:cs="Times New Roman"/>
          <w:szCs w:val="24"/>
        </w:rPr>
        <w:t>6</w:t>
      </w:r>
      <w:r w:rsidRPr="000431F7">
        <w:rPr>
          <w:rStyle w:val="Ppogrubienie"/>
          <w:rFonts w:ascii="Times New Roman" w:hAnsi="Times New Roman" w:cs="Times New Roman"/>
          <w:szCs w:val="24"/>
        </w:rPr>
        <w:t>.</w:t>
      </w:r>
      <w:r w:rsidR="00B66E01">
        <w:rPr>
          <w:rStyle w:val="Ppogrubienie"/>
          <w:rFonts w:ascii="Times New Roman" w:hAnsi="Times New Roman" w:cs="Times New Roman"/>
          <w:szCs w:val="24"/>
        </w:rPr>
        <w:tab/>
      </w:r>
      <w:r w:rsidR="00032470">
        <w:rPr>
          <w:rStyle w:val="Ppogrubienie"/>
          <w:rFonts w:ascii="Times New Roman" w:hAnsi="Times New Roman" w:cs="Times New Roman"/>
          <w:szCs w:val="24"/>
        </w:rPr>
        <w:t>Z</w:t>
      </w:r>
      <w:r w:rsidR="007C4435" w:rsidRPr="000431F7">
        <w:rPr>
          <w:rStyle w:val="Ppogrubienie"/>
          <w:rFonts w:ascii="Times New Roman" w:hAnsi="Times New Roman" w:cs="Times New Roman"/>
          <w:szCs w:val="24"/>
        </w:rPr>
        <w:t xml:space="preserve">miany w ustawie </w:t>
      </w:r>
      <w:r w:rsidRPr="000431F7">
        <w:rPr>
          <w:rFonts w:ascii="Times New Roman" w:hAnsi="Times New Roman" w:cs="Times New Roman"/>
          <w:b/>
          <w:bCs/>
          <w:szCs w:val="24"/>
        </w:rPr>
        <w:t xml:space="preserve">z dnia 5 lipca 2018 r. o krajowym systemie </w:t>
      </w:r>
      <w:proofErr w:type="spellStart"/>
      <w:r w:rsidRPr="000431F7">
        <w:rPr>
          <w:rFonts w:ascii="Times New Roman" w:hAnsi="Times New Roman" w:cs="Times New Roman"/>
          <w:b/>
          <w:bCs/>
          <w:szCs w:val="24"/>
        </w:rPr>
        <w:t>cyberbezpieczeństwa</w:t>
      </w:r>
      <w:proofErr w:type="spellEnd"/>
      <w:r w:rsidRPr="000431F7">
        <w:rPr>
          <w:rFonts w:ascii="Times New Roman" w:hAnsi="Times New Roman" w:cs="Times New Roman"/>
          <w:b/>
          <w:bCs/>
          <w:szCs w:val="24"/>
        </w:rPr>
        <w:t xml:space="preserve"> </w:t>
      </w:r>
      <w:r w:rsidR="00563B06" w:rsidRPr="000431F7">
        <w:rPr>
          <w:rFonts w:ascii="Times New Roman" w:hAnsi="Times New Roman" w:cs="Times New Roman"/>
          <w:b/>
          <w:bCs/>
          <w:szCs w:val="24"/>
        </w:rPr>
        <w:t>(art. 1</w:t>
      </w:r>
      <w:r w:rsidR="00A00123" w:rsidRPr="000431F7">
        <w:rPr>
          <w:rFonts w:ascii="Times New Roman" w:hAnsi="Times New Roman" w:cs="Times New Roman"/>
          <w:b/>
          <w:bCs/>
          <w:szCs w:val="24"/>
        </w:rPr>
        <w:t>6</w:t>
      </w:r>
      <w:r w:rsidR="00563B06" w:rsidRPr="000431F7">
        <w:rPr>
          <w:rFonts w:ascii="Times New Roman" w:hAnsi="Times New Roman" w:cs="Times New Roman"/>
          <w:b/>
          <w:bCs/>
          <w:szCs w:val="24"/>
        </w:rPr>
        <w:t>)</w:t>
      </w:r>
    </w:p>
    <w:p w14:paraId="1A473DDE" w14:textId="0FF0E855" w:rsidR="0071349B" w:rsidRPr="000431F7" w:rsidRDefault="007C4435" w:rsidP="004742CC">
      <w:pPr>
        <w:spacing w:before="120" w:after="0" w:line="360" w:lineRule="auto"/>
        <w:jc w:val="both"/>
        <w:rPr>
          <w:rFonts w:ascii="Times New Roman" w:hAnsi="Times New Roman" w:cs="Times New Roman"/>
          <w:sz w:val="24"/>
          <w:szCs w:val="24"/>
        </w:rPr>
      </w:pPr>
      <w:r w:rsidRPr="000431F7">
        <w:rPr>
          <w:rFonts w:ascii="Times New Roman" w:hAnsi="Times New Roman" w:cs="Times New Roman"/>
          <w:b/>
          <w:bCs/>
          <w:sz w:val="24"/>
          <w:szCs w:val="24"/>
        </w:rPr>
        <w:t>Art. 1</w:t>
      </w:r>
      <w:r w:rsidR="00A00123" w:rsidRPr="000431F7">
        <w:rPr>
          <w:rFonts w:ascii="Times New Roman" w:hAnsi="Times New Roman" w:cs="Times New Roman"/>
          <w:b/>
          <w:bCs/>
          <w:sz w:val="24"/>
          <w:szCs w:val="24"/>
        </w:rPr>
        <w:t>6</w:t>
      </w:r>
      <w:r w:rsidR="00DE7262" w:rsidRPr="000431F7">
        <w:rPr>
          <w:rFonts w:ascii="Times New Roman" w:hAnsi="Times New Roman" w:cs="Times New Roman"/>
          <w:b/>
          <w:bCs/>
          <w:sz w:val="24"/>
          <w:szCs w:val="24"/>
        </w:rPr>
        <w:t xml:space="preserve"> </w:t>
      </w:r>
      <w:r w:rsidRPr="000431F7">
        <w:rPr>
          <w:rFonts w:ascii="Times New Roman" w:hAnsi="Times New Roman" w:cs="Times New Roman"/>
          <w:sz w:val="24"/>
          <w:szCs w:val="24"/>
        </w:rPr>
        <w:t xml:space="preserve">wprowadza zmiany w ustawie o krajowym systemie </w:t>
      </w:r>
      <w:proofErr w:type="spellStart"/>
      <w:r w:rsidRPr="000431F7">
        <w:rPr>
          <w:rFonts w:ascii="Times New Roman" w:hAnsi="Times New Roman" w:cs="Times New Roman"/>
          <w:sz w:val="24"/>
          <w:szCs w:val="24"/>
        </w:rPr>
        <w:t>cyberbezpieczeństwa</w:t>
      </w:r>
      <w:proofErr w:type="spellEnd"/>
      <w:r w:rsidRPr="000431F7">
        <w:rPr>
          <w:rFonts w:ascii="Times New Roman" w:hAnsi="Times New Roman" w:cs="Times New Roman"/>
          <w:sz w:val="24"/>
          <w:szCs w:val="24"/>
        </w:rPr>
        <w:t xml:space="preserve"> mające na celu zapewnienie spójności rozwiązań w zakresie </w:t>
      </w:r>
      <w:proofErr w:type="spellStart"/>
      <w:r w:rsidRPr="000431F7">
        <w:rPr>
          <w:rFonts w:ascii="Times New Roman" w:hAnsi="Times New Roman" w:cs="Times New Roman"/>
          <w:sz w:val="24"/>
          <w:szCs w:val="24"/>
        </w:rPr>
        <w:t>cyberbezpieczeństwa</w:t>
      </w:r>
      <w:proofErr w:type="spellEnd"/>
      <w:r w:rsidRPr="000431F7">
        <w:rPr>
          <w:rFonts w:ascii="Times New Roman" w:hAnsi="Times New Roman" w:cs="Times New Roman"/>
          <w:sz w:val="24"/>
          <w:szCs w:val="24"/>
        </w:rPr>
        <w:t xml:space="preserve">. </w:t>
      </w:r>
    </w:p>
    <w:p w14:paraId="5ECF4F0F" w14:textId="4D1BD644" w:rsidR="00E4756B" w:rsidRPr="000431F7" w:rsidRDefault="007C4435" w:rsidP="004742CC">
      <w:pPr>
        <w:spacing w:before="120" w:after="0" w:line="360" w:lineRule="auto"/>
        <w:jc w:val="both"/>
        <w:rPr>
          <w:rFonts w:ascii="Times New Roman" w:hAnsi="Times New Roman" w:cs="Times New Roman"/>
          <w:sz w:val="24"/>
          <w:szCs w:val="24"/>
        </w:rPr>
      </w:pPr>
      <w:r w:rsidRPr="000431F7">
        <w:rPr>
          <w:rFonts w:ascii="Times New Roman" w:hAnsi="Times New Roman" w:cs="Times New Roman"/>
          <w:sz w:val="24"/>
          <w:szCs w:val="24"/>
        </w:rPr>
        <w:t>Art. 1</w:t>
      </w:r>
      <w:r w:rsidR="00A00123" w:rsidRPr="000431F7">
        <w:rPr>
          <w:rFonts w:ascii="Times New Roman" w:hAnsi="Times New Roman" w:cs="Times New Roman"/>
          <w:sz w:val="24"/>
          <w:szCs w:val="24"/>
        </w:rPr>
        <w:t>6</w:t>
      </w:r>
      <w:r w:rsidRPr="000431F7">
        <w:rPr>
          <w:rFonts w:ascii="Times New Roman" w:hAnsi="Times New Roman" w:cs="Times New Roman"/>
          <w:sz w:val="24"/>
          <w:szCs w:val="24"/>
        </w:rPr>
        <w:t xml:space="preserve"> </w:t>
      </w:r>
      <w:r w:rsidR="00BD3A20" w:rsidRPr="000431F7">
        <w:rPr>
          <w:rFonts w:ascii="Times New Roman" w:hAnsi="Times New Roman" w:cs="Times New Roman"/>
          <w:sz w:val="24"/>
          <w:szCs w:val="24"/>
        </w:rPr>
        <w:t>pkt 1</w:t>
      </w:r>
      <w:r w:rsidR="004E65A7" w:rsidRPr="000431F7">
        <w:rPr>
          <w:rFonts w:ascii="Times New Roman" w:hAnsi="Times New Roman" w:cs="Times New Roman"/>
          <w:sz w:val="24"/>
          <w:szCs w:val="24"/>
        </w:rPr>
        <w:t xml:space="preserve"> </w:t>
      </w:r>
      <w:r w:rsidR="001B58CC" w:rsidRPr="000431F7">
        <w:rPr>
          <w:rFonts w:ascii="Times New Roman" w:hAnsi="Times New Roman" w:cs="Times New Roman"/>
          <w:sz w:val="24"/>
          <w:szCs w:val="24"/>
        </w:rPr>
        <w:t>wprowadza zmianę polegająca na dodaniu art. 16a</w:t>
      </w:r>
      <w:r w:rsidR="001561E7" w:rsidRPr="000431F7">
        <w:rPr>
          <w:rFonts w:ascii="Times New Roman" w:hAnsi="Times New Roman" w:cs="Times New Roman"/>
          <w:sz w:val="24"/>
          <w:szCs w:val="24"/>
        </w:rPr>
        <w:t xml:space="preserve"> ustawy o krajowym systemie </w:t>
      </w:r>
      <w:proofErr w:type="spellStart"/>
      <w:r w:rsidR="001561E7" w:rsidRPr="000431F7">
        <w:rPr>
          <w:rFonts w:ascii="Times New Roman" w:hAnsi="Times New Roman" w:cs="Times New Roman"/>
          <w:sz w:val="24"/>
          <w:szCs w:val="24"/>
        </w:rPr>
        <w:t>cyberbezpieczeństwa</w:t>
      </w:r>
      <w:proofErr w:type="spellEnd"/>
      <w:r w:rsidR="001B58CC" w:rsidRPr="000431F7">
        <w:rPr>
          <w:rFonts w:ascii="Times New Roman" w:hAnsi="Times New Roman" w:cs="Times New Roman"/>
          <w:sz w:val="24"/>
          <w:szCs w:val="24"/>
        </w:rPr>
        <w:t xml:space="preserve">, zgodnie z którym </w:t>
      </w:r>
      <w:r w:rsidR="00EC28E7" w:rsidRPr="000431F7">
        <w:rPr>
          <w:rFonts w:ascii="Times New Roman" w:hAnsi="Times New Roman" w:cs="Times New Roman"/>
          <w:sz w:val="24"/>
          <w:szCs w:val="24"/>
        </w:rPr>
        <w:t>przepisów art. 8, art. 10–1</w:t>
      </w:r>
      <w:r w:rsidR="00D3075F" w:rsidRPr="000431F7">
        <w:rPr>
          <w:rFonts w:ascii="Times New Roman" w:hAnsi="Times New Roman" w:cs="Times New Roman"/>
          <w:sz w:val="24"/>
          <w:szCs w:val="24"/>
        </w:rPr>
        <w:t>2</w:t>
      </w:r>
      <w:r w:rsidR="00EC28E7" w:rsidRPr="000431F7">
        <w:rPr>
          <w:rFonts w:ascii="Times New Roman" w:hAnsi="Times New Roman" w:cs="Times New Roman"/>
          <w:sz w:val="24"/>
          <w:szCs w:val="24"/>
        </w:rPr>
        <w:t xml:space="preserve"> i art. 15 tej ustawy nie stosuje się do</w:t>
      </w:r>
      <w:r w:rsidR="00456ACB" w:rsidRPr="000431F7">
        <w:rPr>
          <w:rFonts w:ascii="Times New Roman" w:hAnsi="Times New Roman" w:cs="Times New Roman"/>
          <w:sz w:val="24"/>
          <w:szCs w:val="24"/>
        </w:rPr>
        <w:t xml:space="preserve"> </w:t>
      </w:r>
      <w:r w:rsidR="00D3075F" w:rsidRPr="000431F7">
        <w:rPr>
          <w:rFonts w:ascii="Times New Roman" w:hAnsi="Times New Roman" w:cs="Times New Roman"/>
          <w:sz w:val="24"/>
          <w:szCs w:val="24"/>
        </w:rPr>
        <w:t>operatorów usług kluczowych działający</w:t>
      </w:r>
      <w:r w:rsidR="0004421B" w:rsidRPr="000431F7">
        <w:rPr>
          <w:rFonts w:ascii="Times New Roman" w:hAnsi="Times New Roman" w:cs="Times New Roman"/>
          <w:sz w:val="24"/>
          <w:szCs w:val="24"/>
        </w:rPr>
        <w:t>ch</w:t>
      </w:r>
      <w:r w:rsidR="00D3075F" w:rsidRPr="000431F7">
        <w:rPr>
          <w:rFonts w:ascii="Times New Roman" w:hAnsi="Times New Roman" w:cs="Times New Roman"/>
          <w:sz w:val="24"/>
          <w:szCs w:val="24"/>
        </w:rPr>
        <w:t xml:space="preserve"> w sektorze bankowym i infrastruktury rynków finansowych.</w:t>
      </w:r>
      <w:r w:rsidR="00987740">
        <w:rPr>
          <w:rFonts w:ascii="Times New Roman" w:hAnsi="Times New Roman" w:cs="Times New Roman"/>
          <w:sz w:val="24"/>
          <w:szCs w:val="24"/>
        </w:rPr>
        <w:t xml:space="preserve"> </w:t>
      </w:r>
    </w:p>
    <w:p w14:paraId="2126EBEA" w14:textId="31541D79" w:rsidR="00E4756B" w:rsidRPr="000431F7" w:rsidRDefault="00E4756B" w:rsidP="004742CC">
      <w:pPr>
        <w:spacing w:before="120" w:after="0" w:line="360" w:lineRule="auto"/>
        <w:jc w:val="both"/>
        <w:rPr>
          <w:rFonts w:ascii="Times New Roman" w:hAnsi="Times New Roman" w:cs="Times New Roman"/>
          <w:sz w:val="24"/>
          <w:szCs w:val="24"/>
        </w:rPr>
      </w:pPr>
      <w:r w:rsidRPr="000431F7">
        <w:rPr>
          <w:rFonts w:ascii="Times New Roman" w:hAnsi="Times New Roman" w:cs="Times New Roman"/>
          <w:sz w:val="24"/>
          <w:szCs w:val="24"/>
        </w:rPr>
        <w:t xml:space="preserve">Podmioty te zostały wyłączone z obowiązku stosowania przepisów art. 8, </w:t>
      </w:r>
      <w:r w:rsidR="00032470">
        <w:rPr>
          <w:rFonts w:ascii="Times New Roman" w:hAnsi="Times New Roman" w:cs="Times New Roman"/>
          <w:sz w:val="24"/>
          <w:szCs w:val="24"/>
        </w:rPr>
        <w:t xml:space="preserve">art. </w:t>
      </w:r>
      <w:r w:rsidRPr="000431F7">
        <w:rPr>
          <w:rFonts w:ascii="Times New Roman" w:hAnsi="Times New Roman" w:cs="Times New Roman"/>
          <w:sz w:val="24"/>
          <w:szCs w:val="24"/>
        </w:rPr>
        <w:t>10</w:t>
      </w:r>
      <w:r w:rsidR="00032470">
        <w:rPr>
          <w:rFonts w:ascii="Times New Roman" w:hAnsi="Times New Roman" w:cs="Times New Roman"/>
          <w:sz w:val="24"/>
          <w:szCs w:val="24"/>
        </w:rPr>
        <w:t>–</w:t>
      </w:r>
      <w:r w:rsidRPr="000431F7">
        <w:rPr>
          <w:rFonts w:ascii="Times New Roman" w:hAnsi="Times New Roman" w:cs="Times New Roman"/>
          <w:sz w:val="24"/>
          <w:szCs w:val="24"/>
        </w:rPr>
        <w:t>12</w:t>
      </w:r>
      <w:r w:rsidR="00456ACB" w:rsidRPr="000431F7">
        <w:rPr>
          <w:rFonts w:ascii="Times New Roman" w:hAnsi="Times New Roman" w:cs="Times New Roman"/>
          <w:sz w:val="24"/>
          <w:szCs w:val="24"/>
        </w:rPr>
        <w:t xml:space="preserve"> </w:t>
      </w:r>
      <w:r w:rsidRPr="000431F7">
        <w:rPr>
          <w:rFonts w:ascii="Times New Roman" w:hAnsi="Times New Roman" w:cs="Times New Roman"/>
          <w:sz w:val="24"/>
          <w:szCs w:val="24"/>
        </w:rPr>
        <w:t xml:space="preserve">i </w:t>
      </w:r>
      <w:r w:rsidR="00456ACB" w:rsidRPr="000431F7">
        <w:rPr>
          <w:rFonts w:ascii="Times New Roman" w:hAnsi="Times New Roman" w:cs="Times New Roman"/>
          <w:sz w:val="24"/>
          <w:szCs w:val="24"/>
        </w:rPr>
        <w:t xml:space="preserve">art. </w:t>
      </w:r>
      <w:r w:rsidRPr="000431F7">
        <w:rPr>
          <w:rFonts w:ascii="Times New Roman" w:hAnsi="Times New Roman" w:cs="Times New Roman"/>
          <w:sz w:val="24"/>
          <w:szCs w:val="24"/>
        </w:rPr>
        <w:t xml:space="preserve">15 </w:t>
      </w:r>
      <w:r w:rsidR="008832C1" w:rsidRPr="000431F7">
        <w:rPr>
          <w:rFonts w:ascii="Times New Roman" w:hAnsi="Times New Roman" w:cs="Times New Roman"/>
          <w:sz w:val="24"/>
          <w:szCs w:val="24"/>
        </w:rPr>
        <w:t xml:space="preserve">ustawy o krajowym systemie </w:t>
      </w:r>
      <w:proofErr w:type="spellStart"/>
      <w:r w:rsidR="00667C49" w:rsidRPr="000431F7">
        <w:rPr>
          <w:rFonts w:ascii="Times New Roman" w:hAnsi="Times New Roman" w:cs="Times New Roman"/>
          <w:sz w:val="24"/>
          <w:szCs w:val="24"/>
        </w:rPr>
        <w:t>cyberbezpieczeństwa</w:t>
      </w:r>
      <w:proofErr w:type="spellEnd"/>
      <w:r w:rsidR="00667C49" w:rsidRPr="000431F7">
        <w:rPr>
          <w:rFonts w:ascii="Times New Roman" w:hAnsi="Times New Roman" w:cs="Times New Roman"/>
          <w:sz w:val="24"/>
          <w:szCs w:val="24"/>
        </w:rPr>
        <w:t xml:space="preserve"> </w:t>
      </w:r>
      <w:r w:rsidR="008832C1" w:rsidRPr="000431F7">
        <w:rPr>
          <w:rFonts w:ascii="Times New Roman" w:hAnsi="Times New Roman" w:cs="Times New Roman"/>
          <w:sz w:val="24"/>
          <w:szCs w:val="24"/>
        </w:rPr>
        <w:t xml:space="preserve">w celu uniknięcia dublowania obowiązków nakładanych na te podmioty. Art. 8 </w:t>
      </w:r>
      <w:r w:rsidR="001561E7" w:rsidRPr="000431F7">
        <w:rPr>
          <w:rFonts w:ascii="Times New Roman" w:hAnsi="Times New Roman" w:cs="Times New Roman"/>
          <w:sz w:val="24"/>
          <w:szCs w:val="24"/>
        </w:rPr>
        <w:t xml:space="preserve">ustawy o krajowym systemie </w:t>
      </w:r>
      <w:proofErr w:type="spellStart"/>
      <w:r w:rsidR="001561E7" w:rsidRPr="000431F7">
        <w:rPr>
          <w:rFonts w:ascii="Times New Roman" w:hAnsi="Times New Roman" w:cs="Times New Roman"/>
          <w:sz w:val="24"/>
          <w:szCs w:val="24"/>
        </w:rPr>
        <w:t>cyberbezpieczeństwa</w:t>
      </w:r>
      <w:proofErr w:type="spellEnd"/>
      <w:r w:rsidR="001561E7" w:rsidRPr="000431F7">
        <w:rPr>
          <w:rFonts w:ascii="Times New Roman" w:hAnsi="Times New Roman" w:cs="Times New Roman"/>
          <w:sz w:val="24"/>
          <w:szCs w:val="24"/>
        </w:rPr>
        <w:t xml:space="preserve"> </w:t>
      </w:r>
      <w:r w:rsidR="008832C1" w:rsidRPr="000431F7">
        <w:rPr>
          <w:rFonts w:ascii="Times New Roman" w:hAnsi="Times New Roman" w:cs="Times New Roman"/>
          <w:sz w:val="24"/>
          <w:szCs w:val="24"/>
        </w:rPr>
        <w:t>nakłada na operatora usługi kluczowej obowiązek wdrożenia systemu zarządzania bezpieczeństwem w</w:t>
      </w:r>
      <w:r w:rsidR="002562D9" w:rsidRPr="000431F7">
        <w:rPr>
          <w:rFonts w:ascii="Times New Roman" w:hAnsi="Times New Roman" w:cs="Times New Roman"/>
          <w:sz w:val="24"/>
          <w:szCs w:val="24"/>
        </w:rPr>
        <w:t> </w:t>
      </w:r>
      <w:r w:rsidR="008832C1" w:rsidRPr="000431F7">
        <w:rPr>
          <w:rFonts w:ascii="Times New Roman" w:hAnsi="Times New Roman" w:cs="Times New Roman"/>
          <w:sz w:val="24"/>
          <w:szCs w:val="24"/>
        </w:rPr>
        <w:t>systemie informacyjnym wykorzystywanym do świadczenia usługi kluczowej, zgodnego z</w:t>
      </w:r>
      <w:r w:rsidR="002562D9" w:rsidRPr="000431F7">
        <w:rPr>
          <w:rFonts w:ascii="Times New Roman" w:hAnsi="Times New Roman" w:cs="Times New Roman"/>
          <w:sz w:val="24"/>
          <w:szCs w:val="24"/>
        </w:rPr>
        <w:t> </w:t>
      </w:r>
      <w:r w:rsidR="008832C1" w:rsidRPr="000431F7">
        <w:rPr>
          <w:rFonts w:ascii="Times New Roman" w:hAnsi="Times New Roman" w:cs="Times New Roman"/>
          <w:sz w:val="24"/>
          <w:szCs w:val="24"/>
        </w:rPr>
        <w:t>wym</w:t>
      </w:r>
      <w:r w:rsidR="00047BF4" w:rsidRPr="000431F7">
        <w:rPr>
          <w:rFonts w:ascii="Times New Roman" w:hAnsi="Times New Roman" w:cs="Times New Roman"/>
          <w:sz w:val="24"/>
          <w:szCs w:val="24"/>
        </w:rPr>
        <w:t>o</w:t>
      </w:r>
      <w:r w:rsidR="008832C1" w:rsidRPr="000431F7">
        <w:rPr>
          <w:rFonts w:ascii="Times New Roman" w:hAnsi="Times New Roman" w:cs="Times New Roman"/>
          <w:sz w:val="24"/>
          <w:szCs w:val="24"/>
        </w:rPr>
        <w:t xml:space="preserve">gami tego przepisu. Art. 10 </w:t>
      </w:r>
      <w:r w:rsidR="001561E7" w:rsidRPr="000431F7">
        <w:rPr>
          <w:rFonts w:ascii="Times New Roman" w:hAnsi="Times New Roman" w:cs="Times New Roman"/>
          <w:sz w:val="24"/>
          <w:szCs w:val="24"/>
        </w:rPr>
        <w:t xml:space="preserve">ustawy o krajowym systemie </w:t>
      </w:r>
      <w:proofErr w:type="spellStart"/>
      <w:r w:rsidR="001561E7" w:rsidRPr="000431F7">
        <w:rPr>
          <w:rFonts w:ascii="Times New Roman" w:hAnsi="Times New Roman" w:cs="Times New Roman"/>
          <w:sz w:val="24"/>
          <w:szCs w:val="24"/>
        </w:rPr>
        <w:t>cyberbezpieczeństwa</w:t>
      </w:r>
      <w:proofErr w:type="spellEnd"/>
      <w:r w:rsidR="001561E7" w:rsidRPr="000431F7">
        <w:rPr>
          <w:rFonts w:ascii="Times New Roman" w:hAnsi="Times New Roman" w:cs="Times New Roman"/>
          <w:sz w:val="24"/>
          <w:szCs w:val="24"/>
        </w:rPr>
        <w:t xml:space="preserve"> </w:t>
      </w:r>
      <w:r w:rsidR="008832C1" w:rsidRPr="000431F7">
        <w:rPr>
          <w:rFonts w:ascii="Times New Roman" w:hAnsi="Times New Roman" w:cs="Times New Roman"/>
          <w:sz w:val="24"/>
          <w:szCs w:val="24"/>
        </w:rPr>
        <w:t xml:space="preserve">dotyczy obowiązków operatora usługi </w:t>
      </w:r>
      <w:r w:rsidR="00047BF4" w:rsidRPr="000431F7">
        <w:rPr>
          <w:rFonts w:ascii="Times New Roman" w:hAnsi="Times New Roman" w:cs="Times New Roman"/>
          <w:sz w:val="24"/>
          <w:szCs w:val="24"/>
        </w:rPr>
        <w:t>k</w:t>
      </w:r>
      <w:r w:rsidR="008832C1" w:rsidRPr="000431F7">
        <w:rPr>
          <w:rFonts w:ascii="Times New Roman" w:hAnsi="Times New Roman" w:cs="Times New Roman"/>
          <w:sz w:val="24"/>
          <w:szCs w:val="24"/>
        </w:rPr>
        <w:t xml:space="preserve">luczowej w zakresie dokumentacji dotyczącej </w:t>
      </w:r>
      <w:proofErr w:type="spellStart"/>
      <w:r w:rsidR="008832C1" w:rsidRPr="000431F7">
        <w:rPr>
          <w:rFonts w:ascii="Times New Roman" w:hAnsi="Times New Roman" w:cs="Times New Roman"/>
          <w:sz w:val="24"/>
          <w:szCs w:val="24"/>
        </w:rPr>
        <w:t>cyberbezpieczeństwa</w:t>
      </w:r>
      <w:proofErr w:type="spellEnd"/>
      <w:r w:rsidR="008832C1" w:rsidRPr="000431F7">
        <w:rPr>
          <w:rFonts w:ascii="Times New Roman" w:hAnsi="Times New Roman" w:cs="Times New Roman"/>
          <w:sz w:val="24"/>
          <w:szCs w:val="24"/>
        </w:rPr>
        <w:t xml:space="preserve"> systemu informacyjnego wykorzystywanego do świadczenia usługi kluczowej. Art. 11</w:t>
      </w:r>
      <w:r w:rsidR="001561E7" w:rsidRPr="000431F7">
        <w:rPr>
          <w:rFonts w:ascii="Times New Roman" w:hAnsi="Times New Roman" w:cs="Times New Roman"/>
          <w:sz w:val="24"/>
          <w:szCs w:val="24"/>
        </w:rPr>
        <w:t xml:space="preserve"> ustawy o krajowym systemie </w:t>
      </w:r>
      <w:proofErr w:type="spellStart"/>
      <w:r w:rsidR="001561E7" w:rsidRPr="000431F7">
        <w:rPr>
          <w:rFonts w:ascii="Times New Roman" w:hAnsi="Times New Roman" w:cs="Times New Roman"/>
          <w:sz w:val="24"/>
          <w:szCs w:val="24"/>
        </w:rPr>
        <w:t>cyberbezpieczeństwa</w:t>
      </w:r>
      <w:proofErr w:type="spellEnd"/>
      <w:r w:rsidR="008832C1" w:rsidRPr="000431F7">
        <w:rPr>
          <w:rFonts w:ascii="Times New Roman" w:hAnsi="Times New Roman" w:cs="Times New Roman"/>
          <w:sz w:val="24"/>
          <w:szCs w:val="24"/>
        </w:rPr>
        <w:t xml:space="preserve"> stanowi regulację dotycząc</w:t>
      </w:r>
      <w:r w:rsidR="008411C7">
        <w:rPr>
          <w:rFonts w:ascii="Times New Roman" w:hAnsi="Times New Roman" w:cs="Times New Roman"/>
          <w:sz w:val="24"/>
          <w:szCs w:val="24"/>
        </w:rPr>
        <w:t>ą</w:t>
      </w:r>
      <w:r w:rsidR="008832C1" w:rsidRPr="000431F7">
        <w:rPr>
          <w:rFonts w:ascii="Times New Roman" w:hAnsi="Times New Roman" w:cs="Times New Roman"/>
          <w:sz w:val="24"/>
          <w:szCs w:val="24"/>
        </w:rPr>
        <w:t xml:space="preserve"> obowiązków związanych ze zgłaszaniem i obsługą incydentów. Art. 12 </w:t>
      </w:r>
      <w:r w:rsidR="001561E7" w:rsidRPr="000431F7">
        <w:rPr>
          <w:rFonts w:ascii="Times New Roman" w:hAnsi="Times New Roman" w:cs="Times New Roman"/>
          <w:sz w:val="24"/>
          <w:szCs w:val="24"/>
        </w:rPr>
        <w:t>ustawy o</w:t>
      </w:r>
      <w:r w:rsidR="002562D9" w:rsidRPr="000431F7">
        <w:rPr>
          <w:rFonts w:ascii="Times New Roman" w:hAnsi="Times New Roman" w:cs="Times New Roman"/>
          <w:sz w:val="24"/>
          <w:szCs w:val="24"/>
        </w:rPr>
        <w:t> </w:t>
      </w:r>
      <w:r w:rsidR="001561E7" w:rsidRPr="000431F7">
        <w:rPr>
          <w:rFonts w:ascii="Times New Roman" w:hAnsi="Times New Roman" w:cs="Times New Roman"/>
          <w:sz w:val="24"/>
          <w:szCs w:val="24"/>
        </w:rPr>
        <w:t xml:space="preserve">krajowym systemie </w:t>
      </w:r>
      <w:proofErr w:type="spellStart"/>
      <w:r w:rsidR="001561E7" w:rsidRPr="000431F7">
        <w:rPr>
          <w:rFonts w:ascii="Times New Roman" w:hAnsi="Times New Roman" w:cs="Times New Roman"/>
          <w:sz w:val="24"/>
          <w:szCs w:val="24"/>
        </w:rPr>
        <w:t>cyberbezpieczeństwa</w:t>
      </w:r>
      <w:proofErr w:type="spellEnd"/>
      <w:r w:rsidR="001561E7" w:rsidRPr="000431F7">
        <w:rPr>
          <w:rFonts w:ascii="Times New Roman" w:hAnsi="Times New Roman" w:cs="Times New Roman"/>
          <w:sz w:val="24"/>
          <w:szCs w:val="24"/>
        </w:rPr>
        <w:t xml:space="preserve"> </w:t>
      </w:r>
      <w:r w:rsidR="008832C1" w:rsidRPr="000431F7">
        <w:rPr>
          <w:rFonts w:ascii="Times New Roman" w:hAnsi="Times New Roman" w:cs="Times New Roman"/>
          <w:sz w:val="24"/>
          <w:szCs w:val="24"/>
        </w:rPr>
        <w:t>określa zakres informacji objętych zgłoszeniem poważnego incydentu i uprawnienia właściwego CSIRT MON, CSIRT NASK lub CSIRT GOV oraz sektorow</w:t>
      </w:r>
      <w:r w:rsidR="000265D5" w:rsidRPr="000431F7">
        <w:rPr>
          <w:rFonts w:ascii="Times New Roman" w:hAnsi="Times New Roman" w:cs="Times New Roman"/>
          <w:sz w:val="24"/>
          <w:szCs w:val="24"/>
        </w:rPr>
        <w:t>ego</w:t>
      </w:r>
      <w:r w:rsidR="008832C1" w:rsidRPr="000431F7">
        <w:rPr>
          <w:rFonts w:ascii="Times New Roman" w:hAnsi="Times New Roman" w:cs="Times New Roman"/>
          <w:sz w:val="24"/>
          <w:szCs w:val="24"/>
        </w:rPr>
        <w:t xml:space="preserve"> zesp</w:t>
      </w:r>
      <w:r w:rsidR="000265D5" w:rsidRPr="000431F7">
        <w:rPr>
          <w:rFonts w:ascii="Times New Roman" w:hAnsi="Times New Roman" w:cs="Times New Roman"/>
          <w:sz w:val="24"/>
          <w:szCs w:val="24"/>
        </w:rPr>
        <w:t>ołu</w:t>
      </w:r>
      <w:r w:rsidR="008832C1" w:rsidRPr="000431F7">
        <w:rPr>
          <w:rFonts w:ascii="Times New Roman" w:hAnsi="Times New Roman" w:cs="Times New Roman"/>
          <w:sz w:val="24"/>
          <w:szCs w:val="24"/>
        </w:rPr>
        <w:t xml:space="preserve"> </w:t>
      </w:r>
      <w:proofErr w:type="spellStart"/>
      <w:r w:rsidR="008832C1" w:rsidRPr="000431F7">
        <w:rPr>
          <w:rFonts w:ascii="Times New Roman" w:hAnsi="Times New Roman" w:cs="Times New Roman"/>
          <w:sz w:val="24"/>
          <w:szCs w:val="24"/>
        </w:rPr>
        <w:t>cyberbezpieczeństwa</w:t>
      </w:r>
      <w:proofErr w:type="spellEnd"/>
      <w:r w:rsidR="00987740">
        <w:rPr>
          <w:rFonts w:ascii="Times New Roman" w:hAnsi="Times New Roman" w:cs="Times New Roman"/>
          <w:sz w:val="24"/>
          <w:szCs w:val="24"/>
        </w:rPr>
        <w:t xml:space="preserve"> </w:t>
      </w:r>
      <w:r w:rsidR="008832C1" w:rsidRPr="000431F7">
        <w:rPr>
          <w:rFonts w:ascii="Times New Roman" w:hAnsi="Times New Roman" w:cs="Times New Roman"/>
          <w:sz w:val="24"/>
          <w:szCs w:val="24"/>
        </w:rPr>
        <w:t xml:space="preserve">związane z tym zgłoszeniem. Art. 15 </w:t>
      </w:r>
      <w:r w:rsidR="001561E7" w:rsidRPr="000431F7">
        <w:rPr>
          <w:rFonts w:ascii="Times New Roman" w:hAnsi="Times New Roman" w:cs="Times New Roman"/>
          <w:sz w:val="24"/>
          <w:szCs w:val="24"/>
        </w:rPr>
        <w:t xml:space="preserve">ustawy o krajowym systemie </w:t>
      </w:r>
      <w:proofErr w:type="spellStart"/>
      <w:r w:rsidR="001561E7" w:rsidRPr="000431F7">
        <w:rPr>
          <w:rFonts w:ascii="Times New Roman" w:hAnsi="Times New Roman" w:cs="Times New Roman"/>
          <w:sz w:val="24"/>
          <w:szCs w:val="24"/>
        </w:rPr>
        <w:t>cyberbezpieczeństwa</w:t>
      </w:r>
      <w:proofErr w:type="spellEnd"/>
      <w:r w:rsidR="001561E7" w:rsidRPr="000431F7">
        <w:rPr>
          <w:rFonts w:ascii="Times New Roman" w:hAnsi="Times New Roman" w:cs="Times New Roman"/>
          <w:sz w:val="24"/>
          <w:szCs w:val="24"/>
        </w:rPr>
        <w:t xml:space="preserve"> </w:t>
      </w:r>
      <w:r w:rsidR="008832C1" w:rsidRPr="000431F7">
        <w:rPr>
          <w:rFonts w:ascii="Times New Roman" w:hAnsi="Times New Roman" w:cs="Times New Roman"/>
          <w:sz w:val="24"/>
          <w:szCs w:val="24"/>
        </w:rPr>
        <w:t xml:space="preserve">reguluje obowiązki </w:t>
      </w:r>
      <w:r w:rsidR="00050755" w:rsidRPr="000431F7">
        <w:rPr>
          <w:rFonts w:ascii="Times New Roman" w:hAnsi="Times New Roman" w:cs="Times New Roman"/>
          <w:sz w:val="24"/>
          <w:szCs w:val="24"/>
        </w:rPr>
        <w:t xml:space="preserve">operatora usługi kluczowej </w:t>
      </w:r>
      <w:r w:rsidR="008832C1" w:rsidRPr="000431F7">
        <w:rPr>
          <w:rFonts w:ascii="Times New Roman" w:hAnsi="Times New Roman" w:cs="Times New Roman"/>
          <w:sz w:val="24"/>
          <w:szCs w:val="24"/>
        </w:rPr>
        <w:t>związane z</w:t>
      </w:r>
      <w:r w:rsidR="002562D9" w:rsidRPr="000431F7">
        <w:rPr>
          <w:rFonts w:ascii="Times New Roman" w:hAnsi="Times New Roman" w:cs="Times New Roman"/>
          <w:sz w:val="24"/>
          <w:szCs w:val="24"/>
        </w:rPr>
        <w:t> </w:t>
      </w:r>
      <w:r w:rsidR="008832C1" w:rsidRPr="000431F7">
        <w:rPr>
          <w:rFonts w:ascii="Times New Roman" w:hAnsi="Times New Roman" w:cs="Times New Roman"/>
          <w:sz w:val="24"/>
          <w:szCs w:val="24"/>
        </w:rPr>
        <w:t>audyt</w:t>
      </w:r>
      <w:r w:rsidR="00050755" w:rsidRPr="000431F7">
        <w:rPr>
          <w:rFonts w:ascii="Times New Roman" w:hAnsi="Times New Roman" w:cs="Times New Roman"/>
          <w:sz w:val="24"/>
          <w:szCs w:val="24"/>
        </w:rPr>
        <w:t>em</w:t>
      </w:r>
      <w:r w:rsidR="008832C1" w:rsidRPr="000431F7">
        <w:rPr>
          <w:rFonts w:ascii="Times New Roman" w:hAnsi="Times New Roman" w:cs="Times New Roman"/>
          <w:sz w:val="24"/>
          <w:szCs w:val="24"/>
        </w:rPr>
        <w:t xml:space="preserve"> bezpieczeństwa systemu informacyjnego wykorzystywanego do świadczenia usługi kluczowej.</w:t>
      </w:r>
    </w:p>
    <w:p w14:paraId="6F88AC3B" w14:textId="6380FD1E" w:rsidR="00050755" w:rsidRPr="000431F7" w:rsidRDefault="00EA6B27" w:rsidP="004742CC">
      <w:pPr>
        <w:spacing w:before="120" w:after="0" w:line="360" w:lineRule="auto"/>
        <w:jc w:val="both"/>
        <w:rPr>
          <w:rFonts w:ascii="Times New Roman" w:hAnsi="Times New Roman" w:cs="Times New Roman"/>
          <w:sz w:val="24"/>
          <w:szCs w:val="24"/>
        </w:rPr>
      </w:pPr>
      <w:r w:rsidRPr="000431F7">
        <w:rPr>
          <w:rFonts w:ascii="Times New Roman" w:hAnsi="Times New Roman" w:cs="Times New Roman"/>
          <w:sz w:val="24"/>
          <w:szCs w:val="24"/>
        </w:rPr>
        <w:t>Należy podkreślić, że nie ma konieczności wprowadzania wyłączenia w zakresie rozdziału 14</w:t>
      </w:r>
      <w:r w:rsidR="00D543D0" w:rsidRPr="000431F7">
        <w:rPr>
          <w:rFonts w:ascii="Times New Roman" w:hAnsi="Times New Roman" w:cs="Times New Roman"/>
          <w:sz w:val="24"/>
          <w:szCs w:val="24"/>
        </w:rPr>
        <w:t xml:space="preserve"> </w:t>
      </w:r>
      <w:r w:rsidR="00050755" w:rsidRPr="000431F7">
        <w:rPr>
          <w:rFonts w:ascii="Times New Roman" w:hAnsi="Times New Roman" w:cs="Times New Roman"/>
          <w:sz w:val="24"/>
          <w:szCs w:val="24"/>
        </w:rPr>
        <w:t>„Przepisy o karach pieniężnych”</w:t>
      </w:r>
      <w:r w:rsidR="008411C7">
        <w:rPr>
          <w:rFonts w:ascii="Times New Roman" w:hAnsi="Times New Roman" w:cs="Times New Roman"/>
          <w:sz w:val="24"/>
          <w:szCs w:val="24"/>
        </w:rPr>
        <w:t>,</w:t>
      </w:r>
      <w:r w:rsidR="00050755" w:rsidRPr="000431F7">
        <w:rPr>
          <w:rFonts w:ascii="Times New Roman" w:hAnsi="Times New Roman" w:cs="Times New Roman"/>
          <w:sz w:val="24"/>
          <w:szCs w:val="24"/>
        </w:rPr>
        <w:t xml:space="preserve"> </w:t>
      </w:r>
      <w:r w:rsidRPr="000431F7">
        <w:rPr>
          <w:rFonts w:ascii="Times New Roman" w:hAnsi="Times New Roman" w:cs="Times New Roman"/>
          <w:sz w:val="24"/>
          <w:szCs w:val="24"/>
        </w:rPr>
        <w:t xml:space="preserve">ponieważ </w:t>
      </w:r>
      <w:r w:rsidR="00050755" w:rsidRPr="000431F7">
        <w:rPr>
          <w:rFonts w:ascii="Times New Roman" w:hAnsi="Times New Roman" w:cs="Times New Roman"/>
          <w:sz w:val="24"/>
          <w:szCs w:val="24"/>
        </w:rPr>
        <w:t>w przypadku podmiotów kluczowych lub podmiotów ważnych z sektora „Bankowość i infrastruktura rynków finansowych”</w:t>
      </w:r>
      <w:r w:rsidRPr="000431F7">
        <w:rPr>
          <w:rFonts w:ascii="Times New Roman" w:hAnsi="Times New Roman" w:cs="Times New Roman"/>
          <w:sz w:val="24"/>
          <w:szCs w:val="24"/>
        </w:rPr>
        <w:t xml:space="preserve"> zakres obowiązków sankcjonowanych został określony w dodawanym art. 16a – obowiązki wyłączone nie podlegają sankcjom automatycznie</w:t>
      </w:r>
      <w:r w:rsidR="00050755" w:rsidRPr="000431F7">
        <w:rPr>
          <w:rFonts w:ascii="Times New Roman" w:hAnsi="Times New Roman" w:cs="Times New Roman"/>
          <w:sz w:val="24"/>
          <w:szCs w:val="24"/>
        </w:rPr>
        <w:t>.</w:t>
      </w:r>
      <w:r w:rsidR="00A024E3" w:rsidRPr="000431F7">
        <w:rPr>
          <w:rFonts w:ascii="Times New Roman" w:hAnsi="Times New Roman" w:cs="Times New Roman"/>
          <w:sz w:val="24"/>
          <w:szCs w:val="24"/>
        </w:rPr>
        <w:t xml:space="preserve"> </w:t>
      </w:r>
    </w:p>
    <w:p w14:paraId="7EE4A98F" w14:textId="2981B66B" w:rsidR="004B177E" w:rsidRPr="000431F7" w:rsidRDefault="00050755" w:rsidP="004742CC">
      <w:pPr>
        <w:spacing w:before="120" w:after="0" w:line="360" w:lineRule="auto"/>
        <w:jc w:val="both"/>
        <w:rPr>
          <w:rFonts w:ascii="Times New Roman" w:hAnsi="Times New Roman" w:cs="Times New Roman"/>
          <w:sz w:val="24"/>
          <w:szCs w:val="24"/>
        </w:rPr>
      </w:pPr>
      <w:r w:rsidRPr="000431F7">
        <w:rPr>
          <w:rFonts w:ascii="Times New Roman" w:hAnsi="Times New Roman" w:cs="Times New Roman"/>
          <w:sz w:val="24"/>
          <w:szCs w:val="24"/>
        </w:rPr>
        <w:lastRenderedPageBreak/>
        <w:t>Zmiany wprowadzane art. 1</w:t>
      </w:r>
      <w:r w:rsidR="00A00123" w:rsidRPr="000431F7">
        <w:rPr>
          <w:rFonts w:ascii="Times New Roman" w:hAnsi="Times New Roman" w:cs="Times New Roman"/>
          <w:sz w:val="24"/>
          <w:szCs w:val="24"/>
        </w:rPr>
        <w:t>6</w:t>
      </w:r>
      <w:r w:rsidRPr="000431F7">
        <w:rPr>
          <w:rFonts w:ascii="Times New Roman" w:hAnsi="Times New Roman" w:cs="Times New Roman"/>
          <w:sz w:val="24"/>
          <w:szCs w:val="24"/>
        </w:rPr>
        <w:t xml:space="preserve"> pkt </w:t>
      </w:r>
      <w:r w:rsidR="000376B9" w:rsidRPr="000431F7">
        <w:rPr>
          <w:rFonts w:ascii="Times New Roman" w:hAnsi="Times New Roman" w:cs="Times New Roman"/>
          <w:sz w:val="24"/>
          <w:szCs w:val="24"/>
        </w:rPr>
        <w:t>2</w:t>
      </w:r>
      <w:r w:rsidRPr="000431F7">
        <w:rPr>
          <w:rFonts w:ascii="Times New Roman" w:hAnsi="Times New Roman" w:cs="Times New Roman"/>
          <w:sz w:val="24"/>
          <w:szCs w:val="24"/>
        </w:rPr>
        <w:t xml:space="preserve"> w zakresie art. 65 ust. 1</w:t>
      </w:r>
      <w:r w:rsidR="001561E7" w:rsidRPr="000431F7">
        <w:rPr>
          <w:rFonts w:ascii="Times New Roman" w:hAnsi="Times New Roman" w:cs="Times New Roman"/>
          <w:sz w:val="24"/>
          <w:szCs w:val="24"/>
        </w:rPr>
        <w:t xml:space="preserve"> ustawy o krajowym systemie </w:t>
      </w:r>
      <w:proofErr w:type="spellStart"/>
      <w:r w:rsidR="001561E7" w:rsidRPr="000431F7">
        <w:rPr>
          <w:rFonts w:ascii="Times New Roman" w:hAnsi="Times New Roman" w:cs="Times New Roman"/>
          <w:sz w:val="24"/>
          <w:szCs w:val="24"/>
        </w:rPr>
        <w:t>cyberbezpieczeństwa</w:t>
      </w:r>
      <w:proofErr w:type="spellEnd"/>
      <w:r w:rsidRPr="000431F7">
        <w:rPr>
          <w:rFonts w:ascii="Times New Roman" w:hAnsi="Times New Roman" w:cs="Times New Roman"/>
          <w:sz w:val="24"/>
          <w:szCs w:val="24"/>
        </w:rPr>
        <w:t xml:space="preserve"> mają na celu zapewnienie współdziałania zespołów CSIRT MON, CSIRT GOV i CSIRT NASK oraz </w:t>
      </w:r>
      <w:proofErr w:type="spellStart"/>
      <w:r w:rsidR="00D3075F" w:rsidRPr="000431F7">
        <w:rPr>
          <w:rFonts w:ascii="Times New Roman" w:hAnsi="Times New Roman" w:cs="Times New Roman"/>
          <w:sz w:val="24"/>
          <w:szCs w:val="24"/>
        </w:rPr>
        <w:t>KNF</w:t>
      </w:r>
      <w:r w:rsidRPr="000431F7">
        <w:rPr>
          <w:rFonts w:ascii="Times New Roman" w:hAnsi="Times New Roman" w:cs="Times New Roman"/>
          <w:sz w:val="24"/>
          <w:szCs w:val="24"/>
        </w:rPr>
        <w:t>w</w:t>
      </w:r>
      <w:proofErr w:type="spellEnd"/>
      <w:r w:rsidR="002562D9" w:rsidRPr="000431F7">
        <w:rPr>
          <w:rFonts w:ascii="Times New Roman" w:hAnsi="Times New Roman" w:cs="Times New Roman"/>
          <w:sz w:val="24"/>
          <w:szCs w:val="24"/>
        </w:rPr>
        <w:t> </w:t>
      </w:r>
      <w:r w:rsidRPr="000431F7">
        <w:rPr>
          <w:rFonts w:ascii="Times New Roman" w:hAnsi="Times New Roman" w:cs="Times New Roman"/>
          <w:sz w:val="24"/>
          <w:szCs w:val="24"/>
        </w:rPr>
        <w:t xml:space="preserve">zakresie działalności podmiotów finansowych będących podmiotami kluczowymi lub podmiotami ważnymi, </w:t>
      </w:r>
      <w:r w:rsidR="003B599A" w:rsidRPr="000431F7">
        <w:rPr>
          <w:rFonts w:ascii="Times New Roman" w:hAnsi="Times New Roman" w:cs="Times New Roman"/>
          <w:sz w:val="24"/>
          <w:szCs w:val="24"/>
        </w:rPr>
        <w:t>przez</w:t>
      </w:r>
      <w:r w:rsidRPr="000431F7">
        <w:rPr>
          <w:rFonts w:ascii="Times New Roman" w:hAnsi="Times New Roman" w:cs="Times New Roman"/>
          <w:sz w:val="24"/>
          <w:szCs w:val="24"/>
        </w:rPr>
        <w:t xml:space="preserve"> rozszerzenie katalogu zadań Kolegium działającego przy Radzie Ministrów jako organ opiniodawczo-doradczy w sprawach </w:t>
      </w:r>
      <w:proofErr w:type="spellStart"/>
      <w:r w:rsidRPr="000431F7">
        <w:rPr>
          <w:rFonts w:ascii="Times New Roman" w:hAnsi="Times New Roman" w:cs="Times New Roman"/>
          <w:sz w:val="24"/>
          <w:szCs w:val="24"/>
        </w:rPr>
        <w:t>cyberbezpieczeństwa</w:t>
      </w:r>
      <w:proofErr w:type="spellEnd"/>
      <w:r w:rsidRPr="000431F7">
        <w:rPr>
          <w:rFonts w:ascii="Times New Roman" w:hAnsi="Times New Roman" w:cs="Times New Roman"/>
          <w:sz w:val="24"/>
          <w:szCs w:val="24"/>
        </w:rPr>
        <w:t xml:space="preserve"> oraz działalności w tym zakresie CSIRT MON, CSIRT NASK, CSIRT GOV, sektorowych zespołów </w:t>
      </w:r>
      <w:proofErr w:type="spellStart"/>
      <w:r w:rsidRPr="000431F7">
        <w:rPr>
          <w:rFonts w:ascii="Times New Roman" w:hAnsi="Times New Roman" w:cs="Times New Roman"/>
          <w:sz w:val="24"/>
          <w:szCs w:val="24"/>
        </w:rPr>
        <w:t>cyberbezpieczeństwa</w:t>
      </w:r>
      <w:proofErr w:type="spellEnd"/>
      <w:r w:rsidRPr="000431F7">
        <w:rPr>
          <w:rFonts w:ascii="Times New Roman" w:hAnsi="Times New Roman" w:cs="Times New Roman"/>
          <w:sz w:val="24"/>
          <w:szCs w:val="24"/>
        </w:rPr>
        <w:t xml:space="preserve"> i organów właściwych do spraw </w:t>
      </w:r>
      <w:proofErr w:type="spellStart"/>
      <w:r w:rsidRPr="000431F7">
        <w:rPr>
          <w:rFonts w:ascii="Times New Roman" w:hAnsi="Times New Roman" w:cs="Times New Roman"/>
          <w:sz w:val="24"/>
          <w:szCs w:val="24"/>
        </w:rPr>
        <w:t>cyberbezpieczeństwa</w:t>
      </w:r>
      <w:proofErr w:type="spellEnd"/>
      <w:r w:rsidRPr="000431F7">
        <w:rPr>
          <w:rFonts w:ascii="Times New Roman" w:hAnsi="Times New Roman" w:cs="Times New Roman"/>
          <w:sz w:val="24"/>
          <w:szCs w:val="24"/>
        </w:rPr>
        <w:t xml:space="preserve">. </w:t>
      </w:r>
    </w:p>
    <w:p w14:paraId="5E564548" w14:textId="03F4B0E0" w:rsidR="00050755" w:rsidRPr="000431F7" w:rsidRDefault="004B177E" w:rsidP="004742CC">
      <w:pPr>
        <w:spacing w:before="120" w:after="0" w:line="360" w:lineRule="auto"/>
        <w:jc w:val="both"/>
        <w:rPr>
          <w:rFonts w:ascii="Times New Roman" w:hAnsi="Times New Roman" w:cs="Times New Roman"/>
          <w:sz w:val="24"/>
          <w:szCs w:val="24"/>
        </w:rPr>
      </w:pPr>
      <w:r w:rsidRPr="000431F7">
        <w:rPr>
          <w:rFonts w:ascii="Times New Roman" w:hAnsi="Times New Roman" w:cs="Times New Roman"/>
          <w:sz w:val="24"/>
          <w:szCs w:val="24"/>
        </w:rPr>
        <w:t>Ponadto, z</w:t>
      </w:r>
      <w:r w:rsidR="00050755" w:rsidRPr="000431F7">
        <w:rPr>
          <w:rFonts w:ascii="Times New Roman" w:hAnsi="Times New Roman" w:cs="Times New Roman"/>
          <w:sz w:val="24"/>
          <w:szCs w:val="24"/>
        </w:rPr>
        <w:t>godnie z art. 1</w:t>
      </w:r>
      <w:r w:rsidR="00A00123" w:rsidRPr="000431F7">
        <w:rPr>
          <w:rFonts w:ascii="Times New Roman" w:hAnsi="Times New Roman" w:cs="Times New Roman"/>
          <w:sz w:val="24"/>
          <w:szCs w:val="24"/>
        </w:rPr>
        <w:t>6</w:t>
      </w:r>
      <w:r w:rsidR="00050755" w:rsidRPr="000431F7">
        <w:rPr>
          <w:rFonts w:ascii="Times New Roman" w:hAnsi="Times New Roman" w:cs="Times New Roman"/>
          <w:sz w:val="24"/>
          <w:szCs w:val="24"/>
        </w:rPr>
        <w:t xml:space="preserve"> pkt </w:t>
      </w:r>
      <w:r w:rsidR="000376B9" w:rsidRPr="000431F7">
        <w:rPr>
          <w:rFonts w:ascii="Times New Roman" w:hAnsi="Times New Roman" w:cs="Times New Roman"/>
          <w:sz w:val="24"/>
          <w:szCs w:val="24"/>
        </w:rPr>
        <w:t>3</w:t>
      </w:r>
      <w:r w:rsidR="00050755" w:rsidRPr="000431F7">
        <w:rPr>
          <w:rFonts w:ascii="Times New Roman" w:hAnsi="Times New Roman" w:cs="Times New Roman"/>
          <w:sz w:val="24"/>
          <w:szCs w:val="24"/>
        </w:rPr>
        <w:t xml:space="preserve"> wprowadzającym zmianę w art. 66 ust. 1 pkt 4</w:t>
      </w:r>
      <w:r w:rsidR="001561E7" w:rsidRPr="000431F7">
        <w:rPr>
          <w:rFonts w:ascii="Times New Roman" w:hAnsi="Times New Roman" w:cs="Times New Roman"/>
          <w:sz w:val="24"/>
          <w:szCs w:val="24"/>
        </w:rPr>
        <w:t xml:space="preserve"> ustawy o</w:t>
      </w:r>
      <w:r w:rsidR="002562D9" w:rsidRPr="000431F7">
        <w:rPr>
          <w:rFonts w:ascii="Times New Roman" w:hAnsi="Times New Roman" w:cs="Times New Roman"/>
          <w:sz w:val="24"/>
          <w:szCs w:val="24"/>
        </w:rPr>
        <w:t> </w:t>
      </w:r>
      <w:r w:rsidR="001561E7" w:rsidRPr="000431F7">
        <w:rPr>
          <w:rFonts w:ascii="Times New Roman" w:hAnsi="Times New Roman" w:cs="Times New Roman"/>
          <w:sz w:val="24"/>
          <w:szCs w:val="24"/>
        </w:rPr>
        <w:t xml:space="preserve">krajowym systemie </w:t>
      </w:r>
      <w:proofErr w:type="spellStart"/>
      <w:r w:rsidR="001561E7" w:rsidRPr="000431F7">
        <w:rPr>
          <w:rFonts w:ascii="Times New Roman" w:hAnsi="Times New Roman" w:cs="Times New Roman"/>
          <w:sz w:val="24"/>
          <w:szCs w:val="24"/>
        </w:rPr>
        <w:t>cyberbezpieczeństwa</w:t>
      </w:r>
      <w:proofErr w:type="spellEnd"/>
      <w:r w:rsidR="00050755" w:rsidRPr="000431F7">
        <w:rPr>
          <w:rFonts w:ascii="Times New Roman" w:hAnsi="Times New Roman" w:cs="Times New Roman"/>
          <w:sz w:val="24"/>
          <w:szCs w:val="24"/>
        </w:rPr>
        <w:t>,</w:t>
      </w:r>
      <w:r w:rsidRPr="000431F7">
        <w:rPr>
          <w:rFonts w:ascii="Times New Roman" w:hAnsi="Times New Roman" w:cs="Times New Roman"/>
          <w:sz w:val="24"/>
          <w:szCs w:val="24"/>
        </w:rPr>
        <w:t xml:space="preserve"> Przewodniczący KNF będzie mógł uczestniczyć w posiedzeniach ww. Kolegium.</w:t>
      </w:r>
      <w:r w:rsidR="00B93520" w:rsidRPr="000431F7">
        <w:rPr>
          <w:rFonts w:ascii="Times New Roman" w:hAnsi="Times New Roman" w:cs="Times New Roman"/>
          <w:sz w:val="24"/>
          <w:szCs w:val="24"/>
        </w:rPr>
        <w:t xml:space="preserve"> </w:t>
      </w:r>
      <w:r w:rsidRPr="000431F7">
        <w:rPr>
          <w:rFonts w:ascii="Times New Roman" w:hAnsi="Times New Roman" w:cs="Times New Roman"/>
          <w:sz w:val="24"/>
          <w:szCs w:val="24"/>
        </w:rPr>
        <w:t xml:space="preserve">Projektowane w tym zakresie rozwiązania mają na celu zapewnienie lepszej koordynacji i współdziałania organów właściwych w systemie </w:t>
      </w:r>
      <w:proofErr w:type="spellStart"/>
      <w:r w:rsidRPr="000431F7">
        <w:rPr>
          <w:rFonts w:ascii="Times New Roman" w:hAnsi="Times New Roman" w:cs="Times New Roman"/>
          <w:sz w:val="24"/>
          <w:szCs w:val="24"/>
        </w:rPr>
        <w:t>cyberbezpieczeństwa</w:t>
      </w:r>
      <w:proofErr w:type="spellEnd"/>
      <w:r w:rsidRPr="000431F7">
        <w:rPr>
          <w:rFonts w:ascii="Times New Roman" w:hAnsi="Times New Roman" w:cs="Times New Roman"/>
          <w:sz w:val="24"/>
          <w:szCs w:val="24"/>
        </w:rPr>
        <w:t>.</w:t>
      </w:r>
      <w:r w:rsidR="00987740">
        <w:rPr>
          <w:rFonts w:ascii="Times New Roman" w:hAnsi="Times New Roman" w:cs="Times New Roman"/>
          <w:sz w:val="24"/>
          <w:szCs w:val="24"/>
        </w:rPr>
        <w:t xml:space="preserve"> </w:t>
      </w:r>
    </w:p>
    <w:p w14:paraId="62B7BA69" w14:textId="5D322E42" w:rsidR="00644FA2" w:rsidRPr="000431F7" w:rsidRDefault="00644FA2" w:rsidP="004742CC">
      <w:pPr>
        <w:tabs>
          <w:tab w:val="left" w:pos="426"/>
        </w:tabs>
        <w:spacing w:before="120" w:after="0" w:line="360" w:lineRule="auto"/>
        <w:jc w:val="both"/>
        <w:rPr>
          <w:rFonts w:ascii="Times New Roman" w:hAnsi="Times New Roman" w:cs="Times New Roman"/>
          <w:b/>
          <w:bCs/>
          <w:sz w:val="24"/>
          <w:szCs w:val="24"/>
        </w:rPr>
      </w:pPr>
      <w:r w:rsidRPr="000431F7">
        <w:rPr>
          <w:rFonts w:ascii="Times New Roman" w:hAnsi="Times New Roman" w:cs="Times New Roman"/>
          <w:b/>
          <w:bCs/>
          <w:sz w:val="24"/>
          <w:szCs w:val="24"/>
        </w:rPr>
        <w:t>III.</w:t>
      </w:r>
      <w:r w:rsidR="00B66E01">
        <w:rPr>
          <w:rFonts w:ascii="Times New Roman" w:hAnsi="Times New Roman" w:cs="Times New Roman"/>
          <w:b/>
          <w:bCs/>
          <w:sz w:val="24"/>
          <w:szCs w:val="24"/>
        </w:rPr>
        <w:tab/>
      </w:r>
      <w:r w:rsidRPr="000431F7">
        <w:rPr>
          <w:rFonts w:ascii="Times New Roman" w:hAnsi="Times New Roman" w:cs="Times New Roman"/>
          <w:b/>
          <w:bCs/>
          <w:sz w:val="24"/>
          <w:szCs w:val="24"/>
        </w:rPr>
        <w:t>Przepisy przejściowe</w:t>
      </w:r>
      <w:r w:rsidR="002562D9" w:rsidRPr="000431F7">
        <w:rPr>
          <w:rFonts w:ascii="Times New Roman" w:hAnsi="Times New Roman" w:cs="Times New Roman"/>
          <w:b/>
          <w:bCs/>
          <w:sz w:val="24"/>
          <w:szCs w:val="24"/>
        </w:rPr>
        <w:t>, dostosowujące</w:t>
      </w:r>
      <w:r w:rsidRPr="000431F7">
        <w:rPr>
          <w:rFonts w:ascii="Times New Roman" w:hAnsi="Times New Roman" w:cs="Times New Roman"/>
          <w:b/>
          <w:bCs/>
          <w:sz w:val="24"/>
          <w:szCs w:val="24"/>
        </w:rPr>
        <w:t xml:space="preserve"> i końcowe </w:t>
      </w:r>
    </w:p>
    <w:p w14:paraId="214929D2" w14:textId="6925833D" w:rsidR="00456ACB" w:rsidRPr="000431F7" w:rsidRDefault="00A024E3" w:rsidP="004742CC">
      <w:pPr>
        <w:spacing w:before="120" w:after="0" w:line="360" w:lineRule="auto"/>
        <w:jc w:val="both"/>
        <w:rPr>
          <w:rFonts w:ascii="Times New Roman" w:hAnsi="Times New Roman" w:cs="Times New Roman"/>
          <w:sz w:val="24"/>
          <w:szCs w:val="24"/>
        </w:rPr>
      </w:pPr>
      <w:r w:rsidRPr="000431F7">
        <w:rPr>
          <w:rFonts w:ascii="Times New Roman" w:hAnsi="Times New Roman" w:cs="Times New Roman"/>
          <w:b/>
          <w:bCs/>
          <w:sz w:val="24"/>
          <w:szCs w:val="24"/>
        </w:rPr>
        <w:t>Art. 1</w:t>
      </w:r>
      <w:r w:rsidR="00142D53" w:rsidRPr="000431F7">
        <w:rPr>
          <w:rFonts w:ascii="Times New Roman" w:hAnsi="Times New Roman" w:cs="Times New Roman"/>
          <w:b/>
          <w:bCs/>
          <w:sz w:val="24"/>
          <w:szCs w:val="24"/>
        </w:rPr>
        <w:t>7</w:t>
      </w:r>
      <w:r w:rsidRPr="000431F7">
        <w:rPr>
          <w:rFonts w:ascii="Times New Roman" w:hAnsi="Times New Roman" w:cs="Times New Roman"/>
          <w:sz w:val="24"/>
          <w:szCs w:val="24"/>
        </w:rPr>
        <w:t xml:space="preserve"> </w:t>
      </w:r>
      <w:r w:rsidR="00D3075F" w:rsidRPr="000431F7">
        <w:rPr>
          <w:rFonts w:ascii="Times New Roman" w:hAnsi="Times New Roman" w:cs="Times New Roman"/>
          <w:sz w:val="24"/>
          <w:szCs w:val="24"/>
        </w:rPr>
        <w:t>dotyczy regulacji przejściowej w zakresie zmian wprowadzanyc</w:t>
      </w:r>
      <w:r w:rsidR="00654204" w:rsidRPr="000431F7">
        <w:rPr>
          <w:rFonts w:ascii="Times New Roman" w:hAnsi="Times New Roman" w:cs="Times New Roman"/>
          <w:sz w:val="24"/>
          <w:szCs w:val="24"/>
        </w:rPr>
        <w:t>h</w:t>
      </w:r>
      <w:r w:rsidR="00D3075F" w:rsidRPr="000431F7">
        <w:rPr>
          <w:rFonts w:ascii="Times New Roman" w:hAnsi="Times New Roman" w:cs="Times New Roman"/>
          <w:sz w:val="24"/>
          <w:szCs w:val="24"/>
        </w:rPr>
        <w:t xml:space="preserve"> art. 4 i </w:t>
      </w:r>
      <w:r w:rsidR="0012681C">
        <w:rPr>
          <w:rFonts w:ascii="Times New Roman" w:hAnsi="Times New Roman" w:cs="Times New Roman"/>
          <w:sz w:val="24"/>
          <w:szCs w:val="24"/>
        </w:rPr>
        <w:t xml:space="preserve">art. </w:t>
      </w:r>
      <w:r w:rsidR="00D3075F" w:rsidRPr="000431F7">
        <w:rPr>
          <w:rFonts w:ascii="Times New Roman" w:hAnsi="Times New Roman" w:cs="Times New Roman"/>
          <w:sz w:val="24"/>
          <w:szCs w:val="24"/>
        </w:rPr>
        <w:t xml:space="preserve">9 </w:t>
      </w:r>
      <w:r w:rsidR="00654204" w:rsidRPr="000431F7">
        <w:rPr>
          <w:rFonts w:ascii="Times New Roman" w:hAnsi="Times New Roman" w:cs="Times New Roman"/>
          <w:sz w:val="24"/>
          <w:szCs w:val="24"/>
        </w:rPr>
        <w:t xml:space="preserve">przedmiotowego projektu ustawy dotyczących wyłączenia stosowania art. 16 rozporządzenia 2022/2554. W przypadku art. 4 i </w:t>
      </w:r>
      <w:r w:rsidR="0012681C">
        <w:rPr>
          <w:rFonts w:ascii="Times New Roman" w:hAnsi="Times New Roman" w:cs="Times New Roman"/>
          <w:sz w:val="24"/>
          <w:szCs w:val="24"/>
        </w:rPr>
        <w:t xml:space="preserve">art. </w:t>
      </w:r>
      <w:r w:rsidR="00654204" w:rsidRPr="000431F7">
        <w:rPr>
          <w:rFonts w:ascii="Times New Roman" w:hAnsi="Times New Roman" w:cs="Times New Roman"/>
          <w:sz w:val="24"/>
          <w:szCs w:val="24"/>
        </w:rPr>
        <w:t>9, które wprowadzają zmiany wskazujące na zastosowanie rozporządzenia 2022/2554</w:t>
      </w:r>
      <w:r w:rsidR="00987740">
        <w:rPr>
          <w:rFonts w:ascii="Times New Roman" w:hAnsi="Times New Roman" w:cs="Times New Roman"/>
          <w:sz w:val="24"/>
          <w:szCs w:val="24"/>
        </w:rPr>
        <w:t xml:space="preserve"> </w:t>
      </w:r>
      <w:r w:rsidR="00654204" w:rsidRPr="000431F7">
        <w:rPr>
          <w:rFonts w:ascii="Times New Roman" w:hAnsi="Times New Roman" w:cs="Times New Roman"/>
          <w:sz w:val="24"/>
          <w:szCs w:val="24"/>
        </w:rPr>
        <w:t>w pełnym zakresie obowiązków</w:t>
      </w:r>
      <w:r w:rsidR="000265D5" w:rsidRPr="000431F7">
        <w:rPr>
          <w:rFonts w:ascii="Times New Roman" w:hAnsi="Times New Roman" w:cs="Times New Roman"/>
          <w:sz w:val="24"/>
          <w:szCs w:val="24"/>
        </w:rPr>
        <w:t xml:space="preserve"> dotyczących zarządzania ryzkiem związanym z ICT</w:t>
      </w:r>
      <w:r w:rsidR="00654204" w:rsidRPr="000431F7">
        <w:rPr>
          <w:rFonts w:ascii="Times New Roman" w:hAnsi="Times New Roman" w:cs="Times New Roman"/>
          <w:sz w:val="24"/>
          <w:szCs w:val="24"/>
        </w:rPr>
        <w:t>, w stosunku do Kasy i Kas</w:t>
      </w:r>
      <w:r w:rsidR="000265D5" w:rsidRPr="000431F7">
        <w:rPr>
          <w:rFonts w:ascii="Times New Roman" w:hAnsi="Times New Roman" w:cs="Times New Roman"/>
          <w:sz w:val="24"/>
          <w:szCs w:val="24"/>
        </w:rPr>
        <w:t>y</w:t>
      </w:r>
      <w:r w:rsidR="00654204" w:rsidRPr="000431F7">
        <w:rPr>
          <w:rFonts w:ascii="Times New Roman" w:hAnsi="Times New Roman" w:cs="Times New Roman"/>
          <w:sz w:val="24"/>
          <w:szCs w:val="24"/>
        </w:rPr>
        <w:t xml:space="preserve"> Krajow</w:t>
      </w:r>
      <w:r w:rsidR="000265D5" w:rsidRPr="000431F7">
        <w:rPr>
          <w:rFonts w:ascii="Times New Roman" w:hAnsi="Times New Roman" w:cs="Times New Roman"/>
          <w:sz w:val="24"/>
          <w:szCs w:val="24"/>
        </w:rPr>
        <w:t>ej</w:t>
      </w:r>
      <w:r w:rsidR="00654204" w:rsidRPr="000431F7">
        <w:rPr>
          <w:rFonts w:ascii="Times New Roman" w:hAnsi="Times New Roman" w:cs="Times New Roman"/>
          <w:sz w:val="24"/>
          <w:szCs w:val="24"/>
        </w:rPr>
        <w:t xml:space="preserve">, które są podmiotami kluczowymi lub podmiotami ważnymi, zgodnie z kryteriami wskazanymi w dyrektywie 2022/2555 oraz BGK, wskazane jest zapewnienie tym podmiotom odpowiednio długiego okresu na dostosowanie się do wprowadzanych zmian. </w:t>
      </w:r>
    </w:p>
    <w:p w14:paraId="0B64F7AB" w14:textId="414C4639" w:rsidR="003C6A46" w:rsidRPr="000431F7" w:rsidRDefault="00654204" w:rsidP="004742CC">
      <w:pPr>
        <w:spacing w:before="120" w:after="0" w:line="360" w:lineRule="auto"/>
        <w:jc w:val="both"/>
        <w:rPr>
          <w:rFonts w:ascii="Times New Roman" w:hAnsi="Times New Roman" w:cs="Times New Roman"/>
          <w:sz w:val="24"/>
          <w:szCs w:val="24"/>
        </w:rPr>
      </w:pPr>
      <w:r w:rsidRPr="000431F7">
        <w:rPr>
          <w:rFonts w:ascii="Times New Roman" w:hAnsi="Times New Roman" w:cs="Times New Roman"/>
          <w:sz w:val="24"/>
          <w:szCs w:val="24"/>
        </w:rPr>
        <w:t>Z uwagi na powyższe projektowany przepis art. 17 daje możliwość stosowania art. 16 rozporządzenia 2022/2554, stanowiącego uproszczone ramy zarządzania ryz</w:t>
      </w:r>
      <w:r w:rsidR="0004421B" w:rsidRPr="000431F7">
        <w:rPr>
          <w:rFonts w:ascii="Times New Roman" w:hAnsi="Times New Roman" w:cs="Times New Roman"/>
          <w:sz w:val="24"/>
          <w:szCs w:val="24"/>
        </w:rPr>
        <w:t>y</w:t>
      </w:r>
      <w:r w:rsidRPr="000431F7">
        <w:rPr>
          <w:rFonts w:ascii="Times New Roman" w:hAnsi="Times New Roman" w:cs="Times New Roman"/>
          <w:sz w:val="24"/>
          <w:szCs w:val="24"/>
        </w:rPr>
        <w:t>kiem związanym z ICT, przez ww. podmioty jeszcze przez rok.</w:t>
      </w:r>
      <w:r w:rsidR="00987740">
        <w:rPr>
          <w:rFonts w:ascii="Times New Roman" w:hAnsi="Times New Roman" w:cs="Times New Roman"/>
          <w:sz w:val="24"/>
          <w:szCs w:val="24"/>
        </w:rPr>
        <w:t xml:space="preserve"> </w:t>
      </w:r>
      <w:r w:rsidRPr="000431F7">
        <w:rPr>
          <w:rFonts w:ascii="Times New Roman" w:hAnsi="Times New Roman" w:cs="Times New Roman"/>
          <w:sz w:val="24"/>
          <w:szCs w:val="24"/>
        </w:rPr>
        <w:t>Wskazanie roczne</w:t>
      </w:r>
      <w:r w:rsidR="0004421B" w:rsidRPr="000431F7">
        <w:rPr>
          <w:rFonts w:ascii="Times New Roman" w:hAnsi="Times New Roman" w:cs="Times New Roman"/>
          <w:sz w:val="24"/>
          <w:szCs w:val="24"/>
        </w:rPr>
        <w:t xml:space="preserve">go okresu dostosowawczego </w:t>
      </w:r>
      <w:r w:rsidRPr="000431F7">
        <w:rPr>
          <w:rFonts w:ascii="Times New Roman" w:hAnsi="Times New Roman" w:cs="Times New Roman"/>
          <w:sz w:val="24"/>
          <w:szCs w:val="24"/>
        </w:rPr>
        <w:t>uzasadnione jest rozszerzeniem w odniesieniu do ww. podmiotów zakresu obowiązków dotyczących zarządzania ryzykiem związanym z ICT w stosunku do obowiązków wynikających z rozporządzenia 2022/2554. W przypadku podmiotów objętych fakultatywnym wyłączeniem z zakresu stosowania rozporządzenia 2022/2554, o którym mowa w art. 2 ust. 4 tego rozporządzenia, w przypadku podjęcia decyzji o niewprowadzaniu takiego wyłączenia, w odniesieniu do regulacji dotyczących zarządzania ryzykiem związanym z ICT, znajduje zastosowanie art. 16 tego rozporządzenia, określający uproszczone ramy zarządzania ryzykiem.</w:t>
      </w:r>
      <w:r w:rsidR="000265D5" w:rsidRPr="000431F7">
        <w:rPr>
          <w:rFonts w:ascii="Times New Roman" w:hAnsi="Times New Roman" w:cs="Times New Roman"/>
          <w:sz w:val="24"/>
          <w:szCs w:val="24"/>
        </w:rPr>
        <w:t xml:space="preserve"> </w:t>
      </w:r>
      <w:r w:rsidRPr="000431F7">
        <w:rPr>
          <w:rFonts w:ascii="Times New Roman" w:hAnsi="Times New Roman" w:cs="Times New Roman"/>
          <w:sz w:val="24"/>
          <w:szCs w:val="24"/>
        </w:rPr>
        <w:t>Z</w:t>
      </w:r>
      <w:r w:rsidR="000265D5" w:rsidRPr="000431F7">
        <w:rPr>
          <w:rFonts w:ascii="Times New Roman" w:hAnsi="Times New Roman" w:cs="Times New Roman"/>
          <w:sz w:val="24"/>
          <w:szCs w:val="24"/>
        </w:rPr>
        <w:t>e względu</w:t>
      </w:r>
      <w:r w:rsidRPr="000431F7">
        <w:rPr>
          <w:rFonts w:ascii="Times New Roman" w:hAnsi="Times New Roman" w:cs="Times New Roman"/>
          <w:sz w:val="24"/>
          <w:szCs w:val="24"/>
        </w:rPr>
        <w:t xml:space="preserve"> na wielkość ww. podmiotów</w:t>
      </w:r>
      <w:r w:rsidR="000265D5" w:rsidRPr="000431F7">
        <w:rPr>
          <w:rFonts w:ascii="Times New Roman" w:hAnsi="Times New Roman" w:cs="Times New Roman"/>
          <w:sz w:val="24"/>
          <w:szCs w:val="24"/>
        </w:rPr>
        <w:t>,</w:t>
      </w:r>
      <w:r w:rsidRPr="000431F7">
        <w:rPr>
          <w:rFonts w:ascii="Times New Roman" w:hAnsi="Times New Roman" w:cs="Times New Roman"/>
          <w:sz w:val="24"/>
          <w:szCs w:val="24"/>
        </w:rPr>
        <w:t xml:space="preserve"> zakres obowiązków wynikający z art. 16 nie wydaje </w:t>
      </w:r>
      <w:r w:rsidRPr="000431F7">
        <w:rPr>
          <w:rFonts w:ascii="Times New Roman" w:hAnsi="Times New Roman" w:cs="Times New Roman"/>
          <w:sz w:val="24"/>
          <w:szCs w:val="24"/>
        </w:rPr>
        <w:lastRenderedPageBreak/>
        <w:t>się adekwatny i wystarczający w</w:t>
      </w:r>
      <w:r w:rsidR="00566074" w:rsidRPr="000431F7">
        <w:rPr>
          <w:rFonts w:ascii="Times New Roman" w:hAnsi="Times New Roman" w:cs="Times New Roman"/>
          <w:sz w:val="24"/>
          <w:szCs w:val="24"/>
        </w:rPr>
        <w:t xml:space="preserve"> </w:t>
      </w:r>
      <w:r w:rsidRPr="000431F7">
        <w:rPr>
          <w:rFonts w:ascii="Times New Roman" w:hAnsi="Times New Roman" w:cs="Times New Roman"/>
          <w:sz w:val="24"/>
          <w:szCs w:val="24"/>
        </w:rPr>
        <w:t>przypadku zarządzania ryz</w:t>
      </w:r>
      <w:r w:rsidR="0004421B" w:rsidRPr="000431F7">
        <w:rPr>
          <w:rFonts w:ascii="Times New Roman" w:hAnsi="Times New Roman" w:cs="Times New Roman"/>
          <w:sz w:val="24"/>
          <w:szCs w:val="24"/>
        </w:rPr>
        <w:t>y</w:t>
      </w:r>
      <w:r w:rsidRPr="000431F7">
        <w:rPr>
          <w:rFonts w:ascii="Times New Roman" w:hAnsi="Times New Roman" w:cs="Times New Roman"/>
          <w:sz w:val="24"/>
          <w:szCs w:val="24"/>
        </w:rPr>
        <w:t>kiem związanym z ICT. Zgodnie</w:t>
      </w:r>
      <w:r w:rsidR="00987740">
        <w:rPr>
          <w:rFonts w:ascii="Times New Roman" w:hAnsi="Times New Roman" w:cs="Times New Roman"/>
          <w:sz w:val="24"/>
          <w:szCs w:val="24"/>
        </w:rPr>
        <w:t xml:space="preserve"> </w:t>
      </w:r>
      <w:r w:rsidR="0012681C">
        <w:rPr>
          <w:rFonts w:ascii="Times New Roman" w:hAnsi="Times New Roman" w:cs="Times New Roman"/>
          <w:sz w:val="24"/>
          <w:szCs w:val="24"/>
        </w:rPr>
        <w:t>z </w:t>
      </w:r>
      <w:r w:rsidRPr="000431F7">
        <w:rPr>
          <w:rFonts w:ascii="Times New Roman" w:hAnsi="Times New Roman" w:cs="Times New Roman"/>
          <w:sz w:val="24"/>
          <w:szCs w:val="24"/>
        </w:rPr>
        <w:t>analizami przekazanymi przez BGK, zastosowanie pełnej regulacji rozporządzenia 2022/2554</w:t>
      </w:r>
      <w:r w:rsidR="00987740">
        <w:rPr>
          <w:rFonts w:ascii="Times New Roman" w:hAnsi="Times New Roman" w:cs="Times New Roman"/>
          <w:sz w:val="24"/>
          <w:szCs w:val="24"/>
        </w:rPr>
        <w:t xml:space="preserve"> </w:t>
      </w:r>
      <w:r w:rsidRPr="000431F7">
        <w:rPr>
          <w:rFonts w:ascii="Times New Roman" w:hAnsi="Times New Roman" w:cs="Times New Roman"/>
          <w:sz w:val="24"/>
          <w:szCs w:val="24"/>
        </w:rPr>
        <w:t>w zakresie zarządzania ryz</w:t>
      </w:r>
      <w:r w:rsidR="0004421B" w:rsidRPr="000431F7">
        <w:rPr>
          <w:rFonts w:ascii="Times New Roman" w:hAnsi="Times New Roman" w:cs="Times New Roman"/>
          <w:sz w:val="24"/>
          <w:szCs w:val="24"/>
        </w:rPr>
        <w:t>y</w:t>
      </w:r>
      <w:r w:rsidRPr="000431F7">
        <w:rPr>
          <w:rFonts w:ascii="Times New Roman" w:hAnsi="Times New Roman" w:cs="Times New Roman"/>
          <w:sz w:val="24"/>
          <w:szCs w:val="24"/>
        </w:rPr>
        <w:t xml:space="preserve">kiem związanym z ICT implikuje konieczność dostosowania się do </w:t>
      </w:r>
      <w:r w:rsidR="0004421B" w:rsidRPr="000431F7">
        <w:rPr>
          <w:rFonts w:ascii="Times New Roman" w:hAnsi="Times New Roman" w:cs="Times New Roman"/>
          <w:sz w:val="24"/>
          <w:szCs w:val="24"/>
        </w:rPr>
        <w:t>liczby</w:t>
      </w:r>
      <w:r w:rsidRPr="000431F7">
        <w:rPr>
          <w:rFonts w:ascii="Times New Roman" w:hAnsi="Times New Roman" w:cs="Times New Roman"/>
          <w:sz w:val="24"/>
          <w:szCs w:val="24"/>
        </w:rPr>
        <w:t xml:space="preserve"> wymogów większej o ponad 60% w stosunku do wymogów wprowadzanych art. 16 regulującym uproszczone zasady zarządzania ryzykiem związany</w:t>
      </w:r>
      <w:r w:rsidR="0004421B" w:rsidRPr="000431F7">
        <w:rPr>
          <w:rFonts w:ascii="Times New Roman" w:hAnsi="Times New Roman" w:cs="Times New Roman"/>
          <w:sz w:val="24"/>
          <w:szCs w:val="24"/>
        </w:rPr>
        <w:t>m</w:t>
      </w:r>
      <w:r w:rsidRPr="000431F7">
        <w:rPr>
          <w:rFonts w:ascii="Times New Roman" w:hAnsi="Times New Roman" w:cs="Times New Roman"/>
          <w:sz w:val="24"/>
          <w:szCs w:val="24"/>
        </w:rPr>
        <w:t xml:space="preserve"> z ICT i prawdopodobnie spowoduje konieczność uruchomienia postępowań zakupowych, w tym w trybie przepisów ustawy z dnia 11 września 2019 r</w:t>
      </w:r>
      <w:r w:rsidR="00566074" w:rsidRPr="000431F7">
        <w:rPr>
          <w:rFonts w:ascii="Times New Roman" w:hAnsi="Times New Roman" w:cs="Times New Roman"/>
          <w:sz w:val="24"/>
          <w:szCs w:val="24"/>
        </w:rPr>
        <w:t>.</w:t>
      </w:r>
      <w:r w:rsidRPr="000431F7">
        <w:rPr>
          <w:rFonts w:ascii="Times New Roman" w:hAnsi="Times New Roman" w:cs="Times New Roman"/>
          <w:sz w:val="24"/>
          <w:szCs w:val="24"/>
        </w:rPr>
        <w:t xml:space="preserve"> </w:t>
      </w:r>
      <w:r w:rsidR="00AC35F5">
        <w:rPr>
          <w:rFonts w:ascii="Times New Roman" w:hAnsi="Times New Roman" w:cs="Times New Roman"/>
          <w:sz w:val="24"/>
          <w:szCs w:val="24"/>
        </w:rPr>
        <w:t>–</w:t>
      </w:r>
      <w:r w:rsidR="0004421B" w:rsidRPr="000431F7">
        <w:rPr>
          <w:rFonts w:ascii="Times New Roman" w:hAnsi="Times New Roman" w:cs="Times New Roman"/>
          <w:sz w:val="24"/>
          <w:szCs w:val="24"/>
        </w:rPr>
        <w:t xml:space="preserve"> </w:t>
      </w:r>
      <w:r w:rsidRPr="000431F7">
        <w:rPr>
          <w:rFonts w:ascii="Times New Roman" w:hAnsi="Times New Roman" w:cs="Times New Roman"/>
          <w:sz w:val="24"/>
          <w:szCs w:val="24"/>
        </w:rPr>
        <w:t xml:space="preserve">Prawo zamówień publicznych. Z uwagi na powyższe konieczne jest zapewnienie odpowiednio długiego </w:t>
      </w:r>
      <w:r w:rsidR="0004421B" w:rsidRPr="000431F7">
        <w:rPr>
          <w:rFonts w:ascii="Times New Roman" w:hAnsi="Times New Roman" w:cs="Times New Roman"/>
          <w:sz w:val="24"/>
          <w:szCs w:val="24"/>
        </w:rPr>
        <w:t>okresu dostosowawczego</w:t>
      </w:r>
      <w:r w:rsidRPr="000431F7">
        <w:rPr>
          <w:rFonts w:ascii="Times New Roman" w:hAnsi="Times New Roman" w:cs="Times New Roman"/>
          <w:sz w:val="24"/>
          <w:szCs w:val="24"/>
        </w:rPr>
        <w:t xml:space="preserve">. </w:t>
      </w:r>
    </w:p>
    <w:p w14:paraId="0CCD9B1F" w14:textId="474DAF4A" w:rsidR="000376B9" w:rsidRPr="000431F7" w:rsidRDefault="000376B9" w:rsidP="004742CC">
      <w:pPr>
        <w:pStyle w:val="ARTartustawynprozporzdzenia"/>
        <w:ind w:firstLine="0"/>
        <w:rPr>
          <w:rFonts w:ascii="Times New Roman" w:hAnsi="Times New Roman" w:cs="Times New Roman"/>
          <w:szCs w:val="24"/>
        </w:rPr>
      </w:pPr>
      <w:r w:rsidRPr="000431F7">
        <w:rPr>
          <w:rFonts w:ascii="Times New Roman" w:hAnsi="Times New Roman" w:cs="Times New Roman"/>
          <w:b/>
          <w:bCs/>
          <w:szCs w:val="24"/>
        </w:rPr>
        <w:t>Art. 1</w:t>
      </w:r>
      <w:r w:rsidR="00142D53" w:rsidRPr="000431F7">
        <w:rPr>
          <w:rFonts w:ascii="Times New Roman" w:hAnsi="Times New Roman" w:cs="Times New Roman"/>
          <w:b/>
          <w:bCs/>
          <w:szCs w:val="24"/>
        </w:rPr>
        <w:t>8</w:t>
      </w:r>
      <w:r w:rsidRPr="000431F7">
        <w:rPr>
          <w:rFonts w:ascii="Times New Roman" w:hAnsi="Times New Roman" w:cs="Times New Roman"/>
          <w:szCs w:val="24"/>
        </w:rPr>
        <w:t xml:space="preserve"> projektu ustawy stanowi regulację przejściową dotyczącą czasowego utrzymania w mocy przepisów wykonawczych wydanych na podstawie art. 61 ust. 3 ustawy zmienianej w art. </w:t>
      </w:r>
      <w:r w:rsidR="00142D53" w:rsidRPr="000431F7">
        <w:rPr>
          <w:rFonts w:ascii="Times New Roman" w:hAnsi="Times New Roman" w:cs="Times New Roman"/>
          <w:szCs w:val="24"/>
        </w:rPr>
        <w:t>10</w:t>
      </w:r>
      <w:r w:rsidR="00566074" w:rsidRPr="000431F7">
        <w:rPr>
          <w:rFonts w:ascii="Times New Roman" w:hAnsi="Times New Roman" w:cs="Times New Roman"/>
          <w:szCs w:val="24"/>
        </w:rPr>
        <w:t>, które</w:t>
      </w:r>
      <w:r w:rsidRPr="000431F7">
        <w:rPr>
          <w:rFonts w:ascii="Times New Roman" w:hAnsi="Times New Roman" w:cs="Times New Roman"/>
          <w:szCs w:val="24"/>
        </w:rPr>
        <w:t xml:space="preserve"> zachowują moc do dnia wejścia w życie przepisów ustawy zmienianej w art. </w:t>
      </w:r>
      <w:r w:rsidR="00B41A0A" w:rsidRPr="000431F7">
        <w:rPr>
          <w:rFonts w:ascii="Times New Roman" w:hAnsi="Times New Roman" w:cs="Times New Roman"/>
          <w:szCs w:val="24"/>
        </w:rPr>
        <w:t>9</w:t>
      </w:r>
      <w:r w:rsidRPr="000431F7">
        <w:rPr>
          <w:rFonts w:ascii="Times New Roman" w:hAnsi="Times New Roman" w:cs="Times New Roman"/>
          <w:szCs w:val="24"/>
        </w:rPr>
        <w:t>, w brzmieniu nadanym niniejszą ustawą, jednak nie dłużej niż przez 12 miesięcy od dnia wejścia w życie niniejszej ustawy.</w:t>
      </w:r>
    </w:p>
    <w:p w14:paraId="07773EE2" w14:textId="262ED6BE" w:rsidR="00310AA6" w:rsidRPr="000431F7" w:rsidRDefault="00EC28E7" w:rsidP="004742CC">
      <w:pPr>
        <w:pStyle w:val="ARTartustawynprozporzdzenia"/>
        <w:ind w:firstLine="0"/>
        <w:rPr>
          <w:rFonts w:ascii="Times New Roman" w:hAnsi="Times New Roman" w:cs="Times New Roman"/>
          <w:szCs w:val="24"/>
        </w:rPr>
      </w:pPr>
      <w:r w:rsidRPr="000431F7">
        <w:rPr>
          <w:rFonts w:ascii="Times New Roman" w:hAnsi="Times New Roman" w:cs="Times New Roman"/>
          <w:b/>
          <w:bCs/>
          <w:szCs w:val="24"/>
        </w:rPr>
        <w:t>Art. 1</w:t>
      </w:r>
      <w:r w:rsidR="00D3075F" w:rsidRPr="000431F7">
        <w:rPr>
          <w:rFonts w:ascii="Times New Roman" w:hAnsi="Times New Roman" w:cs="Times New Roman"/>
          <w:b/>
          <w:bCs/>
          <w:szCs w:val="24"/>
        </w:rPr>
        <w:t>9</w:t>
      </w:r>
      <w:r w:rsidRPr="000431F7">
        <w:rPr>
          <w:rFonts w:ascii="Times New Roman" w:hAnsi="Times New Roman" w:cs="Times New Roman"/>
          <w:szCs w:val="24"/>
        </w:rPr>
        <w:t xml:space="preserve"> </w:t>
      </w:r>
      <w:r w:rsidR="00310AA6" w:rsidRPr="000431F7">
        <w:rPr>
          <w:rFonts w:ascii="Times New Roman" w:hAnsi="Times New Roman" w:cs="Times New Roman"/>
          <w:szCs w:val="24"/>
        </w:rPr>
        <w:t>projektu ustawy stanowi regulację przejściową dotyczącą czasowego utrzymania w mocy przepisów wykonawczych wydanych na podstawie art. 87 ustawy z dnia 10 czerwca 2016 r. o Bankowym Funduszu Gwarancyjnym, systemie gwarantowania depozytów oraz przymusowej restrukturyzacji, do czasu wydania nowych przepisów wykonawczych na podstawie zmienianego w</w:t>
      </w:r>
      <w:r w:rsidR="00987740">
        <w:rPr>
          <w:rFonts w:ascii="Times New Roman" w:hAnsi="Times New Roman" w:cs="Times New Roman"/>
          <w:szCs w:val="24"/>
        </w:rPr>
        <w:t xml:space="preserve"> </w:t>
      </w:r>
      <w:r w:rsidR="00310AA6" w:rsidRPr="000431F7">
        <w:rPr>
          <w:rFonts w:ascii="Times New Roman" w:hAnsi="Times New Roman" w:cs="Times New Roman"/>
          <w:szCs w:val="24"/>
        </w:rPr>
        <w:t xml:space="preserve">art. </w:t>
      </w:r>
      <w:r w:rsidR="00B41A0A" w:rsidRPr="000431F7">
        <w:rPr>
          <w:rFonts w:ascii="Times New Roman" w:hAnsi="Times New Roman" w:cs="Times New Roman"/>
          <w:szCs w:val="24"/>
        </w:rPr>
        <w:t>1</w:t>
      </w:r>
      <w:r w:rsidR="00142D53" w:rsidRPr="000431F7">
        <w:rPr>
          <w:rFonts w:ascii="Times New Roman" w:hAnsi="Times New Roman" w:cs="Times New Roman"/>
          <w:szCs w:val="24"/>
        </w:rPr>
        <w:t>4</w:t>
      </w:r>
      <w:r w:rsidR="00310AA6" w:rsidRPr="000431F7">
        <w:rPr>
          <w:rFonts w:ascii="Times New Roman" w:hAnsi="Times New Roman" w:cs="Times New Roman"/>
          <w:szCs w:val="24"/>
        </w:rPr>
        <w:t xml:space="preserve"> pkt </w:t>
      </w:r>
      <w:r w:rsidR="003C1576" w:rsidRPr="000431F7">
        <w:rPr>
          <w:rFonts w:ascii="Times New Roman" w:hAnsi="Times New Roman" w:cs="Times New Roman"/>
          <w:szCs w:val="24"/>
        </w:rPr>
        <w:t>4</w:t>
      </w:r>
      <w:r w:rsidR="00310AA6" w:rsidRPr="000431F7">
        <w:rPr>
          <w:rFonts w:ascii="Times New Roman" w:hAnsi="Times New Roman" w:cs="Times New Roman"/>
          <w:szCs w:val="24"/>
        </w:rPr>
        <w:t xml:space="preserve"> projektu ustawy upoważnienia ustawowego art. 87, nie dłużej niż 12 miesięcy od dnia wejścia w życie niniejszej ustawy.</w:t>
      </w:r>
    </w:p>
    <w:p w14:paraId="4C0978A8" w14:textId="5D9B7A59" w:rsidR="003C1576" w:rsidRPr="000431F7" w:rsidRDefault="005F0738" w:rsidP="004742CC">
      <w:pPr>
        <w:spacing w:before="120" w:after="0" w:line="360" w:lineRule="auto"/>
        <w:jc w:val="both"/>
        <w:rPr>
          <w:rFonts w:ascii="Times New Roman" w:hAnsi="Times New Roman" w:cs="Times New Roman"/>
          <w:sz w:val="24"/>
          <w:szCs w:val="24"/>
        </w:rPr>
      </w:pPr>
      <w:r w:rsidRPr="000431F7">
        <w:rPr>
          <w:rFonts w:ascii="Times New Roman" w:hAnsi="Times New Roman" w:cs="Times New Roman"/>
          <w:sz w:val="24"/>
          <w:szCs w:val="24"/>
        </w:rPr>
        <w:t xml:space="preserve">Zgodnie z </w:t>
      </w:r>
      <w:r w:rsidRPr="000431F7">
        <w:rPr>
          <w:rFonts w:ascii="Times New Roman" w:hAnsi="Times New Roman" w:cs="Times New Roman"/>
          <w:b/>
          <w:bCs/>
          <w:sz w:val="24"/>
          <w:szCs w:val="24"/>
        </w:rPr>
        <w:t>art.</w:t>
      </w:r>
      <w:r w:rsidRPr="000431F7">
        <w:rPr>
          <w:rFonts w:ascii="Times New Roman" w:hAnsi="Times New Roman" w:cs="Times New Roman"/>
          <w:sz w:val="24"/>
          <w:szCs w:val="24"/>
        </w:rPr>
        <w:t xml:space="preserve"> </w:t>
      </w:r>
      <w:r w:rsidR="004306FF" w:rsidRPr="000431F7">
        <w:rPr>
          <w:rFonts w:ascii="Times New Roman" w:hAnsi="Times New Roman" w:cs="Times New Roman"/>
          <w:b/>
          <w:bCs/>
          <w:sz w:val="24"/>
          <w:szCs w:val="24"/>
        </w:rPr>
        <w:t>20</w:t>
      </w:r>
      <w:r w:rsidRPr="000431F7">
        <w:rPr>
          <w:rFonts w:ascii="Times New Roman" w:hAnsi="Times New Roman" w:cs="Times New Roman"/>
          <w:sz w:val="24"/>
          <w:szCs w:val="24"/>
        </w:rPr>
        <w:t xml:space="preserve"> projektowana ustawa wejdzie w </w:t>
      </w:r>
      <w:r w:rsidR="00D543D0" w:rsidRPr="000431F7">
        <w:rPr>
          <w:rFonts w:ascii="Times New Roman" w:hAnsi="Times New Roman" w:cs="Times New Roman"/>
          <w:sz w:val="24"/>
          <w:szCs w:val="24"/>
        </w:rPr>
        <w:t xml:space="preserve">życie </w:t>
      </w:r>
      <w:r w:rsidR="00355418" w:rsidRPr="000431F7">
        <w:rPr>
          <w:rFonts w:ascii="Times New Roman" w:hAnsi="Times New Roman" w:cs="Times New Roman"/>
          <w:sz w:val="24"/>
          <w:szCs w:val="24"/>
        </w:rPr>
        <w:t>z dniem</w:t>
      </w:r>
      <w:r w:rsidR="003A6278" w:rsidRPr="000431F7">
        <w:rPr>
          <w:rFonts w:ascii="Times New Roman" w:hAnsi="Times New Roman" w:cs="Times New Roman"/>
          <w:sz w:val="24"/>
          <w:szCs w:val="24"/>
        </w:rPr>
        <w:t xml:space="preserve"> następującym po dniu ogłoszenia</w:t>
      </w:r>
      <w:r w:rsidR="00B71343" w:rsidRPr="000431F7">
        <w:rPr>
          <w:rFonts w:ascii="Times New Roman" w:hAnsi="Times New Roman" w:cs="Times New Roman"/>
          <w:sz w:val="24"/>
          <w:szCs w:val="24"/>
        </w:rPr>
        <w:t>, z uwagi na konieczność jak najszybszego umożliwienia stosowania prawa UE. Rozporządzenie 2022/2554 jest stosowane bezpośrednio w zakresie nakładanych na podmioty obowiązków, zatem zasady demokratycznego państwa prawnego nie stoją na przeszkodzie temu rozwiązaniu</w:t>
      </w:r>
      <w:r w:rsidRPr="000431F7">
        <w:rPr>
          <w:rFonts w:ascii="Times New Roman" w:hAnsi="Times New Roman" w:cs="Times New Roman"/>
          <w:sz w:val="24"/>
          <w:szCs w:val="24"/>
        </w:rPr>
        <w:t xml:space="preserve">. </w:t>
      </w:r>
      <w:r w:rsidR="00654204" w:rsidRPr="000431F7">
        <w:rPr>
          <w:rFonts w:ascii="Times New Roman" w:hAnsi="Times New Roman" w:cs="Times New Roman"/>
          <w:sz w:val="24"/>
          <w:szCs w:val="24"/>
        </w:rPr>
        <w:t>Proponowany termin wejścia w życie ustawy dotyczy takż</w:t>
      </w:r>
      <w:r w:rsidR="00C0328C" w:rsidRPr="000431F7">
        <w:rPr>
          <w:rFonts w:ascii="Times New Roman" w:hAnsi="Times New Roman" w:cs="Times New Roman"/>
          <w:sz w:val="24"/>
          <w:szCs w:val="24"/>
        </w:rPr>
        <w:t>e</w:t>
      </w:r>
      <w:r w:rsidR="00654204" w:rsidRPr="000431F7">
        <w:rPr>
          <w:rFonts w:ascii="Times New Roman" w:hAnsi="Times New Roman" w:cs="Times New Roman"/>
          <w:sz w:val="24"/>
          <w:szCs w:val="24"/>
        </w:rPr>
        <w:t xml:space="preserve"> wprowadzanych tą</w:t>
      </w:r>
      <w:r w:rsidR="00C0328C" w:rsidRPr="000431F7">
        <w:rPr>
          <w:rFonts w:ascii="Times New Roman" w:hAnsi="Times New Roman" w:cs="Times New Roman"/>
          <w:sz w:val="24"/>
          <w:szCs w:val="24"/>
        </w:rPr>
        <w:t xml:space="preserve"> </w:t>
      </w:r>
      <w:r w:rsidR="00654204" w:rsidRPr="000431F7">
        <w:rPr>
          <w:rFonts w:ascii="Times New Roman" w:hAnsi="Times New Roman" w:cs="Times New Roman"/>
          <w:sz w:val="24"/>
          <w:szCs w:val="24"/>
        </w:rPr>
        <w:t>ustawą przepisów sankcyjnych</w:t>
      </w:r>
      <w:r w:rsidR="00355418" w:rsidRPr="000431F7">
        <w:rPr>
          <w:rFonts w:ascii="Times New Roman" w:hAnsi="Times New Roman" w:cs="Times New Roman"/>
          <w:sz w:val="24"/>
          <w:szCs w:val="24"/>
        </w:rPr>
        <w:t>,</w:t>
      </w:r>
      <w:r w:rsidR="00654204" w:rsidRPr="000431F7">
        <w:rPr>
          <w:rFonts w:ascii="Times New Roman" w:hAnsi="Times New Roman" w:cs="Times New Roman"/>
          <w:sz w:val="24"/>
          <w:szCs w:val="24"/>
        </w:rPr>
        <w:t xml:space="preserve"> jednak </w:t>
      </w:r>
      <w:r w:rsidR="00C0328C" w:rsidRPr="000431F7">
        <w:rPr>
          <w:rFonts w:ascii="Times New Roman" w:hAnsi="Times New Roman" w:cs="Times New Roman"/>
          <w:sz w:val="24"/>
          <w:szCs w:val="24"/>
        </w:rPr>
        <w:t>należy podkreślić, że zarówno rozporządzenie 2022/2554</w:t>
      </w:r>
      <w:r w:rsidR="00355418" w:rsidRPr="000431F7">
        <w:rPr>
          <w:rFonts w:ascii="Times New Roman" w:hAnsi="Times New Roman" w:cs="Times New Roman"/>
          <w:sz w:val="24"/>
          <w:szCs w:val="24"/>
        </w:rPr>
        <w:t>,</w:t>
      </w:r>
      <w:r w:rsidR="00C0328C" w:rsidRPr="000431F7">
        <w:rPr>
          <w:rFonts w:ascii="Times New Roman" w:hAnsi="Times New Roman" w:cs="Times New Roman"/>
          <w:sz w:val="24"/>
          <w:szCs w:val="24"/>
        </w:rPr>
        <w:t xml:space="preserve"> jak i rozporządzenie 2023/2631</w:t>
      </w:r>
      <w:r w:rsidR="00355418" w:rsidRPr="000431F7">
        <w:rPr>
          <w:rFonts w:ascii="Times New Roman" w:hAnsi="Times New Roman" w:cs="Times New Roman"/>
          <w:sz w:val="24"/>
          <w:szCs w:val="24"/>
        </w:rPr>
        <w:t>,</w:t>
      </w:r>
      <w:r w:rsidR="00C0328C" w:rsidRPr="000431F7">
        <w:rPr>
          <w:rFonts w:ascii="Times New Roman" w:hAnsi="Times New Roman" w:cs="Times New Roman"/>
          <w:sz w:val="24"/>
          <w:szCs w:val="24"/>
        </w:rPr>
        <w:t xml:space="preserve"> powinny być już stosowane przez podmioty finansowe, które miały odpowiednią ilość czasu na dostosowanie się do regulacji UE. </w:t>
      </w:r>
    </w:p>
    <w:p w14:paraId="39FE5E31" w14:textId="6DF10F49" w:rsidR="00644FA2" w:rsidRPr="000431F7" w:rsidRDefault="00644FA2" w:rsidP="004742CC">
      <w:pPr>
        <w:pStyle w:val="ROZDZODDZOZNoznaczenierozdziauluboddziau"/>
        <w:tabs>
          <w:tab w:val="left" w:pos="426"/>
        </w:tabs>
        <w:jc w:val="left"/>
        <w:rPr>
          <w:rStyle w:val="Ppogrubienie"/>
          <w:rFonts w:ascii="Times New Roman" w:eastAsiaTheme="minorHAnsi" w:hAnsi="Times New Roman" w:cs="Times New Roman"/>
          <w:bCs w:val="0"/>
          <w:kern w:val="2"/>
          <w:sz w:val="22"/>
          <w:szCs w:val="22"/>
          <w:lang w:eastAsia="en-US"/>
          <w14:ligatures w14:val="standardContextual"/>
        </w:rPr>
      </w:pPr>
      <w:r w:rsidRPr="000431F7">
        <w:rPr>
          <w:rStyle w:val="Ppogrubienie"/>
          <w:rFonts w:ascii="Times New Roman" w:hAnsi="Times New Roman" w:cs="Times New Roman"/>
          <w:bCs w:val="0"/>
        </w:rPr>
        <w:t>IV.</w:t>
      </w:r>
      <w:r w:rsidR="00B66E01">
        <w:rPr>
          <w:rStyle w:val="Ppogrubienie"/>
          <w:rFonts w:ascii="Times New Roman" w:hAnsi="Times New Roman" w:cs="Times New Roman"/>
          <w:bCs w:val="0"/>
        </w:rPr>
        <w:tab/>
      </w:r>
      <w:r w:rsidRPr="000431F7">
        <w:rPr>
          <w:rStyle w:val="Ppogrubienie"/>
          <w:rFonts w:ascii="Times New Roman" w:hAnsi="Times New Roman" w:cs="Times New Roman"/>
          <w:bCs w:val="0"/>
        </w:rPr>
        <w:t>Informacje dodatkowe</w:t>
      </w:r>
    </w:p>
    <w:p w14:paraId="6E705BFC" w14:textId="585B69B9" w:rsidR="00644FA2" w:rsidRPr="000431F7" w:rsidRDefault="00644FA2" w:rsidP="004742CC">
      <w:pPr>
        <w:pStyle w:val="ZDANIENASTNOWYWIERSZnpzddrugienowywierszwust"/>
        <w:spacing w:before="120"/>
        <w:rPr>
          <w:rFonts w:ascii="Times New Roman" w:hAnsi="Times New Roman" w:cs="Times New Roman"/>
          <w:szCs w:val="24"/>
        </w:rPr>
      </w:pPr>
      <w:r w:rsidRPr="000431F7">
        <w:rPr>
          <w:rFonts w:ascii="Times New Roman" w:hAnsi="Times New Roman" w:cs="Times New Roman"/>
          <w:szCs w:val="24"/>
        </w:rPr>
        <w:t>Projekt ustawy jest zgodny z prawem UE.</w:t>
      </w:r>
    </w:p>
    <w:p w14:paraId="45F3C456" w14:textId="53E462AC" w:rsidR="008B5397" w:rsidRPr="000431F7" w:rsidRDefault="008B5397" w:rsidP="004742CC">
      <w:pPr>
        <w:spacing w:before="120" w:after="0" w:line="360" w:lineRule="auto"/>
        <w:jc w:val="both"/>
        <w:rPr>
          <w:rFonts w:ascii="Times New Roman" w:hAnsi="Times New Roman" w:cs="Times New Roman"/>
          <w:sz w:val="24"/>
          <w:szCs w:val="24"/>
        </w:rPr>
      </w:pPr>
      <w:r w:rsidRPr="000431F7">
        <w:rPr>
          <w:rFonts w:ascii="Times New Roman" w:hAnsi="Times New Roman" w:cs="Times New Roman"/>
          <w:sz w:val="24"/>
          <w:szCs w:val="24"/>
        </w:rPr>
        <w:t>Projektowane zmiany nie powinny mieć znaczącego wpływu na działalność MŚP, w</w:t>
      </w:r>
      <w:r w:rsidR="002562D9" w:rsidRPr="000431F7">
        <w:rPr>
          <w:rFonts w:ascii="Times New Roman" w:hAnsi="Times New Roman" w:cs="Times New Roman"/>
          <w:sz w:val="24"/>
          <w:szCs w:val="24"/>
        </w:rPr>
        <w:t> </w:t>
      </w:r>
      <w:r w:rsidRPr="000431F7">
        <w:rPr>
          <w:rFonts w:ascii="Times New Roman" w:hAnsi="Times New Roman" w:cs="Times New Roman"/>
          <w:sz w:val="24"/>
          <w:szCs w:val="24"/>
        </w:rPr>
        <w:t>szczególności na mikro</w:t>
      </w:r>
      <w:r w:rsidR="004E65A7" w:rsidRPr="000431F7">
        <w:rPr>
          <w:rFonts w:ascii="Times New Roman" w:hAnsi="Times New Roman" w:cs="Times New Roman"/>
          <w:sz w:val="24"/>
          <w:szCs w:val="24"/>
        </w:rPr>
        <w:t>-</w:t>
      </w:r>
      <w:r w:rsidRPr="000431F7">
        <w:rPr>
          <w:rFonts w:ascii="Times New Roman" w:hAnsi="Times New Roman" w:cs="Times New Roman"/>
          <w:sz w:val="24"/>
          <w:szCs w:val="24"/>
        </w:rPr>
        <w:t xml:space="preserve"> i małych przedsiębiorców. Zgodnie z zasadą proporcjonalności wyrażoną w art. 4 rozporządzenia 2022/2554 p</w:t>
      </w:r>
      <w:r w:rsidRPr="000431F7">
        <w:rPr>
          <w:rFonts w:ascii="Times New Roman" w:hAnsi="Times New Roman" w:cs="Times New Roman"/>
          <w:color w:val="000000"/>
          <w:sz w:val="24"/>
          <w:szCs w:val="24"/>
          <w:shd w:val="clear" w:color="auto" w:fill="FFFFFF"/>
        </w:rPr>
        <w:t xml:space="preserve">odmioty finansowe stosują przepisy tego </w:t>
      </w:r>
      <w:r w:rsidRPr="000431F7">
        <w:rPr>
          <w:rFonts w:ascii="Times New Roman" w:hAnsi="Times New Roman" w:cs="Times New Roman"/>
          <w:color w:val="000000"/>
          <w:sz w:val="24"/>
          <w:szCs w:val="24"/>
          <w:shd w:val="clear" w:color="auto" w:fill="FFFFFF"/>
        </w:rPr>
        <w:lastRenderedPageBreak/>
        <w:t xml:space="preserve">rozporządzenia, biorąc pod uwagę swoją wielkość i ogólny profil ryzyka oraz charakter, skalę i stopień złożoności swoich usług, działań i operacji. Z uwagi na powyższe skutki projektowanej regulacji będą dotyczyć głównie dużych podmiotów finansowych. </w:t>
      </w:r>
    </w:p>
    <w:p w14:paraId="6C7974A1" w14:textId="3DFC9C4A" w:rsidR="00644FA2" w:rsidRPr="000431F7" w:rsidRDefault="00644FA2" w:rsidP="004742CC">
      <w:pPr>
        <w:pStyle w:val="ZDANIENASTNOWYWIERSZnpzddrugienowywierszwust"/>
        <w:spacing w:before="120"/>
        <w:rPr>
          <w:rFonts w:ascii="Times New Roman" w:hAnsi="Times New Roman" w:cs="Times New Roman"/>
          <w:szCs w:val="24"/>
        </w:rPr>
      </w:pPr>
      <w:r w:rsidRPr="000431F7">
        <w:rPr>
          <w:rFonts w:ascii="Times New Roman" w:hAnsi="Times New Roman" w:cs="Times New Roman"/>
          <w:szCs w:val="24"/>
        </w:rPr>
        <w:t xml:space="preserve">Projektowana regulacja nie zawiera przepisów technicznych w rozumieniu rozporządzenia Rady Ministrów z dnia 23 grudnia 2002 r. w sprawie sposobu funkcjonowania krajowego systemu notyfikacji norm i aktów prawnych (Dz. U. poz. 2039, z </w:t>
      </w:r>
      <w:proofErr w:type="spellStart"/>
      <w:r w:rsidRPr="000431F7">
        <w:rPr>
          <w:rFonts w:ascii="Times New Roman" w:hAnsi="Times New Roman" w:cs="Times New Roman"/>
          <w:szCs w:val="24"/>
        </w:rPr>
        <w:t>późn</w:t>
      </w:r>
      <w:proofErr w:type="spellEnd"/>
      <w:r w:rsidRPr="000431F7">
        <w:rPr>
          <w:rFonts w:ascii="Times New Roman" w:hAnsi="Times New Roman" w:cs="Times New Roman"/>
          <w:szCs w:val="24"/>
        </w:rPr>
        <w:t>. zm.) i nie podlega notyfikacji Komisji Europejskiej.</w:t>
      </w:r>
    </w:p>
    <w:p w14:paraId="3529CF46" w14:textId="7BAA43C3" w:rsidR="00047BF4" w:rsidRPr="000431F7" w:rsidRDefault="008E7061" w:rsidP="004742CC">
      <w:pPr>
        <w:spacing w:before="120" w:after="0" w:line="360" w:lineRule="auto"/>
        <w:jc w:val="both"/>
        <w:rPr>
          <w:rFonts w:ascii="Times New Roman" w:hAnsi="Times New Roman" w:cs="Times New Roman"/>
          <w:sz w:val="24"/>
          <w:szCs w:val="24"/>
        </w:rPr>
      </w:pPr>
      <w:r w:rsidRPr="000431F7">
        <w:rPr>
          <w:rFonts w:ascii="Times New Roman" w:hAnsi="Times New Roman" w:cs="Times New Roman"/>
          <w:sz w:val="24"/>
          <w:szCs w:val="24"/>
        </w:rPr>
        <w:t xml:space="preserve">Projekt ustawy nie wymaga przedstawienia właściwym organom i instytucjom Unii Europejskiej, w tym Europejskiemu Bankowi Centralnemu, w celu uzyskania opinii, dokonania powiadomienia, konsultacji albo uzgodnienia, o którym mowa w § 27 ust. 4 uchwały nr 190 Rady Ministrów z dnia 29 października 2013 r. – Regulamin pracy Rady Ministrów (M.P. z </w:t>
      </w:r>
      <w:r w:rsidR="00EF6E1D" w:rsidRPr="000431F7">
        <w:rPr>
          <w:rFonts w:ascii="Times New Roman" w:hAnsi="Times New Roman" w:cs="Times New Roman"/>
          <w:sz w:val="24"/>
          <w:szCs w:val="24"/>
        </w:rPr>
        <w:t xml:space="preserve">2024 </w:t>
      </w:r>
      <w:r w:rsidRPr="000431F7">
        <w:rPr>
          <w:rFonts w:ascii="Times New Roman" w:hAnsi="Times New Roman" w:cs="Times New Roman"/>
          <w:sz w:val="24"/>
          <w:szCs w:val="24"/>
        </w:rPr>
        <w:t xml:space="preserve">r. poz. </w:t>
      </w:r>
      <w:r w:rsidR="00EF6E1D" w:rsidRPr="000431F7">
        <w:rPr>
          <w:rFonts w:ascii="Times New Roman" w:hAnsi="Times New Roman" w:cs="Times New Roman"/>
          <w:sz w:val="24"/>
          <w:szCs w:val="24"/>
        </w:rPr>
        <w:t>806</w:t>
      </w:r>
      <w:r w:rsidRPr="000431F7">
        <w:rPr>
          <w:rFonts w:ascii="Times New Roman" w:hAnsi="Times New Roman" w:cs="Times New Roman"/>
          <w:sz w:val="24"/>
          <w:szCs w:val="24"/>
        </w:rPr>
        <w:t>).</w:t>
      </w:r>
    </w:p>
    <w:p w14:paraId="110BA2DC" w14:textId="1E7F7BCD" w:rsidR="00720EC9" w:rsidRPr="000431F7" w:rsidRDefault="008E7061" w:rsidP="004742CC">
      <w:pPr>
        <w:autoSpaceDE w:val="0"/>
        <w:autoSpaceDN w:val="0"/>
        <w:adjustRightInd w:val="0"/>
        <w:spacing w:before="120" w:after="0" w:line="360" w:lineRule="auto"/>
        <w:jc w:val="both"/>
        <w:rPr>
          <w:rFonts w:ascii="Times New Roman" w:hAnsi="Times New Roman" w:cs="Times New Roman"/>
          <w:sz w:val="24"/>
          <w:szCs w:val="24"/>
        </w:rPr>
      </w:pPr>
      <w:r w:rsidRPr="000431F7">
        <w:rPr>
          <w:rFonts w:ascii="Times New Roman" w:hAnsi="Times New Roman" w:cs="Times New Roman"/>
          <w:sz w:val="24"/>
          <w:szCs w:val="24"/>
        </w:rPr>
        <w:t>Stosownie do art. 5 ustawy z dnia 7 lipca 2005 r. o działalności lobbingowej w procesie stanowienia prawa (Dz. U. z 2017 r. poz. 248</w:t>
      </w:r>
      <w:r w:rsidR="00B73B51" w:rsidRPr="000431F7">
        <w:rPr>
          <w:rFonts w:ascii="Times New Roman" w:hAnsi="Times New Roman" w:cs="Times New Roman"/>
          <w:sz w:val="24"/>
          <w:szCs w:val="24"/>
        </w:rPr>
        <w:t xml:space="preserve">, </w:t>
      </w:r>
      <w:proofErr w:type="spellStart"/>
      <w:r w:rsidR="00B73B51" w:rsidRPr="000431F7">
        <w:rPr>
          <w:rFonts w:ascii="Times New Roman" w:hAnsi="Times New Roman" w:cs="Times New Roman"/>
          <w:sz w:val="24"/>
          <w:szCs w:val="24"/>
        </w:rPr>
        <w:t>późn</w:t>
      </w:r>
      <w:proofErr w:type="spellEnd"/>
      <w:r w:rsidR="00B73B51" w:rsidRPr="000431F7">
        <w:rPr>
          <w:rFonts w:ascii="Times New Roman" w:hAnsi="Times New Roman" w:cs="Times New Roman"/>
          <w:sz w:val="24"/>
          <w:szCs w:val="24"/>
        </w:rPr>
        <w:t>. zm.</w:t>
      </w:r>
      <w:r w:rsidRPr="000431F7">
        <w:rPr>
          <w:rFonts w:ascii="Times New Roman" w:hAnsi="Times New Roman" w:cs="Times New Roman"/>
          <w:sz w:val="24"/>
          <w:szCs w:val="24"/>
        </w:rPr>
        <w:t>), projekt ustawy podlega udostępnieniu w</w:t>
      </w:r>
      <w:r w:rsidR="002562D9" w:rsidRPr="000431F7">
        <w:rPr>
          <w:rFonts w:ascii="Times New Roman" w:hAnsi="Times New Roman" w:cs="Times New Roman"/>
          <w:sz w:val="24"/>
          <w:szCs w:val="24"/>
        </w:rPr>
        <w:t> </w:t>
      </w:r>
      <w:r w:rsidRPr="000431F7">
        <w:rPr>
          <w:rFonts w:ascii="Times New Roman" w:hAnsi="Times New Roman" w:cs="Times New Roman"/>
          <w:sz w:val="24"/>
          <w:szCs w:val="24"/>
        </w:rPr>
        <w:t>Biuletynie Informacji Publicznej Rządowego Centrum Legislacji.</w:t>
      </w:r>
      <w:r w:rsidR="00BE3EBB" w:rsidRPr="000431F7">
        <w:rPr>
          <w:rFonts w:ascii="Times New Roman" w:hAnsi="Times New Roman" w:cs="Times New Roman"/>
          <w:sz w:val="24"/>
          <w:szCs w:val="24"/>
        </w:rPr>
        <w:t xml:space="preserve"> Na podstawie ustawy z dnia 7 lipca 2005 r. o działalności lobbingowej </w:t>
      </w:r>
      <w:r w:rsidR="0012681C" w:rsidRPr="0012681C">
        <w:rPr>
          <w:rFonts w:ascii="Times New Roman" w:hAnsi="Times New Roman"/>
          <w:sz w:val="24"/>
          <w:szCs w:val="24"/>
        </w:rPr>
        <w:t>w procesie stanowienia prawa</w:t>
      </w:r>
      <w:r w:rsidR="0012681C" w:rsidRPr="007E0187">
        <w:rPr>
          <w:rFonts w:ascii="Times New Roman" w:hAnsi="Times New Roman"/>
          <w:szCs w:val="24"/>
        </w:rPr>
        <w:t xml:space="preserve"> </w:t>
      </w:r>
      <w:r w:rsidR="00BE3EBB" w:rsidRPr="000431F7">
        <w:rPr>
          <w:rFonts w:ascii="Times New Roman" w:hAnsi="Times New Roman" w:cs="Times New Roman"/>
          <w:sz w:val="24"/>
          <w:szCs w:val="24"/>
        </w:rPr>
        <w:t>zgłoszenia zainteresowania pracami nad projektem zgłosił</w:t>
      </w:r>
      <w:r w:rsidR="00D37123" w:rsidRPr="000431F7">
        <w:rPr>
          <w:rFonts w:ascii="Times New Roman" w:hAnsi="Times New Roman" w:cs="Times New Roman"/>
          <w:sz w:val="24"/>
          <w:szCs w:val="24"/>
        </w:rPr>
        <w:t>y</w:t>
      </w:r>
      <w:r w:rsidR="00D37123" w:rsidRPr="000431F7">
        <w:rPr>
          <w:rFonts w:ascii="Times New Roman" w:hAnsi="Times New Roman" w:cs="Times New Roman"/>
          <w:kern w:val="0"/>
          <w:sz w:val="24"/>
          <w:szCs w:val="24"/>
          <w14:ligatures w14:val="none"/>
        </w:rPr>
        <w:t xml:space="preserve"> trzy podmioty: Krzysztof </w:t>
      </w:r>
      <w:proofErr w:type="spellStart"/>
      <w:r w:rsidR="00D37123" w:rsidRPr="000431F7">
        <w:rPr>
          <w:rFonts w:ascii="Times New Roman" w:hAnsi="Times New Roman" w:cs="Times New Roman"/>
          <w:kern w:val="0"/>
          <w:sz w:val="24"/>
          <w:szCs w:val="24"/>
          <w14:ligatures w14:val="none"/>
        </w:rPr>
        <w:t>Rożko</w:t>
      </w:r>
      <w:proofErr w:type="spellEnd"/>
      <w:r w:rsidR="00D37123" w:rsidRPr="000431F7">
        <w:rPr>
          <w:rFonts w:ascii="Times New Roman" w:hAnsi="Times New Roman" w:cs="Times New Roman"/>
          <w:kern w:val="0"/>
          <w:sz w:val="24"/>
          <w:szCs w:val="24"/>
          <w14:ligatures w14:val="none"/>
        </w:rPr>
        <w:t xml:space="preserve"> i Wspólnicy, Kancelaria Prawna, Spółka Komandytowa oraz Karwasiński, </w:t>
      </w:r>
      <w:proofErr w:type="spellStart"/>
      <w:r w:rsidR="00D37123" w:rsidRPr="000431F7">
        <w:rPr>
          <w:rFonts w:ascii="Times New Roman" w:hAnsi="Times New Roman" w:cs="Times New Roman"/>
          <w:kern w:val="0"/>
          <w:sz w:val="24"/>
          <w:szCs w:val="24"/>
          <w14:ligatures w14:val="none"/>
        </w:rPr>
        <w:t>Szpringer</w:t>
      </w:r>
      <w:proofErr w:type="spellEnd"/>
      <w:r w:rsidR="00D37123" w:rsidRPr="000431F7">
        <w:rPr>
          <w:rFonts w:ascii="Times New Roman" w:hAnsi="Times New Roman" w:cs="Times New Roman"/>
          <w:kern w:val="0"/>
          <w:sz w:val="24"/>
          <w:szCs w:val="24"/>
          <w14:ligatures w14:val="none"/>
        </w:rPr>
        <w:t xml:space="preserve"> i Wspólnicy, Spółka Jawna, a także</w:t>
      </w:r>
      <w:r w:rsidR="00D37123" w:rsidRPr="004742CC">
        <w:rPr>
          <w:rFonts w:ascii="Times New Roman" w:hAnsi="Times New Roman" w:cs="Times New Roman"/>
          <w:kern w:val="0"/>
          <w:sz w:val="24"/>
          <w:szCs w:val="24"/>
          <w14:ligatures w14:val="none"/>
        </w:rPr>
        <w:t xml:space="preserve"> </w:t>
      </w:r>
      <w:proofErr w:type="spellStart"/>
      <w:r w:rsidR="00D37123" w:rsidRPr="000431F7">
        <w:rPr>
          <w:rFonts w:ascii="Times New Roman" w:hAnsi="Times New Roman" w:cs="Times New Roman"/>
          <w:kern w:val="0"/>
          <w:sz w:val="24"/>
          <w:szCs w:val="24"/>
          <w14:ligatures w14:val="none"/>
        </w:rPr>
        <w:t>Saltus</w:t>
      </w:r>
      <w:proofErr w:type="spellEnd"/>
      <w:r w:rsidR="00D37123" w:rsidRPr="000431F7">
        <w:rPr>
          <w:rFonts w:ascii="Times New Roman" w:hAnsi="Times New Roman" w:cs="Times New Roman"/>
          <w:kern w:val="0"/>
          <w:sz w:val="24"/>
          <w:szCs w:val="24"/>
          <w14:ligatures w14:val="none"/>
        </w:rPr>
        <w:t xml:space="preserve"> „Towarzystwo Ubezpieczeń Wzajemnych”.</w:t>
      </w:r>
    </w:p>
    <w:sectPr w:rsidR="00720EC9" w:rsidRPr="000431F7" w:rsidSect="001A2749">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DE287" w14:textId="77777777" w:rsidR="00DD6C61" w:rsidRDefault="00DD6C61" w:rsidP="00F851A1">
      <w:pPr>
        <w:spacing w:after="0" w:line="240" w:lineRule="auto"/>
      </w:pPr>
      <w:r>
        <w:separator/>
      </w:r>
    </w:p>
  </w:endnote>
  <w:endnote w:type="continuationSeparator" w:id="0">
    <w:p w14:paraId="2548F7E2" w14:textId="77777777" w:rsidR="00DD6C61" w:rsidRDefault="00DD6C61" w:rsidP="00F8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0155923"/>
      <w:docPartObj>
        <w:docPartGallery w:val="Page Numbers (Bottom of Page)"/>
        <w:docPartUnique/>
      </w:docPartObj>
    </w:sdtPr>
    <w:sdtEndPr>
      <w:rPr>
        <w:rFonts w:ascii="Times New Roman" w:hAnsi="Times New Roman" w:cs="Times New Roman"/>
        <w:sz w:val="24"/>
        <w:szCs w:val="24"/>
      </w:rPr>
    </w:sdtEndPr>
    <w:sdtContent>
      <w:p w14:paraId="6A074C99" w14:textId="3DD9DCF4" w:rsidR="00C41BA3" w:rsidRPr="001A2749" w:rsidRDefault="00C41BA3">
        <w:pPr>
          <w:pStyle w:val="Stopka"/>
          <w:jc w:val="center"/>
          <w:rPr>
            <w:rFonts w:ascii="Times New Roman" w:hAnsi="Times New Roman" w:cs="Times New Roman"/>
            <w:sz w:val="24"/>
            <w:szCs w:val="24"/>
          </w:rPr>
        </w:pPr>
        <w:r w:rsidRPr="001A2749">
          <w:rPr>
            <w:rFonts w:ascii="Times New Roman" w:hAnsi="Times New Roman" w:cs="Times New Roman"/>
            <w:sz w:val="24"/>
            <w:szCs w:val="24"/>
          </w:rPr>
          <w:fldChar w:fldCharType="begin"/>
        </w:r>
        <w:r w:rsidRPr="001A2749">
          <w:rPr>
            <w:rFonts w:ascii="Times New Roman" w:hAnsi="Times New Roman" w:cs="Times New Roman"/>
            <w:sz w:val="24"/>
            <w:szCs w:val="24"/>
          </w:rPr>
          <w:instrText>PAGE   \* MERGEFORMAT</w:instrText>
        </w:r>
        <w:r w:rsidRPr="001A2749">
          <w:rPr>
            <w:rFonts w:ascii="Times New Roman" w:hAnsi="Times New Roman" w:cs="Times New Roman"/>
            <w:sz w:val="24"/>
            <w:szCs w:val="24"/>
          </w:rPr>
          <w:fldChar w:fldCharType="separate"/>
        </w:r>
        <w:r w:rsidRPr="001A2749">
          <w:rPr>
            <w:rFonts w:ascii="Times New Roman" w:hAnsi="Times New Roman" w:cs="Times New Roman"/>
            <w:sz w:val="24"/>
            <w:szCs w:val="24"/>
          </w:rPr>
          <w:t>2</w:t>
        </w:r>
        <w:r w:rsidRPr="001A2749">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E2A37" w14:textId="77777777" w:rsidR="00DD6C61" w:rsidRDefault="00DD6C61" w:rsidP="00F851A1">
      <w:pPr>
        <w:spacing w:after="0" w:line="240" w:lineRule="auto"/>
      </w:pPr>
      <w:r>
        <w:separator/>
      </w:r>
    </w:p>
  </w:footnote>
  <w:footnote w:type="continuationSeparator" w:id="0">
    <w:p w14:paraId="5DCAB9DC" w14:textId="77777777" w:rsidR="00DD6C61" w:rsidRDefault="00DD6C61" w:rsidP="00F851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07461"/>
    <w:multiLevelType w:val="hybridMultilevel"/>
    <w:tmpl w:val="14E8613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3E46148"/>
    <w:multiLevelType w:val="hybridMultilevel"/>
    <w:tmpl w:val="A73C2A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7A388C"/>
    <w:multiLevelType w:val="hybridMultilevel"/>
    <w:tmpl w:val="6900A25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7D06A64"/>
    <w:multiLevelType w:val="hybridMultilevel"/>
    <w:tmpl w:val="A9A6E4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991161"/>
    <w:multiLevelType w:val="hybridMultilevel"/>
    <w:tmpl w:val="1F08CD10"/>
    <w:lvl w:ilvl="0" w:tplc="49DE294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C4623C"/>
    <w:multiLevelType w:val="hybridMultilevel"/>
    <w:tmpl w:val="769E2C66"/>
    <w:lvl w:ilvl="0" w:tplc="A85654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DE36B9"/>
    <w:multiLevelType w:val="hybridMultilevel"/>
    <w:tmpl w:val="22B8357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CC01D0E"/>
    <w:multiLevelType w:val="hybridMultilevel"/>
    <w:tmpl w:val="C8EED992"/>
    <w:lvl w:ilvl="0" w:tplc="C7221F4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9127CC"/>
    <w:multiLevelType w:val="hybridMultilevel"/>
    <w:tmpl w:val="FD809D16"/>
    <w:lvl w:ilvl="0" w:tplc="6E845430">
      <w:start w:val="1"/>
      <w:numFmt w:val="low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071AF7"/>
    <w:multiLevelType w:val="hybridMultilevel"/>
    <w:tmpl w:val="54CA424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A7E4FDF"/>
    <w:multiLevelType w:val="hybridMultilevel"/>
    <w:tmpl w:val="AD9A5EF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C3F3105"/>
    <w:multiLevelType w:val="hybridMultilevel"/>
    <w:tmpl w:val="7026F5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4221E3"/>
    <w:multiLevelType w:val="hybridMultilevel"/>
    <w:tmpl w:val="6E52A26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423711A"/>
    <w:multiLevelType w:val="hybridMultilevel"/>
    <w:tmpl w:val="A9A6E4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252122"/>
    <w:multiLevelType w:val="hybridMultilevel"/>
    <w:tmpl w:val="A87AFA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4B6A35"/>
    <w:multiLevelType w:val="hybridMultilevel"/>
    <w:tmpl w:val="82D816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9B276E"/>
    <w:multiLevelType w:val="hybridMultilevel"/>
    <w:tmpl w:val="6F5CB0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851801"/>
    <w:multiLevelType w:val="hybridMultilevel"/>
    <w:tmpl w:val="0EB0CB4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6336108"/>
    <w:multiLevelType w:val="hybridMultilevel"/>
    <w:tmpl w:val="FA240346"/>
    <w:lvl w:ilvl="0" w:tplc="3ABC90A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F9505D"/>
    <w:multiLevelType w:val="hybridMultilevel"/>
    <w:tmpl w:val="EC7E2752"/>
    <w:lvl w:ilvl="0" w:tplc="6E845430">
      <w:start w:val="1"/>
      <w:numFmt w:val="low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87166A3"/>
    <w:multiLevelType w:val="hybridMultilevel"/>
    <w:tmpl w:val="1E82E850"/>
    <w:lvl w:ilvl="0" w:tplc="CF7E9B4C">
      <w:start w:val="1"/>
      <w:numFmt w:val="decimal"/>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D573F1B"/>
    <w:multiLevelType w:val="hybridMultilevel"/>
    <w:tmpl w:val="2A1607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3F2273A"/>
    <w:multiLevelType w:val="hybridMultilevel"/>
    <w:tmpl w:val="581A49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7301EDD"/>
    <w:multiLevelType w:val="hybridMultilevel"/>
    <w:tmpl w:val="66DEC23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7C02288"/>
    <w:multiLevelType w:val="hybridMultilevel"/>
    <w:tmpl w:val="D646DFE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7CD2CCF"/>
    <w:multiLevelType w:val="hybridMultilevel"/>
    <w:tmpl w:val="8816166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9607EF0"/>
    <w:multiLevelType w:val="hybridMultilevel"/>
    <w:tmpl w:val="6E06653A"/>
    <w:lvl w:ilvl="0" w:tplc="E5127680">
      <w:start w:val="1"/>
      <w:numFmt w:val="lowerLetter"/>
      <w:lvlText w:val="%1)"/>
      <w:lvlJc w:val="left"/>
      <w:pPr>
        <w:ind w:left="870" w:hanging="360"/>
      </w:pPr>
      <w:rPr>
        <w:rFonts w:hint="default"/>
        <w:color w:val="000000"/>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27" w15:restartNumberingAfterBreak="0">
    <w:nsid w:val="59EE4C2B"/>
    <w:multiLevelType w:val="hybridMultilevel"/>
    <w:tmpl w:val="BA74A88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B3704A9"/>
    <w:multiLevelType w:val="hybridMultilevel"/>
    <w:tmpl w:val="D87A71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B620B4D"/>
    <w:multiLevelType w:val="hybridMultilevel"/>
    <w:tmpl w:val="647434F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B8F5956"/>
    <w:multiLevelType w:val="hybridMultilevel"/>
    <w:tmpl w:val="1D743860"/>
    <w:lvl w:ilvl="0" w:tplc="156065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62788C"/>
    <w:multiLevelType w:val="hybridMultilevel"/>
    <w:tmpl w:val="2B5026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4210E23"/>
    <w:multiLevelType w:val="hybridMultilevel"/>
    <w:tmpl w:val="6D7E1686"/>
    <w:lvl w:ilvl="0" w:tplc="08CE032E">
      <w:start w:val="2"/>
      <w:numFmt w:val="bullet"/>
      <w:lvlText w:val="•"/>
      <w:lvlJc w:val="left"/>
      <w:pPr>
        <w:ind w:left="1065" w:hanging="705"/>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4D21046"/>
    <w:multiLevelType w:val="hybridMultilevel"/>
    <w:tmpl w:val="ED8807F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D5B7F61"/>
    <w:multiLevelType w:val="hybridMultilevel"/>
    <w:tmpl w:val="062C2CF6"/>
    <w:lvl w:ilvl="0" w:tplc="14902B4A">
      <w:numFmt w:val="bullet"/>
      <w:lvlText w:val="•"/>
      <w:lvlJc w:val="left"/>
      <w:pPr>
        <w:ind w:left="705" w:hanging="705"/>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E1D1608"/>
    <w:multiLevelType w:val="hybridMultilevel"/>
    <w:tmpl w:val="6BBCA256"/>
    <w:lvl w:ilvl="0" w:tplc="E26CF41C">
      <w:start w:val="1"/>
      <w:numFmt w:val="lowerLetter"/>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36" w15:restartNumberingAfterBreak="0">
    <w:nsid w:val="76D176A8"/>
    <w:multiLevelType w:val="hybridMultilevel"/>
    <w:tmpl w:val="DD5480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70664E5"/>
    <w:multiLevelType w:val="hybridMultilevel"/>
    <w:tmpl w:val="0EF8A4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B7B7854"/>
    <w:multiLevelType w:val="hybridMultilevel"/>
    <w:tmpl w:val="78A60814"/>
    <w:lvl w:ilvl="0" w:tplc="00B811AC">
      <w:start w:val="1"/>
      <w:numFmt w:val="decimal"/>
      <w:lvlText w:val="%1)"/>
      <w:lvlJc w:val="left"/>
      <w:pPr>
        <w:ind w:left="1020" w:hanging="51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num w:numId="1">
    <w:abstractNumId w:val="37"/>
  </w:num>
  <w:num w:numId="2">
    <w:abstractNumId w:val="20"/>
  </w:num>
  <w:num w:numId="3">
    <w:abstractNumId w:val="13"/>
  </w:num>
  <w:num w:numId="4">
    <w:abstractNumId w:val="3"/>
  </w:num>
  <w:num w:numId="5">
    <w:abstractNumId w:val="26"/>
  </w:num>
  <w:num w:numId="6">
    <w:abstractNumId w:val="1"/>
  </w:num>
  <w:num w:numId="7">
    <w:abstractNumId w:val="16"/>
  </w:num>
  <w:num w:numId="8">
    <w:abstractNumId w:val="35"/>
  </w:num>
  <w:num w:numId="9">
    <w:abstractNumId w:val="31"/>
  </w:num>
  <w:num w:numId="10">
    <w:abstractNumId w:val="19"/>
  </w:num>
  <w:num w:numId="11">
    <w:abstractNumId w:val="38"/>
  </w:num>
  <w:num w:numId="12">
    <w:abstractNumId w:val="22"/>
  </w:num>
  <w:num w:numId="13">
    <w:abstractNumId w:val="8"/>
  </w:num>
  <w:num w:numId="14">
    <w:abstractNumId w:val="18"/>
  </w:num>
  <w:num w:numId="15">
    <w:abstractNumId w:val="21"/>
  </w:num>
  <w:num w:numId="16">
    <w:abstractNumId w:val="34"/>
  </w:num>
  <w:num w:numId="17">
    <w:abstractNumId w:val="14"/>
  </w:num>
  <w:num w:numId="18">
    <w:abstractNumId w:val="11"/>
  </w:num>
  <w:num w:numId="19">
    <w:abstractNumId w:val="15"/>
  </w:num>
  <w:num w:numId="20">
    <w:abstractNumId w:val="36"/>
  </w:num>
  <w:num w:numId="21">
    <w:abstractNumId w:val="30"/>
  </w:num>
  <w:num w:numId="22">
    <w:abstractNumId w:val="9"/>
  </w:num>
  <w:num w:numId="23">
    <w:abstractNumId w:val="5"/>
  </w:num>
  <w:num w:numId="24">
    <w:abstractNumId w:val="6"/>
  </w:num>
  <w:num w:numId="25">
    <w:abstractNumId w:val="7"/>
  </w:num>
  <w:num w:numId="26">
    <w:abstractNumId w:val="2"/>
  </w:num>
  <w:num w:numId="27">
    <w:abstractNumId w:val="4"/>
  </w:num>
  <w:num w:numId="28">
    <w:abstractNumId w:val="28"/>
  </w:num>
  <w:num w:numId="29">
    <w:abstractNumId w:val="32"/>
  </w:num>
  <w:num w:numId="30">
    <w:abstractNumId w:val="33"/>
  </w:num>
  <w:num w:numId="31">
    <w:abstractNumId w:val="25"/>
  </w:num>
  <w:num w:numId="32">
    <w:abstractNumId w:val="0"/>
  </w:num>
  <w:num w:numId="33">
    <w:abstractNumId w:val="24"/>
  </w:num>
  <w:num w:numId="34">
    <w:abstractNumId w:val="10"/>
  </w:num>
  <w:num w:numId="35">
    <w:abstractNumId w:val="29"/>
  </w:num>
  <w:num w:numId="36">
    <w:abstractNumId w:val="27"/>
  </w:num>
  <w:num w:numId="37">
    <w:abstractNumId w:val="23"/>
  </w:num>
  <w:num w:numId="38">
    <w:abstractNumId w:val="17"/>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0E6"/>
    <w:rsid w:val="00001AEC"/>
    <w:rsid w:val="00001B55"/>
    <w:rsid w:val="00001EB1"/>
    <w:rsid w:val="00003298"/>
    <w:rsid w:val="00003919"/>
    <w:rsid w:val="000047F4"/>
    <w:rsid w:val="00006C19"/>
    <w:rsid w:val="0001355D"/>
    <w:rsid w:val="00013DBD"/>
    <w:rsid w:val="00020965"/>
    <w:rsid w:val="000220D9"/>
    <w:rsid w:val="0002235E"/>
    <w:rsid w:val="00023FE6"/>
    <w:rsid w:val="00024098"/>
    <w:rsid w:val="00024D64"/>
    <w:rsid w:val="000265D5"/>
    <w:rsid w:val="00030540"/>
    <w:rsid w:val="00032470"/>
    <w:rsid w:val="00032F68"/>
    <w:rsid w:val="00034AED"/>
    <w:rsid w:val="00035D8C"/>
    <w:rsid w:val="000376B9"/>
    <w:rsid w:val="0004186C"/>
    <w:rsid w:val="00042358"/>
    <w:rsid w:val="00042C2D"/>
    <w:rsid w:val="00042DB1"/>
    <w:rsid w:val="000431F7"/>
    <w:rsid w:val="00043BBE"/>
    <w:rsid w:val="0004421B"/>
    <w:rsid w:val="00044A29"/>
    <w:rsid w:val="0004620F"/>
    <w:rsid w:val="00046AAE"/>
    <w:rsid w:val="00047BF4"/>
    <w:rsid w:val="000500F7"/>
    <w:rsid w:val="0005072D"/>
    <w:rsid w:val="00050755"/>
    <w:rsid w:val="00050970"/>
    <w:rsid w:val="00051C70"/>
    <w:rsid w:val="000532A5"/>
    <w:rsid w:val="00053D64"/>
    <w:rsid w:val="000545A8"/>
    <w:rsid w:val="00056381"/>
    <w:rsid w:val="0006006E"/>
    <w:rsid w:val="0006042A"/>
    <w:rsid w:val="00061CB5"/>
    <w:rsid w:val="00062BAD"/>
    <w:rsid w:val="00063F39"/>
    <w:rsid w:val="00064362"/>
    <w:rsid w:val="00064DBE"/>
    <w:rsid w:val="00066CEF"/>
    <w:rsid w:val="00070286"/>
    <w:rsid w:val="00073A1F"/>
    <w:rsid w:val="00077324"/>
    <w:rsid w:val="00081861"/>
    <w:rsid w:val="00082895"/>
    <w:rsid w:val="00083BA6"/>
    <w:rsid w:val="00086A70"/>
    <w:rsid w:val="00086B16"/>
    <w:rsid w:val="00086BBE"/>
    <w:rsid w:val="00086EA2"/>
    <w:rsid w:val="0008770A"/>
    <w:rsid w:val="00090D24"/>
    <w:rsid w:val="00094DBA"/>
    <w:rsid w:val="00094E3E"/>
    <w:rsid w:val="00097D03"/>
    <w:rsid w:val="000A2814"/>
    <w:rsid w:val="000A3247"/>
    <w:rsid w:val="000A4E53"/>
    <w:rsid w:val="000A7E70"/>
    <w:rsid w:val="000B0689"/>
    <w:rsid w:val="000B21D4"/>
    <w:rsid w:val="000B3D34"/>
    <w:rsid w:val="000B46CF"/>
    <w:rsid w:val="000B4A72"/>
    <w:rsid w:val="000B5BD3"/>
    <w:rsid w:val="000B5CB1"/>
    <w:rsid w:val="000B5F86"/>
    <w:rsid w:val="000B7682"/>
    <w:rsid w:val="000C31C4"/>
    <w:rsid w:val="000C472C"/>
    <w:rsid w:val="000C5658"/>
    <w:rsid w:val="000D3972"/>
    <w:rsid w:val="000D4E5C"/>
    <w:rsid w:val="000D5475"/>
    <w:rsid w:val="000D7A08"/>
    <w:rsid w:val="000E2A62"/>
    <w:rsid w:val="000E2BBE"/>
    <w:rsid w:val="000E3205"/>
    <w:rsid w:val="000E419A"/>
    <w:rsid w:val="000E5A8A"/>
    <w:rsid w:val="000E626C"/>
    <w:rsid w:val="000F1435"/>
    <w:rsid w:val="000F1B82"/>
    <w:rsid w:val="000F44F9"/>
    <w:rsid w:val="000F4547"/>
    <w:rsid w:val="000F4FE3"/>
    <w:rsid w:val="000F5859"/>
    <w:rsid w:val="000F5DF8"/>
    <w:rsid w:val="000F6F8A"/>
    <w:rsid w:val="001000C8"/>
    <w:rsid w:val="00100FEC"/>
    <w:rsid w:val="0010131D"/>
    <w:rsid w:val="00101B58"/>
    <w:rsid w:val="00102166"/>
    <w:rsid w:val="001030F8"/>
    <w:rsid w:val="001039A3"/>
    <w:rsid w:val="00104086"/>
    <w:rsid w:val="00104CB2"/>
    <w:rsid w:val="00107FF4"/>
    <w:rsid w:val="00110D93"/>
    <w:rsid w:val="00110D99"/>
    <w:rsid w:val="00112082"/>
    <w:rsid w:val="00112557"/>
    <w:rsid w:val="001130A5"/>
    <w:rsid w:val="00115A2D"/>
    <w:rsid w:val="00116C25"/>
    <w:rsid w:val="00120D77"/>
    <w:rsid w:val="0012369E"/>
    <w:rsid w:val="00123B80"/>
    <w:rsid w:val="0012681C"/>
    <w:rsid w:val="0012685A"/>
    <w:rsid w:val="001346AC"/>
    <w:rsid w:val="00134DBE"/>
    <w:rsid w:val="00135D7B"/>
    <w:rsid w:val="00136333"/>
    <w:rsid w:val="00141B59"/>
    <w:rsid w:val="00142D53"/>
    <w:rsid w:val="001464FC"/>
    <w:rsid w:val="00150F97"/>
    <w:rsid w:val="0015298E"/>
    <w:rsid w:val="00152AA2"/>
    <w:rsid w:val="00152D0B"/>
    <w:rsid w:val="00153325"/>
    <w:rsid w:val="00153749"/>
    <w:rsid w:val="00154439"/>
    <w:rsid w:val="00155D5C"/>
    <w:rsid w:val="001561E7"/>
    <w:rsid w:val="001625B1"/>
    <w:rsid w:val="00163150"/>
    <w:rsid w:val="0016539E"/>
    <w:rsid w:val="00166206"/>
    <w:rsid w:val="00170AF9"/>
    <w:rsid w:val="00170EC7"/>
    <w:rsid w:val="00172020"/>
    <w:rsid w:val="00176CCF"/>
    <w:rsid w:val="0018106B"/>
    <w:rsid w:val="00181326"/>
    <w:rsid w:val="00182035"/>
    <w:rsid w:val="001825C5"/>
    <w:rsid w:val="00185AA1"/>
    <w:rsid w:val="00186777"/>
    <w:rsid w:val="001876BE"/>
    <w:rsid w:val="00187BCD"/>
    <w:rsid w:val="00190FCC"/>
    <w:rsid w:val="00193EDC"/>
    <w:rsid w:val="0019606E"/>
    <w:rsid w:val="00196B0B"/>
    <w:rsid w:val="00197315"/>
    <w:rsid w:val="001A2749"/>
    <w:rsid w:val="001A4C5B"/>
    <w:rsid w:val="001A570C"/>
    <w:rsid w:val="001A5A78"/>
    <w:rsid w:val="001B0C0B"/>
    <w:rsid w:val="001B1208"/>
    <w:rsid w:val="001B53FF"/>
    <w:rsid w:val="001B58CC"/>
    <w:rsid w:val="001B6710"/>
    <w:rsid w:val="001C005F"/>
    <w:rsid w:val="001C0AAE"/>
    <w:rsid w:val="001C0DE3"/>
    <w:rsid w:val="001C26AC"/>
    <w:rsid w:val="001C280F"/>
    <w:rsid w:val="001C4DA3"/>
    <w:rsid w:val="001C64FB"/>
    <w:rsid w:val="001D0948"/>
    <w:rsid w:val="001D0C80"/>
    <w:rsid w:val="001D11B1"/>
    <w:rsid w:val="001D3B3B"/>
    <w:rsid w:val="001D4BED"/>
    <w:rsid w:val="001D579C"/>
    <w:rsid w:val="001D5D52"/>
    <w:rsid w:val="001D65D5"/>
    <w:rsid w:val="001E021B"/>
    <w:rsid w:val="001E1E8C"/>
    <w:rsid w:val="001E2663"/>
    <w:rsid w:val="001E2810"/>
    <w:rsid w:val="001E4259"/>
    <w:rsid w:val="001E58AD"/>
    <w:rsid w:val="001F402B"/>
    <w:rsid w:val="001F4945"/>
    <w:rsid w:val="001F6176"/>
    <w:rsid w:val="001F6E3C"/>
    <w:rsid w:val="002008CA"/>
    <w:rsid w:val="00201966"/>
    <w:rsid w:val="002030D0"/>
    <w:rsid w:val="00203E97"/>
    <w:rsid w:val="002049A5"/>
    <w:rsid w:val="00207168"/>
    <w:rsid w:val="0021183C"/>
    <w:rsid w:val="00214A76"/>
    <w:rsid w:val="002150FF"/>
    <w:rsid w:val="00215ED4"/>
    <w:rsid w:val="002213EE"/>
    <w:rsid w:val="00221631"/>
    <w:rsid w:val="0022182C"/>
    <w:rsid w:val="002234F0"/>
    <w:rsid w:val="00224D2B"/>
    <w:rsid w:val="00226760"/>
    <w:rsid w:val="0022714A"/>
    <w:rsid w:val="00227E7A"/>
    <w:rsid w:val="002300C9"/>
    <w:rsid w:val="0023150A"/>
    <w:rsid w:val="00234CA2"/>
    <w:rsid w:val="00235042"/>
    <w:rsid w:val="00237815"/>
    <w:rsid w:val="0024091F"/>
    <w:rsid w:val="00241836"/>
    <w:rsid w:val="0024401A"/>
    <w:rsid w:val="002441F6"/>
    <w:rsid w:val="002444F6"/>
    <w:rsid w:val="0024523A"/>
    <w:rsid w:val="00245325"/>
    <w:rsid w:val="0024613D"/>
    <w:rsid w:val="00247307"/>
    <w:rsid w:val="0025017B"/>
    <w:rsid w:val="00252829"/>
    <w:rsid w:val="00252FF1"/>
    <w:rsid w:val="0025319C"/>
    <w:rsid w:val="00254FB4"/>
    <w:rsid w:val="0025514E"/>
    <w:rsid w:val="002562D9"/>
    <w:rsid w:val="0025643F"/>
    <w:rsid w:val="00256513"/>
    <w:rsid w:val="00263B2D"/>
    <w:rsid w:val="0026787D"/>
    <w:rsid w:val="00270B37"/>
    <w:rsid w:val="00271CED"/>
    <w:rsid w:val="002728F0"/>
    <w:rsid w:val="00273B05"/>
    <w:rsid w:val="00274055"/>
    <w:rsid w:val="002741F9"/>
    <w:rsid w:val="00275647"/>
    <w:rsid w:val="00280A56"/>
    <w:rsid w:val="002825A9"/>
    <w:rsid w:val="002854F8"/>
    <w:rsid w:val="00286432"/>
    <w:rsid w:val="00293434"/>
    <w:rsid w:val="00296C80"/>
    <w:rsid w:val="00297083"/>
    <w:rsid w:val="002A13A7"/>
    <w:rsid w:val="002A1A78"/>
    <w:rsid w:val="002A1CA1"/>
    <w:rsid w:val="002A4E83"/>
    <w:rsid w:val="002A5E22"/>
    <w:rsid w:val="002A68F1"/>
    <w:rsid w:val="002A72A7"/>
    <w:rsid w:val="002A7CBF"/>
    <w:rsid w:val="002B0645"/>
    <w:rsid w:val="002B070C"/>
    <w:rsid w:val="002B3C51"/>
    <w:rsid w:val="002B4124"/>
    <w:rsid w:val="002C0066"/>
    <w:rsid w:val="002C13FF"/>
    <w:rsid w:val="002C2898"/>
    <w:rsid w:val="002C6419"/>
    <w:rsid w:val="002C68C5"/>
    <w:rsid w:val="002C7618"/>
    <w:rsid w:val="002C7F50"/>
    <w:rsid w:val="002D0D74"/>
    <w:rsid w:val="002D16A0"/>
    <w:rsid w:val="002D570D"/>
    <w:rsid w:val="002D5950"/>
    <w:rsid w:val="002E265F"/>
    <w:rsid w:val="002E4BEA"/>
    <w:rsid w:val="002E5343"/>
    <w:rsid w:val="002F493A"/>
    <w:rsid w:val="002F5FD3"/>
    <w:rsid w:val="002F61DE"/>
    <w:rsid w:val="002F655B"/>
    <w:rsid w:val="002F7A40"/>
    <w:rsid w:val="00300A37"/>
    <w:rsid w:val="00301519"/>
    <w:rsid w:val="003015AB"/>
    <w:rsid w:val="003040F4"/>
    <w:rsid w:val="00306155"/>
    <w:rsid w:val="00307949"/>
    <w:rsid w:val="003079E9"/>
    <w:rsid w:val="00310AA6"/>
    <w:rsid w:val="00314BF1"/>
    <w:rsid w:val="00316168"/>
    <w:rsid w:val="003220AD"/>
    <w:rsid w:val="0032274A"/>
    <w:rsid w:val="00322B7F"/>
    <w:rsid w:val="00322F67"/>
    <w:rsid w:val="003237C9"/>
    <w:rsid w:val="00323DEB"/>
    <w:rsid w:val="00326168"/>
    <w:rsid w:val="00326D44"/>
    <w:rsid w:val="00327C20"/>
    <w:rsid w:val="00331AFE"/>
    <w:rsid w:val="00332020"/>
    <w:rsid w:val="00332F00"/>
    <w:rsid w:val="00333459"/>
    <w:rsid w:val="00334F11"/>
    <w:rsid w:val="003408A2"/>
    <w:rsid w:val="003436E9"/>
    <w:rsid w:val="00347578"/>
    <w:rsid w:val="00350D86"/>
    <w:rsid w:val="00352BA9"/>
    <w:rsid w:val="00355418"/>
    <w:rsid w:val="00361E89"/>
    <w:rsid w:val="00362977"/>
    <w:rsid w:val="00364DC9"/>
    <w:rsid w:val="0036502A"/>
    <w:rsid w:val="00370049"/>
    <w:rsid w:val="0037242E"/>
    <w:rsid w:val="003768D2"/>
    <w:rsid w:val="00377243"/>
    <w:rsid w:val="00381FD6"/>
    <w:rsid w:val="0038215C"/>
    <w:rsid w:val="00382B3A"/>
    <w:rsid w:val="00385B59"/>
    <w:rsid w:val="00386FCF"/>
    <w:rsid w:val="003877AF"/>
    <w:rsid w:val="00387978"/>
    <w:rsid w:val="00390166"/>
    <w:rsid w:val="00390D04"/>
    <w:rsid w:val="003912C6"/>
    <w:rsid w:val="00391C14"/>
    <w:rsid w:val="003925A8"/>
    <w:rsid w:val="00392B04"/>
    <w:rsid w:val="00396548"/>
    <w:rsid w:val="0039694E"/>
    <w:rsid w:val="0039749B"/>
    <w:rsid w:val="003A029F"/>
    <w:rsid w:val="003A1AE8"/>
    <w:rsid w:val="003A4228"/>
    <w:rsid w:val="003A48BD"/>
    <w:rsid w:val="003A6278"/>
    <w:rsid w:val="003B512A"/>
    <w:rsid w:val="003B599A"/>
    <w:rsid w:val="003B5C86"/>
    <w:rsid w:val="003B7139"/>
    <w:rsid w:val="003B733A"/>
    <w:rsid w:val="003B748F"/>
    <w:rsid w:val="003C0A1D"/>
    <w:rsid w:val="003C1080"/>
    <w:rsid w:val="003C1576"/>
    <w:rsid w:val="003C15F4"/>
    <w:rsid w:val="003C1AC6"/>
    <w:rsid w:val="003C2362"/>
    <w:rsid w:val="003C6A46"/>
    <w:rsid w:val="003D0899"/>
    <w:rsid w:val="003D335A"/>
    <w:rsid w:val="003D50AF"/>
    <w:rsid w:val="003E1412"/>
    <w:rsid w:val="003E1649"/>
    <w:rsid w:val="003E7190"/>
    <w:rsid w:val="003F0986"/>
    <w:rsid w:val="003F2659"/>
    <w:rsid w:val="003F4341"/>
    <w:rsid w:val="003F49FD"/>
    <w:rsid w:val="003F4ADA"/>
    <w:rsid w:val="003F4C68"/>
    <w:rsid w:val="003F7E3D"/>
    <w:rsid w:val="004007A3"/>
    <w:rsid w:val="00401A04"/>
    <w:rsid w:val="00403271"/>
    <w:rsid w:val="00407872"/>
    <w:rsid w:val="00412085"/>
    <w:rsid w:val="00412A1A"/>
    <w:rsid w:val="00414B84"/>
    <w:rsid w:val="00414E5C"/>
    <w:rsid w:val="00415EA3"/>
    <w:rsid w:val="0041641E"/>
    <w:rsid w:val="00420BE0"/>
    <w:rsid w:val="004214C5"/>
    <w:rsid w:val="0042158C"/>
    <w:rsid w:val="004218AE"/>
    <w:rsid w:val="004246F1"/>
    <w:rsid w:val="00427C8B"/>
    <w:rsid w:val="004306FF"/>
    <w:rsid w:val="00431812"/>
    <w:rsid w:val="00433825"/>
    <w:rsid w:val="0043421C"/>
    <w:rsid w:val="00435799"/>
    <w:rsid w:val="00435C3E"/>
    <w:rsid w:val="00436739"/>
    <w:rsid w:val="00441424"/>
    <w:rsid w:val="00445EED"/>
    <w:rsid w:val="00446247"/>
    <w:rsid w:val="00446FDA"/>
    <w:rsid w:val="00447D03"/>
    <w:rsid w:val="004505F7"/>
    <w:rsid w:val="00450F68"/>
    <w:rsid w:val="00451014"/>
    <w:rsid w:val="004516E3"/>
    <w:rsid w:val="00454E37"/>
    <w:rsid w:val="004560C4"/>
    <w:rsid w:val="00456ACB"/>
    <w:rsid w:val="004603E4"/>
    <w:rsid w:val="004624F8"/>
    <w:rsid w:val="00463811"/>
    <w:rsid w:val="00463B3F"/>
    <w:rsid w:val="00466F2E"/>
    <w:rsid w:val="00470269"/>
    <w:rsid w:val="00473B42"/>
    <w:rsid w:val="004742CC"/>
    <w:rsid w:val="00475E76"/>
    <w:rsid w:val="0047727D"/>
    <w:rsid w:val="00477CFE"/>
    <w:rsid w:val="00477E4D"/>
    <w:rsid w:val="00480FAA"/>
    <w:rsid w:val="0048294B"/>
    <w:rsid w:val="0048512C"/>
    <w:rsid w:val="00485429"/>
    <w:rsid w:val="0048641C"/>
    <w:rsid w:val="00492BE4"/>
    <w:rsid w:val="0049311E"/>
    <w:rsid w:val="004940B1"/>
    <w:rsid w:val="00495B1F"/>
    <w:rsid w:val="00495EE1"/>
    <w:rsid w:val="004A07B7"/>
    <w:rsid w:val="004A52FA"/>
    <w:rsid w:val="004A5A1E"/>
    <w:rsid w:val="004A5E32"/>
    <w:rsid w:val="004A75AD"/>
    <w:rsid w:val="004B0C69"/>
    <w:rsid w:val="004B1725"/>
    <w:rsid w:val="004B177E"/>
    <w:rsid w:val="004B17EE"/>
    <w:rsid w:val="004B4E12"/>
    <w:rsid w:val="004B65B4"/>
    <w:rsid w:val="004B7EDA"/>
    <w:rsid w:val="004C1163"/>
    <w:rsid w:val="004C6A85"/>
    <w:rsid w:val="004C6F3D"/>
    <w:rsid w:val="004C71FF"/>
    <w:rsid w:val="004D0C94"/>
    <w:rsid w:val="004D6588"/>
    <w:rsid w:val="004D6A42"/>
    <w:rsid w:val="004D7A0D"/>
    <w:rsid w:val="004E032D"/>
    <w:rsid w:val="004E0627"/>
    <w:rsid w:val="004E1236"/>
    <w:rsid w:val="004E1301"/>
    <w:rsid w:val="004E1F6A"/>
    <w:rsid w:val="004E204E"/>
    <w:rsid w:val="004E65A7"/>
    <w:rsid w:val="004F5EAF"/>
    <w:rsid w:val="004F7866"/>
    <w:rsid w:val="00503217"/>
    <w:rsid w:val="00504696"/>
    <w:rsid w:val="00504766"/>
    <w:rsid w:val="00505DFB"/>
    <w:rsid w:val="005073AD"/>
    <w:rsid w:val="00507DCC"/>
    <w:rsid w:val="00512A58"/>
    <w:rsid w:val="00515835"/>
    <w:rsid w:val="00517AF2"/>
    <w:rsid w:val="00521A64"/>
    <w:rsid w:val="005226A0"/>
    <w:rsid w:val="005233AB"/>
    <w:rsid w:val="00523858"/>
    <w:rsid w:val="00524329"/>
    <w:rsid w:val="005244BA"/>
    <w:rsid w:val="00526B40"/>
    <w:rsid w:val="00527444"/>
    <w:rsid w:val="00527AE6"/>
    <w:rsid w:val="00530923"/>
    <w:rsid w:val="00531901"/>
    <w:rsid w:val="00531BD2"/>
    <w:rsid w:val="00532460"/>
    <w:rsid w:val="00532ECD"/>
    <w:rsid w:val="005356C3"/>
    <w:rsid w:val="005376BF"/>
    <w:rsid w:val="00540746"/>
    <w:rsid w:val="005408D6"/>
    <w:rsid w:val="0054358F"/>
    <w:rsid w:val="00546862"/>
    <w:rsid w:val="005510AF"/>
    <w:rsid w:val="00552C83"/>
    <w:rsid w:val="00553210"/>
    <w:rsid w:val="00556B49"/>
    <w:rsid w:val="005571D7"/>
    <w:rsid w:val="0055776E"/>
    <w:rsid w:val="00560DFB"/>
    <w:rsid w:val="00560E11"/>
    <w:rsid w:val="00563B06"/>
    <w:rsid w:val="00566074"/>
    <w:rsid w:val="0056664E"/>
    <w:rsid w:val="0057240B"/>
    <w:rsid w:val="0057332D"/>
    <w:rsid w:val="005746EB"/>
    <w:rsid w:val="0058017F"/>
    <w:rsid w:val="00581EC1"/>
    <w:rsid w:val="00583364"/>
    <w:rsid w:val="00583E45"/>
    <w:rsid w:val="00586EC9"/>
    <w:rsid w:val="00587745"/>
    <w:rsid w:val="00591551"/>
    <w:rsid w:val="00594869"/>
    <w:rsid w:val="00595566"/>
    <w:rsid w:val="00596468"/>
    <w:rsid w:val="00596745"/>
    <w:rsid w:val="005A0577"/>
    <w:rsid w:val="005A057B"/>
    <w:rsid w:val="005A05BA"/>
    <w:rsid w:val="005A12B2"/>
    <w:rsid w:val="005A1C4A"/>
    <w:rsid w:val="005A29C2"/>
    <w:rsid w:val="005A39D2"/>
    <w:rsid w:val="005A5645"/>
    <w:rsid w:val="005A67D8"/>
    <w:rsid w:val="005B02F1"/>
    <w:rsid w:val="005B08BA"/>
    <w:rsid w:val="005B107E"/>
    <w:rsid w:val="005B1B89"/>
    <w:rsid w:val="005B240C"/>
    <w:rsid w:val="005B46AF"/>
    <w:rsid w:val="005C1926"/>
    <w:rsid w:val="005D0B92"/>
    <w:rsid w:val="005D0D70"/>
    <w:rsid w:val="005D5F1C"/>
    <w:rsid w:val="005D6894"/>
    <w:rsid w:val="005D7B45"/>
    <w:rsid w:val="005E110E"/>
    <w:rsid w:val="005E30BE"/>
    <w:rsid w:val="005E6494"/>
    <w:rsid w:val="005F0738"/>
    <w:rsid w:val="005F125B"/>
    <w:rsid w:val="005F2B39"/>
    <w:rsid w:val="005F2CF0"/>
    <w:rsid w:val="005F447C"/>
    <w:rsid w:val="005F4A77"/>
    <w:rsid w:val="005F53D4"/>
    <w:rsid w:val="005F72F3"/>
    <w:rsid w:val="005F75DA"/>
    <w:rsid w:val="005F7CD3"/>
    <w:rsid w:val="00600067"/>
    <w:rsid w:val="00601B96"/>
    <w:rsid w:val="00603901"/>
    <w:rsid w:val="00604275"/>
    <w:rsid w:val="00605555"/>
    <w:rsid w:val="00607A69"/>
    <w:rsid w:val="006111F3"/>
    <w:rsid w:val="006114C7"/>
    <w:rsid w:val="00613688"/>
    <w:rsid w:val="00614BB1"/>
    <w:rsid w:val="006173A8"/>
    <w:rsid w:val="00617469"/>
    <w:rsid w:val="0061780D"/>
    <w:rsid w:val="006226D6"/>
    <w:rsid w:val="0062322C"/>
    <w:rsid w:val="00624A34"/>
    <w:rsid w:val="0062605D"/>
    <w:rsid w:val="006326CF"/>
    <w:rsid w:val="00633E9F"/>
    <w:rsid w:val="00634B83"/>
    <w:rsid w:val="0063500B"/>
    <w:rsid w:val="006351A6"/>
    <w:rsid w:val="00636F6A"/>
    <w:rsid w:val="00640E5D"/>
    <w:rsid w:val="0064109D"/>
    <w:rsid w:val="0064242D"/>
    <w:rsid w:val="0064387B"/>
    <w:rsid w:val="00643900"/>
    <w:rsid w:val="00644FA2"/>
    <w:rsid w:val="00646FB3"/>
    <w:rsid w:val="00647460"/>
    <w:rsid w:val="0065397D"/>
    <w:rsid w:val="00654204"/>
    <w:rsid w:val="006561E9"/>
    <w:rsid w:val="00657E29"/>
    <w:rsid w:val="00663351"/>
    <w:rsid w:val="006635C7"/>
    <w:rsid w:val="00664C79"/>
    <w:rsid w:val="006661E2"/>
    <w:rsid w:val="006664B9"/>
    <w:rsid w:val="00667C49"/>
    <w:rsid w:val="0067086C"/>
    <w:rsid w:val="006723C9"/>
    <w:rsid w:val="006733FE"/>
    <w:rsid w:val="00674B02"/>
    <w:rsid w:val="006754B4"/>
    <w:rsid w:val="00675D39"/>
    <w:rsid w:val="00680A69"/>
    <w:rsid w:val="00680D6C"/>
    <w:rsid w:val="00682A3C"/>
    <w:rsid w:val="00691B28"/>
    <w:rsid w:val="006927EC"/>
    <w:rsid w:val="00693484"/>
    <w:rsid w:val="00693900"/>
    <w:rsid w:val="00694217"/>
    <w:rsid w:val="00695793"/>
    <w:rsid w:val="006960B4"/>
    <w:rsid w:val="006976DB"/>
    <w:rsid w:val="00697D7C"/>
    <w:rsid w:val="006A0C86"/>
    <w:rsid w:val="006A26EB"/>
    <w:rsid w:val="006A388B"/>
    <w:rsid w:val="006A49A0"/>
    <w:rsid w:val="006B0935"/>
    <w:rsid w:val="006B0EDC"/>
    <w:rsid w:val="006B3E31"/>
    <w:rsid w:val="006B71F4"/>
    <w:rsid w:val="006C01DE"/>
    <w:rsid w:val="006C07AD"/>
    <w:rsid w:val="006C14C0"/>
    <w:rsid w:val="006C2359"/>
    <w:rsid w:val="006C307D"/>
    <w:rsid w:val="006C3222"/>
    <w:rsid w:val="006C4FAF"/>
    <w:rsid w:val="006C567B"/>
    <w:rsid w:val="006C5A47"/>
    <w:rsid w:val="006C62F6"/>
    <w:rsid w:val="006C7071"/>
    <w:rsid w:val="006C7E24"/>
    <w:rsid w:val="006D178F"/>
    <w:rsid w:val="006D1F91"/>
    <w:rsid w:val="006D2BDD"/>
    <w:rsid w:val="006D3D60"/>
    <w:rsid w:val="006D48F2"/>
    <w:rsid w:val="006D5787"/>
    <w:rsid w:val="006D71AC"/>
    <w:rsid w:val="006D7F69"/>
    <w:rsid w:val="006E4751"/>
    <w:rsid w:val="006E4D73"/>
    <w:rsid w:val="006E635B"/>
    <w:rsid w:val="006E6D06"/>
    <w:rsid w:val="006E766E"/>
    <w:rsid w:val="006F0417"/>
    <w:rsid w:val="006F0741"/>
    <w:rsid w:val="006F2361"/>
    <w:rsid w:val="006F4C70"/>
    <w:rsid w:val="006F56D5"/>
    <w:rsid w:val="006F5ABA"/>
    <w:rsid w:val="006F5FBE"/>
    <w:rsid w:val="006F642D"/>
    <w:rsid w:val="006F65DF"/>
    <w:rsid w:val="006F6DEA"/>
    <w:rsid w:val="006F7F21"/>
    <w:rsid w:val="00700C2F"/>
    <w:rsid w:val="00701558"/>
    <w:rsid w:val="007023ED"/>
    <w:rsid w:val="00705553"/>
    <w:rsid w:val="0071076A"/>
    <w:rsid w:val="0071222F"/>
    <w:rsid w:val="0071324A"/>
    <w:rsid w:val="0071349B"/>
    <w:rsid w:val="007136C2"/>
    <w:rsid w:val="00713AC9"/>
    <w:rsid w:val="0071523A"/>
    <w:rsid w:val="00720EC9"/>
    <w:rsid w:val="00720F39"/>
    <w:rsid w:val="00721238"/>
    <w:rsid w:val="00722EF7"/>
    <w:rsid w:val="0072417B"/>
    <w:rsid w:val="00724B52"/>
    <w:rsid w:val="00724DC4"/>
    <w:rsid w:val="00727657"/>
    <w:rsid w:val="00730B9D"/>
    <w:rsid w:val="0073378C"/>
    <w:rsid w:val="00734B17"/>
    <w:rsid w:val="00741872"/>
    <w:rsid w:val="007455C6"/>
    <w:rsid w:val="007459F4"/>
    <w:rsid w:val="00745C55"/>
    <w:rsid w:val="00745C63"/>
    <w:rsid w:val="00746AA4"/>
    <w:rsid w:val="00746C73"/>
    <w:rsid w:val="00747061"/>
    <w:rsid w:val="007568EC"/>
    <w:rsid w:val="00760E79"/>
    <w:rsid w:val="007611D3"/>
    <w:rsid w:val="0076145F"/>
    <w:rsid w:val="0076163B"/>
    <w:rsid w:val="0076484C"/>
    <w:rsid w:val="0076576F"/>
    <w:rsid w:val="00766079"/>
    <w:rsid w:val="00766F92"/>
    <w:rsid w:val="0076706F"/>
    <w:rsid w:val="00775472"/>
    <w:rsid w:val="007754BA"/>
    <w:rsid w:val="00775DF7"/>
    <w:rsid w:val="00777487"/>
    <w:rsid w:val="007805A6"/>
    <w:rsid w:val="007861DC"/>
    <w:rsid w:val="00791922"/>
    <w:rsid w:val="00794863"/>
    <w:rsid w:val="007948FC"/>
    <w:rsid w:val="00794A8C"/>
    <w:rsid w:val="0079689A"/>
    <w:rsid w:val="00797CD1"/>
    <w:rsid w:val="007A11FD"/>
    <w:rsid w:val="007A2714"/>
    <w:rsid w:val="007A2F3F"/>
    <w:rsid w:val="007A3406"/>
    <w:rsid w:val="007A4044"/>
    <w:rsid w:val="007A6B0E"/>
    <w:rsid w:val="007A7E00"/>
    <w:rsid w:val="007B137A"/>
    <w:rsid w:val="007B2BD8"/>
    <w:rsid w:val="007B2CCC"/>
    <w:rsid w:val="007B425D"/>
    <w:rsid w:val="007B5944"/>
    <w:rsid w:val="007B5DAD"/>
    <w:rsid w:val="007B5E93"/>
    <w:rsid w:val="007B7F83"/>
    <w:rsid w:val="007C1B3D"/>
    <w:rsid w:val="007C3543"/>
    <w:rsid w:val="007C4435"/>
    <w:rsid w:val="007C6BA7"/>
    <w:rsid w:val="007D2000"/>
    <w:rsid w:val="007D2198"/>
    <w:rsid w:val="007D5DA8"/>
    <w:rsid w:val="007D77BD"/>
    <w:rsid w:val="007E64E4"/>
    <w:rsid w:val="007E6BEE"/>
    <w:rsid w:val="007F0F81"/>
    <w:rsid w:val="007F21AB"/>
    <w:rsid w:val="007F68D4"/>
    <w:rsid w:val="007F6CDA"/>
    <w:rsid w:val="00801BE5"/>
    <w:rsid w:val="008046F8"/>
    <w:rsid w:val="00806CC5"/>
    <w:rsid w:val="00810832"/>
    <w:rsid w:val="008110F2"/>
    <w:rsid w:val="00814DA7"/>
    <w:rsid w:val="0081661A"/>
    <w:rsid w:val="00817D73"/>
    <w:rsid w:val="008228AE"/>
    <w:rsid w:val="00823B35"/>
    <w:rsid w:val="008274C7"/>
    <w:rsid w:val="00831A24"/>
    <w:rsid w:val="00834527"/>
    <w:rsid w:val="00835931"/>
    <w:rsid w:val="00836B9A"/>
    <w:rsid w:val="0083727C"/>
    <w:rsid w:val="00837434"/>
    <w:rsid w:val="00840241"/>
    <w:rsid w:val="0084072A"/>
    <w:rsid w:val="00840F67"/>
    <w:rsid w:val="008411C7"/>
    <w:rsid w:val="008423D6"/>
    <w:rsid w:val="00844ED9"/>
    <w:rsid w:val="008459D4"/>
    <w:rsid w:val="00846DF8"/>
    <w:rsid w:val="00851668"/>
    <w:rsid w:val="00853A87"/>
    <w:rsid w:val="00857A30"/>
    <w:rsid w:val="0086217D"/>
    <w:rsid w:val="0086273E"/>
    <w:rsid w:val="008657E7"/>
    <w:rsid w:val="00866D3B"/>
    <w:rsid w:val="008678F1"/>
    <w:rsid w:val="00867A61"/>
    <w:rsid w:val="00871B2E"/>
    <w:rsid w:val="0087317C"/>
    <w:rsid w:val="0087442F"/>
    <w:rsid w:val="0087622A"/>
    <w:rsid w:val="00877469"/>
    <w:rsid w:val="008803EC"/>
    <w:rsid w:val="008832C1"/>
    <w:rsid w:val="00884A43"/>
    <w:rsid w:val="00885171"/>
    <w:rsid w:val="00892430"/>
    <w:rsid w:val="00892EE6"/>
    <w:rsid w:val="008948C2"/>
    <w:rsid w:val="008968BF"/>
    <w:rsid w:val="00897DC6"/>
    <w:rsid w:val="008A0D50"/>
    <w:rsid w:val="008A2D8F"/>
    <w:rsid w:val="008A6ECF"/>
    <w:rsid w:val="008B0896"/>
    <w:rsid w:val="008B5397"/>
    <w:rsid w:val="008B7962"/>
    <w:rsid w:val="008C31BC"/>
    <w:rsid w:val="008C4F56"/>
    <w:rsid w:val="008D0333"/>
    <w:rsid w:val="008D36CC"/>
    <w:rsid w:val="008D64F0"/>
    <w:rsid w:val="008D672C"/>
    <w:rsid w:val="008D6BE5"/>
    <w:rsid w:val="008E04A0"/>
    <w:rsid w:val="008E2620"/>
    <w:rsid w:val="008E38EF"/>
    <w:rsid w:val="008E3CDB"/>
    <w:rsid w:val="008E65BF"/>
    <w:rsid w:val="008E7061"/>
    <w:rsid w:val="008E7090"/>
    <w:rsid w:val="008F45E9"/>
    <w:rsid w:val="008F4746"/>
    <w:rsid w:val="008F7977"/>
    <w:rsid w:val="008F7C79"/>
    <w:rsid w:val="00901692"/>
    <w:rsid w:val="00903BD8"/>
    <w:rsid w:val="0090550E"/>
    <w:rsid w:val="00905523"/>
    <w:rsid w:val="0090594F"/>
    <w:rsid w:val="0090757C"/>
    <w:rsid w:val="009123BF"/>
    <w:rsid w:val="00920595"/>
    <w:rsid w:val="00921BB5"/>
    <w:rsid w:val="00922D61"/>
    <w:rsid w:val="00930752"/>
    <w:rsid w:val="00930A65"/>
    <w:rsid w:val="00934BFF"/>
    <w:rsid w:val="00936BE0"/>
    <w:rsid w:val="009374E0"/>
    <w:rsid w:val="009408E0"/>
    <w:rsid w:val="009409C1"/>
    <w:rsid w:val="00941418"/>
    <w:rsid w:val="0094531E"/>
    <w:rsid w:val="00945FD3"/>
    <w:rsid w:val="00946D00"/>
    <w:rsid w:val="00947E84"/>
    <w:rsid w:val="009519DE"/>
    <w:rsid w:val="00952B8D"/>
    <w:rsid w:val="009548D8"/>
    <w:rsid w:val="009557F0"/>
    <w:rsid w:val="009645FB"/>
    <w:rsid w:val="00964638"/>
    <w:rsid w:val="009648E1"/>
    <w:rsid w:val="00964BE0"/>
    <w:rsid w:val="0096520E"/>
    <w:rsid w:val="00966C09"/>
    <w:rsid w:val="009704B9"/>
    <w:rsid w:val="00972E4B"/>
    <w:rsid w:val="009768C5"/>
    <w:rsid w:val="0098084D"/>
    <w:rsid w:val="00981FB9"/>
    <w:rsid w:val="009825BF"/>
    <w:rsid w:val="00983892"/>
    <w:rsid w:val="00983B8A"/>
    <w:rsid w:val="00983BA7"/>
    <w:rsid w:val="0098520E"/>
    <w:rsid w:val="00987740"/>
    <w:rsid w:val="00987F3D"/>
    <w:rsid w:val="009921FF"/>
    <w:rsid w:val="0099306C"/>
    <w:rsid w:val="00993EDE"/>
    <w:rsid w:val="00995989"/>
    <w:rsid w:val="00995E83"/>
    <w:rsid w:val="00996285"/>
    <w:rsid w:val="00996612"/>
    <w:rsid w:val="00996FE8"/>
    <w:rsid w:val="009A33F1"/>
    <w:rsid w:val="009A41B3"/>
    <w:rsid w:val="009A4966"/>
    <w:rsid w:val="009A6675"/>
    <w:rsid w:val="009B1109"/>
    <w:rsid w:val="009B2591"/>
    <w:rsid w:val="009B2AF3"/>
    <w:rsid w:val="009B3182"/>
    <w:rsid w:val="009B46C6"/>
    <w:rsid w:val="009C2666"/>
    <w:rsid w:val="009C3AED"/>
    <w:rsid w:val="009C66E7"/>
    <w:rsid w:val="009C76B5"/>
    <w:rsid w:val="009D2C7A"/>
    <w:rsid w:val="009D3343"/>
    <w:rsid w:val="009D38C1"/>
    <w:rsid w:val="009D5A3B"/>
    <w:rsid w:val="009E0C97"/>
    <w:rsid w:val="009E5B5D"/>
    <w:rsid w:val="009E6246"/>
    <w:rsid w:val="009F0581"/>
    <w:rsid w:val="009F07CB"/>
    <w:rsid w:val="009F0DA9"/>
    <w:rsid w:val="009F24F4"/>
    <w:rsid w:val="009F7A18"/>
    <w:rsid w:val="00A00123"/>
    <w:rsid w:val="00A00C65"/>
    <w:rsid w:val="00A0115F"/>
    <w:rsid w:val="00A01DD7"/>
    <w:rsid w:val="00A024E3"/>
    <w:rsid w:val="00A027F8"/>
    <w:rsid w:val="00A05216"/>
    <w:rsid w:val="00A0706E"/>
    <w:rsid w:val="00A07725"/>
    <w:rsid w:val="00A14052"/>
    <w:rsid w:val="00A15801"/>
    <w:rsid w:val="00A20749"/>
    <w:rsid w:val="00A22111"/>
    <w:rsid w:val="00A22F04"/>
    <w:rsid w:val="00A23097"/>
    <w:rsid w:val="00A2381B"/>
    <w:rsid w:val="00A24348"/>
    <w:rsid w:val="00A25C58"/>
    <w:rsid w:val="00A26132"/>
    <w:rsid w:val="00A3013A"/>
    <w:rsid w:val="00A3242A"/>
    <w:rsid w:val="00A330AD"/>
    <w:rsid w:val="00A378BD"/>
    <w:rsid w:val="00A44AC8"/>
    <w:rsid w:val="00A44E5C"/>
    <w:rsid w:val="00A44FE9"/>
    <w:rsid w:val="00A45606"/>
    <w:rsid w:val="00A45AAE"/>
    <w:rsid w:val="00A461F9"/>
    <w:rsid w:val="00A46DDA"/>
    <w:rsid w:val="00A4782B"/>
    <w:rsid w:val="00A501B0"/>
    <w:rsid w:val="00A508A1"/>
    <w:rsid w:val="00A50D69"/>
    <w:rsid w:val="00A56C6A"/>
    <w:rsid w:val="00A57A42"/>
    <w:rsid w:val="00A60C49"/>
    <w:rsid w:val="00A63B38"/>
    <w:rsid w:val="00A64F2C"/>
    <w:rsid w:val="00A65600"/>
    <w:rsid w:val="00A664B6"/>
    <w:rsid w:val="00A70894"/>
    <w:rsid w:val="00A70DD8"/>
    <w:rsid w:val="00A721A3"/>
    <w:rsid w:val="00A721EB"/>
    <w:rsid w:val="00A73012"/>
    <w:rsid w:val="00A73482"/>
    <w:rsid w:val="00A73795"/>
    <w:rsid w:val="00A761BA"/>
    <w:rsid w:val="00A81728"/>
    <w:rsid w:val="00A82278"/>
    <w:rsid w:val="00A83963"/>
    <w:rsid w:val="00A858B5"/>
    <w:rsid w:val="00A87EB2"/>
    <w:rsid w:val="00A91F21"/>
    <w:rsid w:val="00A9240B"/>
    <w:rsid w:val="00A92E74"/>
    <w:rsid w:val="00A930A7"/>
    <w:rsid w:val="00A93715"/>
    <w:rsid w:val="00A94955"/>
    <w:rsid w:val="00A94975"/>
    <w:rsid w:val="00A94DAE"/>
    <w:rsid w:val="00A9533D"/>
    <w:rsid w:val="00AA1C79"/>
    <w:rsid w:val="00AA3A92"/>
    <w:rsid w:val="00AA580B"/>
    <w:rsid w:val="00AA6365"/>
    <w:rsid w:val="00AA6412"/>
    <w:rsid w:val="00AB29E0"/>
    <w:rsid w:val="00AB3D8F"/>
    <w:rsid w:val="00AB45DB"/>
    <w:rsid w:val="00AB5A86"/>
    <w:rsid w:val="00AC1333"/>
    <w:rsid w:val="00AC35F5"/>
    <w:rsid w:val="00AC36F2"/>
    <w:rsid w:val="00AC742E"/>
    <w:rsid w:val="00AD1999"/>
    <w:rsid w:val="00AD2694"/>
    <w:rsid w:val="00AD3972"/>
    <w:rsid w:val="00AD46BB"/>
    <w:rsid w:val="00AE0A12"/>
    <w:rsid w:val="00AE13A6"/>
    <w:rsid w:val="00AE2CA2"/>
    <w:rsid w:val="00AE5BEF"/>
    <w:rsid w:val="00AE5C61"/>
    <w:rsid w:val="00AE5FB3"/>
    <w:rsid w:val="00AF01F8"/>
    <w:rsid w:val="00AF3CE3"/>
    <w:rsid w:val="00AF7471"/>
    <w:rsid w:val="00B004D4"/>
    <w:rsid w:val="00B06A01"/>
    <w:rsid w:val="00B070E6"/>
    <w:rsid w:val="00B155B3"/>
    <w:rsid w:val="00B155ED"/>
    <w:rsid w:val="00B1604A"/>
    <w:rsid w:val="00B204E0"/>
    <w:rsid w:val="00B20C1B"/>
    <w:rsid w:val="00B20D0D"/>
    <w:rsid w:val="00B20D84"/>
    <w:rsid w:val="00B21EB2"/>
    <w:rsid w:val="00B34BC8"/>
    <w:rsid w:val="00B3666A"/>
    <w:rsid w:val="00B378ED"/>
    <w:rsid w:val="00B41A0A"/>
    <w:rsid w:val="00B41D91"/>
    <w:rsid w:val="00B432FE"/>
    <w:rsid w:val="00B46553"/>
    <w:rsid w:val="00B5020E"/>
    <w:rsid w:val="00B53E95"/>
    <w:rsid w:val="00B60421"/>
    <w:rsid w:val="00B616BD"/>
    <w:rsid w:val="00B65521"/>
    <w:rsid w:val="00B65B1C"/>
    <w:rsid w:val="00B66E01"/>
    <w:rsid w:val="00B67993"/>
    <w:rsid w:val="00B71343"/>
    <w:rsid w:val="00B7152F"/>
    <w:rsid w:val="00B73B51"/>
    <w:rsid w:val="00B74988"/>
    <w:rsid w:val="00B74AEA"/>
    <w:rsid w:val="00B75BCA"/>
    <w:rsid w:val="00B75D48"/>
    <w:rsid w:val="00B77261"/>
    <w:rsid w:val="00B82429"/>
    <w:rsid w:val="00B82B35"/>
    <w:rsid w:val="00B83AF1"/>
    <w:rsid w:val="00B87AAC"/>
    <w:rsid w:val="00B87D4E"/>
    <w:rsid w:val="00B91885"/>
    <w:rsid w:val="00B93520"/>
    <w:rsid w:val="00B95953"/>
    <w:rsid w:val="00B95B48"/>
    <w:rsid w:val="00B97D3E"/>
    <w:rsid w:val="00BA1EB9"/>
    <w:rsid w:val="00BA27C4"/>
    <w:rsid w:val="00BA3D05"/>
    <w:rsid w:val="00BA4A52"/>
    <w:rsid w:val="00BA5A75"/>
    <w:rsid w:val="00BB10B7"/>
    <w:rsid w:val="00BB353F"/>
    <w:rsid w:val="00BB510E"/>
    <w:rsid w:val="00BB668D"/>
    <w:rsid w:val="00BB6EF6"/>
    <w:rsid w:val="00BC3253"/>
    <w:rsid w:val="00BC35AF"/>
    <w:rsid w:val="00BC42E7"/>
    <w:rsid w:val="00BC5578"/>
    <w:rsid w:val="00BC6648"/>
    <w:rsid w:val="00BC6A3A"/>
    <w:rsid w:val="00BC7272"/>
    <w:rsid w:val="00BD109A"/>
    <w:rsid w:val="00BD15A2"/>
    <w:rsid w:val="00BD18F9"/>
    <w:rsid w:val="00BD3A20"/>
    <w:rsid w:val="00BD4215"/>
    <w:rsid w:val="00BD4F5B"/>
    <w:rsid w:val="00BD5163"/>
    <w:rsid w:val="00BE060D"/>
    <w:rsid w:val="00BE0B94"/>
    <w:rsid w:val="00BE0F2F"/>
    <w:rsid w:val="00BE0FC8"/>
    <w:rsid w:val="00BE3641"/>
    <w:rsid w:val="00BE386D"/>
    <w:rsid w:val="00BE3EBB"/>
    <w:rsid w:val="00BE667E"/>
    <w:rsid w:val="00BE6BA3"/>
    <w:rsid w:val="00BF02BD"/>
    <w:rsid w:val="00BF0B1F"/>
    <w:rsid w:val="00BF3994"/>
    <w:rsid w:val="00BF3FB8"/>
    <w:rsid w:val="00BF7DCA"/>
    <w:rsid w:val="00C01C59"/>
    <w:rsid w:val="00C020B0"/>
    <w:rsid w:val="00C0328C"/>
    <w:rsid w:val="00C04E08"/>
    <w:rsid w:val="00C057CA"/>
    <w:rsid w:val="00C059BB"/>
    <w:rsid w:val="00C1327B"/>
    <w:rsid w:val="00C15C6C"/>
    <w:rsid w:val="00C17109"/>
    <w:rsid w:val="00C17217"/>
    <w:rsid w:val="00C21775"/>
    <w:rsid w:val="00C21DF9"/>
    <w:rsid w:val="00C22445"/>
    <w:rsid w:val="00C229BF"/>
    <w:rsid w:val="00C22F56"/>
    <w:rsid w:val="00C25DF9"/>
    <w:rsid w:val="00C27275"/>
    <w:rsid w:val="00C30606"/>
    <w:rsid w:val="00C30D0C"/>
    <w:rsid w:val="00C337BF"/>
    <w:rsid w:val="00C3397A"/>
    <w:rsid w:val="00C33B77"/>
    <w:rsid w:val="00C3458E"/>
    <w:rsid w:val="00C34727"/>
    <w:rsid w:val="00C348F7"/>
    <w:rsid w:val="00C353CC"/>
    <w:rsid w:val="00C35A26"/>
    <w:rsid w:val="00C35A35"/>
    <w:rsid w:val="00C40F0A"/>
    <w:rsid w:val="00C41BA3"/>
    <w:rsid w:val="00C50576"/>
    <w:rsid w:val="00C5060B"/>
    <w:rsid w:val="00C51E94"/>
    <w:rsid w:val="00C524E9"/>
    <w:rsid w:val="00C52BB1"/>
    <w:rsid w:val="00C53DF4"/>
    <w:rsid w:val="00C6092E"/>
    <w:rsid w:val="00C6762F"/>
    <w:rsid w:val="00C706B9"/>
    <w:rsid w:val="00C721C7"/>
    <w:rsid w:val="00C72EDE"/>
    <w:rsid w:val="00C73B30"/>
    <w:rsid w:val="00C7489A"/>
    <w:rsid w:val="00C75806"/>
    <w:rsid w:val="00C75A4D"/>
    <w:rsid w:val="00C76D8B"/>
    <w:rsid w:val="00C815BB"/>
    <w:rsid w:val="00C8229A"/>
    <w:rsid w:val="00C8263A"/>
    <w:rsid w:val="00C840C9"/>
    <w:rsid w:val="00C85305"/>
    <w:rsid w:val="00C87601"/>
    <w:rsid w:val="00C8766D"/>
    <w:rsid w:val="00C9270C"/>
    <w:rsid w:val="00C95AAC"/>
    <w:rsid w:val="00C96CA0"/>
    <w:rsid w:val="00CA4E8D"/>
    <w:rsid w:val="00CA7D0E"/>
    <w:rsid w:val="00CB1973"/>
    <w:rsid w:val="00CB1E0E"/>
    <w:rsid w:val="00CB2346"/>
    <w:rsid w:val="00CB3252"/>
    <w:rsid w:val="00CB3FF7"/>
    <w:rsid w:val="00CB614D"/>
    <w:rsid w:val="00CB6B4C"/>
    <w:rsid w:val="00CB6C45"/>
    <w:rsid w:val="00CC1DE8"/>
    <w:rsid w:val="00CC2285"/>
    <w:rsid w:val="00CC414A"/>
    <w:rsid w:val="00CC46DD"/>
    <w:rsid w:val="00CC48F7"/>
    <w:rsid w:val="00CC58F7"/>
    <w:rsid w:val="00CC6843"/>
    <w:rsid w:val="00CC69BB"/>
    <w:rsid w:val="00CD0A9E"/>
    <w:rsid w:val="00CD0C91"/>
    <w:rsid w:val="00CD146B"/>
    <w:rsid w:val="00CD6D79"/>
    <w:rsid w:val="00CE2887"/>
    <w:rsid w:val="00CE2D49"/>
    <w:rsid w:val="00CE5E9C"/>
    <w:rsid w:val="00CF048D"/>
    <w:rsid w:val="00CF07D5"/>
    <w:rsid w:val="00CF18F4"/>
    <w:rsid w:val="00CF1A8B"/>
    <w:rsid w:val="00CF1ACE"/>
    <w:rsid w:val="00CF2EB5"/>
    <w:rsid w:val="00CF3BD3"/>
    <w:rsid w:val="00CF61F4"/>
    <w:rsid w:val="00CF762B"/>
    <w:rsid w:val="00CF7805"/>
    <w:rsid w:val="00D0444F"/>
    <w:rsid w:val="00D05A44"/>
    <w:rsid w:val="00D11831"/>
    <w:rsid w:val="00D127C1"/>
    <w:rsid w:val="00D12FB1"/>
    <w:rsid w:val="00D13833"/>
    <w:rsid w:val="00D13F7A"/>
    <w:rsid w:val="00D152E6"/>
    <w:rsid w:val="00D17241"/>
    <w:rsid w:val="00D20BFC"/>
    <w:rsid w:val="00D22FD5"/>
    <w:rsid w:val="00D23897"/>
    <w:rsid w:val="00D23ECD"/>
    <w:rsid w:val="00D24283"/>
    <w:rsid w:val="00D262D8"/>
    <w:rsid w:val="00D268A4"/>
    <w:rsid w:val="00D27F42"/>
    <w:rsid w:val="00D27FB2"/>
    <w:rsid w:val="00D3075F"/>
    <w:rsid w:val="00D30920"/>
    <w:rsid w:val="00D3200B"/>
    <w:rsid w:val="00D32C4E"/>
    <w:rsid w:val="00D36B64"/>
    <w:rsid w:val="00D36DA0"/>
    <w:rsid w:val="00D37123"/>
    <w:rsid w:val="00D40134"/>
    <w:rsid w:val="00D40F4A"/>
    <w:rsid w:val="00D41428"/>
    <w:rsid w:val="00D457B3"/>
    <w:rsid w:val="00D46DB2"/>
    <w:rsid w:val="00D46F3A"/>
    <w:rsid w:val="00D522C1"/>
    <w:rsid w:val="00D52FF5"/>
    <w:rsid w:val="00D543D0"/>
    <w:rsid w:val="00D554F2"/>
    <w:rsid w:val="00D57932"/>
    <w:rsid w:val="00D640F5"/>
    <w:rsid w:val="00D6536B"/>
    <w:rsid w:val="00D65599"/>
    <w:rsid w:val="00D6749B"/>
    <w:rsid w:val="00D702F2"/>
    <w:rsid w:val="00D74AEB"/>
    <w:rsid w:val="00D74B9F"/>
    <w:rsid w:val="00D75CA6"/>
    <w:rsid w:val="00D7711C"/>
    <w:rsid w:val="00D80E5A"/>
    <w:rsid w:val="00D82634"/>
    <w:rsid w:val="00D8415C"/>
    <w:rsid w:val="00D86A70"/>
    <w:rsid w:val="00D900E6"/>
    <w:rsid w:val="00D91024"/>
    <w:rsid w:val="00D94F51"/>
    <w:rsid w:val="00D96BDC"/>
    <w:rsid w:val="00DA14B1"/>
    <w:rsid w:val="00DA3B07"/>
    <w:rsid w:val="00DA5E8A"/>
    <w:rsid w:val="00DA712D"/>
    <w:rsid w:val="00DA76E5"/>
    <w:rsid w:val="00DA79A1"/>
    <w:rsid w:val="00DB02A9"/>
    <w:rsid w:val="00DB1AE8"/>
    <w:rsid w:val="00DB3468"/>
    <w:rsid w:val="00DB3887"/>
    <w:rsid w:val="00DB51A6"/>
    <w:rsid w:val="00DB6838"/>
    <w:rsid w:val="00DC0648"/>
    <w:rsid w:val="00DC0C01"/>
    <w:rsid w:val="00DC2B2F"/>
    <w:rsid w:val="00DC4177"/>
    <w:rsid w:val="00DC466E"/>
    <w:rsid w:val="00DC5AB4"/>
    <w:rsid w:val="00DC5BAD"/>
    <w:rsid w:val="00DC5BFF"/>
    <w:rsid w:val="00DC5EA5"/>
    <w:rsid w:val="00DC74D2"/>
    <w:rsid w:val="00DD11E5"/>
    <w:rsid w:val="00DD6C61"/>
    <w:rsid w:val="00DD7A0E"/>
    <w:rsid w:val="00DE1179"/>
    <w:rsid w:val="00DE5572"/>
    <w:rsid w:val="00DE7262"/>
    <w:rsid w:val="00DF0B1B"/>
    <w:rsid w:val="00E00515"/>
    <w:rsid w:val="00E026D4"/>
    <w:rsid w:val="00E04479"/>
    <w:rsid w:val="00E16951"/>
    <w:rsid w:val="00E21C84"/>
    <w:rsid w:val="00E21EC7"/>
    <w:rsid w:val="00E22CA6"/>
    <w:rsid w:val="00E24ECD"/>
    <w:rsid w:val="00E25F79"/>
    <w:rsid w:val="00E309F3"/>
    <w:rsid w:val="00E311F7"/>
    <w:rsid w:val="00E3263B"/>
    <w:rsid w:val="00E344B7"/>
    <w:rsid w:val="00E370A5"/>
    <w:rsid w:val="00E40219"/>
    <w:rsid w:val="00E4289F"/>
    <w:rsid w:val="00E43A48"/>
    <w:rsid w:val="00E45CD4"/>
    <w:rsid w:val="00E46941"/>
    <w:rsid w:val="00E4756B"/>
    <w:rsid w:val="00E510E7"/>
    <w:rsid w:val="00E51367"/>
    <w:rsid w:val="00E513E6"/>
    <w:rsid w:val="00E51F84"/>
    <w:rsid w:val="00E55A5F"/>
    <w:rsid w:val="00E576B4"/>
    <w:rsid w:val="00E600F8"/>
    <w:rsid w:val="00E60943"/>
    <w:rsid w:val="00E609C7"/>
    <w:rsid w:val="00E63040"/>
    <w:rsid w:val="00E66817"/>
    <w:rsid w:val="00E676B3"/>
    <w:rsid w:val="00E704DD"/>
    <w:rsid w:val="00E709AB"/>
    <w:rsid w:val="00E753C4"/>
    <w:rsid w:val="00E754CD"/>
    <w:rsid w:val="00E776FD"/>
    <w:rsid w:val="00E81EFC"/>
    <w:rsid w:val="00E827A6"/>
    <w:rsid w:val="00E83FDF"/>
    <w:rsid w:val="00E90C2C"/>
    <w:rsid w:val="00E92659"/>
    <w:rsid w:val="00E92D8A"/>
    <w:rsid w:val="00EA0D77"/>
    <w:rsid w:val="00EA6B27"/>
    <w:rsid w:val="00EA6C5D"/>
    <w:rsid w:val="00EA74C0"/>
    <w:rsid w:val="00EA75A6"/>
    <w:rsid w:val="00EB1D87"/>
    <w:rsid w:val="00EB39F0"/>
    <w:rsid w:val="00EB4642"/>
    <w:rsid w:val="00EB46C7"/>
    <w:rsid w:val="00EB4E50"/>
    <w:rsid w:val="00EB5A2F"/>
    <w:rsid w:val="00EC02BC"/>
    <w:rsid w:val="00EC1953"/>
    <w:rsid w:val="00EC1D25"/>
    <w:rsid w:val="00EC28E7"/>
    <w:rsid w:val="00EC448F"/>
    <w:rsid w:val="00EC663D"/>
    <w:rsid w:val="00EC6C43"/>
    <w:rsid w:val="00EC7DA7"/>
    <w:rsid w:val="00ED1C35"/>
    <w:rsid w:val="00ED2155"/>
    <w:rsid w:val="00ED225E"/>
    <w:rsid w:val="00ED30FA"/>
    <w:rsid w:val="00ED4255"/>
    <w:rsid w:val="00ED472D"/>
    <w:rsid w:val="00ED7946"/>
    <w:rsid w:val="00ED7E6C"/>
    <w:rsid w:val="00EE12A5"/>
    <w:rsid w:val="00EE2235"/>
    <w:rsid w:val="00EE2D76"/>
    <w:rsid w:val="00EE350F"/>
    <w:rsid w:val="00EE3A93"/>
    <w:rsid w:val="00EF13E7"/>
    <w:rsid w:val="00EF1977"/>
    <w:rsid w:val="00EF3308"/>
    <w:rsid w:val="00EF638C"/>
    <w:rsid w:val="00EF6E1D"/>
    <w:rsid w:val="00F00828"/>
    <w:rsid w:val="00F009FD"/>
    <w:rsid w:val="00F020CD"/>
    <w:rsid w:val="00F05015"/>
    <w:rsid w:val="00F05CA2"/>
    <w:rsid w:val="00F07A37"/>
    <w:rsid w:val="00F104FA"/>
    <w:rsid w:val="00F111A0"/>
    <w:rsid w:val="00F15370"/>
    <w:rsid w:val="00F15A96"/>
    <w:rsid w:val="00F21EE5"/>
    <w:rsid w:val="00F21F79"/>
    <w:rsid w:val="00F22221"/>
    <w:rsid w:val="00F24C7F"/>
    <w:rsid w:val="00F260AA"/>
    <w:rsid w:val="00F2796F"/>
    <w:rsid w:val="00F31230"/>
    <w:rsid w:val="00F3180C"/>
    <w:rsid w:val="00F32A44"/>
    <w:rsid w:val="00F356F5"/>
    <w:rsid w:val="00F36FB5"/>
    <w:rsid w:val="00F40A25"/>
    <w:rsid w:val="00F414EA"/>
    <w:rsid w:val="00F417F6"/>
    <w:rsid w:val="00F42B1A"/>
    <w:rsid w:val="00F446BA"/>
    <w:rsid w:val="00F45174"/>
    <w:rsid w:val="00F475D8"/>
    <w:rsid w:val="00F51BF8"/>
    <w:rsid w:val="00F532DE"/>
    <w:rsid w:val="00F53F28"/>
    <w:rsid w:val="00F53FC6"/>
    <w:rsid w:val="00F5741A"/>
    <w:rsid w:val="00F57940"/>
    <w:rsid w:val="00F60C7C"/>
    <w:rsid w:val="00F60DD8"/>
    <w:rsid w:val="00F65EE3"/>
    <w:rsid w:val="00F6728F"/>
    <w:rsid w:val="00F70E2D"/>
    <w:rsid w:val="00F721DB"/>
    <w:rsid w:val="00F7391A"/>
    <w:rsid w:val="00F75D56"/>
    <w:rsid w:val="00F81851"/>
    <w:rsid w:val="00F82895"/>
    <w:rsid w:val="00F8351A"/>
    <w:rsid w:val="00F844B1"/>
    <w:rsid w:val="00F844FE"/>
    <w:rsid w:val="00F851A1"/>
    <w:rsid w:val="00F85275"/>
    <w:rsid w:val="00F85498"/>
    <w:rsid w:val="00F855A1"/>
    <w:rsid w:val="00F8578C"/>
    <w:rsid w:val="00F873B7"/>
    <w:rsid w:val="00F87CE3"/>
    <w:rsid w:val="00F90311"/>
    <w:rsid w:val="00F9038A"/>
    <w:rsid w:val="00F907B4"/>
    <w:rsid w:val="00F93840"/>
    <w:rsid w:val="00F9435D"/>
    <w:rsid w:val="00F949B6"/>
    <w:rsid w:val="00F97A15"/>
    <w:rsid w:val="00FA016D"/>
    <w:rsid w:val="00FA033E"/>
    <w:rsid w:val="00FA12DA"/>
    <w:rsid w:val="00FA14C2"/>
    <w:rsid w:val="00FA1B1F"/>
    <w:rsid w:val="00FA216D"/>
    <w:rsid w:val="00FA3500"/>
    <w:rsid w:val="00FA3889"/>
    <w:rsid w:val="00FA3DAC"/>
    <w:rsid w:val="00FA42E8"/>
    <w:rsid w:val="00FA4B25"/>
    <w:rsid w:val="00FA64D1"/>
    <w:rsid w:val="00FA7113"/>
    <w:rsid w:val="00FA7682"/>
    <w:rsid w:val="00FA7B98"/>
    <w:rsid w:val="00FB4340"/>
    <w:rsid w:val="00FB76AB"/>
    <w:rsid w:val="00FB7A88"/>
    <w:rsid w:val="00FC0AA1"/>
    <w:rsid w:val="00FC0ECF"/>
    <w:rsid w:val="00FC3A45"/>
    <w:rsid w:val="00FC3B6F"/>
    <w:rsid w:val="00FC43B9"/>
    <w:rsid w:val="00FC5E03"/>
    <w:rsid w:val="00FC6DF7"/>
    <w:rsid w:val="00FD1E47"/>
    <w:rsid w:val="00FD4B31"/>
    <w:rsid w:val="00FD5B02"/>
    <w:rsid w:val="00FD75CA"/>
    <w:rsid w:val="00FE2983"/>
    <w:rsid w:val="00FE4D41"/>
    <w:rsid w:val="00FE56B5"/>
    <w:rsid w:val="00FF0182"/>
    <w:rsid w:val="00FF5486"/>
    <w:rsid w:val="00FF73B0"/>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6E5B79"/>
  <w15:chartTrackingRefBased/>
  <w15:docId w15:val="{4FEE0DDB-70B4-4217-832D-E76840F8E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306F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98520E"/>
    <w:rPr>
      <w:color w:val="0000FF"/>
      <w:u w:val="single"/>
    </w:rPr>
  </w:style>
  <w:style w:type="character" w:customStyle="1" w:styleId="super">
    <w:name w:val="super"/>
    <w:basedOn w:val="Domylnaczcionkaakapitu"/>
    <w:rsid w:val="0098520E"/>
  </w:style>
  <w:style w:type="paragraph" w:customStyle="1" w:styleId="ROZDZODDZOZNoznaczenierozdziauluboddziau">
    <w:name w:val="ROZDZ(ODDZ)_OZN – oznaczenie rozdziału lub oddziału"/>
    <w:next w:val="Normalny"/>
    <w:uiPriority w:val="10"/>
    <w:qFormat/>
    <w:rsid w:val="008948C2"/>
    <w:pPr>
      <w:keepNext/>
      <w:suppressAutoHyphens/>
      <w:spacing w:before="120" w:after="0" w:line="360" w:lineRule="auto"/>
      <w:jc w:val="center"/>
    </w:pPr>
    <w:rPr>
      <w:rFonts w:ascii="Times" w:eastAsiaTheme="minorEastAsia" w:hAnsi="Times" w:cs="Arial"/>
      <w:bCs/>
      <w:kern w:val="24"/>
      <w:sz w:val="24"/>
      <w:szCs w:val="24"/>
      <w:lang w:eastAsia="pl-PL"/>
      <w14:ligatures w14:val="none"/>
    </w:rPr>
  </w:style>
  <w:style w:type="character" w:customStyle="1" w:styleId="Ppogrubienie">
    <w:name w:val="_P_ – pogrubienie"/>
    <w:basedOn w:val="Domylnaczcionkaakapitu"/>
    <w:uiPriority w:val="1"/>
    <w:qFormat/>
    <w:rsid w:val="008948C2"/>
    <w:rPr>
      <w:b/>
    </w:rPr>
  </w:style>
  <w:style w:type="character" w:styleId="Odwoaniedokomentarza">
    <w:name w:val="annotation reference"/>
    <w:basedOn w:val="Domylnaczcionkaakapitu"/>
    <w:uiPriority w:val="99"/>
    <w:semiHidden/>
    <w:unhideWhenUsed/>
    <w:rsid w:val="009648E1"/>
    <w:rPr>
      <w:sz w:val="16"/>
      <w:szCs w:val="16"/>
    </w:rPr>
  </w:style>
  <w:style w:type="paragraph" w:styleId="Tekstkomentarza">
    <w:name w:val="annotation text"/>
    <w:basedOn w:val="Normalny"/>
    <w:link w:val="TekstkomentarzaZnak"/>
    <w:uiPriority w:val="99"/>
    <w:unhideWhenUsed/>
    <w:rsid w:val="009648E1"/>
    <w:pPr>
      <w:spacing w:line="240" w:lineRule="auto"/>
    </w:pPr>
    <w:rPr>
      <w:sz w:val="20"/>
      <w:szCs w:val="20"/>
    </w:rPr>
  </w:style>
  <w:style w:type="character" w:customStyle="1" w:styleId="TekstkomentarzaZnak">
    <w:name w:val="Tekst komentarza Znak"/>
    <w:basedOn w:val="Domylnaczcionkaakapitu"/>
    <w:link w:val="Tekstkomentarza"/>
    <w:uiPriority w:val="99"/>
    <w:rsid w:val="009648E1"/>
    <w:rPr>
      <w:sz w:val="20"/>
      <w:szCs w:val="20"/>
    </w:rPr>
  </w:style>
  <w:style w:type="paragraph" w:styleId="Tematkomentarza">
    <w:name w:val="annotation subject"/>
    <w:basedOn w:val="Tekstkomentarza"/>
    <w:next w:val="Tekstkomentarza"/>
    <w:link w:val="TematkomentarzaZnak"/>
    <w:uiPriority w:val="99"/>
    <w:semiHidden/>
    <w:unhideWhenUsed/>
    <w:rsid w:val="009648E1"/>
    <w:rPr>
      <w:b/>
      <w:bCs/>
    </w:rPr>
  </w:style>
  <w:style w:type="character" w:customStyle="1" w:styleId="TematkomentarzaZnak">
    <w:name w:val="Temat komentarza Znak"/>
    <w:basedOn w:val="TekstkomentarzaZnak"/>
    <w:link w:val="Tematkomentarza"/>
    <w:uiPriority w:val="99"/>
    <w:semiHidden/>
    <w:rsid w:val="009648E1"/>
    <w:rPr>
      <w:b/>
      <w:bCs/>
      <w:sz w:val="20"/>
      <w:szCs w:val="20"/>
    </w:rPr>
  </w:style>
  <w:style w:type="paragraph" w:customStyle="1" w:styleId="LITlitera">
    <w:name w:val="LIT – litera"/>
    <w:basedOn w:val="PKTpunkt"/>
    <w:uiPriority w:val="14"/>
    <w:qFormat/>
    <w:rsid w:val="009C66E7"/>
    <w:pPr>
      <w:ind w:left="986" w:hanging="476"/>
    </w:pPr>
  </w:style>
  <w:style w:type="paragraph" w:customStyle="1" w:styleId="PKTpunkt">
    <w:name w:val="PKT – punkt"/>
    <w:uiPriority w:val="13"/>
    <w:qFormat/>
    <w:rsid w:val="009C66E7"/>
    <w:pPr>
      <w:spacing w:after="0" w:line="360" w:lineRule="auto"/>
      <w:ind w:left="510" w:hanging="510"/>
      <w:jc w:val="both"/>
    </w:pPr>
    <w:rPr>
      <w:rFonts w:ascii="Times" w:eastAsiaTheme="minorEastAsia" w:hAnsi="Times" w:cs="Arial"/>
      <w:bCs/>
      <w:kern w:val="0"/>
      <w:sz w:val="24"/>
      <w:szCs w:val="20"/>
      <w:lang w:eastAsia="pl-PL"/>
      <w14:ligatures w14:val="none"/>
    </w:rPr>
  </w:style>
  <w:style w:type="paragraph" w:customStyle="1" w:styleId="USTustnpkodeksu">
    <w:name w:val="UST(§) – ust. (§ np. kodeksu)"/>
    <w:basedOn w:val="Normalny"/>
    <w:uiPriority w:val="12"/>
    <w:qFormat/>
    <w:rsid w:val="00316168"/>
    <w:pPr>
      <w:suppressAutoHyphens/>
      <w:autoSpaceDE w:val="0"/>
      <w:autoSpaceDN w:val="0"/>
      <w:adjustRightInd w:val="0"/>
      <w:spacing w:after="0" w:line="360" w:lineRule="auto"/>
      <w:ind w:firstLine="510"/>
      <w:jc w:val="both"/>
    </w:pPr>
    <w:rPr>
      <w:rFonts w:ascii="Times" w:eastAsiaTheme="minorEastAsia" w:hAnsi="Times" w:cs="Arial"/>
      <w:bCs/>
      <w:kern w:val="0"/>
      <w:sz w:val="24"/>
      <w:szCs w:val="20"/>
      <w:lang w:eastAsia="pl-PL"/>
      <w14:ligatures w14:val="none"/>
    </w:rPr>
  </w:style>
  <w:style w:type="paragraph" w:styleId="Nagwek">
    <w:name w:val="header"/>
    <w:basedOn w:val="Normalny"/>
    <w:link w:val="NagwekZnak"/>
    <w:uiPriority w:val="99"/>
    <w:unhideWhenUsed/>
    <w:rsid w:val="00F851A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51A1"/>
  </w:style>
  <w:style w:type="paragraph" w:styleId="Stopka">
    <w:name w:val="footer"/>
    <w:basedOn w:val="Normalny"/>
    <w:link w:val="StopkaZnak"/>
    <w:uiPriority w:val="99"/>
    <w:unhideWhenUsed/>
    <w:rsid w:val="00F851A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51A1"/>
  </w:style>
  <w:style w:type="paragraph" w:customStyle="1" w:styleId="TYTDZPRZEDMprzedmiotregulacjitytuulubdziau">
    <w:name w:val="TYT(DZ)_PRZEDM – przedmiot regulacji tytułu lub działu"/>
    <w:next w:val="Normalny"/>
    <w:uiPriority w:val="9"/>
    <w:qFormat/>
    <w:rsid w:val="0094531E"/>
    <w:pPr>
      <w:keepNext/>
      <w:suppressAutoHyphens/>
      <w:spacing w:before="120" w:after="0" w:line="360" w:lineRule="auto"/>
      <w:jc w:val="center"/>
    </w:pPr>
    <w:rPr>
      <w:rFonts w:ascii="Times" w:eastAsia="Times New Roman" w:hAnsi="Times" w:cs="Times New Roman"/>
      <w:b/>
      <w:kern w:val="0"/>
      <w:sz w:val="24"/>
      <w:szCs w:val="26"/>
      <w:lang w:eastAsia="pl-PL"/>
      <w14:ligatures w14:val="none"/>
    </w:rPr>
  </w:style>
  <w:style w:type="paragraph" w:customStyle="1" w:styleId="ARTartustawynprozporzdzenia">
    <w:name w:val="ART(§) – art. ustawy (§ np. rozporządzenia)"/>
    <w:uiPriority w:val="11"/>
    <w:qFormat/>
    <w:rsid w:val="00F75D56"/>
    <w:pPr>
      <w:suppressAutoHyphens/>
      <w:autoSpaceDE w:val="0"/>
      <w:autoSpaceDN w:val="0"/>
      <w:adjustRightInd w:val="0"/>
      <w:spacing w:before="120" w:after="0" w:line="360" w:lineRule="auto"/>
      <w:ind w:firstLine="510"/>
      <w:jc w:val="both"/>
    </w:pPr>
    <w:rPr>
      <w:rFonts w:ascii="Times" w:eastAsiaTheme="minorEastAsia" w:hAnsi="Times" w:cs="Arial"/>
      <w:kern w:val="0"/>
      <w:sz w:val="24"/>
      <w:szCs w:val="20"/>
      <w:lang w:eastAsia="pl-PL"/>
      <w14:ligatures w14:val="none"/>
    </w:rPr>
  </w:style>
  <w:style w:type="paragraph" w:customStyle="1" w:styleId="ROZDZODDZPRZEDMprzedmiotregulacjirozdziauluboddziau">
    <w:name w:val="ROZDZ(ODDZ)_PRZEDM – przedmiot regulacji rozdziału lub oddziału"/>
    <w:next w:val="ARTartustawynprozporzdzenia"/>
    <w:uiPriority w:val="10"/>
    <w:qFormat/>
    <w:rsid w:val="00D127C1"/>
    <w:pPr>
      <w:keepNext/>
      <w:suppressAutoHyphens/>
      <w:spacing w:before="120" w:after="0" w:line="360" w:lineRule="auto"/>
      <w:jc w:val="center"/>
    </w:pPr>
    <w:rPr>
      <w:rFonts w:ascii="Times" w:eastAsiaTheme="minorEastAsia" w:hAnsi="Times" w:cs="Times New Roman"/>
      <w:b/>
      <w:bCs/>
      <w:kern w:val="0"/>
      <w:sz w:val="24"/>
      <w:szCs w:val="24"/>
      <w:lang w:eastAsia="pl-PL"/>
      <w14:ligatures w14:val="none"/>
    </w:rPr>
  </w:style>
  <w:style w:type="character" w:styleId="Odwoanieprzypisudolnego">
    <w:name w:val="footnote reference"/>
    <w:qFormat/>
    <w:rsid w:val="00930A65"/>
    <w:rPr>
      <w:rFonts w:cs="Times New Roman"/>
      <w:vertAlign w:val="superscript"/>
    </w:rPr>
  </w:style>
  <w:style w:type="character" w:styleId="Uwydatnienie">
    <w:name w:val="Emphasis"/>
    <w:uiPriority w:val="20"/>
    <w:qFormat/>
    <w:rsid w:val="007A6B0E"/>
    <w:rPr>
      <w:i/>
      <w:iCs/>
    </w:rPr>
  </w:style>
  <w:style w:type="paragraph" w:customStyle="1" w:styleId="ZPKTzmpktartykuempunktem">
    <w:name w:val="Z/PKT – zm. pkt artykułem (punktem)"/>
    <w:basedOn w:val="Normalny"/>
    <w:uiPriority w:val="31"/>
    <w:qFormat/>
    <w:rsid w:val="00892430"/>
    <w:pPr>
      <w:spacing w:after="0" w:line="360" w:lineRule="auto"/>
      <w:ind w:left="1020" w:hanging="510"/>
      <w:jc w:val="both"/>
    </w:pPr>
    <w:rPr>
      <w:rFonts w:ascii="Times" w:eastAsiaTheme="minorEastAsia" w:hAnsi="Times" w:cs="Arial"/>
      <w:bCs/>
      <w:kern w:val="0"/>
      <w:sz w:val="24"/>
      <w:szCs w:val="20"/>
      <w:lang w:eastAsia="pl-PL"/>
      <w14:ligatures w14:val="none"/>
    </w:rPr>
  </w:style>
  <w:style w:type="paragraph" w:customStyle="1" w:styleId="ZCZWSPPKTzmczciwsppktartykuempunktem">
    <w:name w:val="Z/CZ_WSP_PKT – zm. części wsp. pkt artykułem (punktem)"/>
    <w:basedOn w:val="Normalny"/>
    <w:next w:val="Normalny"/>
    <w:uiPriority w:val="34"/>
    <w:qFormat/>
    <w:rsid w:val="00892430"/>
    <w:pPr>
      <w:spacing w:after="0" w:line="360" w:lineRule="auto"/>
      <w:ind w:left="510"/>
      <w:jc w:val="both"/>
    </w:pPr>
    <w:rPr>
      <w:rFonts w:ascii="Times" w:eastAsiaTheme="minorEastAsia" w:hAnsi="Times" w:cs="Arial"/>
      <w:bCs/>
      <w:kern w:val="0"/>
      <w:sz w:val="24"/>
      <w:szCs w:val="20"/>
      <w:lang w:eastAsia="pl-PL"/>
      <w14:ligatures w14:val="none"/>
    </w:rPr>
  </w:style>
  <w:style w:type="paragraph" w:customStyle="1" w:styleId="ZUSTzmustartykuempunktem">
    <w:name w:val="Z/UST(§) – zm. ust. (§) artykułem (punktem)"/>
    <w:basedOn w:val="Normalny"/>
    <w:uiPriority w:val="30"/>
    <w:qFormat/>
    <w:rsid w:val="00892430"/>
    <w:pPr>
      <w:suppressAutoHyphens/>
      <w:autoSpaceDE w:val="0"/>
      <w:autoSpaceDN w:val="0"/>
      <w:adjustRightInd w:val="0"/>
      <w:spacing w:after="0" w:line="360" w:lineRule="auto"/>
      <w:ind w:left="510" w:firstLine="510"/>
      <w:jc w:val="both"/>
    </w:pPr>
    <w:rPr>
      <w:rFonts w:ascii="Times" w:eastAsiaTheme="minorEastAsia" w:hAnsi="Times" w:cs="Arial"/>
      <w:kern w:val="0"/>
      <w:sz w:val="24"/>
      <w:szCs w:val="20"/>
      <w:lang w:eastAsia="pl-PL"/>
      <w14:ligatures w14:val="none"/>
    </w:rPr>
  </w:style>
  <w:style w:type="paragraph" w:customStyle="1" w:styleId="ZARTzmartartykuempunktem">
    <w:name w:val="Z/ART(§) – zm. art. (§) artykułem (punktem)"/>
    <w:basedOn w:val="ARTartustawynprozporzdzenia"/>
    <w:uiPriority w:val="30"/>
    <w:qFormat/>
    <w:rsid w:val="005233AB"/>
    <w:pPr>
      <w:spacing w:before="0"/>
      <w:ind w:left="510"/>
    </w:pPr>
  </w:style>
  <w:style w:type="paragraph" w:customStyle="1" w:styleId="ZLITwPKTzmlitwpktartykuempunktem">
    <w:name w:val="Z/LIT_w_PKT – zm. lit. w pkt artykułem (punktem)"/>
    <w:basedOn w:val="LITlitera"/>
    <w:uiPriority w:val="32"/>
    <w:qFormat/>
    <w:rsid w:val="0023150A"/>
    <w:pPr>
      <w:ind w:left="1497"/>
    </w:pPr>
  </w:style>
  <w:style w:type="paragraph" w:customStyle="1" w:styleId="ZCZWSPLITwPKTzmczciwsplitwpktartykuempunktem">
    <w:name w:val="Z/CZ_WSP_LIT_w_PKT – zm. części wsp. lit. w pkt artykułem (punktem)"/>
    <w:basedOn w:val="Normalny"/>
    <w:next w:val="ZARTzmartartykuempunktem"/>
    <w:uiPriority w:val="35"/>
    <w:qFormat/>
    <w:rsid w:val="00E92D8A"/>
    <w:pPr>
      <w:spacing w:after="0" w:line="360" w:lineRule="auto"/>
      <w:ind w:left="1021"/>
      <w:jc w:val="both"/>
    </w:pPr>
    <w:rPr>
      <w:rFonts w:ascii="Times" w:eastAsiaTheme="minorEastAsia" w:hAnsi="Times" w:cs="Arial"/>
      <w:bCs/>
      <w:kern w:val="0"/>
      <w:sz w:val="24"/>
      <w:szCs w:val="24"/>
      <w:lang w:eastAsia="pl-PL"/>
      <w14:ligatures w14:val="none"/>
    </w:rPr>
  </w:style>
  <w:style w:type="paragraph" w:styleId="Tekstprzypisukocowego">
    <w:name w:val="endnote text"/>
    <w:basedOn w:val="Normalny"/>
    <w:link w:val="TekstprzypisukocowegoZnak"/>
    <w:uiPriority w:val="99"/>
    <w:semiHidden/>
    <w:unhideWhenUsed/>
    <w:rsid w:val="007455C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455C6"/>
    <w:rPr>
      <w:sz w:val="20"/>
      <w:szCs w:val="20"/>
    </w:rPr>
  </w:style>
  <w:style w:type="character" w:styleId="Odwoanieprzypisukocowego">
    <w:name w:val="endnote reference"/>
    <w:basedOn w:val="Domylnaczcionkaakapitu"/>
    <w:uiPriority w:val="99"/>
    <w:semiHidden/>
    <w:unhideWhenUsed/>
    <w:rsid w:val="007455C6"/>
    <w:rPr>
      <w:vertAlign w:val="superscript"/>
    </w:rPr>
  </w:style>
  <w:style w:type="paragraph" w:customStyle="1" w:styleId="ZTYTDZPRZEDMzmprzedmtytuulubdziauartykuempunktem">
    <w:name w:val="Z/TYT(DZ)_PRZEDM – zm. przedm. tytułu lub działu artykułem (punktem)"/>
    <w:next w:val="ZARTzmartartykuempunktem"/>
    <w:uiPriority w:val="28"/>
    <w:qFormat/>
    <w:rsid w:val="00A721EB"/>
    <w:pPr>
      <w:keepNext/>
      <w:suppressAutoHyphens/>
      <w:spacing w:after="0" w:line="360" w:lineRule="auto"/>
      <w:ind w:left="510"/>
      <w:jc w:val="center"/>
    </w:pPr>
    <w:rPr>
      <w:rFonts w:ascii="Times" w:eastAsia="Times New Roman" w:hAnsi="Times" w:cs="Times New Roman"/>
      <w:kern w:val="0"/>
      <w:sz w:val="24"/>
      <w:szCs w:val="26"/>
      <w:lang w:eastAsia="pl-PL"/>
      <w14:ligatures w14:val="none"/>
    </w:rPr>
  </w:style>
  <w:style w:type="paragraph" w:customStyle="1" w:styleId="ZCZWSPTIRwLITzmczciwsptirwlitartykuempunktem">
    <w:name w:val="Z/CZ_WSP_TIR_w_LIT – zm. części wsp. tir. w lit. artykułem (punktem)"/>
    <w:basedOn w:val="Normalny"/>
    <w:next w:val="Normalny"/>
    <w:uiPriority w:val="36"/>
    <w:qFormat/>
    <w:rsid w:val="00F907B4"/>
    <w:pPr>
      <w:spacing w:after="0" w:line="360" w:lineRule="auto"/>
      <w:ind w:left="987"/>
      <w:jc w:val="both"/>
    </w:pPr>
    <w:rPr>
      <w:rFonts w:ascii="Times" w:eastAsiaTheme="minorEastAsia" w:hAnsi="Times" w:cs="Arial"/>
      <w:bCs/>
      <w:kern w:val="0"/>
      <w:sz w:val="24"/>
      <w:szCs w:val="20"/>
      <w:lang w:eastAsia="pl-PL"/>
      <w14:ligatures w14:val="none"/>
    </w:rPr>
  </w:style>
  <w:style w:type="paragraph" w:customStyle="1" w:styleId="ZLITCZWSPPKTzmczciwsppktliter">
    <w:name w:val="Z_LIT/CZ_WSP_PKT – zm. części wsp. pkt literą"/>
    <w:basedOn w:val="Normalny"/>
    <w:next w:val="LITlitera"/>
    <w:uiPriority w:val="50"/>
    <w:qFormat/>
    <w:rsid w:val="00CD146B"/>
    <w:pPr>
      <w:spacing w:after="0" w:line="360" w:lineRule="auto"/>
      <w:ind w:left="987"/>
      <w:jc w:val="both"/>
    </w:pPr>
    <w:rPr>
      <w:rFonts w:ascii="Times" w:eastAsiaTheme="minorEastAsia" w:hAnsi="Times" w:cs="Arial"/>
      <w:bCs/>
      <w:kern w:val="0"/>
      <w:sz w:val="24"/>
      <w:szCs w:val="24"/>
      <w:lang w:eastAsia="pl-PL"/>
      <w14:ligatures w14:val="none"/>
    </w:rPr>
  </w:style>
  <w:style w:type="paragraph" w:styleId="Poprawka">
    <w:name w:val="Revision"/>
    <w:hidden/>
    <w:uiPriority w:val="99"/>
    <w:semiHidden/>
    <w:rsid w:val="00A0115F"/>
    <w:pPr>
      <w:spacing w:after="0" w:line="240" w:lineRule="auto"/>
    </w:pPr>
  </w:style>
  <w:style w:type="paragraph" w:styleId="Tekstdymka">
    <w:name w:val="Balloon Text"/>
    <w:basedOn w:val="Normalny"/>
    <w:link w:val="TekstdymkaZnak"/>
    <w:uiPriority w:val="99"/>
    <w:semiHidden/>
    <w:unhideWhenUsed/>
    <w:rsid w:val="007948F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948FC"/>
    <w:rPr>
      <w:rFonts w:ascii="Segoe UI" w:hAnsi="Segoe UI" w:cs="Segoe UI"/>
      <w:sz w:val="18"/>
      <w:szCs w:val="18"/>
    </w:rPr>
  </w:style>
  <w:style w:type="paragraph" w:customStyle="1" w:styleId="pf0">
    <w:name w:val="pf0"/>
    <w:basedOn w:val="Normalny"/>
    <w:rsid w:val="0030794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cf01">
    <w:name w:val="cf01"/>
    <w:basedOn w:val="Domylnaczcionkaakapitu"/>
    <w:rsid w:val="00307949"/>
    <w:rPr>
      <w:rFonts w:ascii="Segoe UI" w:hAnsi="Segoe UI" w:cs="Segoe UI" w:hint="default"/>
      <w:sz w:val="18"/>
      <w:szCs w:val="18"/>
    </w:rPr>
  </w:style>
  <w:style w:type="paragraph" w:customStyle="1" w:styleId="ODNONIKtreodnonika">
    <w:name w:val="ODNOŚNIK – treść odnośnika"/>
    <w:uiPriority w:val="19"/>
    <w:qFormat/>
    <w:rsid w:val="003C2362"/>
    <w:pPr>
      <w:spacing w:after="0" w:line="240" w:lineRule="auto"/>
      <w:ind w:left="284" w:hanging="284"/>
      <w:jc w:val="both"/>
    </w:pPr>
    <w:rPr>
      <w:rFonts w:ascii="Times New Roman" w:eastAsiaTheme="minorEastAsia" w:hAnsi="Times New Roman" w:cs="Arial"/>
      <w:kern w:val="0"/>
      <w:sz w:val="20"/>
      <w:szCs w:val="20"/>
      <w:lang w:eastAsia="pl-PL"/>
      <w14:ligatures w14:val="none"/>
    </w:rPr>
  </w:style>
  <w:style w:type="character" w:customStyle="1" w:styleId="IGindeksgrny">
    <w:name w:val="_IG_ – indeks górny"/>
    <w:basedOn w:val="Domylnaczcionkaakapitu"/>
    <w:uiPriority w:val="2"/>
    <w:qFormat/>
    <w:rsid w:val="003C2362"/>
    <w:rPr>
      <w:b w:val="0"/>
      <w:i w:val="0"/>
      <w:vanish w:val="0"/>
      <w:spacing w:val="0"/>
      <w:vertAlign w:val="superscript"/>
    </w:rPr>
  </w:style>
  <w:style w:type="paragraph" w:styleId="Akapitzlist">
    <w:name w:val="List Paragraph"/>
    <w:basedOn w:val="Normalny"/>
    <w:uiPriority w:val="34"/>
    <w:qFormat/>
    <w:rsid w:val="003C2362"/>
    <w:pPr>
      <w:ind w:left="720"/>
      <w:contextualSpacing/>
    </w:pPr>
  </w:style>
  <w:style w:type="table" w:styleId="Tabela-Siatka">
    <w:name w:val="Table Grid"/>
    <w:basedOn w:val="Standardowy"/>
    <w:uiPriority w:val="39"/>
    <w:rsid w:val="00EB46C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j-italic">
    <w:name w:val="oj-italic"/>
    <w:basedOn w:val="Domylnaczcionkaakapitu"/>
    <w:rsid w:val="00046AAE"/>
  </w:style>
  <w:style w:type="paragraph" w:customStyle="1" w:styleId="oj-normal">
    <w:name w:val="oj-normal"/>
    <w:basedOn w:val="Normalny"/>
    <w:rsid w:val="00046AAE"/>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oj-super">
    <w:name w:val="oj-super"/>
    <w:basedOn w:val="Domylnaczcionkaakapitu"/>
    <w:rsid w:val="00532ECD"/>
  </w:style>
  <w:style w:type="paragraph" w:styleId="Tekstprzypisudolnego">
    <w:name w:val="footnote text"/>
    <w:basedOn w:val="Normalny"/>
    <w:link w:val="TekstprzypisudolnegoZnak"/>
    <w:rsid w:val="00C6092E"/>
    <w:pPr>
      <w:suppressAutoHyphens/>
      <w:autoSpaceDN w:val="0"/>
      <w:spacing w:after="0" w:line="240" w:lineRule="auto"/>
      <w:textAlignment w:val="baseline"/>
    </w:pPr>
    <w:rPr>
      <w:rFonts w:ascii="Times New Roman" w:eastAsia="Times New Roman" w:hAnsi="Times New Roman" w:cs="Times New Roman"/>
      <w:kern w:val="0"/>
      <w:sz w:val="20"/>
      <w:szCs w:val="20"/>
      <w:lang w:eastAsia="pl-PL"/>
      <w14:ligatures w14:val="none"/>
    </w:rPr>
  </w:style>
  <w:style w:type="character" w:customStyle="1" w:styleId="TekstprzypisudolnegoZnak">
    <w:name w:val="Tekst przypisu dolnego Znak"/>
    <w:basedOn w:val="Domylnaczcionkaakapitu"/>
    <w:link w:val="Tekstprzypisudolnego"/>
    <w:rsid w:val="00C6092E"/>
    <w:rPr>
      <w:rFonts w:ascii="Times New Roman" w:eastAsia="Times New Roman" w:hAnsi="Times New Roman" w:cs="Times New Roman"/>
      <w:kern w:val="0"/>
      <w:sz w:val="20"/>
      <w:szCs w:val="20"/>
      <w:lang w:eastAsia="pl-PL"/>
      <w14:ligatures w14:val="none"/>
    </w:rPr>
  </w:style>
  <w:style w:type="paragraph" w:customStyle="1" w:styleId="ZTIRwLITzmtirwlitartykuempunktem">
    <w:name w:val="Z/TIR_w_LIT – zm. tir. w lit. artykułem (punktem)"/>
    <w:basedOn w:val="Normalny"/>
    <w:uiPriority w:val="33"/>
    <w:qFormat/>
    <w:rsid w:val="00495EE1"/>
    <w:pPr>
      <w:spacing w:after="0" w:line="360" w:lineRule="auto"/>
      <w:ind w:left="1384" w:hanging="397"/>
      <w:jc w:val="both"/>
    </w:pPr>
    <w:rPr>
      <w:rFonts w:ascii="Times" w:eastAsiaTheme="minorEastAsia" w:hAnsi="Times" w:cs="Arial"/>
      <w:bCs/>
      <w:kern w:val="0"/>
      <w:sz w:val="24"/>
      <w:szCs w:val="20"/>
      <w:lang w:eastAsia="pl-PL"/>
      <w14:ligatures w14:val="none"/>
    </w:rPr>
  </w:style>
  <w:style w:type="paragraph" w:customStyle="1" w:styleId="ZLITzmlitartykuempunktem">
    <w:name w:val="Z/LIT – zm. lit. artykułem (punktem)"/>
    <w:basedOn w:val="LITlitera"/>
    <w:uiPriority w:val="32"/>
    <w:qFormat/>
    <w:rsid w:val="00495EE1"/>
  </w:style>
  <w:style w:type="paragraph" w:customStyle="1" w:styleId="Default">
    <w:name w:val="Default"/>
    <w:rsid w:val="004D7A0D"/>
    <w:pPr>
      <w:autoSpaceDE w:val="0"/>
      <w:autoSpaceDN w:val="0"/>
      <w:adjustRightInd w:val="0"/>
      <w:spacing w:after="0" w:line="240" w:lineRule="auto"/>
    </w:pPr>
    <w:rPr>
      <w:rFonts w:ascii="Times New Roman" w:hAnsi="Times New Roman" w:cs="Times New Roman"/>
      <w:color w:val="000000"/>
      <w:kern w:val="0"/>
      <w:sz w:val="24"/>
      <w:szCs w:val="24"/>
    </w:rPr>
  </w:style>
  <w:style w:type="paragraph" w:customStyle="1" w:styleId="ZLITUSTzmustliter">
    <w:name w:val="Z_LIT/UST(§) – zm. ust. (§) literą"/>
    <w:basedOn w:val="USTustnpkodeksu"/>
    <w:uiPriority w:val="46"/>
    <w:qFormat/>
    <w:rsid w:val="00691B28"/>
    <w:pPr>
      <w:ind w:left="987"/>
    </w:pPr>
  </w:style>
  <w:style w:type="paragraph" w:customStyle="1" w:styleId="ZDANIENASTNOWYWIERSZnpzddrugienowywierszwust">
    <w:name w:val="ZDANIE_NAST_NOWY_WIERSZ – np. zd. drugie (nowy wiersz) w ust."/>
    <w:basedOn w:val="Normalny"/>
    <w:next w:val="Normalny"/>
    <w:uiPriority w:val="17"/>
    <w:qFormat/>
    <w:rsid w:val="00644FA2"/>
    <w:pPr>
      <w:spacing w:after="0" w:line="360" w:lineRule="auto"/>
      <w:jc w:val="both"/>
    </w:pPr>
    <w:rPr>
      <w:rFonts w:ascii="Times" w:eastAsia="Times New Roman" w:hAnsi="Times" w:cs="Arial"/>
      <w:bCs/>
      <w:kern w:val="0"/>
      <w:sz w:val="24"/>
      <w:szCs w:val="20"/>
      <w:lang w:eastAsia="pl-PL"/>
      <w14:ligatures w14:val="none"/>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C40F0A"/>
    <w:pPr>
      <w:spacing w:after="120"/>
      <w:ind w:left="510"/>
    </w:pPr>
    <w:rPr>
      <w:b w:val="0"/>
    </w:rPr>
  </w:style>
  <w:style w:type="paragraph" w:customStyle="1" w:styleId="CZKSIGAoznaczenieiprzedmiotczcilubksigi">
    <w:name w:val="CZĘŚĆ(KSIĘGA) – oznaczenie i przedmiot części lub księgi"/>
    <w:next w:val="ARTartustawynprozporzdzenia"/>
    <w:uiPriority w:val="8"/>
    <w:qFormat/>
    <w:rsid w:val="00C348F7"/>
    <w:pPr>
      <w:keepNext/>
      <w:suppressAutoHyphens/>
      <w:spacing w:before="120" w:after="0" w:line="360" w:lineRule="auto"/>
      <w:jc w:val="center"/>
    </w:pPr>
    <w:rPr>
      <w:rFonts w:ascii="Times" w:eastAsia="Times New Roman" w:hAnsi="Times" w:cs="Times New Roman"/>
      <w:b/>
      <w:bCs/>
      <w:caps/>
      <w:kern w:val="24"/>
      <w:sz w:val="24"/>
      <w:szCs w:val="24"/>
      <w:lang w:eastAsia="pl-PL"/>
      <w14:ligatures w14:val="none"/>
    </w:rPr>
  </w:style>
  <w:style w:type="paragraph" w:customStyle="1" w:styleId="ZTIRwPKTzmtirwpktartykuempunktem">
    <w:name w:val="Z/TIR_w_PKT – zm. tir. w pkt artykułem (punktem)"/>
    <w:basedOn w:val="Normalny"/>
    <w:uiPriority w:val="33"/>
    <w:qFormat/>
    <w:rsid w:val="00614BB1"/>
    <w:pPr>
      <w:spacing w:after="0" w:line="360" w:lineRule="auto"/>
      <w:ind w:left="1894" w:hanging="397"/>
      <w:jc w:val="both"/>
    </w:pPr>
    <w:rPr>
      <w:rFonts w:ascii="Times" w:eastAsiaTheme="minorEastAsia" w:hAnsi="Times" w:cs="Arial"/>
      <w:bCs/>
      <w:kern w:val="0"/>
      <w:sz w:val="24"/>
      <w:szCs w:val="20"/>
      <w:lang w:eastAsia="pl-PL"/>
      <w14:ligatures w14:val="none"/>
    </w:rPr>
  </w:style>
  <w:style w:type="paragraph" w:customStyle="1" w:styleId="OZNRODZAKTUtznustawalubrozporzdzenieiorganwydajcy">
    <w:name w:val="OZN_RODZ_AKTU – tzn. ustawa lub rozporządzenie i organ wydający"/>
    <w:next w:val="Normalny"/>
    <w:uiPriority w:val="5"/>
    <w:qFormat/>
    <w:rsid w:val="00B75BCA"/>
    <w:pPr>
      <w:keepNext/>
      <w:suppressAutoHyphens/>
      <w:spacing w:after="120" w:line="360" w:lineRule="auto"/>
      <w:jc w:val="center"/>
    </w:pPr>
    <w:rPr>
      <w:rFonts w:ascii="Times" w:eastAsia="Times New Roman" w:hAnsi="Times" w:cs="Times New Roman"/>
      <w:b/>
      <w:bCs/>
      <w:caps/>
      <w:spacing w:val="54"/>
      <w:kern w:val="24"/>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04866">
      <w:bodyDiv w:val="1"/>
      <w:marLeft w:val="0"/>
      <w:marRight w:val="0"/>
      <w:marTop w:val="0"/>
      <w:marBottom w:val="0"/>
      <w:divBdr>
        <w:top w:val="none" w:sz="0" w:space="0" w:color="auto"/>
        <w:left w:val="none" w:sz="0" w:space="0" w:color="auto"/>
        <w:bottom w:val="none" w:sz="0" w:space="0" w:color="auto"/>
        <w:right w:val="none" w:sz="0" w:space="0" w:color="auto"/>
      </w:divBdr>
    </w:div>
    <w:div w:id="260340675">
      <w:bodyDiv w:val="1"/>
      <w:marLeft w:val="0"/>
      <w:marRight w:val="0"/>
      <w:marTop w:val="0"/>
      <w:marBottom w:val="0"/>
      <w:divBdr>
        <w:top w:val="none" w:sz="0" w:space="0" w:color="auto"/>
        <w:left w:val="none" w:sz="0" w:space="0" w:color="auto"/>
        <w:bottom w:val="none" w:sz="0" w:space="0" w:color="auto"/>
        <w:right w:val="none" w:sz="0" w:space="0" w:color="auto"/>
      </w:divBdr>
    </w:div>
    <w:div w:id="520893421">
      <w:bodyDiv w:val="1"/>
      <w:marLeft w:val="0"/>
      <w:marRight w:val="0"/>
      <w:marTop w:val="0"/>
      <w:marBottom w:val="0"/>
      <w:divBdr>
        <w:top w:val="none" w:sz="0" w:space="0" w:color="auto"/>
        <w:left w:val="none" w:sz="0" w:space="0" w:color="auto"/>
        <w:bottom w:val="none" w:sz="0" w:space="0" w:color="auto"/>
        <w:right w:val="none" w:sz="0" w:space="0" w:color="auto"/>
      </w:divBdr>
    </w:div>
    <w:div w:id="545414883">
      <w:bodyDiv w:val="1"/>
      <w:marLeft w:val="0"/>
      <w:marRight w:val="0"/>
      <w:marTop w:val="0"/>
      <w:marBottom w:val="0"/>
      <w:divBdr>
        <w:top w:val="none" w:sz="0" w:space="0" w:color="auto"/>
        <w:left w:val="none" w:sz="0" w:space="0" w:color="auto"/>
        <w:bottom w:val="none" w:sz="0" w:space="0" w:color="auto"/>
        <w:right w:val="none" w:sz="0" w:space="0" w:color="auto"/>
      </w:divBdr>
    </w:div>
    <w:div w:id="645814145">
      <w:bodyDiv w:val="1"/>
      <w:marLeft w:val="0"/>
      <w:marRight w:val="0"/>
      <w:marTop w:val="0"/>
      <w:marBottom w:val="0"/>
      <w:divBdr>
        <w:top w:val="none" w:sz="0" w:space="0" w:color="auto"/>
        <w:left w:val="none" w:sz="0" w:space="0" w:color="auto"/>
        <w:bottom w:val="none" w:sz="0" w:space="0" w:color="auto"/>
        <w:right w:val="none" w:sz="0" w:space="0" w:color="auto"/>
      </w:divBdr>
    </w:div>
    <w:div w:id="895972159">
      <w:bodyDiv w:val="1"/>
      <w:marLeft w:val="0"/>
      <w:marRight w:val="0"/>
      <w:marTop w:val="0"/>
      <w:marBottom w:val="0"/>
      <w:divBdr>
        <w:top w:val="none" w:sz="0" w:space="0" w:color="auto"/>
        <w:left w:val="none" w:sz="0" w:space="0" w:color="auto"/>
        <w:bottom w:val="none" w:sz="0" w:space="0" w:color="auto"/>
        <w:right w:val="none" w:sz="0" w:space="0" w:color="auto"/>
      </w:divBdr>
    </w:div>
    <w:div w:id="948776620">
      <w:bodyDiv w:val="1"/>
      <w:marLeft w:val="0"/>
      <w:marRight w:val="0"/>
      <w:marTop w:val="0"/>
      <w:marBottom w:val="0"/>
      <w:divBdr>
        <w:top w:val="none" w:sz="0" w:space="0" w:color="auto"/>
        <w:left w:val="none" w:sz="0" w:space="0" w:color="auto"/>
        <w:bottom w:val="none" w:sz="0" w:space="0" w:color="auto"/>
        <w:right w:val="none" w:sz="0" w:space="0" w:color="auto"/>
      </w:divBdr>
    </w:div>
    <w:div w:id="971442418">
      <w:bodyDiv w:val="1"/>
      <w:marLeft w:val="0"/>
      <w:marRight w:val="0"/>
      <w:marTop w:val="0"/>
      <w:marBottom w:val="0"/>
      <w:divBdr>
        <w:top w:val="none" w:sz="0" w:space="0" w:color="auto"/>
        <w:left w:val="none" w:sz="0" w:space="0" w:color="auto"/>
        <w:bottom w:val="none" w:sz="0" w:space="0" w:color="auto"/>
        <w:right w:val="none" w:sz="0" w:space="0" w:color="auto"/>
      </w:divBdr>
    </w:div>
    <w:div w:id="1087459177">
      <w:bodyDiv w:val="1"/>
      <w:marLeft w:val="0"/>
      <w:marRight w:val="0"/>
      <w:marTop w:val="0"/>
      <w:marBottom w:val="0"/>
      <w:divBdr>
        <w:top w:val="none" w:sz="0" w:space="0" w:color="auto"/>
        <w:left w:val="none" w:sz="0" w:space="0" w:color="auto"/>
        <w:bottom w:val="none" w:sz="0" w:space="0" w:color="auto"/>
        <w:right w:val="none" w:sz="0" w:space="0" w:color="auto"/>
      </w:divBdr>
    </w:div>
    <w:div w:id="1226725439">
      <w:bodyDiv w:val="1"/>
      <w:marLeft w:val="0"/>
      <w:marRight w:val="0"/>
      <w:marTop w:val="0"/>
      <w:marBottom w:val="0"/>
      <w:divBdr>
        <w:top w:val="none" w:sz="0" w:space="0" w:color="auto"/>
        <w:left w:val="none" w:sz="0" w:space="0" w:color="auto"/>
        <w:bottom w:val="none" w:sz="0" w:space="0" w:color="auto"/>
        <w:right w:val="none" w:sz="0" w:space="0" w:color="auto"/>
      </w:divBdr>
    </w:div>
    <w:div w:id="1624194129">
      <w:bodyDiv w:val="1"/>
      <w:marLeft w:val="0"/>
      <w:marRight w:val="0"/>
      <w:marTop w:val="0"/>
      <w:marBottom w:val="0"/>
      <w:divBdr>
        <w:top w:val="none" w:sz="0" w:space="0" w:color="auto"/>
        <w:left w:val="none" w:sz="0" w:space="0" w:color="auto"/>
        <w:bottom w:val="none" w:sz="0" w:space="0" w:color="auto"/>
        <w:right w:val="none" w:sz="0" w:space="0" w:color="auto"/>
      </w:divBdr>
    </w:div>
    <w:div w:id="1666547130">
      <w:bodyDiv w:val="1"/>
      <w:marLeft w:val="0"/>
      <w:marRight w:val="0"/>
      <w:marTop w:val="0"/>
      <w:marBottom w:val="0"/>
      <w:divBdr>
        <w:top w:val="none" w:sz="0" w:space="0" w:color="auto"/>
        <w:left w:val="none" w:sz="0" w:space="0" w:color="auto"/>
        <w:bottom w:val="none" w:sz="0" w:space="0" w:color="auto"/>
        <w:right w:val="none" w:sz="0" w:space="0" w:color="auto"/>
      </w:divBdr>
    </w:div>
    <w:div w:id="1864973269">
      <w:bodyDiv w:val="1"/>
      <w:marLeft w:val="0"/>
      <w:marRight w:val="0"/>
      <w:marTop w:val="0"/>
      <w:marBottom w:val="0"/>
      <w:divBdr>
        <w:top w:val="none" w:sz="0" w:space="0" w:color="auto"/>
        <w:left w:val="none" w:sz="0" w:space="0" w:color="auto"/>
        <w:bottom w:val="none" w:sz="0" w:space="0" w:color="auto"/>
        <w:right w:val="none" w:sz="0" w:space="0" w:color="auto"/>
      </w:divBdr>
    </w:div>
    <w:div w:id="1939825385">
      <w:bodyDiv w:val="1"/>
      <w:marLeft w:val="0"/>
      <w:marRight w:val="0"/>
      <w:marTop w:val="0"/>
      <w:marBottom w:val="0"/>
      <w:divBdr>
        <w:top w:val="none" w:sz="0" w:space="0" w:color="auto"/>
        <w:left w:val="none" w:sz="0" w:space="0" w:color="auto"/>
        <w:bottom w:val="none" w:sz="0" w:space="0" w:color="auto"/>
        <w:right w:val="none" w:sz="0" w:space="0" w:color="auto"/>
      </w:divBdr>
    </w:div>
    <w:div w:id="1973711119">
      <w:bodyDiv w:val="1"/>
      <w:marLeft w:val="0"/>
      <w:marRight w:val="0"/>
      <w:marTop w:val="0"/>
      <w:marBottom w:val="0"/>
      <w:divBdr>
        <w:top w:val="none" w:sz="0" w:space="0" w:color="auto"/>
        <w:left w:val="none" w:sz="0" w:space="0" w:color="auto"/>
        <w:bottom w:val="none" w:sz="0" w:space="0" w:color="auto"/>
        <w:right w:val="none" w:sz="0" w:space="0" w:color="auto"/>
      </w:divBdr>
    </w:div>
    <w:div w:id="204008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369B4-9975-4F9F-8B16-2879CCBBC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23287</Words>
  <Characters>139728</Characters>
  <Application>Microsoft Office Word</Application>
  <DocSecurity>0</DocSecurity>
  <Lines>1164</Lines>
  <Paragraphs>325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Janicka Maja</dc:creator>
  <cp:keywords/>
  <dc:description/>
  <cp:lastModifiedBy>Gumowski Rafał</cp:lastModifiedBy>
  <cp:revision>4</cp:revision>
  <cp:lastPrinted>2025-05-08T15:36:00Z</cp:lastPrinted>
  <dcterms:created xsi:type="dcterms:W3CDTF">2025-05-09T06:56:00Z</dcterms:created>
  <dcterms:modified xsi:type="dcterms:W3CDTF">2025-05-09T06:58:00Z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CATEGORY">
    <vt:lpwstr>InformacjePrzeznaczoneWylacznieDoUzytkuWewnetrznego</vt:lpwstr>
  </property>
  <property fmtid="{D5CDD505-2E9C-101B-9397-08002B2CF9AE}" pid="3" name="MFClassifiedBy">
    <vt:lpwstr>UxC4dwLulzfINJ8nQH+xvX5LNGipWa4BRSZhPgxsCvnh2OUkHTjNE5eAunWBHH8nmiP97beJNNrMWr1d3i/xvw==</vt:lpwstr>
  </property>
  <property fmtid="{D5CDD505-2E9C-101B-9397-08002B2CF9AE}" pid="4" name="MFClassificationDate">
    <vt:lpwstr>2023-12-19T07:14:56.8596460+01:00</vt:lpwstr>
  </property>
  <property fmtid="{D5CDD505-2E9C-101B-9397-08002B2CF9AE}" pid="5" name="MFClassifiedBySID">
    <vt:lpwstr>UxC4dwLulzfINJ8nQH+xvX5LNGipWa4BRSZhPgxsCvm42mrIC/DSDv0ggS+FjUN/2v1BBotkLlY5aAiEhoi6uS4xBzLDsxWtd8z9Y0xlTLfnz/102EgJEgUQUdZQ4kqg</vt:lpwstr>
  </property>
  <property fmtid="{D5CDD505-2E9C-101B-9397-08002B2CF9AE}" pid="6" name="MFGRNItemId">
    <vt:lpwstr>GRN-447a5df1-67cf-425d-be34-b881f4b8f4ec</vt:lpwstr>
  </property>
  <property fmtid="{D5CDD505-2E9C-101B-9397-08002B2CF9AE}" pid="7" name="MFHash">
    <vt:lpwstr>HGYrkTpnPj5ccFEflqHuTfFDQxb3hi4qyxMBokdseH0=</vt:lpwstr>
  </property>
  <property fmtid="{D5CDD505-2E9C-101B-9397-08002B2CF9AE}" pid="8" name="MFVisualMarkingsSettings">
    <vt:lpwstr>HeaderAlignment=1;FooterAlignment=1</vt:lpwstr>
  </property>
  <property fmtid="{D5CDD505-2E9C-101B-9397-08002B2CF9AE}" pid="9" name="DLPManualFileClassification">
    <vt:lpwstr>{5fdfc941-3fcf-4a5b-87be-4848800d39d0}</vt:lpwstr>
  </property>
  <property fmtid="{D5CDD505-2E9C-101B-9397-08002B2CF9AE}" pid="10" name="MFRefresh">
    <vt:lpwstr>False</vt:lpwstr>
  </property>
</Properties>
</file>