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42D0" w14:textId="77777777" w:rsidR="008C4A2B" w:rsidRPr="008C4A2B" w:rsidRDefault="008C4A2B" w:rsidP="008C4A2B">
      <w:pPr>
        <w:pStyle w:val="TYTDZOZNoznaczenietytuulubdziau"/>
      </w:pPr>
      <w:bookmarkStart w:id="0" w:name="_GoBack"/>
      <w:bookmarkEnd w:id="0"/>
      <w:r w:rsidRPr="008C4A2B">
        <w:t>UZASADNIENIE</w:t>
      </w:r>
    </w:p>
    <w:p w14:paraId="00580A61" w14:textId="5546F981" w:rsidR="00701884" w:rsidRDefault="00701884" w:rsidP="00B162DE">
      <w:pPr>
        <w:pStyle w:val="ARTartustawynprozporzdzenia"/>
        <w:spacing w:before="240"/>
      </w:pPr>
      <w:r w:rsidRPr="00701884">
        <w:t>Celem projektu ustawy jest eliminacj</w:t>
      </w:r>
      <w:r w:rsidR="00CF12DC">
        <w:t>a</w:t>
      </w:r>
      <w:r w:rsidRPr="00701884">
        <w:t xml:space="preserve"> </w:t>
      </w:r>
      <w:proofErr w:type="spellStart"/>
      <w:r w:rsidRPr="00701884">
        <w:t>nadregulacji</w:t>
      </w:r>
      <w:proofErr w:type="spellEnd"/>
      <w:r w:rsidRPr="00701884">
        <w:t xml:space="preserve"> zidentyfikowanej w ramach projektu </w:t>
      </w:r>
      <w:proofErr w:type="spellStart"/>
      <w:r w:rsidRPr="00701884">
        <w:t>SprawdzamyMY</w:t>
      </w:r>
      <w:proofErr w:type="spellEnd"/>
      <w:r w:rsidRPr="00701884">
        <w:t xml:space="preserve"> </w:t>
      </w:r>
      <w:r>
        <w:t xml:space="preserve">w zakresie </w:t>
      </w:r>
      <w:r w:rsidRPr="00701884">
        <w:t>obowiązku pośrednictwa firmy inwestycyjnej dla ofert publicznych o wartości mniejszej niż równowartość 1</w:t>
      </w:r>
      <w:r w:rsidR="00C27A8D">
        <w:t> </w:t>
      </w:r>
      <w:r w:rsidRPr="00701884">
        <w:t>000</w:t>
      </w:r>
      <w:r w:rsidR="00C27A8D">
        <w:t> </w:t>
      </w:r>
      <w:r w:rsidRPr="00701884">
        <w:t>000</w:t>
      </w:r>
      <w:r w:rsidR="00C27A8D">
        <w:t> </w:t>
      </w:r>
      <w:r w:rsidRPr="00701884">
        <w:t>euro.</w:t>
      </w:r>
    </w:p>
    <w:p w14:paraId="77BB2B70" w14:textId="380DA104" w:rsidR="00A73F36" w:rsidRPr="00A73F36" w:rsidRDefault="00A73F36" w:rsidP="00A73F36">
      <w:pPr>
        <w:pStyle w:val="ARTartustawynprozporzdzenia"/>
      </w:pPr>
      <w:r w:rsidRPr="00A73F36">
        <w:t xml:space="preserve">Obowiązujące przed </w:t>
      </w:r>
      <w:r w:rsidR="00332BA2">
        <w:t xml:space="preserve">dniem </w:t>
      </w:r>
      <w:r w:rsidRPr="00A73F36">
        <w:t>4 grudnia 2024 r. przepisy art. 19 ust. 1 pkt 2 lit. a ustawy z</w:t>
      </w:r>
      <w:r w:rsidR="00B162DE">
        <w:t> </w:t>
      </w:r>
      <w:r w:rsidRPr="00A73F36">
        <w:t>dnia 29 lipca 20</w:t>
      </w:r>
      <w:r w:rsidR="00293C65">
        <w:t>0</w:t>
      </w:r>
      <w:r w:rsidRPr="00A73F36">
        <w:t>5 r. o obrocie instrumentami finansowymi (Dz. U. z 2024 r. poz. 722</w:t>
      </w:r>
      <w:r w:rsidR="00194641">
        <w:t xml:space="preserve">, z </w:t>
      </w:r>
      <w:proofErr w:type="spellStart"/>
      <w:r w:rsidR="00194641">
        <w:t>późn</w:t>
      </w:r>
      <w:proofErr w:type="spellEnd"/>
      <w:r w:rsidR="00194641">
        <w:t>. zm.</w:t>
      </w:r>
      <w:r w:rsidRPr="00A73F36">
        <w:t xml:space="preserve">), dalej: „ustawa o obrocie”, przewidywały zwolnienie </w:t>
      </w:r>
      <w:r w:rsidR="00CF12DC">
        <w:t xml:space="preserve">z </w:t>
      </w:r>
      <w:r w:rsidRPr="00A73F36">
        <w:t>pośrednictwa firmy inwestycyjnej dla ofert publicznych papierów wartościowych, w wyniku których zakładane wpływy brutto emitenta lub oferującego na terytorium RP, liczone według ich ceny emisyjnej lub ceny sprzedaży z dnia jej ustalenia, stanowiły mniej niż 1 000 000 euro (wraz z wpływami, które emitent lub oferujący zamierzał uzyskać z tytułu ofert publicznych takich papierów wartościowych, dokonanych w okresie poprzednich 12 miesięcy). Zwolnienie to sformułowane było poprzez odwołanie do art. 1 ust. 3 rozporządzenia Parlamentu Europejskiego i Rady (UE) 2017/1129 z dnia 14 czerwca 2017 r. w sprawie prospektu, który ma być publikowany w</w:t>
      </w:r>
      <w:r w:rsidR="00293C65">
        <w:t> </w:t>
      </w:r>
      <w:r w:rsidRPr="00A73F36">
        <w:t>związku z ofertą publiczną papierów wartościowych lub dopuszczeniem ich do obrotu na rynku regulowanym oraz uchylenia dyrektywy 2003/71/WE</w:t>
      </w:r>
      <w:r w:rsidR="0060547D">
        <w:t xml:space="preserve"> (Dz. Urz. UE L 168 z 30.06.2017, str. 12</w:t>
      </w:r>
      <w:r w:rsidR="00651E5B">
        <w:t xml:space="preserve">, z </w:t>
      </w:r>
      <w:proofErr w:type="spellStart"/>
      <w:r w:rsidR="00651E5B">
        <w:t>późn</w:t>
      </w:r>
      <w:proofErr w:type="spellEnd"/>
      <w:r w:rsidR="00651E5B">
        <w:t>. zm.</w:t>
      </w:r>
      <w:r w:rsidR="0060547D">
        <w:t>)</w:t>
      </w:r>
      <w:r w:rsidRPr="00A73F36">
        <w:t>, dale</w:t>
      </w:r>
      <w:r w:rsidR="00332BA2">
        <w:t>j</w:t>
      </w:r>
      <w:r w:rsidRPr="00A73F36">
        <w:t xml:space="preserve"> „rozporządzenie 2017/1129”.</w:t>
      </w:r>
    </w:p>
    <w:p w14:paraId="382C5307" w14:textId="3ACF40FF" w:rsidR="00701884" w:rsidRDefault="00A73F36" w:rsidP="00A73F36">
      <w:pPr>
        <w:pStyle w:val="ARTartustawynprozporzdzenia"/>
      </w:pPr>
      <w:r w:rsidRPr="00A73F36">
        <w:t>W dniu 4 grudnia 2024 r. weszła w życie część regulacji rozporządzenia Parlamentu Europejskiego i Rady (UE) 2024/2809 z dnia 23 października 2024 r. w sprawie zmiany rozporządzenia (UE) 2017/1129, (UE) nr 596/2014 i (UE) nr 600/2014 w celu zwiększenia atrakcyjności publicznych rynków kapitałowych w Unii dla spółek oraz ułatwienia małym i</w:t>
      </w:r>
      <w:r w:rsidR="00293C65">
        <w:t> </w:t>
      </w:r>
      <w:r w:rsidRPr="00A73F36">
        <w:t>średnim przedsiębiorstwom dostępu do kapitału (Dz.</w:t>
      </w:r>
      <w:r w:rsidR="00293C65">
        <w:t xml:space="preserve"> </w:t>
      </w:r>
      <w:r w:rsidRPr="00A73F36">
        <w:t>U</w:t>
      </w:r>
      <w:r w:rsidR="00293C65">
        <w:t>rz</w:t>
      </w:r>
      <w:r w:rsidRPr="00A73F36">
        <w:t>. UE L 2024</w:t>
      </w:r>
      <w:r w:rsidR="00DC4486">
        <w:t>/</w:t>
      </w:r>
      <w:r w:rsidRPr="00A73F36">
        <w:t>2809</w:t>
      </w:r>
      <w:r w:rsidR="00DC4486">
        <w:t xml:space="preserve"> z 14.11.2024</w:t>
      </w:r>
      <w:r w:rsidRPr="00A73F36">
        <w:t xml:space="preserve">), tzw. Listing </w:t>
      </w:r>
      <w:proofErr w:type="spellStart"/>
      <w:r w:rsidRPr="00A73F36">
        <w:t>Act</w:t>
      </w:r>
      <w:proofErr w:type="spellEnd"/>
      <w:r w:rsidRPr="00A73F36">
        <w:t xml:space="preserve">, dalej „rozporządzenie 2024/2809”, która uchyliła </w:t>
      </w:r>
      <w:r w:rsidR="00E66C63">
        <w:t xml:space="preserve">w </w:t>
      </w:r>
      <w:r w:rsidRPr="00A73F36">
        <w:t>art. 1 ust. 3 rozporządzenia 2017/1129.</w:t>
      </w:r>
      <w:r w:rsidR="00E66C63">
        <w:t xml:space="preserve"> W wyniku tego </w:t>
      </w:r>
      <w:r w:rsidRPr="00A73F36">
        <w:t>pośrednio uległ również zmianie zakres stosowania art. 19 ust. 1 pkt 2 lit. a ustawy o obrocie</w:t>
      </w:r>
      <w:r w:rsidR="00E66C63">
        <w:t>, a w</w:t>
      </w:r>
      <w:r w:rsidRPr="00A73F36">
        <w:t xml:space="preserve"> konsekwencji oferty publiczne o wartości mniejszej niż 1</w:t>
      </w:r>
      <w:r w:rsidR="00293C65">
        <w:t> </w:t>
      </w:r>
      <w:r w:rsidRPr="00A73F36">
        <w:t>000</w:t>
      </w:r>
      <w:r w:rsidR="00293C65">
        <w:t> </w:t>
      </w:r>
      <w:r w:rsidRPr="00A73F36">
        <w:t>000 euro (inne niż oferty, o których mowa w art. 1 ust. 4 lit. a, b, e oraz h–j rozporządzenia 2017/1129) nie korzystają ze zwolnienia z obowiązku pośrednictwa firmy inwestycyjnej.</w:t>
      </w:r>
    </w:p>
    <w:p w14:paraId="473C3311" w14:textId="2DCBF9EE" w:rsidR="00E66C63" w:rsidRDefault="00E66C63" w:rsidP="00701884">
      <w:pPr>
        <w:pStyle w:val="ARTartustawynprozporzdzenia"/>
      </w:pPr>
      <w:r>
        <w:t xml:space="preserve">Powyższe sprawiło, że </w:t>
      </w:r>
      <w:r w:rsidRPr="00E66C63">
        <w:t xml:space="preserve">doszło do zwiększenia kosztów pozyskiwania kapitału przez </w:t>
      </w:r>
      <w:r>
        <w:t xml:space="preserve">małych </w:t>
      </w:r>
      <w:r w:rsidRPr="00E66C63">
        <w:t xml:space="preserve">przedsiębiorców w związku z potrzebą angażowania pośrednictwa firmy inwestycyjnej, a co za tym idzie ograniczenia dostępu </w:t>
      </w:r>
      <w:r>
        <w:t xml:space="preserve">takich </w:t>
      </w:r>
      <w:r w:rsidRPr="00E66C63">
        <w:t xml:space="preserve">przedsiębiorców do kapitału. </w:t>
      </w:r>
      <w:r>
        <w:t xml:space="preserve">Sprawiło to </w:t>
      </w:r>
      <w:r>
        <w:lastRenderedPageBreak/>
        <w:t xml:space="preserve">również, że </w:t>
      </w:r>
      <w:r w:rsidRPr="00E66C63">
        <w:t xml:space="preserve">doszło do </w:t>
      </w:r>
      <w:r>
        <w:t xml:space="preserve">niezamierzonego </w:t>
      </w:r>
      <w:r w:rsidRPr="00E66C63">
        <w:t>zmniejszenia wykorzystania instrumentów rynku kapitałowego w finansowaniu małych przedsiębiorców.</w:t>
      </w:r>
    </w:p>
    <w:p w14:paraId="6C385CB8" w14:textId="6138EB4A" w:rsidR="00E66C63" w:rsidRDefault="00DF4097" w:rsidP="00701884">
      <w:pPr>
        <w:pStyle w:val="ARTartustawynprozporzdzenia"/>
      </w:pPr>
      <w:r>
        <w:t xml:space="preserve">W celu przywrócenia obowiązujących przed </w:t>
      </w:r>
      <w:r w:rsidR="00332BA2">
        <w:t xml:space="preserve">dniem </w:t>
      </w:r>
      <w:r>
        <w:t>4 grudnia 2024 r. zasad dokonywania oferty publicznej, subskrypcji lub sprzedaży na podstawie tej oferty</w:t>
      </w:r>
      <w:r w:rsidR="0082747B">
        <w:t xml:space="preserve"> papierów wartościowych </w:t>
      </w:r>
      <w:r>
        <w:t xml:space="preserve">dla </w:t>
      </w:r>
      <w:r w:rsidRPr="00DF4097">
        <w:t>ofert publicznych o wartości mniejszej niż równowartość 1 000 000 euro</w:t>
      </w:r>
      <w:r>
        <w:t xml:space="preserve"> w projekcie przewidziano </w:t>
      </w:r>
      <w:r w:rsidRPr="00DF4097">
        <w:t>wskazanie wprost w art. 19 ust. 1 pkt 2 ustawy o obrocie wyłączenia pośrednictwa firmy inwestycyjnej dla ofert publicznych papierów wartościowych, w wyniku których zakładane wpływy brutto emitenta lub oferującego na terytorium RP, liczone według ich ceny emisyjnej lub ceny sprzedaży z dnia jej ustalenia, stanowią mniej niż 1 000 000 euro (</w:t>
      </w:r>
      <w:r w:rsidR="00B60713">
        <w:t xml:space="preserve">liczone </w:t>
      </w:r>
      <w:r w:rsidRPr="00DF4097">
        <w:t>wraz z wpływami, które emitent lub oferujący zamierzał uzyskać z tytułu ofert publicznych takich papierów wartościowych, dokonanych w okresie poprzednich 12 miesięcy)</w:t>
      </w:r>
      <w:r>
        <w:t xml:space="preserve"> </w:t>
      </w:r>
      <w:r w:rsidR="00332BA2">
        <w:t>–</w:t>
      </w:r>
      <w:r>
        <w:t xml:space="preserve"> dodanie lit. aa w zmienianym przepisie</w:t>
      </w:r>
      <w:r w:rsidRPr="00DF4097">
        <w:t>.</w:t>
      </w:r>
    </w:p>
    <w:p w14:paraId="381A07B0" w14:textId="3BFD3B7F" w:rsidR="00DF4097" w:rsidRPr="00DF4097" w:rsidRDefault="00DF4097" w:rsidP="00DF4097">
      <w:pPr>
        <w:pStyle w:val="ARTartustawynprozporzdzenia"/>
      </w:pPr>
      <w:r>
        <w:t xml:space="preserve">Jednocześnie w związku z uchyleniem </w:t>
      </w:r>
      <w:r w:rsidRPr="00DF4097">
        <w:t>w art. 1 ust. 3 rozporządzenia 2017/1129</w:t>
      </w:r>
      <w:r>
        <w:t xml:space="preserve"> w</w:t>
      </w:r>
      <w:r w:rsidR="00780AA9">
        <w:t> </w:t>
      </w:r>
      <w:r>
        <w:t xml:space="preserve">projekcie odstąpiono od dalszego odwoływania się nowelizowanej ustawy do tego przepisu </w:t>
      </w:r>
      <w:r w:rsidR="00332BA2">
        <w:t>–</w:t>
      </w:r>
      <w:r>
        <w:t xml:space="preserve"> skreślenie </w:t>
      </w:r>
      <w:r w:rsidRPr="00DF4097">
        <w:t>wyraz</w:t>
      </w:r>
      <w:r>
        <w:t xml:space="preserve">ów </w:t>
      </w:r>
      <w:r w:rsidRPr="00DF4097">
        <w:t>„ust. 3 i”</w:t>
      </w:r>
      <w:r>
        <w:t xml:space="preserve"> </w:t>
      </w:r>
      <w:r w:rsidRPr="00DF4097">
        <w:t>w art. 19 w ust. 1 w pkt 2</w:t>
      </w:r>
      <w:r>
        <w:t xml:space="preserve"> w lit. a ustawy o obrocie. </w:t>
      </w:r>
    </w:p>
    <w:p w14:paraId="3CF05FBB" w14:textId="3E827E49" w:rsidR="008C4A2B" w:rsidRPr="008C4A2B" w:rsidRDefault="008C4A2B" w:rsidP="0071417A">
      <w:pPr>
        <w:pStyle w:val="ARTartustawynprozporzdzenia"/>
      </w:pPr>
      <w:r w:rsidRPr="008C4A2B">
        <w:t xml:space="preserve">W art. 2 projektu przyjęto, że ustawa wejdzie w życie </w:t>
      </w:r>
      <w:r w:rsidR="009152BB">
        <w:t xml:space="preserve">po upływie </w:t>
      </w:r>
      <w:r w:rsidRPr="008C4A2B">
        <w:t>14 dni od dnia ogłoszenia.</w:t>
      </w:r>
      <w:r w:rsidR="0071417A">
        <w:t xml:space="preserve"> W projekcie nie przewidziano przepisów przejściowych, gdyż również po zmianie emitenci dokonujący oferty publicznej o wartości mniejszej niż równowartość </w:t>
      </w:r>
      <w:r w:rsidR="0071417A" w:rsidRPr="0071417A">
        <w:t xml:space="preserve">1 000 000 euro </w:t>
      </w:r>
      <w:r w:rsidR="0071417A">
        <w:t>będą mogli korzystać z pośrednictwa firmy inwestycyjnej i to od ich decyzji będzie zależeć kontyn</w:t>
      </w:r>
      <w:r w:rsidR="00614981">
        <w:t xml:space="preserve">uowanie </w:t>
      </w:r>
      <w:r w:rsidR="0071417A">
        <w:t>dotychczasowych umów.</w:t>
      </w:r>
    </w:p>
    <w:p w14:paraId="6C954C97" w14:textId="77777777" w:rsidR="008C4A2B" w:rsidRPr="008C4A2B" w:rsidRDefault="008C4A2B" w:rsidP="00701884">
      <w:pPr>
        <w:pStyle w:val="ARTartustawynprozporzdzenia"/>
      </w:pPr>
      <w:r w:rsidRPr="008C4A2B">
        <w:t>Projekt ustawy jest zgodny z prawem UE.</w:t>
      </w:r>
    </w:p>
    <w:p w14:paraId="36A83DE2" w14:textId="41E28CB7" w:rsidR="008C4A2B" w:rsidRPr="008C4A2B" w:rsidRDefault="008C4A2B" w:rsidP="00701884">
      <w:pPr>
        <w:pStyle w:val="ARTartustawynprozporzdzenia"/>
      </w:pPr>
      <w:r w:rsidRPr="008C4A2B">
        <w:t>Projektowane zmiany powinny</w:t>
      </w:r>
      <w:r w:rsidR="00DF4097">
        <w:t xml:space="preserve"> przyczynić się do ułatwienia i obniżenia kosztów finansowania </w:t>
      </w:r>
      <w:r w:rsidRPr="008C4A2B">
        <w:t>działalnoś</w:t>
      </w:r>
      <w:r w:rsidR="00DF4097">
        <w:t xml:space="preserve">ci </w:t>
      </w:r>
      <w:r w:rsidRPr="008C4A2B">
        <w:t>MŚP</w:t>
      </w:r>
      <w:r w:rsidR="00DF4097">
        <w:t xml:space="preserve"> za pośrednictwem rynku kapitałowego</w:t>
      </w:r>
      <w:r w:rsidRPr="008C4A2B">
        <w:t>.</w:t>
      </w:r>
    </w:p>
    <w:p w14:paraId="6F5AD8D9" w14:textId="77777777" w:rsidR="008C4A2B" w:rsidRPr="008C4A2B" w:rsidRDefault="008C4A2B" w:rsidP="00701884">
      <w:pPr>
        <w:pStyle w:val="ARTartustawynprozporzdzenia"/>
      </w:pPr>
      <w:r w:rsidRPr="008C4A2B">
        <w:t xml:space="preserve">Projektowana regulacja nie zawiera przepisów technicznych w rozumieniu rozporządzenia Rady Ministrów z dnia 23 grudnia 2002 r. w sprawie sposobu funkcjonowania krajowego systemu notyfikacji norm i aktów prawnych (Dz. U. poz. 2039, z </w:t>
      </w:r>
      <w:proofErr w:type="spellStart"/>
      <w:r w:rsidRPr="008C4A2B">
        <w:t>późn</w:t>
      </w:r>
      <w:proofErr w:type="spellEnd"/>
      <w:r w:rsidRPr="008C4A2B">
        <w:t>. zm.) i nie podlega notyfikacji Komisji Europejskiej.</w:t>
      </w:r>
    </w:p>
    <w:p w14:paraId="0B3DDD32" w14:textId="4424FD47" w:rsidR="008C4A2B" w:rsidRPr="008C4A2B" w:rsidRDefault="008C4A2B" w:rsidP="00B162DE">
      <w:pPr>
        <w:pStyle w:val="ARTartustawynprozporzdzenia"/>
        <w:spacing w:before="240"/>
      </w:pPr>
      <w:r w:rsidRPr="008C4A2B">
        <w:t xml:space="preserve">Projekt ustawy nie wymaga przedstawienia właściwym organom i instytucjom Unii Europejskiej, w tym Europejskiemu Bankowi Centralnemu, w celu uzyskania opinii, dokonania powiadomienia, konsultacji albo uzgodnienia, o którym mowa w § 27 ust. 4 uchwały nr 190 </w:t>
      </w:r>
      <w:r w:rsidRPr="008C4A2B">
        <w:lastRenderedPageBreak/>
        <w:t>Rady Ministrów z dnia 29 października 2013 r. – Regulamin pracy Rady Ministrów (M.P. z</w:t>
      </w:r>
      <w:r w:rsidR="00780AA9">
        <w:t> </w:t>
      </w:r>
      <w:r w:rsidRPr="008C4A2B">
        <w:t>2024 r. poz. 806</w:t>
      </w:r>
      <w:r w:rsidR="00882A00">
        <w:t xml:space="preserve">, z </w:t>
      </w:r>
      <w:proofErr w:type="spellStart"/>
      <w:r w:rsidR="00882A00">
        <w:t>późn</w:t>
      </w:r>
      <w:proofErr w:type="spellEnd"/>
      <w:r w:rsidR="00882A00">
        <w:t>. zm.</w:t>
      </w:r>
      <w:r w:rsidRPr="008C4A2B">
        <w:t>).</w:t>
      </w:r>
    </w:p>
    <w:p w14:paraId="42815B01" w14:textId="0A95F05C" w:rsidR="009C61DD" w:rsidRPr="00737F6A" w:rsidRDefault="008C4A2B" w:rsidP="00701884">
      <w:pPr>
        <w:pStyle w:val="ARTartustawynprozporzdzenia"/>
      </w:pPr>
      <w:r w:rsidRPr="008C4A2B">
        <w:t>Stosownie do art. 5 ustawy z dnia 7 lipca 2005 r. o działalności lobbingowej w procesie stanowienia prawa (Dz. U. z 2017 r. poz. 248</w:t>
      </w:r>
      <w:r w:rsidR="00EE6ACF">
        <w:t>,</w:t>
      </w:r>
      <w:r w:rsidR="00EE6ACF" w:rsidRPr="00EE6ACF">
        <w:t xml:space="preserve"> z </w:t>
      </w:r>
      <w:proofErr w:type="spellStart"/>
      <w:r w:rsidR="00EE6ACF" w:rsidRPr="00EE6ACF">
        <w:t>późn</w:t>
      </w:r>
      <w:proofErr w:type="spellEnd"/>
      <w:r w:rsidR="00EE6ACF" w:rsidRPr="00EE6ACF">
        <w:t>. zm.</w:t>
      </w:r>
      <w:r w:rsidRPr="008C4A2B">
        <w:t xml:space="preserve">), projekt ustawy </w:t>
      </w:r>
      <w:r w:rsidR="00194641">
        <w:t>został udostępniony</w:t>
      </w:r>
      <w:r w:rsidRPr="008C4A2B">
        <w:t xml:space="preserve"> w Biuletynie Informacji Publicznej Rządowego Centrum Legislacji.</w:t>
      </w:r>
    </w:p>
    <w:sectPr w:rsidR="009C61DD" w:rsidRPr="00737F6A" w:rsidSect="00B162DE">
      <w:footerReference w:type="default" r:id="rId9"/>
      <w:footnotePr>
        <w:numRestart w:val="eachSect"/>
      </w:footnotePr>
      <w:pgSz w:w="11906" w:h="16838"/>
      <w:pgMar w:top="1417" w:right="1417" w:bottom="1417" w:left="1417" w:header="143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80FE" w14:textId="77777777" w:rsidR="00C42125" w:rsidRDefault="00C42125">
      <w:r>
        <w:separator/>
      </w:r>
    </w:p>
  </w:endnote>
  <w:endnote w:type="continuationSeparator" w:id="0">
    <w:p w14:paraId="27A3D2AD" w14:textId="77777777" w:rsidR="00C42125" w:rsidRDefault="00C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582337"/>
      <w:docPartObj>
        <w:docPartGallery w:val="Page Numbers (Bottom of Page)"/>
        <w:docPartUnique/>
      </w:docPartObj>
    </w:sdtPr>
    <w:sdtEndPr/>
    <w:sdtContent>
      <w:p w14:paraId="51D9E3A3" w14:textId="1124EAAB" w:rsidR="00ED42F7" w:rsidRPr="00ED42F7" w:rsidRDefault="00ED42F7" w:rsidP="00ED42F7">
        <w:pPr>
          <w:pStyle w:val="Stopka"/>
          <w:ind w:firstLine="44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5697" w14:textId="77777777" w:rsidR="00C42125" w:rsidRDefault="00C42125">
      <w:r>
        <w:separator/>
      </w:r>
    </w:p>
  </w:footnote>
  <w:footnote w:type="continuationSeparator" w:id="0">
    <w:p w14:paraId="623E1A37" w14:textId="77777777" w:rsidR="00C42125" w:rsidRDefault="00C4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DD"/>
    <w:rsid w:val="000012DA"/>
    <w:rsid w:val="0000246E"/>
    <w:rsid w:val="00003862"/>
    <w:rsid w:val="00012A35"/>
    <w:rsid w:val="00012C32"/>
    <w:rsid w:val="00016099"/>
    <w:rsid w:val="00017DC2"/>
    <w:rsid w:val="00021522"/>
    <w:rsid w:val="00023471"/>
    <w:rsid w:val="00023F13"/>
    <w:rsid w:val="00030634"/>
    <w:rsid w:val="00031063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88B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76D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0216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2E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7891"/>
    <w:rsid w:val="001705E0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1CA"/>
    <w:rsid w:val="00186EC1"/>
    <w:rsid w:val="00191931"/>
    <w:rsid w:val="00191E1F"/>
    <w:rsid w:val="00194641"/>
    <w:rsid w:val="0019473B"/>
    <w:rsid w:val="001952B1"/>
    <w:rsid w:val="00196E39"/>
    <w:rsid w:val="00197649"/>
    <w:rsid w:val="001A01FB"/>
    <w:rsid w:val="001A03C8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322A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76AAE"/>
    <w:rsid w:val="00292499"/>
    <w:rsid w:val="00293C6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D1F"/>
    <w:rsid w:val="002D02B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2BA2"/>
    <w:rsid w:val="00334E3A"/>
    <w:rsid w:val="003361DD"/>
    <w:rsid w:val="00341A6A"/>
    <w:rsid w:val="00345B9C"/>
    <w:rsid w:val="00352113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D85"/>
    <w:rsid w:val="003B4A57"/>
    <w:rsid w:val="003C0AD9"/>
    <w:rsid w:val="003C0ED0"/>
    <w:rsid w:val="003C1C97"/>
    <w:rsid w:val="003C1D49"/>
    <w:rsid w:val="003C35C4"/>
    <w:rsid w:val="003C6E8B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74F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9FA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AC9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1D9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D64"/>
    <w:rsid w:val="00572512"/>
    <w:rsid w:val="00573EE6"/>
    <w:rsid w:val="0057547F"/>
    <w:rsid w:val="005754EE"/>
    <w:rsid w:val="0057617E"/>
    <w:rsid w:val="00576497"/>
    <w:rsid w:val="00580D12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3E0D"/>
    <w:rsid w:val="005C68E1"/>
    <w:rsid w:val="005D3763"/>
    <w:rsid w:val="005D55E1"/>
    <w:rsid w:val="005E19F7"/>
    <w:rsid w:val="005E4F04"/>
    <w:rsid w:val="005E62C2"/>
    <w:rsid w:val="005E6C71"/>
    <w:rsid w:val="005F0963"/>
    <w:rsid w:val="005F258C"/>
    <w:rsid w:val="005F2824"/>
    <w:rsid w:val="005F2EBA"/>
    <w:rsid w:val="005F35ED"/>
    <w:rsid w:val="005F7812"/>
    <w:rsid w:val="005F7A88"/>
    <w:rsid w:val="00603A1A"/>
    <w:rsid w:val="006046D5"/>
    <w:rsid w:val="0060547D"/>
    <w:rsid w:val="00607A93"/>
    <w:rsid w:val="00610C08"/>
    <w:rsid w:val="00611F74"/>
    <w:rsid w:val="00614981"/>
    <w:rsid w:val="00615772"/>
    <w:rsid w:val="00621256"/>
    <w:rsid w:val="0062157D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1E5B"/>
    <w:rsid w:val="00653B22"/>
    <w:rsid w:val="006559E1"/>
    <w:rsid w:val="00657BF4"/>
    <w:rsid w:val="006603FB"/>
    <w:rsid w:val="006608DF"/>
    <w:rsid w:val="006623AC"/>
    <w:rsid w:val="006678AF"/>
    <w:rsid w:val="006701EF"/>
    <w:rsid w:val="00670DFB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1025"/>
    <w:rsid w:val="006C118D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B7B"/>
    <w:rsid w:val="00701884"/>
    <w:rsid w:val="00701952"/>
    <w:rsid w:val="00702556"/>
    <w:rsid w:val="0070277E"/>
    <w:rsid w:val="00704156"/>
    <w:rsid w:val="007069FC"/>
    <w:rsid w:val="00711221"/>
    <w:rsid w:val="00712675"/>
    <w:rsid w:val="00713808"/>
    <w:rsid w:val="0071417A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01E6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52D"/>
    <w:rsid w:val="00776DC2"/>
    <w:rsid w:val="00780122"/>
    <w:rsid w:val="00780AA9"/>
    <w:rsid w:val="0078214B"/>
    <w:rsid w:val="0078498A"/>
    <w:rsid w:val="007851ED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142"/>
    <w:rsid w:val="0080365F"/>
    <w:rsid w:val="00804799"/>
    <w:rsid w:val="00812AB4"/>
    <w:rsid w:val="00812BE5"/>
    <w:rsid w:val="008132D8"/>
    <w:rsid w:val="0081456A"/>
    <w:rsid w:val="00817429"/>
    <w:rsid w:val="00821514"/>
    <w:rsid w:val="00821E35"/>
    <w:rsid w:val="00824591"/>
    <w:rsid w:val="00824AED"/>
    <w:rsid w:val="0082747B"/>
    <w:rsid w:val="00827820"/>
    <w:rsid w:val="0083135F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6749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2A00"/>
    <w:rsid w:val="00882EDF"/>
    <w:rsid w:val="0088318F"/>
    <w:rsid w:val="0088331D"/>
    <w:rsid w:val="008852B0"/>
    <w:rsid w:val="00885AE7"/>
    <w:rsid w:val="00886B60"/>
    <w:rsid w:val="00887889"/>
    <w:rsid w:val="0089049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4A2B"/>
    <w:rsid w:val="008C5BE0"/>
    <w:rsid w:val="008C7233"/>
    <w:rsid w:val="008D2434"/>
    <w:rsid w:val="008E171D"/>
    <w:rsid w:val="008E2785"/>
    <w:rsid w:val="008E78A3"/>
    <w:rsid w:val="008F0654"/>
    <w:rsid w:val="008F06CB"/>
    <w:rsid w:val="008F1D16"/>
    <w:rsid w:val="008F2E83"/>
    <w:rsid w:val="008F3C41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2BB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EF7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0EC"/>
    <w:rsid w:val="009C328C"/>
    <w:rsid w:val="009C4444"/>
    <w:rsid w:val="009C61DD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4B6A"/>
    <w:rsid w:val="00A4685E"/>
    <w:rsid w:val="00A46C14"/>
    <w:rsid w:val="00A50CD4"/>
    <w:rsid w:val="00A51191"/>
    <w:rsid w:val="00A54F5A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3F36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989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2DE"/>
    <w:rsid w:val="00B16ACD"/>
    <w:rsid w:val="00B21487"/>
    <w:rsid w:val="00B22BA9"/>
    <w:rsid w:val="00B232D1"/>
    <w:rsid w:val="00B24DB5"/>
    <w:rsid w:val="00B313B9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713"/>
    <w:rsid w:val="00B642FC"/>
    <w:rsid w:val="00B64D26"/>
    <w:rsid w:val="00B64FBB"/>
    <w:rsid w:val="00B664E4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3F6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7AD9"/>
    <w:rsid w:val="00C2363F"/>
    <w:rsid w:val="00C236C8"/>
    <w:rsid w:val="00C260B1"/>
    <w:rsid w:val="00C26E56"/>
    <w:rsid w:val="00C27A8D"/>
    <w:rsid w:val="00C31406"/>
    <w:rsid w:val="00C37194"/>
    <w:rsid w:val="00C40637"/>
    <w:rsid w:val="00C40F6C"/>
    <w:rsid w:val="00C42125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0EF"/>
    <w:rsid w:val="00CD5973"/>
    <w:rsid w:val="00CD7302"/>
    <w:rsid w:val="00CE31A6"/>
    <w:rsid w:val="00CF09AA"/>
    <w:rsid w:val="00CF12DC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F48"/>
    <w:rsid w:val="00DA3FDD"/>
    <w:rsid w:val="00DA7017"/>
    <w:rsid w:val="00DA7028"/>
    <w:rsid w:val="00DB1AD2"/>
    <w:rsid w:val="00DB2B58"/>
    <w:rsid w:val="00DB5206"/>
    <w:rsid w:val="00DB6276"/>
    <w:rsid w:val="00DB63F5"/>
    <w:rsid w:val="00DC0248"/>
    <w:rsid w:val="00DC17AD"/>
    <w:rsid w:val="00DC1C6B"/>
    <w:rsid w:val="00DC2C2E"/>
    <w:rsid w:val="00DC4486"/>
    <w:rsid w:val="00DC4AF0"/>
    <w:rsid w:val="00DC7886"/>
    <w:rsid w:val="00DD0CF2"/>
    <w:rsid w:val="00DE1554"/>
    <w:rsid w:val="00DE2901"/>
    <w:rsid w:val="00DE590F"/>
    <w:rsid w:val="00DE7DC1"/>
    <w:rsid w:val="00DF3F7E"/>
    <w:rsid w:val="00DF4097"/>
    <w:rsid w:val="00DF7648"/>
    <w:rsid w:val="00E00E29"/>
    <w:rsid w:val="00E02BAB"/>
    <w:rsid w:val="00E04CEB"/>
    <w:rsid w:val="00E060BC"/>
    <w:rsid w:val="00E11420"/>
    <w:rsid w:val="00E132FB"/>
    <w:rsid w:val="00E134C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5397"/>
    <w:rsid w:val="00E46308"/>
    <w:rsid w:val="00E4732A"/>
    <w:rsid w:val="00E51E17"/>
    <w:rsid w:val="00E52DAB"/>
    <w:rsid w:val="00E539B0"/>
    <w:rsid w:val="00E54B8D"/>
    <w:rsid w:val="00E55994"/>
    <w:rsid w:val="00E579CE"/>
    <w:rsid w:val="00E60606"/>
    <w:rsid w:val="00E60C66"/>
    <w:rsid w:val="00E6164D"/>
    <w:rsid w:val="00E618C9"/>
    <w:rsid w:val="00E62774"/>
    <w:rsid w:val="00E6307C"/>
    <w:rsid w:val="00E636FA"/>
    <w:rsid w:val="00E66C50"/>
    <w:rsid w:val="00E66C63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2F7"/>
    <w:rsid w:val="00ED47B3"/>
    <w:rsid w:val="00ED5553"/>
    <w:rsid w:val="00ED5E36"/>
    <w:rsid w:val="00ED6961"/>
    <w:rsid w:val="00EE0F6E"/>
    <w:rsid w:val="00EE6ACF"/>
    <w:rsid w:val="00EF0B96"/>
    <w:rsid w:val="00EF113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05F98"/>
  <w15:docId w15:val="{4CBCCFA6-B012-48CC-B1C8-CB4EDEA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D1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D1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713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713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713"/>
    <w:rPr>
      <w:vertAlign w:val="superscript"/>
    </w:rPr>
  </w:style>
  <w:style w:type="paragraph" w:styleId="Poprawka">
    <w:name w:val="Revision"/>
    <w:hidden/>
    <w:uiPriority w:val="99"/>
    <w:semiHidden/>
    <w:rsid w:val="00B162DE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3EC73-5454-4D1A-9B24-F6238DBA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Stawecki Michał</dc:creator>
  <cp:lastModifiedBy>Gumowski Rafał</cp:lastModifiedBy>
  <cp:revision>6</cp:revision>
  <cp:lastPrinted>2012-04-23T06:39:00Z</cp:lastPrinted>
  <dcterms:created xsi:type="dcterms:W3CDTF">2025-05-13T09:27:00Z</dcterms:created>
  <dcterms:modified xsi:type="dcterms:W3CDTF">2025-05-13T11:25:00Z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UxC4dwLulzfINJ8nQH+xvX5LNGipWa4BRSZhPgxsCvlw+iMwHp30c7j4Tmh9BS8vkvgLmUtEBOua5lE/jtwWVg==</vt:lpwstr>
  </property>
  <property fmtid="{D5CDD505-2E9C-101B-9397-08002B2CF9AE}" pid="6" name="MFClassificationDate">
    <vt:lpwstr>2025-04-08T11:27:37.6175054+02:00</vt:lpwstr>
  </property>
  <property fmtid="{D5CDD505-2E9C-101B-9397-08002B2CF9AE}" pid="7" name="MFClassifiedBySID">
    <vt:lpwstr>UxC4dwLulzfINJ8nQH+xvX5LNGipWa4BRSZhPgxsCvm42mrIC/DSDv0ggS+FjUN/2v1BBotkLlY5aAiEhoi6uZidQqjqC2ZaLyl+C8V9ZJYtvWuqmDVj7wrwhyyA/dgi</vt:lpwstr>
  </property>
  <property fmtid="{D5CDD505-2E9C-101B-9397-08002B2CF9AE}" pid="8" name="MFGRNItemId">
    <vt:lpwstr>GRN-0051a0fe-32b0-467c-8237-7056a27f25e0</vt:lpwstr>
  </property>
  <property fmtid="{D5CDD505-2E9C-101B-9397-08002B2CF9AE}" pid="9" name="MFHash">
    <vt:lpwstr>lTLFxefRNi5bTcHZ219kanYqc2PQwXwH8huog6LXgxc=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