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D1EFAF8" w:rsidR="00ED56BD" w:rsidRDefault="007427D8" w:rsidP="000E0A4C">
      <w:pPr>
        <w:shd w:val="clear" w:color="auto" w:fill="FFFFFF"/>
        <w:spacing w:after="22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</w:t>
      </w:r>
      <w:r w:rsidR="000E0A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Z A S A D N I E N I E</w:t>
      </w:r>
    </w:p>
    <w:p w14:paraId="00000002" w14:textId="77777777" w:rsidR="00ED56BD" w:rsidRDefault="007427D8" w:rsidP="00ED1FF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Wprowadzenie</w:t>
      </w:r>
    </w:p>
    <w:p w14:paraId="00000003" w14:textId="769B11AB" w:rsidR="00ED56BD" w:rsidRDefault="007427D8" w:rsidP="00ED1FFE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Niniejszy projekt ustawy ma na celu zmianę art. 30 ust. 1 pkt 1 </w:t>
      </w:r>
      <w:r w:rsidR="000E0A4C" w:rsidRP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P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stawy z dnia 2 kwietnia 2009 r. o obywatelstwie polskim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(Dz.U. z 20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r. poz. 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wydłużając minimalny okres nieprzerwanego pobytu w Polsce wymagany do uznania cudzoziemca za obywatela polskiego z 3 do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lat. Proponowana zmiana odpowiada na potrzebę zapewnienia głębszej integracji cudzoziemców z polskim społeczeństwem, dostosowania regulacji do standardów Unii Europejskiej oraz odpowiedzi na wyzwania związane z rosnącą imigracją, w tym szczególnie ukraińską. Projekt zachowuje równowagę między rygorami integracyjnymi a dostępnością obywatelstwa, wprowadzając przepis przejściow</w:t>
      </w:r>
      <w:r w:rsidR="00ED1FFE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minimalizując obciążenia administracyjne.</w:t>
      </w:r>
    </w:p>
    <w:p w14:paraId="00000004" w14:textId="77777777" w:rsidR="00ED56BD" w:rsidRDefault="007427D8" w:rsidP="00ED1FF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Cel i potrzeba wprowadzenia zmian</w:t>
      </w:r>
    </w:p>
    <w:p w14:paraId="00000005" w14:textId="77777777" w:rsidR="00ED56BD" w:rsidRDefault="007427D8" w:rsidP="00ED1FFE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Celem projektu jest stworzenie warunków sprzyjających pełniejszej integracji cudzoziemców przed przyznaniem im polskiego obywatelstwa, co jest kluczowe dla stabilności społecznej i gospodarczej Polski w obliczu dynamicznie rosnącej imigracji. Główne powody wprowadzenia zmiany obejmują:</w:t>
      </w:r>
    </w:p>
    <w:p w14:paraId="00000006" w14:textId="674D66C4" w:rsidR="00ED56BD" w:rsidRDefault="007427D8" w:rsidP="00ED1FFE">
      <w:pPr>
        <w:shd w:val="clear" w:color="auto" w:fill="FFFFFF"/>
        <w:spacing w:before="200" w:after="3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(i) Promowanie głębokiej integracji społecznej i kulturowej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Obecny 3-letni okres pobytu wymagany do uzyskania obywatelstwa jest jednym z najkrótszych w Unii Europejskiej, co może nie zapewniać wystarczającego czasu na opanowanie języka polskiego na poziomie B1, zrozumienie kultury oraz pełną adaptację do realiów społeczno-prawnych. Dla porównania, kraje takie jak Węgry wymagają 8 lat, Włochy i Austria 10 lat, Hiszpania 10 lat, co pozwala na lepsze przygotowanie kandydatów do roli obywateli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Wydłużenie okresu do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 odpowiada tym standardom, wspierając lepszą asymilację.</w:t>
      </w:r>
    </w:p>
    <w:p w14:paraId="00000007" w14:textId="77777777" w:rsidR="00ED56BD" w:rsidRDefault="007427D8" w:rsidP="00ED1FFE">
      <w:pPr>
        <w:shd w:val="clear" w:color="auto" w:fill="FFFFFF"/>
        <w:spacing w:before="200" w:after="3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(ii) Odpowiedź na rosnącą imigrację, zwłaszcza ukraińską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W 2023 roku w Polsce przebywało około 1,5 miliona Ukraińców, co stanowi znaczący wzrost w porównaniu z 0,5 miliona w 2014 roku, wynikający z konfliktu na Ukrainie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Dłuższy okres pobytu zapewni tej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licznej grupie więcej czasu na integrację, co jest kluczowe dla harmonijnego współistnienia w społeczeństwie polskim.</w:t>
      </w:r>
    </w:p>
    <w:p w14:paraId="00000008" w14:textId="7885E7C6" w:rsidR="00ED56BD" w:rsidRDefault="007427D8" w:rsidP="00ED1FFE">
      <w:pPr>
        <w:shd w:val="clear" w:color="auto" w:fill="FFFFFF"/>
        <w:spacing w:before="200" w:after="3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(iii) Harmonizacja z polityką 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Przyznanie obywatelstwa w wielu krajach UE jest poprzedzone obowiązkiem długoletniego pobytu, co odzwierciedla wspólne podejście do integracji imigrantów. Państwa takie jak Francja (5 lat, z możliwością skrócenia do 2 lat dla absolwentów), Niemcy (5 lat, z możliwością skrócenia do 3 lat po kursie integracyjnym), Czechy (5 lat) oraz wspomniane Węgry, Włochy i Austria stosują dłuższe okresy, co sprzyja stabilności społecznej i gospodarczej.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Wydłużenie okresu do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 pozwoli Polsce lepiej wpisać się w te standardy, wzmacniając jej pozycję w unijnej polityce migracyjnej.</w:t>
      </w:r>
    </w:p>
    <w:p w14:paraId="00000009" w14:textId="77777777" w:rsidR="00ED56BD" w:rsidRDefault="007427D8" w:rsidP="00ED1FFE">
      <w:pPr>
        <w:shd w:val="clear" w:color="auto" w:fill="FFFFFF"/>
        <w:spacing w:before="200" w:after="3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(iv) Zwiększenie stabilności społecznej i gospodarczej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Dłuższy okres pobytu umożliwi cudzoziemcom lepsze przygotowanie do pełnienia roli obywateli, co przełoży się na większą spójność społeczną i potencjalne korzyści gospodarcze, takie jak zwiększone inwestycje w nieruchomości czy przedsiębiorczość, jak obserwowano w Hiszpanii (</w:t>
      </w:r>
      <w:proofErr w:type="spellStart"/>
      <w:r>
        <w:fldChar w:fldCharType="begin"/>
      </w:r>
      <w:r>
        <w:instrText>HYPERLINK "https://expatsmagazine.org/eu-long-term-residency/"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Benefits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of the EU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-Term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Residence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Permit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5"/>
      </w:r>
    </w:p>
    <w:p w14:paraId="0000000A" w14:textId="77777777" w:rsidR="00ED56BD" w:rsidRDefault="007427D8" w:rsidP="00ED1FF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Stan obecny</w:t>
      </w:r>
    </w:p>
    <w:p w14:paraId="0000000B" w14:textId="59CEE469" w:rsidR="00ED56BD" w:rsidRDefault="007427D8" w:rsidP="00ED1FFE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Zgodnie z art. 30 ust. 1 pkt 1 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oraz ust. 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ustawy o obywatelstwie polskim, cudzoziemiec może zostać uznany za obywatela polskiego, jeśli:</w:t>
      </w:r>
    </w:p>
    <w:p w14:paraId="0000000C" w14:textId="77777777" w:rsidR="00ED56BD" w:rsidRDefault="007427D8">
      <w:pPr>
        <w:numPr>
          <w:ilvl w:val="0"/>
          <w:numId w:val="1"/>
        </w:numPr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przebywa nieprzerwanie w Polsce przez co najmniej 3 lata na podstawie zezwolenia na pobyt stały, rezydenta długoterminowego UE lub prawa stałego pobytu,</w:t>
      </w:r>
    </w:p>
    <w:p w14:paraId="0000000D" w14:textId="77777777" w:rsidR="00ED56BD" w:rsidRDefault="007427D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posiada stabilne źródło dochodu i tytuł prawny do lokalu mieszkalnego,</w:t>
      </w:r>
    </w:p>
    <w:p w14:paraId="0000000E" w14:textId="4A3DC668" w:rsidR="00ED56BD" w:rsidRDefault="007427D8">
      <w:pPr>
        <w:numPr>
          <w:ilvl w:val="0"/>
          <w:numId w:val="1"/>
        </w:numPr>
        <w:shd w:val="clear" w:color="auto" w:fill="FFFFFF"/>
        <w:spacing w:after="3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zna język polski na poziomie co najmniej B1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F" w14:textId="77777777" w:rsidR="00ED56BD" w:rsidRDefault="007427D8" w:rsidP="00ED1FFE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Pozostałe przepisy art. 30 przewidują krótsze okresy dla szczególnych grup (np. 2 lata dla małżonków Polaków, 1 rok dla osób z Kartą Polaka), które nie ulegają zmianie w niniejszym projekcie.</w:t>
      </w:r>
    </w:p>
    <w:p w14:paraId="00000010" w14:textId="77777777" w:rsidR="00ED56BD" w:rsidRDefault="00ED56BD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14:paraId="00000012" w14:textId="77777777" w:rsidR="00ED56BD" w:rsidRDefault="007427D8" w:rsidP="00ED1FF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Proponowane zmiany</w:t>
      </w:r>
    </w:p>
    <w:p w14:paraId="00000013" w14:textId="62ED31A3" w:rsidR="00ED56BD" w:rsidRDefault="007427D8" w:rsidP="00ED1FFE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Projekt zmienia wyłącznie 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art. 30 </w:t>
      </w:r>
      <w:r w:rsidR="000E0A4C" w:rsidRP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ust. 1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pkt 1, wydłużając wymagany czas pobytu z 3 do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lat. Pozostałe warunki, takie jak stabilne źródło dochodu, tytuł prawny do lokalu mieszkalnego oraz znajomość języka polskiego, pozostają bez zmian, aby zachować dostępność obywatelstwa dla osób spełniających wymagania integracyjne. Okres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 jest zgodny z praktyką Włoch czy Austri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Zmiana dotyczy ogólnej kategorii cudzoziemców, bez wpływu na wyjątki dla grup szczególnych, takich jak uchodźcy czy osoby polskiego pochodzenia.</w:t>
      </w:r>
    </w:p>
    <w:p w14:paraId="00000014" w14:textId="77777777" w:rsidR="00ED56BD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Symulacja skutków wprowadzenia zmian</w:t>
      </w:r>
    </w:p>
    <w:p w14:paraId="00000015" w14:textId="77777777" w:rsidR="00ED56BD" w:rsidRDefault="007427D8">
      <w:pPr>
        <w:numPr>
          <w:ilvl w:val="0"/>
          <w:numId w:val="2"/>
        </w:numPr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Skutki społeczne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16" w14:textId="77777777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Pozytywne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Dłuższy okres pobytu zapewni cudzoziemcom, w tym dużej grupie Ukraińców, więcej czasu na naukę języka i adaptację kulturową, co sprzyja lepszej integracji, jak obserwowano w Austrii (</w:t>
      </w:r>
      <w:proofErr w:type="spellStart"/>
      <w:r>
        <w:fldChar w:fldCharType="begin"/>
      </w:r>
      <w:r>
        <w:instrText>HYPERLINK "https://home-affairs.ec.europa.eu/policies/migration-and-asylum/legal-migration-and-resettlement/long-term-residents_en"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-term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residents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Commission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7" w14:textId="77777777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Wyzwania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Może dojść do poczucia wykluczenia wśród imigrantów planujących krótszy pobyt, co może zmniejszyć liczbę wniosków o obywatelstwo, jak w Austrii po wprowadzeniu rygorystycznych wymogów (</w:t>
      </w:r>
      <w:hyperlink r:id="rId7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EU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Eases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Rules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for Third-Country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Nationals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to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Obtain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Long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-Term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Resident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Status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8" w14:textId="77777777" w:rsidR="00ED56BD" w:rsidRDefault="007427D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Skutki gospodarcze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19" w14:textId="5DB7DE5E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Pozytywne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Imigranci, którzy zdecydują się zostać przez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lat, mogą zwiększyć inwestycje w nieruchomości czy przedsiębiorczość, wspierając lokalną gospodarkę, podobnie jak w Hiszpanii (</w:t>
      </w:r>
      <w:proofErr w:type="spellStart"/>
      <w:r>
        <w:fldChar w:fldCharType="begin"/>
      </w:r>
      <w:r>
        <w:instrText>HYPERLINK "https://expatsmagazine.org/eu-long-term-residency/"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Benefits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of the EU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-Term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Residence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Permit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A" w14:textId="77777777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Wyzwania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Część imigrantów, szczególnie Ukraińców, może wybrać kraje z krótszym okresem oczekiwania (np. Niemcy – 5 lat), co może wpłynąć na rynek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pracy (</w:t>
      </w:r>
      <w:proofErr w:type="spellStart"/>
      <w:r>
        <w:fldChar w:fldCharType="begin"/>
      </w:r>
      <w:r>
        <w:instrText>HYPERLINK "https://best-citizenships.com/2023/02/06/minimum-period-of-residence-required-for-naturalisation-in-eu-countries/"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Residence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period for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Naturalisation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in EU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member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– Best </w:t>
      </w:r>
      <w:proofErr w:type="spellStart"/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>Citizenships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B" w14:textId="77777777" w:rsidR="00ED56BD" w:rsidRDefault="007427D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Skutki finansowe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1C" w14:textId="3AC98429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Budżet 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Krótkoterminowy spadek wpływów z opłat konsularnych (szacunkowo 3-5 mln PLN rocznie przy spadku wniosków o 20-30%) zostanie częściowo zrównoważony przez oszczędności na świadczeniach socjalnych. 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 dłuższej perspektywie wpływy podatkowe od lepiej zintegrowanych obywateli mogą wzrosnąć.</w:t>
      </w:r>
    </w:p>
    <w:p w14:paraId="0000001D" w14:textId="77777777" w:rsidR="00ED56BD" w:rsidRDefault="007427D8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Budżety jednostek samorządu terytorialnego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Oszczędności administracyjne w regionach o dużej imigracji (np. Warszawa, Wrocław) mogą wynieść kilka-kilkanaście tysięcy PLN rocznie na jednostkę, a zwiększone inwestycje imigrantów mogą podnieść dochody z podatków lokalnych.</w:t>
      </w:r>
    </w:p>
    <w:p w14:paraId="0000001E" w14:textId="77777777" w:rsidR="00ED56BD" w:rsidRDefault="007427D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Skutki prawne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1F" w14:textId="15B41B32" w:rsidR="00ED56BD" w:rsidRDefault="007427D8">
      <w:pPr>
        <w:numPr>
          <w:ilvl w:val="1"/>
          <w:numId w:val="2"/>
        </w:numPr>
        <w:spacing w:after="3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Zmiana jest zgodna z Konstytucją RP (art. 137), Konwencją </w:t>
      </w:r>
      <w:bookmarkStart w:id="0" w:name="_Hlk197329234"/>
      <w:r w:rsidR="000E0A4C" w:rsidRP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o ogranicz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0E0A4C" w:rsidRP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niu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bezpaństwowości z 1961 r. oraz prawem UE, które daje państwom swobodę w regulacji obywatelstwa. Przepis przejściow</w:t>
      </w:r>
      <w:r w:rsidR="000E0A4C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(art. 2) chroni prawa osób z 3-letnim pobytem, minimalizując ryzyko sporów prawnych.</w:t>
      </w:r>
    </w:p>
    <w:p w14:paraId="00000020" w14:textId="77777777" w:rsidR="00ED56BD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Zgodność z prawem</w:t>
      </w:r>
    </w:p>
    <w:p w14:paraId="00000021" w14:textId="77777777" w:rsidR="00ED56BD" w:rsidRDefault="007427D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Projekt jest zgodny z:</w:t>
      </w:r>
    </w:p>
    <w:p w14:paraId="00000022" w14:textId="77777777" w:rsidR="00ED56BD" w:rsidRDefault="007427D8">
      <w:pPr>
        <w:numPr>
          <w:ilvl w:val="0"/>
          <w:numId w:val="3"/>
        </w:numPr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Konstytucją RP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(art. 137 dotyczący obywatelstwa),</w:t>
      </w:r>
    </w:p>
    <w:p w14:paraId="00000023" w14:textId="5A13B6E8" w:rsidR="00ED56BD" w:rsidRDefault="007427D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Konwencją </w:t>
      </w:r>
      <w:r w:rsidRPr="007427D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 ograniczeniu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bezpaństwowości z 1961 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która nie jest naruszana dzięki odrębnym przepisom dla bezpaństwowców,</w:t>
      </w:r>
    </w:p>
    <w:p w14:paraId="00000024" w14:textId="77777777" w:rsidR="00ED56BD" w:rsidRDefault="007427D8">
      <w:pPr>
        <w:numPr>
          <w:ilvl w:val="0"/>
          <w:numId w:val="3"/>
        </w:numPr>
        <w:shd w:val="clear" w:color="auto" w:fill="FFFFFF"/>
        <w:spacing w:after="3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Prawem 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które pozostawia kwestie obywatelstwa w gestii państw członkowskich, co potwierdzają zróżnicowane wymagania w krajach takich jak Węgry, Włochy czy Czechy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6392626" w14:textId="77777777" w:rsidR="007427D8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14:paraId="4AF21DBD" w14:textId="77777777" w:rsidR="007427D8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14:paraId="00000026" w14:textId="3FD5FDCC" w:rsidR="00ED56BD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Przepis przejściow</w:t>
      </w:r>
      <w:r w:rsidR="00ED1F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y</w:t>
      </w:r>
    </w:p>
    <w:p w14:paraId="00000027" w14:textId="77777777" w:rsidR="00ED56BD" w:rsidRDefault="007427D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Art. 2 projektu zapewnia stosowanie dotychczasowych przepisów dla wniosków złożonych przed wejściem w życie ustawy, co gwarantuje ochronę praw nabytych i płynne wdrożenie zmiany.</w:t>
      </w:r>
    </w:p>
    <w:p w14:paraId="00000028" w14:textId="77777777" w:rsidR="00ED56BD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Wpływ na inne akty prawne</w:t>
      </w:r>
    </w:p>
    <w:p w14:paraId="00000029" w14:textId="77777777" w:rsidR="00ED56BD" w:rsidRDefault="007427D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Zmiana dotyczy wyłącznie ustawy o obywatelstwie polskim i nie wymaga modyfikacji innych aktów prawnych, co zapewnia spójność systemu prawnego.</w:t>
      </w:r>
    </w:p>
    <w:p w14:paraId="0000002A" w14:textId="77777777" w:rsidR="00ED56BD" w:rsidRDefault="007427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Podsumowanie</w:t>
      </w:r>
    </w:p>
    <w:p w14:paraId="0000002B" w14:textId="1B532B0D" w:rsidR="00ED56BD" w:rsidRDefault="007427D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Proponowana zmiana, wydłużająca okres pobytu z 3 do </w:t>
      </w:r>
      <w:r w:rsidR="00C763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lat, jest odpowiedzią na potrzebę głębszej integracji cudzoziemców w obliczu rosnącej imigracji, szczególnie ukraińskiej, oraz dostosowania polskich regulacji do standardów UE. Projekt wspiera stabilność społeczną i gospodarczą, oferując lepsze przygotowanie kandydatów do roli obywateli, przy jednoczesnym zachowaniu dostępności obywatelstwa dla grup szczególnych. Przepis przejściow</w:t>
      </w:r>
      <w:r w:rsidR="00ED1FFE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oraz ograniczenie zmiany do jednego przepisu zapewniają minimalne obciążenie administracyjne i zgodność z prawem, czyniąc projekt wyważonym krokiem w kierunku nowoczesnej polityki migracyjnej.</w:t>
      </w:r>
    </w:p>
    <w:p w14:paraId="0000002C" w14:textId="77777777" w:rsidR="00ED56BD" w:rsidRDefault="00ED56BD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2D" w14:textId="77777777" w:rsidR="00ED56BD" w:rsidRDefault="00ED56BD"/>
    <w:sectPr w:rsidR="00ED56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394C" w14:textId="77777777" w:rsidR="007427D8" w:rsidRDefault="007427D8">
      <w:pPr>
        <w:spacing w:line="240" w:lineRule="auto"/>
      </w:pPr>
      <w:r>
        <w:separator/>
      </w:r>
    </w:p>
  </w:endnote>
  <w:endnote w:type="continuationSeparator" w:id="0">
    <w:p w14:paraId="2B0DFF7D" w14:textId="77777777" w:rsidR="007427D8" w:rsidRDefault="0074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A5EE" w14:textId="77777777" w:rsidR="007427D8" w:rsidRDefault="007427D8">
      <w:pPr>
        <w:spacing w:line="240" w:lineRule="auto"/>
      </w:pPr>
      <w:r>
        <w:separator/>
      </w:r>
    </w:p>
  </w:footnote>
  <w:footnote w:type="continuationSeparator" w:id="0">
    <w:p w14:paraId="493E1F6E" w14:textId="77777777" w:rsidR="007427D8" w:rsidRDefault="007427D8">
      <w:pPr>
        <w:spacing w:line="240" w:lineRule="auto"/>
      </w:pPr>
      <w:r>
        <w:continuationSeparator/>
      </w:r>
    </w:p>
  </w:footnote>
  <w:footnote w:id="1">
    <w:p w14:paraId="00000033" w14:textId="77777777" w:rsidR="00ED56BD" w:rsidRDefault="007427D8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highlight w:val="white"/>
            <w:u w:val="single"/>
          </w:rPr>
          <w:t>https://www.cia.gov/the-world-factbook/field/citizenship/</w:t>
        </w:r>
      </w:hyperlink>
      <w:r>
        <w:rPr>
          <w:color w:val="222222"/>
          <w:sz w:val="20"/>
          <w:szCs w:val="20"/>
          <w:highlight w:val="white"/>
        </w:rPr>
        <w:t xml:space="preserve"> (stan na dzień: 21.04.2025 r.). </w:t>
      </w:r>
    </w:p>
  </w:footnote>
  <w:footnote w:id="2">
    <w:p w14:paraId="00000034" w14:textId="77777777" w:rsidR="00ED56BD" w:rsidRDefault="007427D8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Dane o imigracji ukraińskiej na podstawie raportów Urzędu do Spraw Cudzoziemców i szacunków GUS, 2023 r. (</w:t>
      </w:r>
      <w:hyperlink r:id="rId2">
        <w:r>
          <w:rPr>
            <w:color w:val="0000EE"/>
            <w:sz w:val="20"/>
            <w:szCs w:val="20"/>
            <w:highlight w:val="white"/>
            <w:u w:val="single"/>
          </w:rPr>
          <w:t>Urząd do Spraw Cudzoziemców</w:t>
        </w:r>
      </w:hyperlink>
      <w:r>
        <w:rPr>
          <w:color w:val="222222"/>
          <w:sz w:val="20"/>
          <w:szCs w:val="20"/>
          <w:highlight w:val="white"/>
        </w:rPr>
        <w:t>).</w:t>
      </w:r>
    </w:p>
  </w:footnote>
  <w:footnote w:id="3">
    <w:p w14:paraId="00000035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">
        <w:r>
          <w:rPr>
            <w:color w:val="1155CC"/>
            <w:sz w:val="20"/>
            <w:szCs w:val="20"/>
            <w:u w:val="single"/>
          </w:rPr>
          <w:t>https://www.gov.pl/web/udsc/obywatele-ukrainy-w-polsce--aktualne-dane-migracyjne2</w:t>
        </w:r>
      </w:hyperlink>
      <w:r>
        <w:rPr>
          <w:sz w:val="20"/>
          <w:szCs w:val="20"/>
        </w:rPr>
        <w:t xml:space="preserve"> (stan na dzień: 21.04.2025 r.)</w:t>
      </w:r>
    </w:p>
  </w:footnote>
  <w:footnote w:id="4">
    <w:p w14:paraId="00000036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">
        <w:r>
          <w:rPr>
            <w:color w:val="1155CC"/>
            <w:sz w:val="20"/>
            <w:szCs w:val="20"/>
            <w:highlight w:val="white"/>
            <w:u w:val="single"/>
          </w:rPr>
          <w:t>https://www.cia.gov/the-world-factbook/field/citizenship/</w:t>
        </w:r>
      </w:hyperlink>
      <w:r>
        <w:rPr>
          <w:color w:val="222222"/>
          <w:sz w:val="20"/>
          <w:szCs w:val="20"/>
          <w:highlight w:val="white"/>
        </w:rPr>
        <w:t xml:space="preserve"> (stan na dzień: 21.04.2025 r.). </w:t>
      </w:r>
    </w:p>
  </w:footnote>
  <w:footnote w:id="5">
    <w:p w14:paraId="00000037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https://expatsmagazine.org/eu-long-term-residency/</w:t>
        </w:r>
      </w:hyperlink>
      <w:r>
        <w:rPr>
          <w:sz w:val="20"/>
          <w:szCs w:val="20"/>
        </w:rPr>
        <w:t xml:space="preserve"> (stan na dzień: 21.04.2025 r.)</w:t>
      </w:r>
    </w:p>
  </w:footnote>
  <w:footnote w:id="6">
    <w:p w14:paraId="0000002E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https://home-affairs.ec.europa.eu/policies/migration-and-asylum/legal-migration-and-resettlement/long-term-residents_en</w:t>
        </w:r>
      </w:hyperlink>
      <w:r>
        <w:rPr>
          <w:sz w:val="20"/>
          <w:szCs w:val="20"/>
        </w:rPr>
        <w:t xml:space="preserve">  (stan na dzień: 21.04.2025 r.)</w:t>
      </w:r>
    </w:p>
  </w:footnote>
  <w:footnote w:id="7">
    <w:p w14:paraId="0000002F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7">
        <w:r>
          <w:rPr>
            <w:color w:val="1155CC"/>
            <w:sz w:val="20"/>
            <w:szCs w:val="20"/>
            <w:u w:val="single"/>
          </w:rPr>
          <w:t>https://etias.com/articles/eu-update-long-term-residency</w:t>
        </w:r>
      </w:hyperlink>
      <w:r>
        <w:rPr>
          <w:sz w:val="20"/>
          <w:szCs w:val="20"/>
        </w:rPr>
        <w:t xml:space="preserve">  (stan na dzień: 21.04.2025 r.)</w:t>
      </w:r>
    </w:p>
  </w:footnote>
  <w:footnote w:id="8">
    <w:p w14:paraId="00000030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https://expatsmagazine.org/eu-long-term-residency/</w:t>
        </w:r>
      </w:hyperlink>
      <w:r>
        <w:rPr>
          <w:sz w:val="20"/>
          <w:szCs w:val="20"/>
        </w:rPr>
        <w:t xml:space="preserve">  (stan na dzień: 21.04.2025 r.)</w:t>
      </w:r>
    </w:p>
  </w:footnote>
  <w:footnote w:id="9">
    <w:p w14:paraId="00000031" w14:textId="77777777" w:rsidR="00ED56BD" w:rsidRDefault="007427D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https://best-citizenships.com/2023/02/06/minimum-period-of-residence-required-for-naturalisation-in-eu-countries/</w:t>
        </w:r>
      </w:hyperlink>
      <w:r>
        <w:rPr>
          <w:sz w:val="20"/>
          <w:szCs w:val="20"/>
        </w:rPr>
        <w:t xml:space="preserve"> (stan na dzień: 21.04.2025 r.)</w:t>
      </w:r>
    </w:p>
  </w:footnote>
  <w:footnote w:id="10">
    <w:p w14:paraId="00000032" w14:textId="77777777" w:rsidR="00ED56BD" w:rsidRDefault="007427D8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0">
        <w:r>
          <w:rPr>
            <w:color w:val="1155CC"/>
            <w:sz w:val="20"/>
            <w:szCs w:val="20"/>
            <w:highlight w:val="white"/>
            <w:u w:val="single"/>
          </w:rPr>
          <w:t>https://www.cia.gov/the-world-factbook/field/citizenship/</w:t>
        </w:r>
      </w:hyperlink>
      <w:r>
        <w:rPr>
          <w:color w:val="222222"/>
          <w:sz w:val="20"/>
          <w:szCs w:val="20"/>
          <w:highlight w:val="white"/>
        </w:rPr>
        <w:t xml:space="preserve"> , (stan na dzień: 21.04.2025 r.).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D08A9"/>
    <w:multiLevelType w:val="multilevel"/>
    <w:tmpl w:val="E3C0F4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032F6D"/>
    <w:multiLevelType w:val="multilevel"/>
    <w:tmpl w:val="517A0D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9567E2"/>
    <w:multiLevelType w:val="multilevel"/>
    <w:tmpl w:val="E7A08A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88462549">
    <w:abstractNumId w:val="0"/>
  </w:num>
  <w:num w:numId="2" w16cid:durableId="534854229">
    <w:abstractNumId w:val="2"/>
  </w:num>
  <w:num w:numId="3" w16cid:durableId="166962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BD"/>
    <w:rsid w:val="000E0A4C"/>
    <w:rsid w:val="00592D26"/>
    <w:rsid w:val="007427D8"/>
    <w:rsid w:val="00B35471"/>
    <w:rsid w:val="00C12C97"/>
    <w:rsid w:val="00C7636E"/>
    <w:rsid w:val="00ED1FFE"/>
    <w:rsid w:val="00E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B98"/>
  <w15:docId w15:val="{853595BC-5313-4A49-BBA1-DC66E698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0E0A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ias.com/articles/eu-update-long-term-reside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xpatsmagazine.org/eu-long-term-residency/" TargetMode="External"/><Relationship Id="rId3" Type="http://schemas.openxmlformats.org/officeDocument/2006/relationships/hyperlink" Target="https://www.gov.pl/web/udsc/obywatele-ukrainy-w-polsce--aktualne-dane-migracyjne2" TargetMode="External"/><Relationship Id="rId7" Type="http://schemas.openxmlformats.org/officeDocument/2006/relationships/hyperlink" Target="https://etias.com/articles/eu-update-long-term-residency" TargetMode="External"/><Relationship Id="rId2" Type="http://schemas.openxmlformats.org/officeDocument/2006/relationships/hyperlink" Target="https://www.gov.pl/web/udsc" TargetMode="External"/><Relationship Id="rId1" Type="http://schemas.openxmlformats.org/officeDocument/2006/relationships/hyperlink" Target="https://www.cia.gov/the-world-factbook/field/citizenship/" TargetMode="External"/><Relationship Id="rId6" Type="http://schemas.openxmlformats.org/officeDocument/2006/relationships/hyperlink" Target="https://home-affairs.ec.europa.eu/policies/migration-and-asylum/legal-migration-and-resettlement/long-term-residents_en" TargetMode="External"/><Relationship Id="rId5" Type="http://schemas.openxmlformats.org/officeDocument/2006/relationships/hyperlink" Target="https://expatsmagazine.org/eu-long-term-residency/" TargetMode="External"/><Relationship Id="rId10" Type="http://schemas.openxmlformats.org/officeDocument/2006/relationships/hyperlink" Target="https://www.cia.gov/the-world-factbook/field/citizenship/" TargetMode="External"/><Relationship Id="rId4" Type="http://schemas.openxmlformats.org/officeDocument/2006/relationships/hyperlink" Target="https://www.cia.gov/the-world-factbook/field/citizenship/" TargetMode="External"/><Relationship Id="rId9" Type="http://schemas.openxmlformats.org/officeDocument/2006/relationships/hyperlink" Target="https://best-citizenships.com/2023/02/06/minimum-period-of-residence-required-for-naturalisation-in-eu-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6851</Characters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2025-05-05T09:14:00Z</dcterms:created>
  <dcterms:modified xsi:type="dcterms:W3CDTF">2025-05-05T09:14:00Z</dcterms:modified>
</cp:coreProperties>
</file>