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B2BA0" w14:textId="77777777" w:rsidR="002038B6" w:rsidRPr="007F25E8" w:rsidRDefault="002038B6" w:rsidP="007F25E8">
      <w:pPr>
        <w:spacing w:after="120" w:line="360" w:lineRule="auto"/>
        <w:jc w:val="center"/>
        <w:outlineLvl w:val="0"/>
        <w:rPr>
          <w:color w:val="000000" w:themeColor="text1"/>
        </w:rPr>
      </w:pPr>
      <w:bookmarkStart w:id="0" w:name="_GoBack"/>
      <w:bookmarkEnd w:id="0"/>
      <w:r w:rsidRPr="007F25E8">
        <w:rPr>
          <w:color w:val="000000" w:themeColor="text1"/>
        </w:rPr>
        <w:t>UZASADNIENIE</w:t>
      </w:r>
    </w:p>
    <w:p w14:paraId="35A567CD" w14:textId="77777777" w:rsidR="002038B6" w:rsidRPr="00330D6A" w:rsidRDefault="002038B6" w:rsidP="007F25E8">
      <w:pPr>
        <w:pStyle w:val="Tekstpodstawowy"/>
        <w:spacing w:line="360" w:lineRule="auto"/>
        <w:rPr>
          <w:color w:val="000000" w:themeColor="text1"/>
        </w:rPr>
      </w:pPr>
      <w:r w:rsidRPr="00330D6A">
        <w:rPr>
          <w:color w:val="000000" w:themeColor="text1"/>
        </w:rPr>
        <w:t>Rządowy projekt ustawy o szczególnych rozwiązaniach służących realizacji ustawy budżetowej na rok 202</w:t>
      </w:r>
      <w:r w:rsidR="00AE79B0" w:rsidRPr="00330D6A">
        <w:rPr>
          <w:color w:val="000000" w:themeColor="text1"/>
        </w:rPr>
        <w:t>4</w:t>
      </w:r>
      <w:r w:rsidRPr="00330D6A">
        <w:rPr>
          <w:color w:val="000000" w:themeColor="text1"/>
        </w:rPr>
        <w:t xml:space="preserve"> jest ściśle związany z rządowym projektem ustawy budżetowej na rok 202</w:t>
      </w:r>
      <w:r w:rsidR="00AE79B0" w:rsidRPr="00330D6A">
        <w:rPr>
          <w:color w:val="000000" w:themeColor="text1"/>
        </w:rPr>
        <w:t>4</w:t>
      </w:r>
      <w:r w:rsidRPr="00330D6A">
        <w:rPr>
          <w:color w:val="000000" w:themeColor="text1"/>
        </w:rPr>
        <w:t>.</w:t>
      </w:r>
    </w:p>
    <w:p w14:paraId="258BF2AC" w14:textId="77777777" w:rsidR="002038B6" w:rsidRPr="00330D6A" w:rsidRDefault="002038B6" w:rsidP="007F25E8">
      <w:pPr>
        <w:pStyle w:val="Tekstpodstawowy"/>
        <w:spacing w:line="360" w:lineRule="auto"/>
        <w:rPr>
          <w:color w:val="000000" w:themeColor="text1"/>
        </w:rPr>
      </w:pPr>
      <w:r w:rsidRPr="00330D6A">
        <w:rPr>
          <w:color w:val="000000" w:themeColor="text1"/>
        </w:rPr>
        <w:t>Regulacje projektu ustawy mają charakter komplementarny do projektu ustawy budżetowej na rok 202</w:t>
      </w:r>
      <w:r w:rsidR="00AE79B0" w:rsidRPr="00330D6A">
        <w:rPr>
          <w:color w:val="000000" w:themeColor="text1"/>
        </w:rPr>
        <w:t>4</w:t>
      </w:r>
      <w:r w:rsidRPr="00330D6A">
        <w:rPr>
          <w:color w:val="000000" w:themeColor="text1"/>
        </w:rPr>
        <w:t>.</w:t>
      </w:r>
    </w:p>
    <w:p w14:paraId="04E98A1A" w14:textId="26C763AD" w:rsidR="002038B6" w:rsidRPr="00330D6A" w:rsidRDefault="002038B6" w:rsidP="007F25E8">
      <w:pPr>
        <w:pStyle w:val="Tekstpodstawowy"/>
        <w:spacing w:line="360" w:lineRule="auto"/>
        <w:rPr>
          <w:color w:val="000000" w:themeColor="text1"/>
        </w:rPr>
      </w:pPr>
      <w:r w:rsidRPr="00330D6A">
        <w:rPr>
          <w:color w:val="000000" w:themeColor="text1"/>
        </w:rPr>
        <w:t>Przedłożone rozwiązania</w:t>
      </w:r>
      <w:r w:rsidR="00507AD2" w:rsidRPr="00330D6A">
        <w:rPr>
          <w:color w:val="000000" w:themeColor="text1"/>
        </w:rPr>
        <w:t xml:space="preserve"> </w:t>
      </w:r>
      <w:r w:rsidRPr="00330D6A">
        <w:rPr>
          <w:color w:val="000000" w:themeColor="text1"/>
        </w:rPr>
        <w:t>znajdują swoje odzwierciedlenie i wymierną korelację w kwotach ujętych</w:t>
      </w:r>
      <w:r w:rsidR="0091041E" w:rsidRPr="00330D6A">
        <w:rPr>
          <w:color w:val="000000" w:themeColor="text1"/>
        </w:rPr>
        <w:t xml:space="preserve"> w projekcie </w:t>
      </w:r>
      <w:r w:rsidR="00615061" w:rsidRPr="00330D6A">
        <w:rPr>
          <w:color w:val="000000" w:themeColor="text1"/>
        </w:rPr>
        <w:t>ustawy budżetowej na rok 202</w:t>
      </w:r>
      <w:r w:rsidR="00AE79B0" w:rsidRPr="00330D6A">
        <w:rPr>
          <w:color w:val="000000" w:themeColor="text1"/>
        </w:rPr>
        <w:t>4</w:t>
      </w:r>
      <w:r w:rsidR="00615061" w:rsidRPr="00330D6A">
        <w:rPr>
          <w:color w:val="000000" w:themeColor="text1"/>
        </w:rPr>
        <w:t xml:space="preserve"> </w:t>
      </w:r>
      <w:r w:rsidR="005C7550">
        <w:rPr>
          <w:color w:val="000000" w:themeColor="text1"/>
        </w:rPr>
        <w:t xml:space="preserve">i wiążą się z </w:t>
      </w:r>
      <w:r w:rsidRPr="00330D6A">
        <w:rPr>
          <w:color w:val="000000" w:themeColor="text1"/>
        </w:rPr>
        <w:t xml:space="preserve">prawidłową realizacją </w:t>
      </w:r>
      <w:r w:rsidR="00615061" w:rsidRPr="00330D6A">
        <w:rPr>
          <w:color w:val="000000" w:themeColor="text1"/>
        </w:rPr>
        <w:t xml:space="preserve">tej </w:t>
      </w:r>
      <w:r w:rsidRPr="00330D6A">
        <w:rPr>
          <w:color w:val="000000" w:themeColor="text1"/>
        </w:rPr>
        <w:t>ustawy</w:t>
      </w:r>
      <w:r w:rsidR="00615061" w:rsidRPr="00330D6A">
        <w:rPr>
          <w:color w:val="000000" w:themeColor="text1"/>
        </w:rPr>
        <w:t>.</w:t>
      </w:r>
    </w:p>
    <w:p w14:paraId="246B315F" w14:textId="5E1A87A0" w:rsidR="0080209A" w:rsidRPr="00330D6A" w:rsidRDefault="0080209A" w:rsidP="007F25E8">
      <w:pPr>
        <w:spacing w:after="120" w:line="360" w:lineRule="auto"/>
        <w:jc w:val="center"/>
        <w:outlineLvl w:val="0"/>
        <w:rPr>
          <w:b/>
          <w:color w:val="000000" w:themeColor="text1"/>
        </w:rPr>
      </w:pPr>
      <w:r w:rsidRPr="00330D6A">
        <w:rPr>
          <w:b/>
          <w:color w:val="000000" w:themeColor="text1"/>
        </w:rPr>
        <w:t xml:space="preserve">Zmiany w zakresie </w:t>
      </w:r>
      <w:r w:rsidR="00800193" w:rsidRPr="00330D6A">
        <w:rPr>
          <w:b/>
          <w:color w:val="000000" w:themeColor="text1"/>
        </w:rPr>
        <w:t>wynagrodzeń</w:t>
      </w:r>
      <w:r w:rsidRPr="00330D6A">
        <w:rPr>
          <w:b/>
          <w:color w:val="000000" w:themeColor="text1"/>
        </w:rPr>
        <w:t xml:space="preserve"> (art. 1</w:t>
      </w:r>
      <w:r w:rsidR="003927E0">
        <w:rPr>
          <w:b/>
          <w:color w:val="000000" w:themeColor="text1"/>
        </w:rPr>
        <w:t>–</w:t>
      </w:r>
      <w:r w:rsidR="00ED1ECE">
        <w:rPr>
          <w:b/>
          <w:color w:val="000000" w:themeColor="text1"/>
        </w:rPr>
        <w:t>7</w:t>
      </w:r>
      <w:r w:rsidR="00094856">
        <w:rPr>
          <w:b/>
          <w:color w:val="000000" w:themeColor="text1"/>
        </w:rPr>
        <w:t xml:space="preserve"> i</w:t>
      </w:r>
      <w:r w:rsidR="00800193" w:rsidRPr="00330D6A">
        <w:rPr>
          <w:b/>
          <w:color w:val="000000" w:themeColor="text1"/>
        </w:rPr>
        <w:t xml:space="preserve"> art. </w:t>
      </w:r>
      <w:r w:rsidR="00ED1ECE">
        <w:rPr>
          <w:b/>
          <w:color w:val="000000" w:themeColor="text1"/>
        </w:rPr>
        <w:t>28</w:t>
      </w:r>
      <w:r w:rsidRPr="00330D6A">
        <w:rPr>
          <w:b/>
          <w:color w:val="000000" w:themeColor="text1"/>
        </w:rPr>
        <w:t>)</w:t>
      </w:r>
    </w:p>
    <w:p w14:paraId="3F51D69D" w14:textId="77777777" w:rsidR="00800193" w:rsidRPr="00330D6A" w:rsidRDefault="00800193" w:rsidP="007F25E8">
      <w:pPr>
        <w:spacing w:before="120" w:line="360" w:lineRule="auto"/>
        <w:rPr>
          <w:color w:val="000000" w:themeColor="text1"/>
        </w:rPr>
      </w:pPr>
      <w:r w:rsidRPr="00330D6A">
        <w:rPr>
          <w:color w:val="000000" w:themeColor="text1"/>
        </w:rPr>
        <w:t>W projekcie proponuje się:</w:t>
      </w:r>
    </w:p>
    <w:p w14:paraId="41A31B5A" w14:textId="77777777" w:rsidR="0094050F" w:rsidRPr="00330D6A" w:rsidRDefault="00D55BD3" w:rsidP="007F25E8">
      <w:pPr>
        <w:pStyle w:val="Akapitzlist"/>
        <w:numPr>
          <w:ilvl w:val="0"/>
          <w:numId w:val="24"/>
        </w:numPr>
        <w:spacing w:before="120" w:after="160" w:line="360" w:lineRule="auto"/>
        <w:jc w:val="both"/>
        <w:rPr>
          <w:color w:val="000000" w:themeColor="text1"/>
        </w:rPr>
      </w:pPr>
      <w:r w:rsidRPr="00330D6A">
        <w:rPr>
          <w:color w:val="000000" w:themeColor="text1"/>
        </w:rPr>
        <w:t>U</w:t>
      </w:r>
      <w:r w:rsidR="0094050F" w:rsidRPr="00330D6A">
        <w:rPr>
          <w:color w:val="000000" w:themeColor="text1"/>
        </w:rPr>
        <w:t>stalenie w roku 2024 wysokości wynagrodzeń sędziów, prokuratorów i innych pracowników, których wynagrodzenia są relacjonowane do wynagrodzeń sędziów i</w:t>
      </w:r>
      <w:r w:rsidR="009F1DD8" w:rsidRPr="00330D6A">
        <w:rPr>
          <w:color w:val="000000" w:themeColor="text1"/>
        </w:rPr>
        <w:t> </w:t>
      </w:r>
      <w:r w:rsidR="0094050F" w:rsidRPr="00330D6A">
        <w:rPr>
          <w:color w:val="000000" w:themeColor="text1"/>
        </w:rPr>
        <w:t xml:space="preserve">prokuratorów, w odniesieniu do kwoty 6 114,08 zł, która zagwarantuje im wzrost wynagrodzeń o 12,3%. </w:t>
      </w:r>
    </w:p>
    <w:p w14:paraId="295D2F20" w14:textId="6F2AC747" w:rsidR="0094050F" w:rsidRPr="00330D6A" w:rsidRDefault="0094050F" w:rsidP="007F25E8">
      <w:pPr>
        <w:pStyle w:val="Akapitzlist"/>
        <w:spacing w:before="120" w:after="160" w:line="360" w:lineRule="auto"/>
        <w:ind w:left="360"/>
        <w:jc w:val="both"/>
        <w:rPr>
          <w:color w:val="000000" w:themeColor="text1"/>
        </w:rPr>
      </w:pPr>
      <w:r w:rsidRPr="00330D6A">
        <w:rPr>
          <w:color w:val="000000" w:themeColor="text1"/>
        </w:rPr>
        <w:t>Proponuje się, aby w roku 2024 r. podstawę ustalenia wynagrodzenia sędziów i</w:t>
      </w:r>
      <w:r w:rsidR="009F1DD8" w:rsidRPr="00330D6A">
        <w:rPr>
          <w:color w:val="000000" w:themeColor="text1"/>
        </w:rPr>
        <w:t> </w:t>
      </w:r>
      <w:r w:rsidRPr="00330D6A">
        <w:rPr>
          <w:color w:val="000000" w:themeColor="text1"/>
        </w:rPr>
        <w:t>prokuratorów określono na poziomie kwoty 6 114,08 zł, która zagwarantuje im wzrost wynagrodzeń o 12,3%. Obecnie w 2023 r. podsta</w:t>
      </w:r>
      <w:r w:rsidR="003927E0">
        <w:rPr>
          <w:color w:val="000000" w:themeColor="text1"/>
        </w:rPr>
        <w:t>wa ta wynosi 5 444,42 zł, która</w:t>
      </w:r>
      <w:r w:rsidRPr="00330D6A">
        <w:rPr>
          <w:color w:val="000000" w:themeColor="text1"/>
        </w:rPr>
        <w:t xml:space="preserve"> w 2024 r. zostanie zwiększona o 12,3%, co daje kwotę 6 114,08 zł. </w:t>
      </w:r>
    </w:p>
    <w:p w14:paraId="76E5B9E2" w14:textId="6A0E42CB" w:rsidR="0094050F" w:rsidRPr="00330D6A" w:rsidRDefault="0094050F" w:rsidP="007F25E8">
      <w:pPr>
        <w:pStyle w:val="Akapitzlist"/>
        <w:spacing w:before="120" w:after="160" w:line="360" w:lineRule="auto"/>
        <w:ind w:left="360"/>
        <w:contextualSpacing w:val="0"/>
        <w:jc w:val="both"/>
        <w:rPr>
          <w:color w:val="000000" w:themeColor="text1"/>
        </w:rPr>
      </w:pPr>
      <w:r w:rsidRPr="00330D6A">
        <w:rPr>
          <w:color w:val="000000" w:themeColor="text1"/>
        </w:rPr>
        <w:t>Zaproponowane zmiany będą miały wpływ m.in. na wysokość wynagrodzeń sędziów Sądu Najwyższego, sędziów Trybunału Konstytucyjnego, sędziów sądów powszechnych, sędziów Naczelnego Sądu Administracyjnego i sądów administracyjnych, prokuratorów Prokuratury Krajowej, prokuratorów powszechnych jednostek organizacyjnych prokuratury, Instytutu Pamięci Narodowej – Komisji Ścigania Zbrodni przeciwko Narodowi Polskiemu oraz</w:t>
      </w:r>
      <w:r w:rsidR="003927E0">
        <w:rPr>
          <w:color w:val="000000" w:themeColor="text1"/>
        </w:rPr>
        <w:t xml:space="preserve"> na wysokość uposażenia sędziów</w:t>
      </w:r>
      <w:r w:rsidRPr="00330D6A">
        <w:rPr>
          <w:color w:val="000000" w:themeColor="text1"/>
        </w:rPr>
        <w:t xml:space="preserve"> i prokuratorów w stanie spoczynku. Wskazana podstawa wynagrodzeń sędziów będzie miała wpływ na określenie wynagrodzeń dla innych pracowników relacjonowanych do tej wysokości, np. wysokość wynagrodzenia asesora prokuratorskiego, referendarza sądowego czy radców Prokuratorii Generalnej.</w:t>
      </w:r>
    </w:p>
    <w:p w14:paraId="66191C71" w14:textId="77777777" w:rsidR="00800193" w:rsidRPr="00330D6A" w:rsidRDefault="000B0BCD" w:rsidP="007F25E8">
      <w:pPr>
        <w:pStyle w:val="Akapitzlist"/>
        <w:numPr>
          <w:ilvl w:val="0"/>
          <w:numId w:val="24"/>
        </w:numPr>
        <w:spacing w:before="120" w:after="160" w:line="360" w:lineRule="auto"/>
        <w:ind w:left="357" w:hanging="357"/>
        <w:contextualSpacing w:val="0"/>
        <w:jc w:val="both"/>
        <w:rPr>
          <w:color w:val="000000" w:themeColor="text1"/>
        </w:rPr>
      </w:pPr>
      <w:r w:rsidRPr="00330D6A">
        <w:rPr>
          <w:color w:val="000000" w:themeColor="text1"/>
        </w:rPr>
        <w:t>U</w:t>
      </w:r>
      <w:r w:rsidR="00800193" w:rsidRPr="00330D6A">
        <w:rPr>
          <w:color w:val="000000" w:themeColor="text1"/>
        </w:rPr>
        <w:t xml:space="preserve">trzymanie na poziomie przyjętym w budżecie na </w:t>
      </w:r>
      <w:r w:rsidR="009F1DD8" w:rsidRPr="00330D6A">
        <w:rPr>
          <w:color w:val="000000" w:themeColor="text1"/>
        </w:rPr>
        <w:t xml:space="preserve">rok </w:t>
      </w:r>
      <w:r w:rsidR="00800193" w:rsidRPr="00330D6A">
        <w:rPr>
          <w:color w:val="000000" w:themeColor="text1"/>
        </w:rPr>
        <w:t>2023 podstawy wymiaru (w</w:t>
      </w:r>
      <w:r w:rsidR="009F1DD8" w:rsidRPr="00330D6A">
        <w:rPr>
          <w:color w:val="000000" w:themeColor="text1"/>
        </w:rPr>
        <w:t> </w:t>
      </w:r>
      <w:r w:rsidR="00800193" w:rsidRPr="00330D6A">
        <w:rPr>
          <w:color w:val="000000" w:themeColor="text1"/>
        </w:rPr>
        <w:t>wysokości przeciętne</w:t>
      </w:r>
      <w:r w:rsidR="00507AD2" w:rsidRPr="00330D6A">
        <w:rPr>
          <w:color w:val="000000" w:themeColor="text1"/>
        </w:rPr>
        <w:t>go</w:t>
      </w:r>
      <w:r w:rsidR="00800193" w:rsidRPr="00330D6A">
        <w:rPr>
          <w:color w:val="000000" w:themeColor="text1"/>
        </w:rPr>
        <w:t xml:space="preserve"> miesięczne</w:t>
      </w:r>
      <w:r w:rsidR="00507AD2" w:rsidRPr="00330D6A">
        <w:rPr>
          <w:color w:val="000000" w:themeColor="text1"/>
        </w:rPr>
        <w:t>go</w:t>
      </w:r>
      <w:r w:rsidR="00800193" w:rsidRPr="00330D6A">
        <w:rPr>
          <w:color w:val="000000" w:themeColor="text1"/>
        </w:rPr>
        <w:t xml:space="preserve"> wynagrodzeni</w:t>
      </w:r>
      <w:r w:rsidR="00507AD2" w:rsidRPr="00330D6A">
        <w:rPr>
          <w:color w:val="000000" w:themeColor="text1"/>
        </w:rPr>
        <w:t>a</w:t>
      </w:r>
      <w:r w:rsidR="00800193" w:rsidRPr="00330D6A">
        <w:rPr>
          <w:color w:val="000000" w:themeColor="text1"/>
        </w:rPr>
        <w:t xml:space="preserve"> w sektorze przedsiębiorstw bez wypłat nagród z zysku w czwartym kwartale 2016 r., ogłoszone</w:t>
      </w:r>
      <w:r w:rsidR="00D55BD3" w:rsidRPr="00330D6A">
        <w:rPr>
          <w:color w:val="000000" w:themeColor="text1"/>
        </w:rPr>
        <w:t>go</w:t>
      </w:r>
      <w:r w:rsidR="00800193" w:rsidRPr="00330D6A">
        <w:rPr>
          <w:color w:val="000000" w:themeColor="text1"/>
        </w:rPr>
        <w:t xml:space="preserve"> przez Prezesa Głównego </w:t>
      </w:r>
      <w:r w:rsidR="00800193" w:rsidRPr="00330D6A">
        <w:rPr>
          <w:color w:val="000000" w:themeColor="text1"/>
        </w:rPr>
        <w:lastRenderedPageBreak/>
        <w:t>Urzędu Statystycznego</w:t>
      </w:r>
      <w:r w:rsidR="00507AD2" w:rsidRPr="00330D6A">
        <w:rPr>
          <w:color w:val="000000" w:themeColor="text1"/>
        </w:rPr>
        <w:t>, tj. w wysokości 4 403,78 zł</w:t>
      </w:r>
      <w:r w:rsidR="00800193" w:rsidRPr="00330D6A">
        <w:rPr>
          <w:color w:val="000000" w:themeColor="text1"/>
        </w:rPr>
        <w:t>), służącej do ustalania wynagrodzenia dla osób zatrudnionych w podmiotach podlegających przepisom ustawy z dnia 9 czerwca 2016 r. o zasadach kształtowania wynagrodzeń osób kierujących niektórymi spółkami (Dz.</w:t>
      </w:r>
      <w:r w:rsidR="00D90BF3" w:rsidRPr="00330D6A">
        <w:rPr>
          <w:color w:val="000000" w:themeColor="text1"/>
        </w:rPr>
        <w:t> </w:t>
      </w:r>
      <w:r w:rsidR="00800193" w:rsidRPr="00330D6A">
        <w:rPr>
          <w:color w:val="000000" w:themeColor="text1"/>
        </w:rPr>
        <w:t xml:space="preserve">U. z 2020 r. poz. 1907), tj. wynagrodzeń członków </w:t>
      </w:r>
      <w:r w:rsidR="00507AD2" w:rsidRPr="00330D6A">
        <w:rPr>
          <w:color w:val="000000" w:themeColor="text1"/>
        </w:rPr>
        <w:t xml:space="preserve">organów </w:t>
      </w:r>
      <w:r w:rsidR="00800193" w:rsidRPr="00330D6A">
        <w:rPr>
          <w:color w:val="000000" w:themeColor="text1"/>
        </w:rPr>
        <w:t xml:space="preserve">zarządzających i organów nadzorczych, a także wybranych postanowień umów zawieranych z członkami organów zarządzających w spółkach z udziałem Skarbu Państwa, jednostek samorządu terytorialnego i ich związków, a także państwowych i komunalnych osób prawnych. </w:t>
      </w:r>
    </w:p>
    <w:p w14:paraId="6C65194D" w14:textId="77777777" w:rsidR="00800193" w:rsidRPr="00330D6A" w:rsidRDefault="000B0BCD" w:rsidP="007F25E8">
      <w:pPr>
        <w:pStyle w:val="Akapitzlist"/>
        <w:numPr>
          <w:ilvl w:val="0"/>
          <w:numId w:val="24"/>
        </w:numPr>
        <w:spacing w:before="120" w:after="160" w:line="360" w:lineRule="auto"/>
        <w:ind w:left="357" w:hanging="357"/>
        <w:contextualSpacing w:val="0"/>
        <w:jc w:val="both"/>
        <w:rPr>
          <w:color w:val="000000" w:themeColor="text1"/>
        </w:rPr>
      </w:pPr>
      <w:r w:rsidRPr="00330D6A">
        <w:rPr>
          <w:color w:val="000000" w:themeColor="text1"/>
        </w:rPr>
        <w:t>U</w:t>
      </w:r>
      <w:r w:rsidR="00800193" w:rsidRPr="00330D6A">
        <w:rPr>
          <w:color w:val="000000" w:themeColor="text1"/>
        </w:rPr>
        <w:t xml:space="preserve">trzymanie na poziomie przyjętym w budżecie na </w:t>
      </w:r>
      <w:r w:rsidR="009F1DD8" w:rsidRPr="00330D6A">
        <w:rPr>
          <w:color w:val="000000" w:themeColor="text1"/>
        </w:rPr>
        <w:t xml:space="preserve">rok </w:t>
      </w:r>
      <w:r w:rsidR="00800193" w:rsidRPr="00330D6A">
        <w:rPr>
          <w:color w:val="000000" w:themeColor="text1"/>
        </w:rPr>
        <w:t>2023</w:t>
      </w:r>
      <w:r w:rsidR="009F1DD8" w:rsidRPr="00330D6A">
        <w:rPr>
          <w:color w:val="000000" w:themeColor="text1"/>
        </w:rPr>
        <w:t xml:space="preserve"> </w:t>
      </w:r>
      <w:r w:rsidR="00800193" w:rsidRPr="00330D6A">
        <w:rPr>
          <w:color w:val="000000" w:themeColor="text1"/>
        </w:rPr>
        <w:t>maksymalnych wynagrodzeń osób wymienionych w art. 2 ustawy z dnia 3 marca 2000 r. o wynagradzaniu osób kierujących niektórymi podmiotami prawnymi (Dz. U. z 2019 r. poz.</w:t>
      </w:r>
      <w:r w:rsidR="00101515" w:rsidRPr="00330D6A">
        <w:rPr>
          <w:color w:val="000000" w:themeColor="text1"/>
        </w:rPr>
        <w:t xml:space="preserve"> </w:t>
      </w:r>
      <w:r w:rsidR="00800193" w:rsidRPr="00330D6A">
        <w:rPr>
          <w:color w:val="000000" w:themeColor="text1"/>
        </w:rPr>
        <w:t>2136), tj. ustalanie maksymalnych wysokości wynagrodzenia miesięcznego dla osób wymienionych w</w:t>
      </w:r>
      <w:r w:rsidR="009F1DD8" w:rsidRPr="00330D6A">
        <w:rPr>
          <w:color w:val="000000" w:themeColor="text1"/>
        </w:rPr>
        <w:t> </w:t>
      </w:r>
      <w:r w:rsidR="00800193" w:rsidRPr="00330D6A">
        <w:rPr>
          <w:color w:val="000000" w:themeColor="text1"/>
        </w:rPr>
        <w:t>powyższym przepisie przez przyjęcie przeciętnego miesięcznego wynagrodzenia w</w:t>
      </w:r>
      <w:r w:rsidR="009F1DD8" w:rsidRPr="00330D6A">
        <w:rPr>
          <w:color w:val="000000" w:themeColor="text1"/>
        </w:rPr>
        <w:t> </w:t>
      </w:r>
      <w:r w:rsidR="00800193" w:rsidRPr="00330D6A">
        <w:rPr>
          <w:color w:val="000000" w:themeColor="text1"/>
        </w:rPr>
        <w:t>sektorze przedsiębiorstw bez wypłat nagród z zysku w czwartym kwartale 2020 r., ogłaszanego przez Prezesa Głównego Urzędu Stat</w:t>
      </w:r>
      <w:r w:rsidR="00D94893" w:rsidRPr="00330D6A">
        <w:rPr>
          <w:color w:val="000000" w:themeColor="text1"/>
        </w:rPr>
        <w:t xml:space="preserve">ystycznego </w:t>
      </w:r>
      <w:r w:rsidR="00800193" w:rsidRPr="00330D6A">
        <w:rPr>
          <w:color w:val="000000" w:themeColor="text1"/>
        </w:rPr>
        <w:t>(tj. 5 655,43 zł).</w:t>
      </w:r>
    </w:p>
    <w:p w14:paraId="66980276" w14:textId="77777777" w:rsidR="00393265" w:rsidRDefault="00393265" w:rsidP="007F25E8">
      <w:pPr>
        <w:pStyle w:val="Akapitzlist"/>
        <w:numPr>
          <w:ilvl w:val="0"/>
          <w:numId w:val="24"/>
        </w:numPr>
        <w:spacing w:before="120" w:after="160" w:line="360" w:lineRule="auto"/>
        <w:contextualSpacing w:val="0"/>
        <w:jc w:val="both"/>
        <w:rPr>
          <w:color w:val="000000" w:themeColor="text1"/>
        </w:rPr>
      </w:pPr>
      <w:r>
        <w:rPr>
          <w:color w:val="000000" w:themeColor="text1"/>
        </w:rPr>
        <w:t>Zwiększenie</w:t>
      </w:r>
      <w:r w:rsidRPr="001B3519">
        <w:rPr>
          <w:color w:val="000000" w:themeColor="text1"/>
        </w:rPr>
        <w:t xml:space="preserve"> w roku 2024 wysokość średniego wynagrodzenia nauczycieli początkujących i mianowanych, ustalonego w sposób określony w </w:t>
      </w:r>
      <w:r>
        <w:rPr>
          <w:color w:val="000000" w:themeColor="text1"/>
        </w:rPr>
        <w:t>ustawie</w:t>
      </w:r>
      <w:r w:rsidRPr="001B3519">
        <w:rPr>
          <w:color w:val="000000" w:themeColor="text1"/>
        </w:rPr>
        <w:t xml:space="preserve"> z dnia 26 stycznia 1982 r. – Karta Nauczyciela</w:t>
      </w:r>
      <w:r>
        <w:rPr>
          <w:color w:val="000000" w:themeColor="text1"/>
        </w:rPr>
        <w:t>,</w:t>
      </w:r>
      <w:r w:rsidRPr="001B3519">
        <w:rPr>
          <w:color w:val="000000" w:themeColor="text1"/>
        </w:rPr>
        <w:t xml:space="preserve"> o dodatkowe 6,857%.</w:t>
      </w:r>
      <w:r w:rsidRPr="001B3519">
        <w:t xml:space="preserve"> </w:t>
      </w:r>
      <w:r>
        <w:t>Z</w:t>
      </w:r>
      <w:r w:rsidRPr="001B3519">
        <w:rPr>
          <w:color w:val="000000" w:themeColor="text1"/>
        </w:rPr>
        <w:t>apewnienie wyższego wzrostu średniego wynagrodzenia nauczycieli początkującyc</w:t>
      </w:r>
      <w:r>
        <w:rPr>
          <w:color w:val="000000" w:themeColor="text1"/>
        </w:rPr>
        <w:t>h i mianowanych, umożliwi ustalenie</w:t>
      </w:r>
      <w:r w:rsidRPr="001B3519">
        <w:rPr>
          <w:color w:val="000000" w:themeColor="text1"/>
        </w:rPr>
        <w:t xml:space="preserve"> dla tych nauczycieli minimalnych stawek wynagrodzenia zasadniczego nie niższych niż minimalne wynagrodzenie za pracę.</w:t>
      </w:r>
      <w:r w:rsidRPr="001B3519">
        <w:t xml:space="preserve"> </w:t>
      </w:r>
      <w:r>
        <w:t xml:space="preserve">Jednocześnie dla tych grup nauczycieli </w:t>
      </w:r>
      <w:r>
        <w:rPr>
          <w:color w:val="000000" w:themeColor="text1"/>
        </w:rPr>
        <w:t>zachowana zostanie</w:t>
      </w:r>
      <w:r w:rsidRPr="001B3519">
        <w:rPr>
          <w:color w:val="000000" w:themeColor="text1"/>
        </w:rPr>
        <w:t xml:space="preserve"> wysokości kwoty bazowe</w:t>
      </w:r>
      <w:r>
        <w:rPr>
          <w:color w:val="000000" w:themeColor="text1"/>
        </w:rPr>
        <w:t>j dla nauczycieli zaproponowana</w:t>
      </w:r>
      <w:r w:rsidRPr="001B3519">
        <w:rPr>
          <w:color w:val="000000" w:themeColor="text1"/>
        </w:rPr>
        <w:t xml:space="preserve"> w projekcie ustawy budżetowej na rok 2024</w:t>
      </w:r>
      <w:r>
        <w:rPr>
          <w:color w:val="000000" w:themeColor="text1"/>
        </w:rPr>
        <w:t>.</w:t>
      </w:r>
    </w:p>
    <w:p w14:paraId="7D88A1A5" w14:textId="5D130478" w:rsidR="00800193" w:rsidRPr="00330D6A" w:rsidRDefault="000B0BCD" w:rsidP="007F25E8">
      <w:pPr>
        <w:pStyle w:val="Akapitzlist"/>
        <w:numPr>
          <w:ilvl w:val="0"/>
          <w:numId w:val="24"/>
        </w:numPr>
        <w:spacing w:before="120" w:after="160" w:line="360" w:lineRule="auto"/>
        <w:ind w:left="357" w:hanging="357"/>
        <w:contextualSpacing w:val="0"/>
        <w:jc w:val="both"/>
        <w:rPr>
          <w:color w:val="000000" w:themeColor="text1"/>
        </w:rPr>
      </w:pPr>
      <w:r w:rsidRPr="00330D6A">
        <w:rPr>
          <w:color w:val="000000" w:themeColor="text1"/>
        </w:rPr>
        <w:t>Z</w:t>
      </w:r>
      <w:r w:rsidR="00800193" w:rsidRPr="00330D6A">
        <w:rPr>
          <w:color w:val="000000" w:themeColor="text1"/>
        </w:rPr>
        <w:t>amrożenie kwoty bazowej dla osób zajmujących kierownicze stanowiska państwowe.</w:t>
      </w:r>
      <w:r w:rsidR="00D94893" w:rsidRPr="00330D6A">
        <w:rPr>
          <w:color w:val="000000" w:themeColor="text1"/>
        </w:rPr>
        <w:t xml:space="preserve"> </w:t>
      </w:r>
      <w:r w:rsidR="00800193" w:rsidRPr="00330D6A">
        <w:rPr>
          <w:color w:val="000000" w:themeColor="text1"/>
        </w:rPr>
        <w:t>Zgodnie z art. 5 pkt 1 lit. a ustawy z dnia 23 grudnia 1999 r. o kształtowaniu wynagrodzeń w</w:t>
      </w:r>
      <w:r w:rsidR="00D94893" w:rsidRPr="00330D6A">
        <w:rPr>
          <w:color w:val="000000" w:themeColor="text1"/>
        </w:rPr>
        <w:t xml:space="preserve"> </w:t>
      </w:r>
      <w:r w:rsidR="00800193" w:rsidRPr="00330D6A">
        <w:rPr>
          <w:color w:val="000000" w:themeColor="text1"/>
        </w:rPr>
        <w:t>państwowej sferze budżetowej oraz o zmianie niektórych ustaw (Dz. U. z 2022 r. poz.</w:t>
      </w:r>
      <w:r w:rsidR="00D90BF3" w:rsidRPr="00330D6A">
        <w:rPr>
          <w:color w:val="000000" w:themeColor="text1"/>
        </w:rPr>
        <w:t> </w:t>
      </w:r>
      <w:r w:rsidR="00800193" w:rsidRPr="00330D6A">
        <w:rPr>
          <w:color w:val="000000" w:themeColor="text1"/>
        </w:rPr>
        <w:t>1533</w:t>
      </w:r>
      <w:r w:rsidR="007F3660" w:rsidRPr="00330D6A">
        <w:rPr>
          <w:color w:val="000000" w:themeColor="text1"/>
        </w:rPr>
        <w:t xml:space="preserve">, z </w:t>
      </w:r>
      <w:proofErr w:type="spellStart"/>
      <w:r w:rsidR="007F3660" w:rsidRPr="00330D6A">
        <w:rPr>
          <w:color w:val="000000" w:themeColor="text1"/>
        </w:rPr>
        <w:t>późn</w:t>
      </w:r>
      <w:proofErr w:type="spellEnd"/>
      <w:r w:rsidR="007F3660" w:rsidRPr="00330D6A">
        <w:rPr>
          <w:color w:val="000000" w:themeColor="text1"/>
        </w:rPr>
        <w:t>. zm.</w:t>
      </w:r>
      <w:r w:rsidR="00800193" w:rsidRPr="00330D6A">
        <w:rPr>
          <w:color w:val="000000" w:themeColor="text1"/>
        </w:rPr>
        <w:t>), osoby zajmujące kierownicze stanowiska państwowe są pracownikami państwowej sfery budżetowej, objętymi mnożnikowymi systemami wynagrodzeń. Na podstawie art. 9 ust. 1 pkt 2 i 3 ww. ustawy, w ustawie budżetowej na dany rok ustala się: kwoty bazowe i średnioroczne wskaźniki wzrostu wynagrodzeń w</w:t>
      </w:r>
      <w:r w:rsidR="00D90BF3" w:rsidRPr="00330D6A">
        <w:rPr>
          <w:color w:val="000000" w:themeColor="text1"/>
        </w:rPr>
        <w:t> </w:t>
      </w:r>
      <w:r w:rsidR="00800193" w:rsidRPr="00330D6A">
        <w:rPr>
          <w:color w:val="000000" w:themeColor="text1"/>
        </w:rPr>
        <w:t xml:space="preserve">państwowej sferze budżetowej. W </w:t>
      </w:r>
      <w:r w:rsidR="009F1DD8" w:rsidRPr="00330D6A">
        <w:rPr>
          <w:color w:val="000000" w:themeColor="text1"/>
        </w:rPr>
        <w:t xml:space="preserve">roku </w:t>
      </w:r>
      <w:r w:rsidR="00800193" w:rsidRPr="00330D6A">
        <w:rPr>
          <w:color w:val="000000" w:themeColor="text1"/>
        </w:rPr>
        <w:t>2024 nie przewiduje się waloryzacji kwoty bazowej osób zajmujących kierownicze stanowiska państwowe, stanowiącej podstawę do ustalania wysokości wynagrodzeń tych osób, co oznacza, że pozostanie ona w wysokości dotychczasowej, tj.</w:t>
      </w:r>
      <w:r w:rsidR="009F1DD8" w:rsidRPr="00330D6A">
        <w:rPr>
          <w:color w:val="000000" w:themeColor="text1"/>
        </w:rPr>
        <w:t> </w:t>
      </w:r>
      <w:r w:rsidR="00800193" w:rsidRPr="00330D6A">
        <w:rPr>
          <w:color w:val="000000" w:themeColor="text1"/>
        </w:rPr>
        <w:t>1</w:t>
      </w:r>
      <w:r w:rsidRPr="00330D6A">
        <w:rPr>
          <w:color w:val="000000" w:themeColor="text1"/>
        </w:rPr>
        <w:t> </w:t>
      </w:r>
      <w:r w:rsidR="00800193" w:rsidRPr="00330D6A">
        <w:rPr>
          <w:color w:val="000000" w:themeColor="text1"/>
        </w:rPr>
        <w:t xml:space="preserve">789,42 zł. </w:t>
      </w:r>
    </w:p>
    <w:p w14:paraId="7DAE2EC0" w14:textId="77777777" w:rsidR="00800193" w:rsidRPr="00330D6A" w:rsidRDefault="00800193" w:rsidP="007F25E8">
      <w:pPr>
        <w:spacing w:before="120" w:line="360" w:lineRule="auto"/>
        <w:ind w:left="357"/>
        <w:jc w:val="both"/>
        <w:rPr>
          <w:color w:val="000000" w:themeColor="text1"/>
        </w:rPr>
      </w:pPr>
      <w:r w:rsidRPr="00330D6A">
        <w:rPr>
          <w:color w:val="000000" w:themeColor="text1"/>
        </w:rPr>
        <w:lastRenderedPageBreak/>
        <w:t xml:space="preserve">Zatem również w </w:t>
      </w:r>
      <w:r w:rsidR="009F1DD8" w:rsidRPr="00330D6A">
        <w:rPr>
          <w:color w:val="000000" w:themeColor="text1"/>
        </w:rPr>
        <w:t xml:space="preserve">roku </w:t>
      </w:r>
      <w:r w:rsidRPr="00330D6A">
        <w:rPr>
          <w:color w:val="000000" w:themeColor="text1"/>
        </w:rPr>
        <w:t>2024 nie przewiduje się wprowadzenia podwyżek wynagrodzeń osób zajmujących kierownicze stanowiska państwowe, tak jak w przypadku pozostałych pracowników państwowej sfery budżetowej zatrudnionych na zasadach ogólnych, objętych przepisami ustawy</w:t>
      </w:r>
      <w:r w:rsidR="0094050F" w:rsidRPr="00330D6A">
        <w:rPr>
          <w:color w:val="000000" w:themeColor="text1"/>
        </w:rPr>
        <w:t xml:space="preserve"> </w:t>
      </w:r>
      <w:r w:rsidR="009F1DD8" w:rsidRPr="00330D6A">
        <w:rPr>
          <w:color w:val="000000" w:themeColor="text1"/>
        </w:rPr>
        <w:t xml:space="preserve">z dnia 23 grudnia 1999 r. </w:t>
      </w:r>
      <w:r w:rsidR="0094050F" w:rsidRPr="00330D6A">
        <w:rPr>
          <w:color w:val="000000" w:themeColor="text1"/>
        </w:rPr>
        <w:t>o kształtowaniu wynagrodzeń w państwowej sferze budżetowej oraz o</w:t>
      </w:r>
      <w:r w:rsidR="009F1DD8" w:rsidRPr="00330D6A">
        <w:rPr>
          <w:color w:val="000000" w:themeColor="text1"/>
        </w:rPr>
        <w:t> </w:t>
      </w:r>
      <w:r w:rsidR="0094050F" w:rsidRPr="00330D6A">
        <w:rPr>
          <w:color w:val="000000" w:themeColor="text1"/>
        </w:rPr>
        <w:t>zmianie niektórych ustaw</w:t>
      </w:r>
      <w:r w:rsidRPr="00330D6A">
        <w:rPr>
          <w:color w:val="000000" w:themeColor="text1"/>
        </w:rPr>
        <w:t xml:space="preserve">, dla których w </w:t>
      </w:r>
      <w:r w:rsidR="009F1DD8" w:rsidRPr="00330D6A">
        <w:rPr>
          <w:color w:val="000000" w:themeColor="text1"/>
        </w:rPr>
        <w:t xml:space="preserve">roku 2024 </w:t>
      </w:r>
      <w:r w:rsidRPr="00330D6A">
        <w:rPr>
          <w:color w:val="000000" w:themeColor="text1"/>
        </w:rPr>
        <w:t>planowany jest wzrost kwot bazowych o 6,6%. W konsekwencji tego rozwiązania nie nastąpi również automatyczny wzrost uposażenia posłów i senatorów, które odpowiada 80% wysokości wynagrodzenia podsekretarza stanu, ustalonego na podstawie przepisów o wynagrodzeniu osób zajmujących kierownicze stanowiska państwowe, z wyłączeniem dodatku z tytułu wysługi lat (przysługującego zgodnie z przepisami art. 25 ust. 2 ustawy z dnia 9 maja 1996</w:t>
      </w:r>
      <w:r w:rsidR="00D90BF3" w:rsidRPr="00330D6A">
        <w:rPr>
          <w:color w:val="000000" w:themeColor="text1"/>
        </w:rPr>
        <w:t> </w:t>
      </w:r>
      <w:r w:rsidRPr="00330D6A">
        <w:rPr>
          <w:color w:val="000000" w:themeColor="text1"/>
        </w:rPr>
        <w:t>r. o wykonywaniu mandatu posła i senatora (Dz. U. z 2022 r. poz. 1339</w:t>
      </w:r>
      <w:r w:rsidR="007F3660" w:rsidRPr="00330D6A">
        <w:rPr>
          <w:color w:val="000000" w:themeColor="text1"/>
        </w:rPr>
        <w:t xml:space="preserve">, z </w:t>
      </w:r>
      <w:proofErr w:type="spellStart"/>
      <w:r w:rsidR="007F3660" w:rsidRPr="00330D6A">
        <w:rPr>
          <w:color w:val="000000" w:themeColor="text1"/>
        </w:rPr>
        <w:t>późn</w:t>
      </w:r>
      <w:proofErr w:type="spellEnd"/>
      <w:r w:rsidR="007F3660" w:rsidRPr="00330D6A">
        <w:rPr>
          <w:color w:val="000000" w:themeColor="text1"/>
        </w:rPr>
        <w:t>. zm.</w:t>
      </w:r>
      <w:r w:rsidRPr="00330D6A">
        <w:rPr>
          <w:color w:val="000000" w:themeColor="text1"/>
        </w:rPr>
        <w:t>)</w:t>
      </w:r>
      <w:r w:rsidR="009F1DD8" w:rsidRPr="00330D6A">
        <w:rPr>
          <w:color w:val="000000" w:themeColor="text1"/>
        </w:rPr>
        <w:t>)</w:t>
      </w:r>
      <w:r w:rsidRPr="00330D6A">
        <w:rPr>
          <w:color w:val="000000" w:themeColor="text1"/>
        </w:rPr>
        <w:t>.</w:t>
      </w:r>
    </w:p>
    <w:p w14:paraId="1E4466AD" w14:textId="77777777" w:rsidR="00800193" w:rsidRPr="00330D6A" w:rsidRDefault="00800193" w:rsidP="007F25E8">
      <w:pPr>
        <w:spacing w:before="120" w:line="360" w:lineRule="auto"/>
        <w:ind w:left="357"/>
        <w:jc w:val="both"/>
        <w:rPr>
          <w:color w:val="000000" w:themeColor="text1"/>
        </w:rPr>
      </w:pPr>
      <w:r w:rsidRPr="00330D6A">
        <w:rPr>
          <w:color w:val="000000" w:themeColor="text1"/>
        </w:rPr>
        <w:t>W wyniku projektowanej zmiany nastąpi również ograniczenie możliwości zwiększenia pewnych kategorii wydatków, które są określane/relacjonowane w obowiązującym prawie do kwoty bazowej osób zajmujących kierownicze stanowiska państwowe, np.:</w:t>
      </w:r>
    </w:p>
    <w:p w14:paraId="4123B61E" w14:textId="77777777" w:rsidR="00800193" w:rsidRPr="00330D6A" w:rsidRDefault="00800193" w:rsidP="007F25E8">
      <w:pPr>
        <w:pStyle w:val="Akapitzlist"/>
        <w:numPr>
          <w:ilvl w:val="0"/>
          <w:numId w:val="25"/>
        </w:numPr>
        <w:spacing w:before="120" w:line="360" w:lineRule="auto"/>
        <w:jc w:val="both"/>
        <w:rPr>
          <w:color w:val="000000" w:themeColor="text1"/>
        </w:rPr>
      </w:pPr>
      <w:r w:rsidRPr="00330D6A">
        <w:rPr>
          <w:color w:val="000000" w:themeColor="text1"/>
        </w:rPr>
        <w:t>maksymalne wynagrodzenie pracowników samorządowych zatrudnionych na podstawie wyboru (członków zarządu jednostek samorządu terytorialnego, wójtów, burmistrzów, prezydentów miast, a także starostów i wicestarostów oraz marszałków województw i wicemarszałków) nie może przekroczyć w okresie miesiąca 11,2-krotności kwoty bazowej określonej w ustawie budżetowej dla osób zajmujących kierownicze stanowiska państwowe na podstawie przepisów ustawy z</w:t>
      </w:r>
      <w:r w:rsidR="009F1DD8" w:rsidRPr="00330D6A">
        <w:rPr>
          <w:color w:val="000000" w:themeColor="text1"/>
        </w:rPr>
        <w:t> </w:t>
      </w:r>
      <w:r w:rsidRPr="00330D6A">
        <w:rPr>
          <w:color w:val="000000" w:themeColor="text1"/>
        </w:rPr>
        <w:t>dnia 23 grudnia 1999 r. o kształtowaniu wynagrodzeń w państwowej sferze budżetowej oraz o zmianie niektórych ustaw (art. 4 ust. 1 pkt 1 i art. 37 ust. 3 ustawy z dnia 21 listopada 2008 r. o pracownikach samorządowych (Dz. U. z 2022 r. poz.</w:t>
      </w:r>
      <w:r w:rsidR="00D90BF3" w:rsidRPr="00330D6A">
        <w:rPr>
          <w:color w:val="000000" w:themeColor="text1"/>
        </w:rPr>
        <w:t> </w:t>
      </w:r>
      <w:r w:rsidRPr="00330D6A">
        <w:rPr>
          <w:color w:val="000000" w:themeColor="text1"/>
        </w:rPr>
        <w:t>530)</w:t>
      </w:r>
      <w:r w:rsidR="009F1DD8" w:rsidRPr="00330D6A">
        <w:rPr>
          <w:color w:val="000000" w:themeColor="text1"/>
        </w:rPr>
        <w:t>)</w:t>
      </w:r>
      <w:r w:rsidRPr="00330D6A">
        <w:rPr>
          <w:color w:val="000000" w:themeColor="text1"/>
        </w:rPr>
        <w:t xml:space="preserve">, </w:t>
      </w:r>
    </w:p>
    <w:p w14:paraId="120E6A61" w14:textId="69AE6E22" w:rsidR="00800193" w:rsidRPr="00330D6A" w:rsidRDefault="00800193" w:rsidP="007F25E8">
      <w:pPr>
        <w:pStyle w:val="Akapitzlist"/>
        <w:numPr>
          <w:ilvl w:val="0"/>
          <w:numId w:val="25"/>
        </w:numPr>
        <w:spacing w:before="120" w:line="360" w:lineRule="auto"/>
        <w:jc w:val="both"/>
        <w:rPr>
          <w:color w:val="000000" w:themeColor="text1"/>
        </w:rPr>
      </w:pPr>
      <w:r w:rsidRPr="00330D6A">
        <w:rPr>
          <w:color w:val="000000" w:themeColor="text1"/>
        </w:rPr>
        <w:t>diety radnych, które nie mogą przekroczyć w ciągu miesiąca łącznie 2,4-krotności kwoty bazowej, określonej w ustawie budżetowej dla osób zajmujących kierownicze stanowiska państwowe na podstawie przepisów ustawy z dnia 23</w:t>
      </w:r>
      <w:r w:rsidR="009F1DD8" w:rsidRPr="00330D6A">
        <w:rPr>
          <w:color w:val="000000" w:themeColor="text1"/>
        </w:rPr>
        <w:t> </w:t>
      </w:r>
      <w:r w:rsidRPr="00330D6A">
        <w:rPr>
          <w:color w:val="000000" w:themeColor="text1"/>
        </w:rPr>
        <w:t xml:space="preserve">grudnia 1999 r. o kształtowaniu wynagrodzeń w państwowej sferze budżetowej oraz o zmianie niektórych ustaw (art. 25 ust. 6 ustawy z dnia 8 marca 1990 r. o samorządzie gminnym (Dz. U. z 2023 r. poz. 40, </w:t>
      </w:r>
      <w:r w:rsidR="007F3660" w:rsidRPr="00330D6A">
        <w:rPr>
          <w:color w:val="000000" w:themeColor="text1"/>
        </w:rPr>
        <w:t xml:space="preserve">z </w:t>
      </w:r>
      <w:proofErr w:type="spellStart"/>
      <w:r w:rsidR="007F3660" w:rsidRPr="00330D6A">
        <w:rPr>
          <w:color w:val="000000" w:themeColor="text1"/>
        </w:rPr>
        <w:t>późn</w:t>
      </w:r>
      <w:proofErr w:type="spellEnd"/>
      <w:r w:rsidR="007F3660" w:rsidRPr="00330D6A">
        <w:rPr>
          <w:color w:val="000000" w:themeColor="text1"/>
        </w:rPr>
        <w:t>. zm.</w:t>
      </w:r>
      <w:r w:rsidRPr="00330D6A">
        <w:rPr>
          <w:color w:val="000000" w:themeColor="text1"/>
        </w:rPr>
        <w:t>)</w:t>
      </w:r>
      <w:r w:rsidR="009F1DD8" w:rsidRPr="00330D6A">
        <w:rPr>
          <w:color w:val="000000" w:themeColor="text1"/>
        </w:rPr>
        <w:t>)</w:t>
      </w:r>
      <w:r w:rsidRPr="00330D6A">
        <w:rPr>
          <w:color w:val="000000" w:themeColor="text1"/>
        </w:rPr>
        <w:t xml:space="preserve">. Rada gminy ustala zasady, na podstawie których radnemu przysługują diety oraz zwrot kosztów podróży służbowych, a przy ustalaniu wysokości diet radnych bierze pod uwagę funkcje pełnione przez radnego, </w:t>
      </w:r>
    </w:p>
    <w:p w14:paraId="4E13B7AC" w14:textId="77777777" w:rsidR="00800193" w:rsidRPr="00330D6A" w:rsidRDefault="00800193" w:rsidP="007F25E8">
      <w:pPr>
        <w:pStyle w:val="Akapitzlist"/>
        <w:numPr>
          <w:ilvl w:val="0"/>
          <w:numId w:val="25"/>
        </w:numPr>
        <w:spacing w:before="120" w:line="360" w:lineRule="auto"/>
        <w:jc w:val="both"/>
        <w:rPr>
          <w:color w:val="000000" w:themeColor="text1"/>
        </w:rPr>
      </w:pPr>
      <w:r w:rsidRPr="00330D6A">
        <w:rPr>
          <w:color w:val="000000" w:themeColor="text1"/>
        </w:rPr>
        <w:lastRenderedPageBreak/>
        <w:t>wynagrodzenie osób wchodzących w skład Państwowej Komisji Wyborczej przysługuje na podstawie kwoty bazowej przyjmowanej do ustalenia wynagrodzenia osób zajmujących kierownicze stanowiska państwowe, z</w:t>
      </w:r>
      <w:r w:rsidR="009F1DD8" w:rsidRPr="00330D6A">
        <w:rPr>
          <w:color w:val="000000" w:themeColor="text1"/>
        </w:rPr>
        <w:t> </w:t>
      </w:r>
      <w:r w:rsidRPr="00330D6A">
        <w:rPr>
          <w:color w:val="000000" w:themeColor="text1"/>
        </w:rPr>
        <w:t xml:space="preserve">zastosowaniem mnożników: </w:t>
      </w:r>
    </w:p>
    <w:p w14:paraId="657A104F" w14:textId="77777777" w:rsidR="00800193" w:rsidRPr="00330D6A" w:rsidRDefault="00800193" w:rsidP="007F25E8">
      <w:pPr>
        <w:pStyle w:val="Akapitzlist"/>
        <w:numPr>
          <w:ilvl w:val="0"/>
          <w:numId w:val="26"/>
        </w:numPr>
        <w:spacing w:before="120" w:line="360" w:lineRule="auto"/>
        <w:ind w:left="1701"/>
        <w:rPr>
          <w:color w:val="000000" w:themeColor="text1"/>
        </w:rPr>
      </w:pPr>
      <w:r w:rsidRPr="00330D6A">
        <w:rPr>
          <w:color w:val="000000" w:themeColor="text1"/>
        </w:rPr>
        <w:t xml:space="preserve">dla przewodniczącego – 4,9; </w:t>
      </w:r>
    </w:p>
    <w:p w14:paraId="16D083D7" w14:textId="77777777" w:rsidR="00800193" w:rsidRPr="00330D6A" w:rsidRDefault="00800193" w:rsidP="007F25E8">
      <w:pPr>
        <w:pStyle w:val="Akapitzlist"/>
        <w:numPr>
          <w:ilvl w:val="0"/>
          <w:numId w:val="26"/>
        </w:numPr>
        <w:spacing w:before="120" w:line="360" w:lineRule="auto"/>
        <w:ind w:left="1701"/>
        <w:rPr>
          <w:color w:val="000000" w:themeColor="text1"/>
        </w:rPr>
      </w:pPr>
      <w:r w:rsidRPr="00330D6A">
        <w:rPr>
          <w:color w:val="000000" w:themeColor="text1"/>
        </w:rPr>
        <w:t xml:space="preserve">dla zastępcy przewodniczącego – 4,48; </w:t>
      </w:r>
    </w:p>
    <w:p w14:paraId="585E7A1D" w14:textId="77777777" w:rsidR="00800193" w:rsidRPr="00330D6A" w:rsidRDefault="00800193" w:rsidP="007F25E8">
      <w:pPr>
        <w:pStyle w:val="Akapitzlist"/>
        <w:numPr>
          <w:ilvl w:val="0"/>
          <w:numId w:val="26"/>
        </w:numPr>
        <w:spacing w:before="120" w:line="360" w:lineRule="auto"/>
        <w:ind w:left="1701"/>
        <w:rPr>
          <w:color w:val="000000" w:themeColor="text1"/>
        </w:rPr>
      </w:pPr>
      <w:r w:rsidRPr="00330D6A">
        <w:rPr>
          <w:color w:val="000000" w:themeColor="text1"/>
        </w:rPr>
        <w:t>dla członków Komisji – 4,2</w:t>
      </w:r>
    </w:p>
    <w:p w14:paraId="3B7F8E6A" w14:textId="77777777" w:rsidR="00800193" w:rsidRPr="00330D6A" w:rsidRDefault="00800193" w:rsidP="007F25E8">
      <w:pPr>
        <w:spacing w:line="360" w:lineRule="auto"/>
        <w:ind w:left="1134"/>
        <w:jc w:val="both"/>
        <w:rPr>
          <w:color w:val="000000" w:themeColor="text1"/>
        </w:rPr>
      </w:pPr>
      <w:r w:rsidRPr="00330D6A">
        <w:rPr>
          <w:color w:val="000000" w:themeColor="text1"/>
        </w:rPr>
        <w:t>(art. 159 §</w:t>
      </w:r>
      <w:r w:rsidR="009F1DD8" w:rsidRPr="00330D6A">
        <w:rPr>
          <w:color w:val="000000" w:themeColor="text1"/>
        </w:rPr>
        <w:t xml:space="preserve"> </w:t>
      </w:r>
      <w:r w:rsidRPr="00330D6A">
        <w:rPr>
          <w:color w:val="000000" w:themeColor="text1"/>
        </w:rPr>
        <w:t xml:space="preserve">2 ustawy z dnia 5 stycznia 2011 r. – Kodeks wyborczy </w:t>
      </w:r>
      <w:r w:rsidR="009F1DD8" w:rsidRPr="00330D6A">
        <w:rPr>
          <w:color w:val="000000" w:themeColor="text1"/>
        </w:rPr>
        <w:t>(</w:t>
      </w:r>
      <w:r w:rsidRPr="00330D6A">
        <w:rPr>
          <w:color w:val="000000" w:themeColor="text1"/>
        </w:rPr>
        <w:t>Dz. U. z 2022 r. poz. 1277</w:t>
      </w:r>
      <w:r w:rsidR="007F3660" w:rsidRPr="00330D6A">
        <w:rPr>
          <w:color w:val="000000" w:themeColor="text1"/>
        </w:rPr>
        <w:t xml:space="preserve">, z </w:t>
      </w:r>
      <w:proofErr w:type="spellStart"/>
      <w:r w:rsidR="007F3660" w:rsidRPr="00330D6A">
        <w:rPr>
          <w:color w:val="000000" w:themeColor="text1"/>
        </w:rPr>
        <w:t>późn</w:t>
      </w:r>
      <w:proofErr w:type="spellEnd"/>
      <w:r w:rsidR="007F3660" w:rsidRPr="00330D6A">
        <w:rPr>
          <w:color w:val="000000" w:themeColor="text1"/>
        </w:rPr>
        <w:t>. zm.</w:t>
      </w:r>
      <w:r w:rsidRPr="00330D6A">
        <w:rPr>
          <w:color w:val="000000" w:themeColor="text1"/>
        </w:rPr>
        <w:t>)</w:t>
      </w:r>
      <w:r w:rsidR="009F1DD8" w:rsidRPr="00330D6A">
        <w:rPr>
          <w:color w:val="000000" w:themeColor="text1"/>
        </w:rPr>
        <w:t>)</w:t>
      </w:r>
      <w:r w:rsidRPr="00330D6A">
        <w:rPr>
          <w:color w:val="000000" w:themeColor="text1"/>
        </w:rPr>
        <w:t xml:space="preserve">. </w:t>
      </w:r>
    </w:p>
    <w:p w14:paraId="0E29C99A" w14:textId="77777777" w:rsidR="00EB2EDF" w:rsidRPr="00330D6A" w:rsidRDefault="00EB2EDF" w:rsidP="007F25E8">
      <w:pPr>
        <w:spacing w:before="120" w:after="120" w:line="360" w:lineRule="auto"/>
        <w:jc w:val="both"/>
        <w:outlineLvl w:val="0"/>
        <w:rPr>
          <w:color w:val="000000" w:themeColor="text1"/>
        </w:rPr>
      </w:pPr>
      <w:r w:rsidRPr="00330D6A">
        <w:rPr>
          <w:color w:val="000000" w:themeColor="text1"/>
        </w:rPr>
        <w:t>W trosce o dobro wspólne oczywistym jest sprawiedliwy podział kosztów związanych z</w:t>
      </w:r>
      <w:r w:rsidR="006C2FB8" w:rsidRPr="00330D6A">
        <w:rPr>
          <w:color w:val="000000" w:themeColor="text1"/>
        </w:rPr>
        <w:t> </w:t>
      </w:r>
      <w:r w:rsidRPr="00330D6A">
        <w:rPr>
          <w:color w:val="000000" w:themeColor="text1"/>
        </w:rPr>
        <w:t xml:space="preserve">zabezpieczeniem priorytetowych zadań </w:t>
      </w:r>
      <w:r w:rsidR="006C2FB8" w:rsidRPr="00330D6A">
        <w:rPr>
          <w:color w:val="000000" w:themeColor="text1"/>
        </w:rPr>
        <w:t>p</w:t>
      </w:r>
      <w:r w:rsidRPr="00330D6A">
        <w:rPr>
          <w:color w:val="000000" w:themeColor="text1"/>
        </w:rPr>
        <w:t xml:space="preserve">aństwa, pomiędzy wszystkie grupy społeczne. Zaproponowany sposób ustalenia wynagrodzeń sędziów i prokuratorów w żaden sposób nie narusza niezależności wymiaru sprawiedliwości stanowiąc jednocześnie przejaw równości wszystkich obywateli wobec pojawiających się zagrożeń. Przyjęta wysokość wzrostu wynagrodzeń sędziów i prokuratorów jest zatem analogiczna do wysokości dotyczącej pozostałych pracowników wynagradzanych z budżetu państwa i jest wyższa niż przewidywany wskaźnik inflacji, który planuje się na poziomie 106,6%. </w:t>
      </w:r>
    </w:p>
    <w:p w14:paraId="35E2BC85" w14:textId="69EFF4EA" w:rsidR="00EB2EDF" w:rsidRDefault="00EB2EDF" w:rsidP="007F25E8">
      <w:pPr>
        <w:spacing w:before="120" w:after="120" w:line="360" w:lineRule="auto"/>
        <w:jc w:val="both"/>
        <w:outlineLvl w:val="0"/>
        <w:rPr>
          <w:b/>
          <w:color w:val="000000" w:themeColor="text1"/>
        </w:rPr>
      </w:pPr>
      <w:r w:rsidRPr="00330D6A">
        <w:rPr>
          <w:color w:val="000000" w:themeColor="text1"/>
        </w:rPr>
        <w:t>Nie kwestionując przyjętego w aktualnych przepisach regulujących ustrój sądownictwa mechanizmu określania wynagrodzeń sędziów w oparciu o przeciętne wynagrodzenie w</w:t>
      </w:r>
      <w:r w:rsidR="006C2FB8" w:rsidRPr="00330D6A">
        <w:rPr>
          <w:color w:val="000000" w:themeColor="text1"/>
        </w:rPr>
        <w:t> </w:t>
      </w:r>
      <w:r w:rsidRPr="00330D6A">
        <w:rPr>
          <w:color w:val="000000" w:themeColor="text1"/>
        </w:rPr>
        <w:t>gospodarce narodowej, należy mieć na uwadze istotny wzrost nakładów na wynagrodzenia sędziów i prokuratorów na przestrzeni ostatnich lat. Wyasygnowanie dodatkowych środków na wynagrodzenia dla tych grup oznaczałoby konieczność redukcji wydatków w pozostałych sferach działalności państwa, co mogłoby negatywnie wpłynąć na realizację innych zadań publicznych finansowanych ze środków budżetu państwa</w:t>
      </w:r>
      <w:r w:rsidR="009F332A">
        <w:rPr>
          <w:color w:val="000000" w:themeColor="text1"/>
        </w:rPr>
        <w:t>.</w:t>
      </w:r>
    </w:p>
    <w:p w14:paraId="5667076B" w14:textId="6138533E" w:rsidR="00D22121" w:rsidRPr="00330D6A" w:rsidRDefault="00D22121" w:rsidP="007F25E8">
      <w:pPr>
        <w:spacing w:after="120" w:line="360" w:lineRule="auto"/>
        <w:jc w:val="center"/>
        <w:outlineLvl w:val="0"/>
        <w:rPr>
          <w:b/>
          <w:color w:val="000000" w:themeColor="text1"/>
        </w:rPr>
      </w:pPr>
      <w:r w:rsidRPr="00330D6A">
        <w:rPr>
          <w:b/>
          <w:color w:val="000000" w:themeColor="text1"/>
        </w:rPr>
        <w:t xml:space="preserve">Zmiany w zakresie finansów publicznych (art. </w:t>
      </w:r>
      <w:r w:rsidR="00ED1ECE">
        <w:rPr>
          <w:b/>
          <w:color w:val="000000" w:themeColor="text1"/>
        </w:rPr>
        <w:t>8</w:t>
      </w:r>
      <w:r w:rsidRPr="00330D6A">
        <w:rPr>
          <w:b/>
          <w:color w:val="000000" w:themeColor="text1"/>
        </w:rPr>
        <w:t>)</w:t>
      </w:r>
    </w:p>
    <w:p w14:paraId="49946A30" w14:textId="09D1F5CD" w:rsidR="004D56CE" w:rsidRPr="00330D6A" w:rsidRDefault="00512C8E" w:rsidP="007F25E8">
      <w:pPr>
        <w:pStyle w:val="Tekstpodstawowy"/>
        <w:spacing w:line="360" w:lineRule="auto"/>
        <w:rPr>
          <w:color w:val="000000" w:themeColor="text1"/>
        </w:rPr>
      </w:pPr>
      <w:r w:rsidRPr="00330D6A">
        <w:rPr>
          <w:color w:val="000000" w:themeColor="text1"/>
        </w:rPr>
        <w:t>Przewidziane w tym przepisie wyłączenie środków na realizację wspólnej polityki rolnej wynika z faktu, że zasady rozliczania środków w ramach pierwszego filaru wspólnej polityki rolnej są inne niż zasady rozliczania funduszy UE, dla których wydatki można realizować w</w:t>
      </w:r>
      <w:r w:rsidR="009F332A">
        <w:rPr>
          <w:color w:val="000000" w:themeColor="text1"/>
        </w:rPr>
        <w:t> </w:t>
      </w:r>
      <w:r w:rsidRPr="00330D6A">
        <w:rPr>
          <w:color w:val="000000" w:themeColor="text1"/>
        </w:rPr>
        <w:t xml:space="preserve">okresie siedmiu plus trzy lata, a rozliczeniu podlega alokacja dla całego programu. W ramach pierwszego filaru wspólnej polityki rolnej, finansowaniem Europejskiego Funduszu Rolniczego Gwarancji objęte są zarówno płatności bezpośrednie, w ramach kopert finansowych ustalonych na poszczególne lata, jak również działania interwencyjne obejmujące mechanizmy </w:t>
      </w:r>
      <w:r w:rsidRPr="00330D6A">
        <w:rPr>
          <w:color w:val="000000" w:themeColor="text1"/>
        </w:rPr>
        <w:lastRenderedPageBreak/>
        <w:t>uruchamiane doraźnie, w zależności od sytuacji panującej na rynku, w ramach środków udostępnianych przez Komisję Europejską. Ze względu na specyfikę działań interwencyjnych nie jest możliwa prezentacja alokacji obejmującej wszystkie wydatki ponoszone w ramach pierwszego i drugiego filaru wspólnej polityki rolnej dla całej perspektywy finansowej</w:t>
      </w:r>
      <w:r w:rsidR="009F332A">
        <w:rPr>
          <w:color w:val="000000" w:themeColor="text1"/>
        </w:rPr>
        <w:t>.</w:t>
      </w:r>
    </w:p>
    <w:p w14:paraId="5A3A9DE9" w14:textId="48DE57DE" w:rsidR="00314CDE" w:rsidRPr="00330D6A" w:rsidRDefault="00314CDE" w:rsidP="007F25E8">
      <w:pPr>
        <w:spacing w:after="120" w:line="360" w:lineRule="auto"/>
        <w:ind w:left="425" w:hanging="425"/>
        <w:jc w:val="center"/>
        <w:outlineLvl w:val="0"/>
        <w:rPr>
          <w:b/>
          <w:color w:val="000000" w:themeColor="text1"/>
        </w:rPr>
      </w:pPr>
      <w:r w:rsidRPr="00330D6A">
        <w:rPr>
          <w:b/>
          <w:color w:val="000000" w:themeColor="text1"/>
        </w:rPr>
        <w:t xml:space="preserve">Zmiany w zakresie otwartych funduszy emerytalnych (art. </w:t>
      </w:r>
      <w:r w:rsidR="00ED1ECE">
        <w:rPr>
          <w:b/>
          <w:color w:val="000000" w:themeColor="text1"/>
        </w:rPr>
        <w:t>9</w:t>
      </w:r>
      <w:r w:rsidRPr="00330D6A">
        <w:rPr>
          <w:b/>
          <w:color w:val="000000" w:themeColor="text1"/>
        </w:rPr>
        <w:t>)</w:t>
      </w:r>
    </w:p>
    <w:p w14:paraId="15C8D6A1" w14:textId="77777777" w:rsidR="00314CDE" w:rsidRPr="00330D6A" w:rsidRDefault="00314CDE" w:rsidP="007F25E8">
      <w:pPr>
        <w:spacing w:line="360" w:lineRule="auto"/>
        <w:jc w:val="both"/>
        <w:rPr>
          <w:color w:val="000000" w:themeColor="text1"/>
        </w:rPr>
      </w:pPr>
      <w:r w:rsidRPr="00330D6A">
        <w:rPr>
          <w:color w:val="000000" w:themeColor="text1"/>
        </w:rPr>
        <w:t>Wprowadzenie przedmiotowego przepisu do ustawy okołobudżetowej umożliwia finansowanie rekompensat składek przekazywanych na rzecz otwartych funduszy emerytalnych (OFE) w</w:t>
      </w:r>
      <w:r w:rsidR="00D90BF3" w:rsidRPr="00330D6A">
        <w:rPr>
          <w:color w:val="000000" w:themeColor="text1"/>
        </w:rPr>
        <w:t> </w:t>
      </w:r>
      <w:r w:rsidRPr="00330D6A">
        <w:rPr>
          <w:color w:val="000000" w:themeColor="text1"/>
        </w:rPr>
        <w:t>ramach wydatków budżetu państwa w roku 2024. Niniejszy przepis spowoduje, że w roku 2024 dotacja przekazywana przez ministra właściwego do spraw finansów publicznych do Funduszu Ubezpieczeń Społecznych będzie przeznaczona także na finansowanie przedmiotowych rekompensat.</w:t>
      </w:r>
    </w:p>
    <w:p w14:paraId="54DE8FF1" w14:textId="1D9A6D3A" w:rsidR="00314CDE" w:rsidRPr="00330D6A" w:rsidRDefault="00314CDE" w:rsidP="007F25E8">
      <w:pPr>
        <w:spacing w:line="360" w:lineRule="auto"/>
        <w:jc w:val="both"/>
        <w:rPr>
          <w:color w:val="000000" w:themeColor="text1"/>
        </w:rPr>
      </w:pPr>
      <w:r w:rsidRPr="00330D6A">
        <w:rPr>
          <w:color w:val="000000" w:themeColor="text1"/>
        </w:rPr>
        <w:t>Rozwiązanie to jest konsekwencją ujęcia w projekcie ustawy budżetowej na rok 2024 środków przeznaczonych na te rekompensaty w wydatkach, które do roku 2018 były ujmowane w</w:t>
      </w:r>
      <w:r w:rsidR="00D90BF3" w:rsidRPr="00330D6A">
        <w:rPr>
          <w:color w:val="000000" w:themeColor="text1"/>
        </w:rPr>
        <w:t> </w:t>
      </w:r>
      <w:r w:rsidRPr="00330D6A">
        <w:rPr>
          <w:color w:val="000000" w:themeColor="text1"/>
        </w:rPr>
        <w:t>rozchodach budżetu państwa. Przyjęte rozwiązanie jest analogiczne jak w latach 2019</w:t>
      </w:r>
      <w:r w:rsidR="003927E0">
        <w:rPr>
          <w:color w:val="000000" w:themeColor="text1"/>
        </w:rPr>
        <w:t>–</w:t>
      </w:r>
      <w:r w:rsidRPr="00330D6A">
        <w:rPr>
          <w:color w:val="000000" w:themeColor="text1"/>
        </w:rPr>
        <w:t>2023 i zmierza do wyeliminowania wątpliwości odnośnie do zasad klasyfikowania środków z tytułu przekazania składek do otwartych funduszy emerytalnych. Powyższa zmiana nie ma wpływu na wynik sektora instytucji rządowych i samorządowych wg metodologii ESA 2010.</w:t>
      </w:r>
    </w:p>
    <w:p w14:paraId="7944E5E4" w14:textId="56CF78F0" w:rsidR="00314CDE" w:rsidRPr="00330D6A" w:rsidRDefault="00314CDE" w:rsidP="007F25E8">
      <w:pPr>
        <w:spacing w:line="360" w:lineRule="auto"/>
        <w:jc w:val="both"/>
        <w:rPr>
          <w:color w:val="000000" w:themeColor="text1"/>
        </w:rPr>
      </w:pPr>
      <w:r w:rsidRPr="00330D6A">
        <w:t>Wprowadzenie przedmiotowej regulacji stanowi realizację wniosku pokontrolnego Najwyższej Izby Kontroli w zakresie klasyfikowania jako wydatku budżetu państwa finansowania ubytku składek odprowadzanych przez ZUS do OFE</w:t>
      </w:r>
      <w:r w:rsidR="009F332A">
        <w:t>.</w:t>
      </w:r>
    </w:p>
    <w:p w14:paraId="01DC7A8F" w14:textId="14DDAEDA" w:rsidR="00121986" w:rsidRPr="00330D6A" w:rsidRDefault="00121986" w:rsidP="007F25E8">
      <w:pPr>
        <w:spacing w:after="120" w:line="360" w:lineRule="auto"/>
        <w:jc w:val="center"/>
        <w:outlineLvl w:val="0"/>
        <w:rPr>
          <w:b/>
          <w:color w:val="000000" w:themeColor="text1"/>
        </w:rPr>
      </w:pPr>
      <w:r w:rsidRPr="00330D6A">
        <w:rPr>
          <w:b/>
          <w:color w:val="000000" w:themeColor="text1"/>
        </w:rPr>
        <w:t xml:space="preserve">Zmiany w Funduszu rozwoju przewozów autobusowych (art. </w:t>
      </w:r>
      <w:r w:rsidR="00ED1ECE">
        <w:rPr>
          <w:b/>
          <w:color w:val="000000" w:themeColor="text1"/>
        </w:rPr>
        <w:t>10</w:t>
      </w:r>
      <w:r w:rsidRPr="00330D6A">
        <w:rPr>
          <w:b/>
          <w:color w:val="000000" w:themeColor="text1"/>
        </w:rPr>
        <w:t>)</w:t>
      </w:r>
    </w:p>
    <w:p w14:paraId="55AA03FC" w14:textId="166FAD2D" w:rsidR="00121986" w:rsidRPr="00330D6A" w:rsidRDefault="00121986" w:rsidP="007F25E8">
      <w:pPr>
        <w:spacing w:after="120" w:line="360" w:lineRule="auto"/>
        <w:jc w:val="both"/>
        <w:outlineLvl w:val="0"/>
        <w:rPr>
          <w:bCs/>
          <w:color w:val="000000" w:themeColor="text1"/>
        </w:rPr>
      </w:pPr>
      <w:r w:rsidRPr="00330D6A">
        <w:rPr>
          <w:bCs/>
          <w:color w:val="000000" w:themeColor="text1"/>
        </w:rPr>
        <w:t xml:space="preserve">Potrzeba dokonania zmian legislacyjnych wynika z konieczności zabezpieczenia finansowania </w:t>
      </w:r>
      <w:r w:rsidR="00F005DF" w:rsidRPr="00330D6A">
        <w:rPr>
          <w:bCs/>
          <w:color w:val="000000" w:themeColor="text1"/>
        </w:rPr>
        <w:t xml:space="preserve">w 2024 roku </w:t>
      </w:r>
      <w:r w:rsidRPr="00330D6A">
        <w:rPr>
          <w:bCs/>
          <w:color w:val="000000" w:themeColor="text1"/>
        </w:rPr>
        <w:t>zadań realizowanych z Funduszu rozwoju przewozów autobusowych o</w:t>
      </w:r>
      <w:r w:rsidR="009F332A">
        <w:rPr>
          <w:bCs/>
          <w:color w:val="000000" w:themeColor="text1"/>
        </w:rPr>
        <w:t> </w:t>
      </w:r>
      <w:r w:rsidRPr="00330D6A">
        <w:rPr>
          <w:bCs/>
          <w:color w:val="000000" w:themeColor="text1"/>
        </w:rPr>
        <w:t xml:space="preserve">charakterze użyteczności publicznej </w:t>
      </w:r>
      <w:r w:rsidR="00F005DF" w:rsidRPr="00330D6A">
        <w:rPr>
          <w:bCs/>
          <w:color w:val="000000" w:themeColor="text1"/>
        </w:rPr>
        <w:t xml:space="preserve">(dalej: </w:t>
      </w:r>
      <w:r w:rsidR="00B80AA0">
        <w:rPr>
          <w:bCs/>
          <w:color w:val="000000" w:themeColor="text1"/>
        </w:rPr>
        <w:t>FRPA</w:t>
      </w:r>
      <w:r w:rsidR="00F005DF" w:rsidRPr="00330D6A">
        <w:rPr>
          <w:bCs/>
          <w:color w:val="000000" w:themeColor="text1"/>
        </w:rPr>
        <w:t>)</w:t>
      </w:r>
      <w:r w:rsidRPr="00330D6A">
        <w:rPr>
          <w:bCs/>
          <w:color w:val="000000" w:themeColor="text1"/>
        </w:rPr>
        <w:t xml:space="preserve">. Proponowane rozwiązanie polega na </w:t>
      </w:r>
      <w:r w:rsidR="00B80AA0">
        <w:rPr>
          <w:bCs/>
          <w:color w:val="000000" w:themeColor="text1"/>
        </w:rPr>
        <w:t>wyłączeniu w 2024 r</w:t>
      </w:r>
      <w:r w:rsidR="004D6CBA">
        <w:rPr>
          <w:bCs/>
          <w:color w:val="000000" w:themeColor="text1"/>
        </w:rPr>
        <w:t>oku</w:t>
      </w:r>
      <w:r w:rsidR="00B80AA0">
        <w:rPr>
          <w:bCs/>
          <w:color w:val="000000" w:themeColor="text1"/>
        </w:rPr>
        <w:t xml:space="preserve"> stosowania </w:t>
      </w:r>
      <w:r w:rsidR="00B80AA0" w:rsidRPr="00330D6A">
        <w:rPr>
          <w:bCs/>
          <w:color w:val="000000" w:themeColor="text1"/>
        </w:rPr>
        <w:t xml:space="preserve">art. 9 ustawy z dnia 16 maja 2019 r. o Funduszu rozwoju przewozów autobusowych o charakterze użyteczności publicznej (Dz. U. z 2022 r. poz. 2464, z </w:t>
      </w:r>
      <w:proofErr w:type="spellStart"/>
      <w:r w:rsidR="00B80AA0" w:rsidRPr="00330D6A">
        <w:rPr>
          <w:bCs/>
          <w:color w:val="000000" w:themeColor="text1"/>
        </w:rPr>
        <w:t>późn</w:t>
      </w:r>
      <w:proofErr w:type="spellEnd"/>
      <w:r w:rsidR="00B80AA0" w:rsidRPr="00330D6A">
        <w:rPr>
          <w:bCs/>
          <w:color w:val="000000" w:themeColor="text1"/>
        </w:rPr>
        <w:t>. zm.)</w:t>
      </w:r>
      <w:r w:rsidR="00104785" w:rsidRPr="00104785">
        <w:rPr>
          <w:bCs/>
          <w:color w:val="000000" w:themeColor="text1"/>
        </w:rPr>
        <w:t xml:space="preserve"> </w:t>
      </w:r>
      <w:r w:rsidR="00104785">
        <w:rPr>
          <w:bCs/>
          <w:color w:val="000000" w:themeColor="text1"/>
        </w:rPr>
        <w:t>Powyższa regulacja spowoduje, że</w:t>
      </w:r>
      <w:r w:rsidR="00104785" w:rsidRPr="0038104A">
        <w:rPr>
          <w:bCs/>
          <w:color w:val="000000" w:themeColor="text1"/>
        </w:rPr>
        <w:t xml:space="preserve"> </w:t>
      </w:r>
      <w:r w:rsidR="00104785" w:rsidRPr="00330D6A">
        <w:rPr>
          <w:bCs/>
          <w:color w:val="000000" w:themeColor="text1"/>
        </w:rPr>
        <w:t>w roku 2024</w:t>
      </w:r>
      <w:r w:rsidRPr="00330D6A">
        <w:rPr>
          <w:bCs/>
          <w:color w:val="000000" w:themeColor="text1"/>
        </w:rPr>
        <w:t xml:space="preserve"> środki pozostające na rachunku bankowym </w:t>
      </w:r>
      <w:r w:rsidR="00104785">
        <w:rPr>
          <w:bCs/>
          <w:color w:val="000000" w:themeColor="text1"/>
        </w:rPr>
        <w:t>FRPA</w:t>
      </w:r>
      <w:r w:rsidRPr="00330D6A">
        <w:rPr>
          <w:bCs/>
          <w:color w:val="000000" w:themeColor="text1"/>
        </w:rPr>
        <w:t xml:space="preserve">, według stanu na koniec roku 2023, nie będą przekazywane </w:t>
      </w:r>
      <w:r w:rsidR="00104785">
        <w:rPr>
          <w:bCs/>
          <w:color w:val="000000" w:themeColor="text1"/>
        </w:rPr>
        <w:t>do</w:t>
      </w:r>
      <w:r w:rsidR="00104785" w:rsidRPr="00330D6A">
        <w:rPr>
          <w:bCs/>
          <w:color w:val="000000" w:themeColor="text1"/>
        </w:rPr>
        <w:t xml:space="preserve"> </w:t>
      </w:r>
      <w:r w:rsidRPr="00330D6A">
        <w:rPr>
          <w:bCs/>
          <w:color w:val="000000" w:themeColor="text1"/>
        </w:rPr>
        <w:t>Rządow</w:t>
      </w:r>
      <w:r w:rsidR="00104785">
        <w:rPr>
          <w:bCs/>
          <w:color w:val="000000" w:themeColor="text1"/>
        </w:rPr>
        <w:t>ego</w:t>
      </w:r>
      <w:r w:rsidRPr="00330D6A">
        <w:rPr>
          <w:bCs/>
          <w:color w:val="000000" w:themeColor="text1"/>
        </w:rPr>
        <w:t xml:space="preserve"> Fundusz</w:t>
      </w:r>
      <w:r w:rsidR="00104785">
        <w:rPr>
          <w:bCs/>
          <w:color w:val="000000" w:themeColor="text1"/>
        </w:rPr>
        <w:t>u</w:t>
      </w:r>
      <w:r w:rsidRPr="00330D6A">
        <w:rPr>
          <w:bCs/>
          <w:color w:val="000000" w:themeColor="text1"/>
        </w:rPr>
        <w:t xml:space="preserve"> Rozwoju Dróg</w:t>
      </w:r>
      <w:r w:rsidR="00104785">
        <w:rPr>
          <w:bCs/>
          <w:color w:val="000000" w:themeColor="text1"/>
        </w:rPr>
        <w:t>.</w:t>
      </w:r>
    </w:p>
    <w:p w14:paraId="7684983B" w14:textId="64284539" w:rsidR="00121986" w:rsidRPr="00330D6A" w:rsidRDefault="00121986" w:rsidP="007F25E8">
      <w:pPr>
        <w:spacing w:after="120" w:line="360" w:lineRule="auto"/>
        <w:jc w:val="both"/>
        <w:outlineLvl w:val="0"/>
        <w:rPr>
          <w:bCs/>
          <w:color w:val="000000" w:themeColor="text1"/>
        </w:rPr>
      </w:pPr>
      <w:r w:rsidRPr="00330D6A">
        <w:rPr>
          <w:bCs/>
          <w:color w:val="000000" w:themeColor="text1"/>
        </w:rPr>
        <w:t xml:space="preserve">Z roku na rok </w:t>
      </w:r>
      <w:r w:rsidR="00994ADD" w:rsidRPr="00330D6A">
        <w:rPr>
          <w:bCs/>
          <w:color w:val="000000" w:themeColor="text1"/>
        </w:rPr>
        <w:t>wzrasta</w:t>
      </w:r>
      <w:r w:rsidRPr="00330D6A">
        <w:rPr>
          <w:bCs/>
          <w:color w:val="000000" w:themeColor="text1"/>
        </w:rPr>
        <w:t xml:space="preserve"> zainteresowanie organizatorów publicznego transportu zbiorowego, co przekłada się na zwiększenie poziomu wykorzystania środków Funduszu na dofinansowanie przewozów autobusowych o charakterze użyteczności publicznej organizowanych przez jednostki samorządu terytorialnego. Ze względu na powyższe, jak również z uwagi na </w:t>
      </w:r>
      <w:r w:rsidRPr="00330D6A">
        <w:rPr>
          <w:bCs/>
          <w:color w:val="000000" w:themeColor="text1"/>
        </w:rPr>
        <w:lastRenderedPageBreak/>
        <w:t xml:space="preserve">zwiększenie w roku 2024 poziomu dofinansowania zadań Funduszu (z kwoty 800 mln zł do </w:t>
      </w:r>
      <w:r w:rsidR="00B80AA0">
        <w:rPr>
          <w:bCs/>
          <w:color w:val="000000" w:themeColor="text1"/>
        </w:rPr>
        <w:t xml:space="preserve">kwoty </w:t>
      </w:r>
      <w:r w:rsidRPr="00330D6A">
        <w:rPr>
          <w:bCs/>
          <w:color w:val="000000" w:themeColor="text1"/>
        </w:rPr>
        <w:t>1 000 mln zł)</w:t>
      </w:r>
      <w:r w:rsidR="00F005DF" w:rsidRPr="00330D6A">
        <w:rPr>
          <w:bCs/>
          <w:color w:val="000000" w:themeColor="text1"/>
        </w:rPr>
        <w:t xml:space="preserve"> proponuje się w 2024 roku wyłączenie obowiązku określonego w art. 9 ww. ustawy i przeznaczenie pozostawionych dzięki temu na rachunku Funduszu środków na zadania określone w art. 6 tej ustawy.</w:t>
      </w:r>
    </w:p>
    <w:p w14:paraId="6A179819" w14:textId="42DA716F" w:rsidR="00D547E6" w:rsidRPr="00330D6A" w:rsidRDefault="00D547E6" w:rsidP="007F25E8">
      <w:pPr>
        <w:spacing w:after="120" w:line="360" w:lineRule="auto"/>
        <w:jc w:val="center"/>
        <w:outlineLvl w:val="0"/>
        <w:rPr>
          <w:b/>
          <w:color w:val="000000" w:themeColor="text1"/>
        </w:rPr>
      </w:pPr>
      <w:r w:rsidRPr="00330D6A">
        <w:rPr>
          <w:b/>
          <w:color w:val="000000" w:themeColor="text1"/>
        </w:rPr>
        <w:t xml:space="preserve">Zmiany w zakresie szkolnictwa wyższego (art. </w:t>
      </w:r>
      <w:r w:rsidR="00ED1ECE">
        <w:rPr>
          <w:b/>
          <w:color w:val="000000" w:themeColor="text1"/>
        </w:rPr>
        <w:t>11</w:t>
      </w:r>
      <w:r w:rsidR="0021299E" w:rsidRPr="00330D6A">
        <w:rPr>
          <w:b/>
          <w:color w:val="000000" w:themeColor="text1"/>
        </w:rPr>
        <w:t>–</w:t>
      </w:r>
      <w:r w:rsidR="00D90BF3" w:rsidRPr="00330D6A">
        <w:rPr>
          <w:b/>
          <w:color w:val="000000" w:themeColor="text1"/>
        </w:rPr>
        <w:t xml:space="preserve">art. </w:t>
      </w:r>
      <w:r w:rsidR="00ED1ECE">
        <w:rPr>
          <w:b/>
          <w:color w:val="000000" w:themeColor="text1"/>
        </w:rPr>
        <w:t>13</w:t>
      </w:r>
      <w:r w:rsidRPr="00330D6A">
        <w:rPr>
          <w:b/>
          <w:color w:val="000000" w:themeColor="text1"/>
        </w:rPr>
        <w:t>)</w:t>
      </w:r>
    </w:p>
    <w:p w14:paraId="2632E321" w14:textId="6D517F1B" w:rsidR="00D547E6" w:rsidRPr="00330D6A" w:rsidRDefault="00D547E6" w:rsidP="007F25E8">
      <w:pPr>
        <w:pStyle w:val="p"/>
        <w:spacing w:line="360" w:lineRule="auto"/>
        <w:rPr>
          <w:rFonts w:ascii="Times New Roman" w:hAnsi="Times New Roman" w:cs="Times New Roman"/>
          <w:bCs/>
          <w:color w:val="000000" w:themeColor="text1"/>
          <w:sz w:val="24"/>
          <w:szCs w:val="24"/>
        </w:rPr>
      </w:pPr>
      <w:r w:rsidRPr="00330D6A">
        <w:rPr>
          <w:rFonts w:ascii="Times New Roman" w:hAnsi="Times New Roman" w:cs="Times New Roman"/>
          <w:bCs/>
          <w:color w:val="000000" w:themeColor="text1"/>
          <w:sz w:val="24"/>
          <w:szCs w:val="24"/>
        </w:rPr>
        <w:t>W projekcie us</w:t>
      </w:r>
      <w:r w:rsidR="003927E0">
        <w:rPr>
          <w:rFonts w:ascii="Times New Roman" w:hAnsi="Times New Roman" w:cs="Times New Roman"/>
          <w:bCs/>
          <w:color w:val="000000" w:themeColor="text1"/>
          <w:sz w:val="24"/>
          <w:szCs w:val="24"/>
        </w:rPr>
        <w:t>tawy podobnie jak w latach 2020–</w:t>
      </w:r>
      <w:r w:rsidRPr="00330D6A">
        <w:rPr>
          <w:rFonts w:ascii="Times New Roman" w:hAnsi="Times New Roman" w:cs="Times New Roman"/>
          <w:bCs/>
          <w:color w:val="000000" w:themeColor="text1"/>
          <w:sz w:val="24"/>
          <w:szCs w:val="24"/>
        </w:rPr>
        <w:t>2023, proponuje się wprowadzenie</w:t>
      </w:r>
      <w:r w:rsidR="0021299E" w:rsidRPr="00330D6A">
        <w:rPr>
          <w:rFonts w:ascii="Times New Roman" w:hAnsi="Times New Roman" w:cs="Times New Roman"/>
          <w:bCs/>
          <w:color w:val="000000" w:themeColor="text1"/>
          <w:sz w:val="24"/>
          <w:szCs w:val="24"/>
        </w:rPr>
        <w:t xml:space="preserve"> w </w:t>
      </w:r>
      <w:r w:rsidR="0021299E" w:rsidRPr="00330D6A">
        <w:rPr>
          <w:rFonts w:ascii="Times New Roman" w:hAnsi="Times New Roman" w:cs="Times New Roman"/>
          <w:b/>
          <w:bCs/>
          <w:color w:val="000000" w:themeColor="text1"/>
          <w:sz w:val="24"/>
          <w:szCs w:val="24"/>
        </w:rPr>
        <w:t xml:space="preserve">art. </w:t>
      </w:r>
      <w:r w:rsidR="00ED1ECE">
        <w:rPr>
          <w:rFonts w:ascii="Times New Roman" w:hAnsi="Times New Roman" w:cs="Times New Roman"/>
          <w:b/>
          <w:bCs/>
          <w:color w:val="000000" w:themeColor="text1"/>
          <w:sz w:val="24"/>
          <w:szCs w:val="24"/>
        </w:rPr>
        <w:t>11</w:t>
      </w:r>
      <w:r w:rsidR="007911A9">
        <w:rPr>
          <w:rFonts w:ascii="Times New Roman" w:hAnsi="Times New Roman" w:cs="Times New Roman"/>
          <w:b/>
          <w:bCs/>
          <w:color w:val="000000" w:themeColor="text1"/>
          <w:sz w:val="24"/>
          <w:szCs w:val="24"/>
        </w:rPr>
        <w:t xml:space="preserve"> </w:t>
      </w:r>
      <w:r w:rsidRPr="00330D6A">
        <w:rPr>
          <w:rFonts w:ascii="Times New Roman" w:hAnsi="Times New Roman" w:cs="Times New Roman"/>
          <w:bCs/>
          <w:color w:val="000000" w:themeColor="text1"/>
          <w:sz w:val="24"/>
          <w:szCs w:val="24"/>
        </w:rPr>
        <w:t>regulacji, iż w</w:t>
      </w:r>
      <w:r w:rsidR="00101515" w:rsidRPr="00330D6A">
        <w:rPr>
          <w:rFonts w:ascii="Times New Roman" w:hAnsi="Times New Roman" w:cs="Times New Roman"/>
          <w:bCs/>
          <w:color w:val="000000" w:themeColor="text1"/>
          <w:sz w:val="24"/>
          <w:szCs w:val="24"/>
        </w:rPr>
        <w:t xml:space="preserve"> </w:t>
      </w:r>
      <w:r w:rsidRPr="00330D6A">
        <w:rPr>
          <w:rFonts w:ascii="Times New Roman" w:hAnsi="Times New Roman" w:cs="Times New Roman"/>
          <w:bCs/>
          <w:color w:val="000000" w:themeColor="text1"/>
          <w:sz w:val="24"/>
          <w:szCs w:val="24"/>
        </w:rPr>
        <w:t xml:space="preserve">roku 2024 nie będzie stosowany przepis art. 460 ust. 10 ustawy z dnia 20 lipca 2018 r. – Prawo o szkolnictwie wyższym i nauce (Dz. U. z 2023 r. poz. 742, z </w:t>
      </w:r>
      <w:proofErr w:type="spellStart"/>
      <w:r w:rsidRPr="00330D6A">
        <w:rPr>
          <w:rFonts w:ascii="Times New Roman" w:hAnsi="Times New Roman" w:cs="Times New Roman"/>
          <w:bCs/>
          <w:color w:val="000000" w:themeColor="text1"/>
          <w:sz w:val="24"/>
          <w:szCs w:val="24"/>
        </w:rPr>
        <w:t>późn</w:t>
      </w:r>
      <w:proofErr w:type="spellEnd"/>
      <w:r w:rsidRPr="00330D6A">
        <w:rPr>
          <w:rFonts w:ascii="Times New Roman" w:hAnsi="Times New Roman" w:cs="Times New Roman"/>
          <w:bCs/>
          <w:color w:val="000000" w:themeColor="text1"/>
          <w:sz w:val="24"/>
          <w:szCs w:val="24"/>
        </w:rPr>
        <w:t>. zm.), z</w:t>
      </w:r>
      <w:r w:rsidR="006C2FB8" w:rsidRPr="00330D6A">
        <w:rPr>
          <w:rFonts w:ascii="Times New Roman" w:hAnsi="Times New Roman" w:cs="Times New Roman"/>
          <w:bCs/>
          <w:color w:val="000000" w:themeColor="text1"/>
          <w:sz w:val="24"/>
          <w:szCs w:val="24"/>
        </w:rPr>
        <w:t> </w:t>
      </w:r>
      <w:r w:rsidRPr="00330D6A">
        <w:rPr>
          <w:rFonts w:ascii="Times New Roman" w:hAnsi="Times New Roman" w:cs="Times New Roman"/>
          <w:bCs/>
          <w:color w:val="000000" w:themeColor="text1"/>
          <w:sz w:val="24"/>
          <w:szCs w:val="24"/>
        </w:rPr>
        <w:t>którego wynika, iż wydatki przeznaczone na kształcenie w uczelniach wojskowych studentów studiów stacjonarnych i doktorantów będących osobami cywilnymi nie są zaliczane do wydatków obronnych, o których mowa w art. 7 ustawy z dnia 25</w:t>
      </w:r>
      <w:r w:rsidR="00101515" w:rsidRPr="00330D6A">
        <w:rPr>
          <w:rFonts w:ascii="Times New Roman" w:hAnsi="Times New Roman" w:cs="Times New Roman"/>
          <w:bCs/>
          <w:color w:val="000000" w:themeColor="text1"/>
          <w:sz w:val="24"/>
          <w:szCs w:val="24"/>
        </w:rPr>
        <w:t xml:space="preserve"> </w:t>
      </w:r>
      <w:r w:rsidRPr="00330D6A">
        <w:rPr>
          <w:rFonts w:ascii="Times New Roman" w:hAnsi="Times New Roman" w:cs="Times New Roman"/>
          <w:bCs/>
          <w:color w:val="000000" w:themeColor="text1"/>
          <w:sz w:val="24"/>
          <w:szCs w:val="24"/>
        </w:rPr>
        <w:t>maja 2001 r. o przebudowie i</w:t>
      </w:r>
      <w:r w:rsidR="009C6923" w:rsidRPr="00330D6A">
        <w:rPr>
          <w:rFonts w:ascii="Times New Roman" w:hAnsi="Times New Roman" w:cs="Times New Roman"/>
          <w:bCs/>
          <w:color w:val="000000" w:themeColor="text1"/>
          <w:sz w:val="24"/>
          <w:szCs w:val="24"/>
        </w:rPr>
        <w:t> </w:t>
      </w:r>
      <w:r w:rsidRPr="00330D6A">
        <w:rPr>
          <w:rFonts w:ascii="Times New Roman" w:hAnsi="Times New Roman" w:cs="Times New Roman"/>
          <w:bCs/>
          <w:color w:val="000000" w:themeColor="text1"/>
          <w:sz w:val="24"/>
          <w:szCs w:val="24"/>
        </w:rPr>
        <w:t>modernizacji technicznej oraz finansowaniu Sił Zbrojnych Rzeczypospolitej Polskiej (Dz.</w:t>
      </w:r>
      <w:r w:rsidR="009C6923" w:rsidRPr="00330D6A">
        <w:rPr>
          <w:rFonts w:ascii="Times New Roman" w:hAnsi="Times New Roman" w:cs="Times New Roman"/>
          <w:bCs/>
          <w:color w:val="000000" w:themeColor="text1"/>
          <w:sz w:val="24"/>
          <w:szCs w:val="24"/>
        </w:rPr>
        <w:t> </w:t>
      </w:r>
      <w:r w:rsidRPr="00330D6A">
        <w:rPr>
          <w:rFonts w:ascii="Times New Roman" w:hAnsi="Times New Roman" w:cs="Times New Roman"/>
          <w:bCs/>
          <w:color w:val="000000" w:themeColor="text1"/>
          <w:sz w:val="24"/>
          <w:szCs w:val="24"/>
        </w:rPr>
        <w:t>U.</w:t>
      </w:r>
      <w:r w:rsidR="009C6923" w:rsidRPr="00330D6A">
        <w:rPr>
          <w:rFonts w:ascii="Times New Roman" w:hAnsi="Times New Roman" w:cs="Times New Roman"/>
          <w:bCs/>
          <w:color w:val="000000" w:themeColor="text1"/>
          <w:sz w:val="24"/>
          <w:szCs w:val="24"/>
        </w:rPr>
        <w:t> </w:t>
      </w:r>
      <w:r w:rsidRPr="00330D6A">
        <w:rPr>
          <w:rFonts w:ascii="Times New Roman" w:hAnsi="Times New Roman" w:cs="Times New Roman"/>
          <w:bCs/>
          <w:color w:val="000000" w:themeColor="text1"/>
          <w:sz w:val="24"/>
          <w:szCs w:val="24"/>
        </w:rPr>
        <w:t>z 2022 r. poz. 161). Należy mieć na uwadze, iż z dniem 23 kwietnia 2022 r. weszła w</w:t>
      </w:r>
      <w:r w:rsidR="009C6923" w:rsidRPr="00330D6A">
        <w:rPr>
          <w:rFonts w:ascii="Times New Roman" w:hAnsi="Times New Roman" w:cs="Times New Roman"/>
          <w:bCs/>
          <w:color w:val="000000" w:themeColor="text1"/>
          <w:sz w:val="24"/>
          <w:szCs w:val="24"/>
        </w:rPr>
        <w:t> </w:t>
      </w:r>
      <w:r w:rsidRPr="00330D6A">
        <w:rPr>
          <w:rFonts w:ascii="Times New Roman" w:hAnsi="Times New Roman" w:cs="Times New Roman"/>
          <w:bCs/>
          <w:color w:val="000000" w:themeColor="text1"/>
          <w:sz w:val="24"/>
          <w:szCs w:val="24"/>
        </w:rPr>
        <w:t xml:space="preserve">życie ustawa z dnia 11 marca 2022 r. o obronie Ojczyzny (Dz. U. poz. 2305, z </w:t>
      </w:r>
      <w:proofErr w:type="spellStart"/>
      <w:r w:rsidRPr="00330D6A">
        <w:rPr>
          <w:rFonts w:ascii="Times New Roman" w:hAnsi="Times New Roman" w:cs="Times New Roman"/>
          <w:bCs/>
          <w:color w:val="000000" w:themeColor="text1"/>
          <w:sz w:val="24"/>
          <w:szCs w:val="24"/>
        </w:rPr>
        <w:t>późn</w:t>
      </w:r>
      <w:proofErr w:type="spellEnd"/>
      <w:r w:rsidRPr="00330D6A">
        <w:rPr>
          <w:rFonts w:ascii="Times New Roman" w:hAnsi="Times New Roman" w:cs="Times New Roman"/>
          <w:bCs/>
          <w:color w:val="000000" w:themeColor="text1"/>
          <w:sz w:val="24"/>
          <w:szCs w:val="24"/>
        </w:rPr>
        <w:t>. zm.). Zgodnie z art. 823 pkt 9 tej ustawy utraciła moc ustawa z dnia 25 maja 2001 r. o przebudowie i modernizacji technicznej oraz finansowaniu Sił Zbrojnych Rzeczypospolitej Polskiej. Zgodnie z art. 40 ust. 3 ustawy z dnia 11 marca 2022 r. o obronie Ojczyzny (analogiczny do uchylonego art. 7 ust. 2 ustawy z dnia 25 maja 2001 r. o przebudowie i modernizacji technicznej oraz finansowaniu Sił Zbrojnych RP) wydatki na finansowanie potrzeb obronnych RP obejmują wydatki budżetowe w części budżetu państwa „obrona narodowa” oraz wydatki budżetowe w</w:t>
      </w:r>
      <w:r w:rsidR="009C6923" w:rsidRPr="00330D6A">
        <w:rPr>
          <w:rFonts w:ascii="Times New Roman" w:hAnsi="Times New Roman" w:cs="Times New Roman"/>
          <w:bCs/>
          <w:color w:val="000000" w:themeColor="text1"/>
          <w:sz w:val="24"/>
          <w:szCs w:val="24"/>
        </w:rPr>
        <w:t> </w:t>
      </w:r>
      <w:r w:rsidRPr="00330D6A">
        <w:rPr>
          <w:rFonts w:ascii="Times New Roman" w:hAnsi="Times New Roman" w:cs="Times New Roman"/>
          <w:bCs/>
          <w:color w:val="000000" w:themeColor="text1"/>
          <w:sz w:val="24"/>
          <w:szCs w:val="24"/>
        </w:rPr>
        <w:t>dziale „obrona narodowa” w innych częściach budżetu państwa.</w:t>
      </w:r>
    </w:p>
    <w:p w14:paraId="09403FFC" w14:textId="77777777" w:rsidR="00D547E6" w:rsidRPr="00330D6A" w:rsidRDefault="00D547E6" w:rsidP="007F25E8">
      <w:pPr>
        <w:pStyle w:val="p"/>
        <w:spacing w:line="360" w:lineRule="auto"/>
        <w:rPr>
          <w:rFonts w:ascii="Times New Roman" w:hAnsi="Times New Roman" w:cs="Times New Roman"/>
          <w:bCs/>
          <w:color w:val="000000" w:themeColor="text1"/>
          <w:sz w:val="24"/>
          <w:szCs w:val="24"/>
        </w:rPr>
      </w:pPr>
      <w:r w:rsidRPr="00330D6A">
        <w:rPr>
          <w:rFonts w:ascii="Times New Roman" w:hAnsi="Times New Roman" w:cs="Times New Roman"/>
          <w:bCs/>
          <w:color w:val="000000" w:themeColor="text1"/>
          <w:sz w:val="24"/>
          <w:szCs w:val="24"/>
        </w:rPr>
        <w:t>Zgodnie z art. 460 ust. 8 pkt 2 ustawy z dnia 20 lipca 2018 r. – Prawo o szkolnictwie wyższym i nauce środki na pokrycie ww. wydatków są przyznawane z części budżetowej, której dysponentem jest Minister Obrony Narodowej w ramach działu „szkolnictwo wyższe i nauka”. W związku z tym w roku 2024 ww. wydatki zostaną zaliczone do wydatków obronnych. Planowane wydatki w roku 2024 wyniosą 326</w:t>
      </w:r>
      <w:r w:rsidR="00101515" w:rsidRPr="00330D6A">
        <w:rPr>
          <w:rFonts w:ascii="Times New Roman" w:hAnsi="Times New Roman" w:cs="Times New Roman"/>
          <w:bCs/>
          <w:color w:val="000000" w:themeColor="text1"/>
          <w:sz w:val="24"/>
          <w:szCs w:val="24"/>
        </w:rPr>
        <w:t xml:space="preserve"> </w:t>
      </w:r>
      <w:r w:rsidRPr="00330D6A">
        <w:rPr>
          <w:rFonts w:ascii="Times New Roman" w:hAnsi="Times New Roman" w:cs="Times New Roman"/>
          <w:bCs/>
          <w:color w:val="000000" w:themeColor="text1"/>
          <w:sz w:val="24"/>
          <w:szCs w:val="24"/>
        </w:rPr>
        <w:t>383 tys. zł.</w:t>
      </w:r>
    </w:p>
    <w:p w14:paraId="2C57D17C" w14:textId="2AC5EEEA" w:rsidR="0021299E" w:rsidRPr="00330D6A" w:rsidRDefault="0021299E" w:rsidP="007F25E8">
      <w:pPr>
        <w:pStyle w:val="p"/>
        <w:spacing w:line="360" w:lineRule="auto"/>
        <w:rPr>
          <w:rFonts w:ascii="Times New Roman" w:hAnsi="Times New Roman" w:cs="Times New Roman"/>
          <w:bCs/>
          <w:color w:val="000000" w:themeColor="text1"/>
          <w:sz w:val="24"/>
          <w:szCs w:val="24"/>
        </w:rPr>
      </w:pPr>
      <w:r w:rsidRPr="00330D6A">
        <w:rPr>
          <w:rFonts w:ascii="Times New Roman" w:hAnsi="Times New Roman" w:cs="Times New Roman"/>
          <w:bCs/>
          <w:color w:val="000000" w:themeColor="text1"/>
          <w:sz w:val="24"/>
          <w:szCs w:val="24"/>
        </w:rPr>
        <w:t>Minister właściwy do spraw budżetu na wniosek ministra właściwego do spraw szkolnictwa wyższego i nauki przekaże, w terminie 45</w:t>
      </w:r>
      <w:r w:rsidR="009C6A4E" w:rsidRPr="00330D6A">
        <w:rPr>
          <w:rFonts w:ascii="Times New Roman" w:hAnsi="Times New Roman" w:cs="Times New Roman"/>
          <w:bCs/>
          <w:color w:val="000000" w:themeColor="text1"/>
          <w:sz w:val="24"/>
          <w:szCs w:val="24"/>
        </w:rPr>
        <w:t xml:space="preserve"> dni od dnia złożenia wniosku, </w:t>
      </w:r>
      <w:r w:rsidRPr="00330D6A">
        <w:rPr>
          <w:rFonts w:ascii="Times New Roman" w:hAnsi="Times New Roman" w:cs="Times New Roman"/>
          <w:bCs/>
          <w:color w:val="000000" w:themeColor="text1"/>
          <w:sz w:val="24"/>
          <w:szCs w:val="24"/>
        </w:rPr>
        <w:t>w 2024 r. uczelni publicznej, będącej laureatem konkursu „Inicjatywa doskonałości – uczelnia badawcza”</w:t>
      </w:r>
      <w:r w:rsidR="005278B9" w:rsidRPr="00330D6A">
        <w:rPr>
          <w:rFonts w:ascii="Times New Roman" w:hAnsi="Times New Roman" w:cs="Times New Roman"/>
          <w:bCs/>
          <w:color w:val="000000" w:themeColor="text1"/>
          <w:sz w:val="24"/>
          <w:szCs w:val="24"/>
        </w:rPr>
        <w:t>,</w:t>
      </w:r>
      <w:r w:rsidRPr="00330D6A">
        <w:rPr>
          <w:rFonts w:ascii="Times New Roman" w:hAnsi="Times New Roman" w:cs="Times New Roman"/>
          <w:bCs/>
          <w:color w:val="000000" w:themeColor="text1"/>
          <w:sz w:val="24"/>
          <w:szCs w:val="24"/>
        </w:rPr>
        <w:t xml:space="preserve"> skarbowe papiery wartościowe. Łączna wartość zobowiązań z tego tytułu nie może przekroczyć kwoty 496.733 tys. zł</w:t>
      </w:r>
      <w:r w:rsidR="00D90BF3" w:rsidRPr="00330D6A">
        <w:rPr>
          <w:rFonts w:ascii="Times New Roman" w:hAnsi="Times New Roman" w:cs="Times New Roman"/>
          <w:bCs/>
          <w:color w:val="000000" w:themeColor="text1"/>
          <w:sz w:val="24"/>
          <w:szCs w:val="24"/>
        </w:rPr>
        <w:t xml:space="preserve"> </w:t>
      </w:r>
      <w:r w:rsidR="00D90BF3" w:rsidRPr="00330D6A">
        <w:rPr>
          <w:rFonts w:ascii="Times New Roman" w:hAnsi="Times New Roman" w:cs="Times New Roman"/>
          <w:b/>
          <w:bCs/>
          <w:color w:val="000000" w:themeColor="text1"/>
          <w:sz w:val="24"/>
          <w:szCs w:val="24"/>
        </w:rPr>
        <w:t xml:space="preserve">(art. </w:t>
      </w:r>
      <w:r w:rsidR="00ED1ECE">
        <w:rPr>
          <w:rFonts w:ascii="Times New Roman" w:hAnsi="Times New Roman" w:cs="Times New Roman"/>
          <w:b/>
          <w:bCs/>
          <w:color w:val="000000" w:themeColor="text1"/>
          <w:sz w:val="24"/>
          <w:szCs w:val="24"/>
        </w:rPr>
        <w:t>12</w:t>
      </w:r>
      <w:r w:rsidR="00D90BF3" w:rsidRPr="00330D6A">
        <w:rPr>
          <w:rFonts w:ascii="Times New Roman" w:hAnsi="Times New Roman" w:cs="Times New Roman"/>
          <w:b/>
          <w:bCs/>
          <w:color w:val="000000" w:themeColor="text1"/>
          <w:sz w:val="24"/>
          <w:szCs w:val="24"/>
        </w:rPr>
        <w:t>)</w:t>
      </w:r>
      <w:r w:rsidRPr="00330D6A">
        <w:rPr>
          <w:rFonts w:ascii="Times New Roman" w:hAnsi="Times New Roman" w:cs="Times New Roman"/>
          <w:bCs/>
          <w:color w:val="000000" w:themeColor="text1"/>
          <w:sz w:val="24"/>
          <w:szCs w:val="24"/>
        </w:rPr>
        <w:t xml:space="preserve">. </w:t>
      </w:r>
    </w:p>
    <w:p w14:paraId="400C420A" w14:textId="5FDF7CF8" w:rsidR="0021299E" w:rsidRPr="00330D6A" w:rsidRDefault="0021299E" w:rsidP="007F25E8">
      <w:pPr>
        <w:pStyle w:val="p"/>
        <w:spacing w:line="360" w:lineRule="auto"/>
        <w:rPr>
          <w:rFonts w:ascii="Times New Roman" w:hAnsi="Times New Roman" w:cs="Times New Roman"/>
          <w:bCs/>
          <w:color w:val="000000" w:themeColor="text1"/>
          <w:sz w:val="24"/>
          <w:szCs w:val="24"/>
        </w:rPr>
      </w:pPr>
      <w:r w:rsidRPr="00330D6A">
        <w:rPr>
          <w:rFonts w:ascii="Times New Roman" w:hAnsi="Times New Roman" w:cs="Times New Roman"/>
          <w:bCs/>
          <w:color w:val="000000" w:themeColor="text1"/>
          <w:sz w:val="24"/>
          <w:szCs w:val="24"/>
        </w:rPr>
        <w:t>Umożliwienie przekazywania skarbowych papierów wartościowych podmiotom wymienionym w art. 1</w:t>
      </w:r>
      <w:r w:rsidR="00314CDE" w:rsidRPr="00330D6A">
        <w:rPr>
          <w:rFonts w:ascii="Times New Roman" w:hAnsi="Times New Roman" w:cs="Times New Roman"/>
          <w:bCs/>
          <w:color w:val="000000" w:themeColor="text1"/>
          <w:sz w:val="24"/>
          <w:szCs w:val="24"/>
        </w:rPr>
        <w:t>1</w:t>
      </w:r>
      <w:r w:rsidRPr="00330D6A">
        <w:rPr>
          <w:rFonts w:ascii="Times New Roman" w:hAnsi="Times New Roman" w:cs="Times New Roman"/>
          <w:bCs/>
          <w:color w:val="000000" w:themeColor="text1"/>
          <w:sz w:val="24"/>
          <w:szCs w:val="24"/>
        </w:rPr>
        <w:t xml:space="preserve"> ma na celu finansowanie programu „Inicjatywa doskonałości – uczelnia badawcza” </w:t>
      </w:r>
      <w:r w:rsidRPr="00330D6A">
        <w:rPr>
          <w:rFonts w:ascii="Times New Roman" w:hAnsi="Times New Roman" w:cs="Times New Roman"/>
          <w:bCs/>
          <w:color w:val="000000" w:themeColor="text1"/>
          <w:sz w:val="24"/>
          <w:szCs w:val="24"/>
        </w:rPr>
        <w:lastRenderedPageBreak/>
        <w:t xml:space="preserve">w piątym roku realizacji tego programu, tj. w roku 2024. Wartość nominalna skarbowych papierów wartościowych przekazywana uczelniom będzie wynosiła 11% subwencji z 2019 r. ustalonej na podstawie algorytmu podziału środków dla uczelni. Jest to o 1 pkt proc. więcej niż przewidziany ustawą </w:t>
      </w:r>
      <w:r w:rsidR="005278B9" w:rsidRPr="00330D6A">
        <w:rPr>
          <w:rFonts w:ascii="Times New Roman" w:hAnsi="Times New Roman" w:cs="Times New Roman"/>
          <w:bCs/>
          <w:color w:val="000000" w:themeColor="text1"/>
          <w:sz w:val="24"/>
          <w:szCs w:val="24"/>
        </w:rPr>
        <w:t xml:space="preserve">z dnia 20 lipca 2018 r. </w:t>
      </w:r>
      <w:r w:rsidRPr="00330D6A">
        <w:rPr>
          <w:rFonts w:ascii="Times New Roman" w:hAnsi="Times New Roman" w:cs="Times New Roman"/>
          <w:bCs/>
          <w:color w:val="000000" w:themeColor="text1"/>
          <w:sz w:val="24"/>
          <w:szCs w:val="24"/>
        </w:rPr>
        <w:t>– Prawo o szkolnictwie wyższym i nauce minimalny poziom rocznego finansowania umów w ramach Programu. Z uwagi na fakt, że umowy na realizację Programu zostały już podpisane, konieczne jest doprecyzowanie, że sposób finansowania przewidziany w art. 1</w:t>
      </w:r>
      <w:r w:rsidR="00D90BF3" w:rsidRPr="00330D6A">
        <w:rPr>
          <w:rFonts w:ascii="Times New Roman" w:hAnsi="Times New Roman" w:cs="Times New Roman"/>
          <w:bCs/>
          <w:color w:val="000000" w:themeColor="text1"/>
          <w:sz w:val="24"/>
          <w:szCs w:val="24"/>
        </w:rPr>
        <w:t>1</w:t>
      </w:r>
      <w:r w:rsidRPr="00330D6A">
        <w:rPr>
          <w:rFonts w:ascii="Times New Roman" w:hAnsi="Times New Roman" w:cs="Times New Roman"/>
          <w:bCs/>
          <w:color w:val="000000" w:themeColor="text1"/>
          <w:sz w:val="24"/>
          <w:szCs w:val="24"/>
        </w:rPr>
        <w:t xml:space="preserve"> będzie obowiązywał w stosunku do już zawartych umów</w:t>
      </w:r>
      <w:r w:rsidR="00D90BF3" w:rsidRPr="00330D6A">
        <w:rPr>
          <w:rFonts w:ascii="Times New Roman" w:hAnsi="Times New Roman" w:cs="Times New Roman"/>
          <w:bCs/>
          <w:color w:val="000000" w:themeColor="text1"/>
          <w:sz w:val="24"/>
          <w:szCs w:val="24"/>
        </w:rPr>
        <w:t xml:space="preserve"> (</w:t>
      </w:r>
      <w:r w:rsidR="00D90BF3" w:rsidRPr="00330D6A">
        <w:rPr>
          <w:rFonts w:ascii="Times New Roman" w:hAnsi="Times New Roman" w:cs="Times New Roman"/>
          <w:b/>
          <w:bCs/>
          <w:color w:val="000000" w:themeColor="text1"/>
          <w:sz w:val="24"/>
          <w:szCs w:val="24"/>
        </w:rPr>
        <w:t xml:space="preserve">art. </w:t>
      </w:r>
      <w:r w:rsidR="00ED1ECE">
        <w:rPr>
          <w:rFonts w:ascii="Times New Roman" w:hAnsi="Times New Roman" w:cs="Times New Roman"/>
          <w:b/>
          <w:bCs/>
          <w:color w:val="000000" w:themeColor="text1"/>
          <w:sz w:val="24"/>
          <w:szCs w:val="24"/>
        </w:rPr>
        <w:t>13</w:t>
      </w:r>
      <w:r w:rsidR="00D90BF3" w:rsidRPr="00330D6A">
        <w:rPr>
          <w:rFonts w:ascii="Times New Roman" w:hAnsi="Times New Roman" w:cs="Times New Roman"/>
          <w:bCs/>
          <w:color w:val="000000" w:themeColor="text1"/>
          <w:sz w:val="24"/>
          <w:szCs w:val="24"/>
        </w:rPr>
        <w:t>)</w:t>
      </w:r>
      <w:r w:rsidRPr="00330D6A">
        <w:rPr>
          <w:rFonts w:ascii="Times New Roman" w:hAnsi="Times New Roman" w:cs="Times New Roman"/>
          <w:bCs/>
          <w:color w:val="000000" w:themeColor="text1"/>
          <w:sz w:val="24"/>
          <w:szCs w:val="24"/>
        </w:rPr>
        <w:t xml:space="preserve">. </w:t>
      </w:r>
    </w:p>
    <w:p w14:paraId="314E3D42" w14:textId="32A500AD" w:rsidR="0021299E" w:rsidRPr="00330D6A" w:rsidRDefault="0021299E" w:rsidP="007F25E8">
      <w:pPr>
        <w:pStyle w:val="p"/>
        <w:spacing w:line="360" w:lineRule="auto"/>
        <w:rPr>
          <w:rFonts w:ascii="Times New Roman" w:hAnsi="Times New Roman" w:cs="Times New Roman"/>
          <w:bCs/>
          <w:color w:val="000000" w:themeColor="text1"/>
          <w:sz w:val="24"/>
          <w:szCs w:val="24"/>
        </w:rPr>
      </w:pPr>
      <w:r w:rsidRPr="00330D6A">
        <w:rPr>
          <w:rFonts w:ascii="Times New Roman" w:hAnsi="Times New Roman" w:cs="Times New Roman"/>
          <w:bCs/>
          <w:color w:val="000000" w:themeColor="text1"/>
          <w:sz w:val="24"/>
          <w:szCs w:val="24"/>
        </w:rPr>
        <w:t xml:space="preserve">Do emisji skarbowych papierów wartościowych nie stosuje się przepisów art. 98 i art. 102 ustawy z dnia 27 sierpnia 2009 r. o finansach publicznych oraz przepisów wydanych na podstawie art. 97 tej ustawy. </w:t>
      </w:r>
    </w:p>
    <w:p w14:paraId="2190D103" w14:textId="77777777" w:rsidR="0021299E" w:rsidRPr="00330D6A" w:rsidRDefault="0021299E" w:rsidP="007F25E8">
      <w:pPr>
        <w:pStyle w:val="p"/>
        <w:spacing w:line="360" w:lineRule="auto"/>
        <w:rPr>
          <w:rFonts w:ascii="Times New Roman" w:hAnsi="Times New Roman" w:cs="Times New Roman"/>
          <w:bCs/>
          <w:color w:val="000000" w:themeColor="text1"/>
          <w:sz w:val="24"/>
          <w:szCs w:val="24"/>
        </w:rPr>
      </w:pPr>
      <w:r w:rsidRPr="00330D6A">
        <w:rPr>
          <w:rFonts w:ascii="Times New Roman" w:hAnsi="Times New Roman" w:cs="Times New Roman"/>
          <w:bCs/>
          <w:color w:val="000000" w:themeColor="text1"/>
          <w:sz w:val="24"/>
          <w:szCs w:val="24"/>
        </w:rPr>
        <w:t xml:space="preserve">Ze względu na powiązanie przekazania skarbowych papierów wartościowych z realizacją programu „Inicjatywa Doskonałości – uczelnia badawcza” proponuje się wprowadzenie przepisu o zwolnieniu ze stosowania art. 38–41 ustawy z dnia 16 grudnia 2016 r. o zasadach zarządzania mieniem państwowym oraz art. 423 ust. 2 ustawy z dnia 20 lipca 2018 r. – Prawo o szkolnictwie wyższym i nauce. </w:t>
      </w:r>
    </w:p>
    <w:p w14:paraId="1BE6B5CB" w14:textId="3DAF45B7" w:rsidR="009C6A4E" w:rsidRPr="00330D6A" w:rsidRDefault="009C6A4E" w:rsidP="007F25E8">
      <w:pPr>
        <w:spacing w:after="120" w:line="360" w:lineRule="auto"/>
        <w:jc w:val="center"/>
        <w:outlineLvl w:val="0"/>
        <w:rPr>
          <w:b/>
          <w:color w:val="000000" w:themeColor="text1"/>
        </w:rPr>
      </w:pPr>
      <w:r w:rsidRPr="00330D6A">
        <w:rPr>
          <w:b/>
          <w:color w:val="000000" w:themeColor="text1"/>
        </w:rPr>
        <w:t xml:space="preserve">Zmiany w zakresie Funduszu Reprywatyzacji (art. </w:t>
      </w:r>
      <w:r w:rsidR="00ED1ECE">
        <w:rPr>
          <w:b/>
          <w:color w:val="000000" w:themeColor="text1"/>
        </w:rPr>
        <w:t>14</w:t>
      </w:r>
      <w:r w:rsidR="00ED1ECE" w:rsidRPr="00330D6A">
        <w:rPr>
          <w:b/>
          <w:color w:val="000000" w:themeColor="text1"/>
        </w:rPr>
        <w:t xml:space="preserve"> </w:t>
      </w:r>
      <w:r w:rsidRPr="00330D6A">
        <w:rPr>
          <w:b/>
          <w:color w:val="000000" w:themeColor="text1"/>
        </w:rPr>
        <w:t xml:space="preserve">i art. </w:t>
      </w:r>
      <w:r w:rsidR="00ED1ECE">
        <w:rPr>
          <w:b/>
          <w:color w:val="000000" w:themeColor="text1"/>
        </w:rPr>
        <w:t>27</w:t>
      </w:r>
      <w:r w:rsidRPr="00330D6A">
        <w:rPr>
          <w:b/>
          <w:color w:val="000000" w:themeColor="text1"/>
        </w:rPr>
        <w:t>)</w:t>
      </w:r>
    </w:p>
    <w:p w14:paraId="7CD8DAAC" w14:textId="1C78F0C1" w:rsidR="009C6A4E" w:rsidRPr="00330D6A" w:rsidRDefault="009C6A4E" w:rsidP="007F25E8">
      <w:pPr>
        <w:spacing w:before="120" w:after="120" w:line="360" w:lineRule="auto"/>
        <w:jc w:val="both"/>
        <w:rPr>
          <w:color w:val="000000" w:themeColor="text1"/>
        </w:rPr>
      </w:pPr>
      <w:r w:rsidRPr="00330D6A">
        <w:rPr>
          <w:color w:val="000000" w:themeColor="text1"/>
        </w:rPr>
        <w:t xml:space="preserve">Proponuje się w </w:t>
      </w:r>
      <w:r w:rsidRPr="00330D6A">
        <w:rPr>
          <w:b/>
          <w:bCs/>
          <w:color w:val="000000" w:themeColor="text1"/>
        </w:rPr>
        <w:t xml:space="preserve">art. </w:t>
      </w:r>
      <w:r w:rsidR="00ED1ECE">
        <w:rPr>
          <w:b/>
          <w:bCs/>
          <w:color w:val="000000" w:themeColor="text1"/>
        </w:rPr>
        <w:t>14</w:t>
      </w:r>
      <w:r w:rsidR="00ED1ECE" w:rsidRPr="00330D6A">
        <w:rPr>
          <w:color w:val="000000" w:themeColor="text1"/>
        </w:rPr>
        <w:t xml:space="preserve"> </w:t>
      </w:r>
      <w:r w:rsidRPr="00330D6A">
        <w:rPr>
          <w:color w:val="000000" w:themeColor="text1"/>
        </w:rPr>
        <w:t>wprowadzenie regulacji umożliwiającej przekazanie w 2024 r. Funduszowi Reprywatyzacji skarbowych papierów wartościowych. Celem jest możliwość zwiększenia zdolności Funduszu Reprywatyzacji do realizacji nabywania lub obejmowania przez Skarb Państwa, reprezentowany przez Prezesa Rady Ministrów, akcji w spółkach, co umożliwi zmiana art. 69h ustawy z dnia 30 sierpnia 1996 r. o komercjalizacji i niektórych uprawnieniach pracowników (Dz. U. z 2023 r. poz. 343), wprowadzana niniejszą ustawą, a</w:t>
      </w:r>
      <w:r w:rsidR="006C2FB8" w:rsidRPr="00330D6A">
        <w:rPr>
          <w:color w:val="000000" w:themeColor="text1"/>
        </w:rPr>
        <w:t> </w:t>
      </w:r>
      <w:r w:rsidRPr="00330D6A">
        <w:rPr>
          <w:color w:val="000000" w:themeColor="text1"/>
        </w:rPr>
        <w:t xml:space="preserve">także zdolność </w:t>
      </w:r>
      <w:r w:rsidR="006C2FB8" w:rsidRPr="00330D6A">
        <w:rPr>
          <w:color w:val="000000" w:themeColor="text1"/>
        </w:rPr>
        <w:t xml:space="preserve">tego </w:t>
      </w:r>
      <w:r w:rsidRPr="00330D6A">
        <w:rPr>
          <w:color w:val="000000" w:themeColor="text1"/>
        </w:rPr>
        <w:t>Funduszu do udzielania pożyczek. Wartość nominalna zobowiązań z</w:t>
      </w:r>
      <w:r w:rsidR="006C2FB8" w:rsidRPr="00330D6A">
        <w:rPr>
          <w:color w:val="000000" w:themeColor="text1"/>
        </w:rPr>
        <w:t> </w:t>
      </w:r>
      <w:r w:rsidRPr="00330D6A">
        <w:rPr>
          <w:color w:val="000000" w:themeColor="text1"/>
        </w:rPr>
        <w:t xml:space="preserve">tytułu wyemitowanych skarbowych papierów wartościowych, przekazanych w 2024 r. Funduszowi Reprywatyzacji nie może przekroczyć kwoty </w:t>
      </w:r>
      <w:r w:rsidR="00D839D4" w:rsidRPr="00330D6A">
        <w:rPr>
          <w:color w:val="000000" w:themeColor="text1"/>
        </w:rPr>
        <w:t>10</w:t>
      </w:r>
      <w:r w:rsidRPr="00330D6A">
        <w:rPr>
          <w:color w:val="000000" w:themeColor="text1"/>
        </w:rPr>
        <w:t xml:space="preserve"> </w:t>
      </w:r>
      <w:r w:rsidR="00D839D4" w:rsidRPr="00330D6A">
        <w:rPr>
          <w:color w:val="000000" w:themeColor="text1"/>
        </w:rPr>
        <w:t>mld</w:t>
      </w:r>
      <w:r w:rsidRPr="00330D6A">
        <w:rPr>
          <w:color w:val="000000" w:themeColor="text1"/>
        </w:rPr>
        <w:t xml:space="preserve"> zł. Przekazanie przez ministra właściwego do spraw budżetu skarbowych papierów wartościowych Funduszowi Reprywatyzacji wiąże się z koniecznością obsługi tego procesu przez rachunek papierów wartościowych i pokrycia ze środków </w:t>
      </w:r>
      <w:r w:rsidR="006C2FB8" w:rsidRPr="00330D6A">
        <w:rPr>
          <w:color w:val="000000" w:themeColor="text1"/>
        </w:rPr>
        <w:t xml:space="preserve">tego </w:t>
      </w:r>
      <w:r w:rsidRPr="00330D6A">
        <w:rPr>
          <w:color w:val="000000" w:themeColor="text1"/>
        </w:rPr>
        <w:t>Funduszu kosztów związanych z operacjami na ww.</w:t>
      </w:r>
      <w:r w:rsidR="006C2FB8" w:rsidRPr="00330D6A">
        <w:rPr>
          <w:color w:val="000000" w:themeColor="text1"/>
        </w:rPr>
        <w:t> </w:t>
      </w:r>
      <w:r w:rsidRPr="00330D6A">
        <w:rPr>
          <w:color w:val="000000" w:themeColor="text1"/>
        </w:rPr>
        <w:t>papierach. W związku z czym wprowadza się regulację mającą na celu określenie źródła pokrycia tych kosztów. Do emisji skarbowych papierów wartościowych, o których mowa w</w:t>
      </w:r>
      <w:r w:rsidR="006C2FB8" w:rsidRPr="00330D6A">
        <w:rPr>
          <w:color w:val="000000" w:themeColor="text1"/>
        </w:rPr>
        <w:t> </w:t>
      </w:r>
      <w:r w:rsidRPr="00330D6A">
        <w:rPr>
          <w:color w:val="000000" w:themeColor="text1"/>
        </w:rPr>
        <w:t xml:space="preserve">ust. 1, nie będzie się stosować przepisów art. 98 i art. 102 ustawy z dnia 27 sierpnia 2009 r. o finansach publicznych oraz przepisów wydanych na podstawie art. 97 tej ustawy. </w:t>
      </w:r>
    </w:p>
    <w:p w14:paraId="264A05F3" w14:textId="53D9ECE6" w:rsidR="009C6A4E" w:rsidRPr="00330D6A" w:rsidRDefault="009C6A4E" w:rsidP="007F25E8">
      <w:pPr>
        <w:spacing w:before="120" w:after="120" w:line="360" w:lineRule="auto"/>
        <w:jc w:val="both"/>
        <w:rPr>
          <w:color w:val="000000" w:themeColor="text1"/>
        </w:rPr>
      </w:pPr>
      <w:r w:rsidRPr="00330D6A">
        <w:rPr>
          <w:color w:val="000000" w:themeColor="text1"/>
        </w:rPr>
        <w:lastRenderedPageBreak/>
        <w:t xml:space="preserve">Proponowana w </w:t>
      </w:r>
      <w:r w:rsidRPr="00330D6A">
        <w:rPr>
          <w:b/>
          <w:bCs/>
          <w:color w:val="000000" w:themeColor="text1"/>
        </w:rPr>
        <w:t xml:space="preserve">art. </w:t>
      </w:r>
      <w:r w:rsidR="00ED1ECE">
        <w:rPr>
          <w:b/>
          <w:bCs/>
          <w:color w:val="000000" w:themeColor="text1"/>
        </w:rPr>
        <w:t>27</w:t>
      </w:r>
      <w:r w:rsidR="00ED1ECE" w:rsidRPr="00330D6A">
        <w:rPr>
          <w:color w:val="000000" w:themeColor="text1"/>
        </w:rPr>
        <w:t xml:space="preserve"> </w:t>
      </w:r>
      <w:r w:rsidRPr="00330D6A">
        <w:rPr>
          <w:color w:val="000000" w:themeColor="text1"/>
        </w:rPr>
        <w:t>regulacja przewiduje przedłużenie okresu, w którym środki Funduszu Reprywatyzacji będą mogły być przeznaczane na nabywanie lub obejmowanie przez Skarb Państwa, reprezentowany przez Prezesa Rady Ministrów, akcji w spółkach. Okres ten zostanie wydłużony do końca 2024 r.</w:t>
      </w:r>
    </w:p>
    <w:p w14:paraId="0ED0274C" w14:textId="376A5C7E" w:rsidR="00ED1ECE" w:rsidRDefault="00ED1ECE" w:rsidP="007F25E8">
      <w:pPr>
        <w:spacing w:after="120" w:line="360" w:lineRule="auto"/>
        <w:jc w:val="center"/>
        <w:outlineLvl w:val="0"/>
        <w:rPr>
          <w:b/>
          <w:color w:val="000000" w:themeColor="text1"/>
        </w:rPr>
      </w:pPr>
      <w:r>
        <w:rPr>
          <w:b/>
          <w:color w:val="000000" w:themeColor="text1"/>
        </w:rPr>
        <w:t>Zmiany w zakresie PKP PLK S.A. (art. 15)</w:t>
      </w:r>
    </w:p>
    <w:p w14:paraId="59CEDA7E" w14:textId="5082E55A" w:rsidR="00B80AA0" w:rsidRDefault="00B80AA0" w:rsidP="007F25E8">
      <w:pPr>
        <w:autoSpaceDE w:val="0"/>
        <w:autoSpaceDN w:val="0"/>
        <w:adjustRightInd w:val="0"/>
        <w:spacing w:line="360" w:lineRule="auto"/>
        <w:jc w:val="both"/>
        <w:rPr>
          <w:color w:val="000000" w:themeColor="text1"/>
        </w:rPr>
      </w:pPr>
      <w:r w:rsidRPr="00886755">
        <w:rPr>
          <w:color w:val="000000" w:themeColor="text1"/>
        </w:rPr>
        <w:t>Projekt przewiduje, że</w:t>
      </w:r>
      <w:r>
        <w:rPr>
          <w:color w:val="000000" w:themeColor="text1"/>
        </w:rPr>
        <w:t xml:space="preserve"> </w:t>
      </w:r>
      <w:r w:rsidRPr="00886755">
        <w:rPr>
          <w:color w:val="000000" w:themeColor="text1"/>
        </w:rPr>
        <w:t xml:space="preserve">w roku 2024 minister właściwy do spraw budżetu, na wniosek ministra właściwego do spraw transportu, przekaże </w:t>
      </w:r>
      <w:bookmarkStart w:id="1" w:name="_Hlk149634757"/>
      <w:r w:rsidRPr="00886755">
        <w:rPr>
          <w:color w:val="000000" w:themeColor="text1"/>
        </w:rPr>
        <w:t xml:space="preserve">PKP Polskim Liniom Kolejowym SA </w:t>
      </w:r>
      <w:bookmarkEnd w:id="1"/>
      <w:r w:rsidRPr="00886755">
        <w:rPr>
          <w:color w:val="000000" w:themeColor="text1"/>
        </w:rPr>
        <w:t>skarbowe papiery wartościowe o łącznej wartości nominalnej 1.300 mln zł z przeznaczeniem na podwyższenie kapitału zakładowego PKP Polskich Linii Kolejowych SA</w:t>
      </w:r>
      <w:r>
        <w:rPr>
          <w:color w:val="000000" w:themeColor="text1"/>
        </w:rPr>
        <w:t>.</w:t>
      </w:r>
      <w:r w:rsidRPr="00886755">
        <w:rPr>
          <w:color w:val="000000" w:themeColor="text1"/>
        </w:rPr>
        <w:t xml:space="preserve"> Środki uzyskane z</w:t>
      </w:r>
      <w:r w:rsidR="009F332A">
        <w:rPr>
          <w:color w:val="000000" w:themeColor="text1"/>
        </w:rPr>
        <w:t> </w:t>
      </w:r>
      <w:r w:rsidRPr="00886755">
        <w:rPr>
          <w:color w:val="000000" w:themeColor="text1"/>
        </w:rPr>
        <w:t xml:space="preserve">tytułu skarbowych papierów wartościowych będą mogły być przeznaczone wyłącznie na finansowanie inwestycji realizowanych przez PKP Polskie Linie Kolejowe SA w ramach programów wieloletnich, o których mowa w przepisach ustawy </w:t>
      </w:r>
      <w:r w:rsidR="009F332A">
        <w:rPr>
          <w:color w:val="000000" w:themeColor="text1"/>
        </w:rPr>
        <w:t xml:space="preserve">z dnia 27 sierpnia 2009 r. </w:t>
      </w:r>
      <w:r w:rsidRPr="00886755">
        <w:rPr>
          <w:color w:val="000000" w:themeColor="text1"/>
        </w:rPr>
        <w:t>o</w:t>
      </w:r>
      <w:r w:rsidR="009F332A">
        <w:rPr>
          <w:color w:val="000000" w:themeColor="text1"/>
        </w:rPr>
        <w:t> </w:t>
      </w:r>
      <w:r w:rsidRPr="00886755">
        <w:rPr>
          <w:color w:val="000000" w:themeColor="text1"/>
        </w:rPr>
        <w:t>finansach publicznych. Przewiduje się wykorzystanie tych środków na projekty określone w uchwale Rady Ministrów zmieniającej uchwałę w sprawie ustanowienia Krajowego Programu Kolejowego do 2030 roku (z perspektywą do roku 2032).</w:t>
      </w:r>
    </w:p>
    <w:p w14:paraId="3C81F5B6" w14:textId="5182CC84" w:rsidR="003C14D5" w:rsidRPr="00330D6A" w:rsidRDefault="003C14D5" w:rsidP="007F25E8">
      <w:pPr>
        <w:spacing w:after="120" w:line="360" w:lineRule="auto"/>
        <w:jc w:val="center"/>
        <w:outlineLvl w:val="0"/>
        <w:rPr>
          <w:b/>
          <w:color w:val="000000" w:themeColor="text1"/>
        </w:rPr>
      </w:pPr>
      <w:r w:rsidRPr="00330D6A">
        <w:rPr>
          <w:b/>
          <w:color w:val="000000" w:themeColor="text1"/>
        </w:rPr>
        <w:t xml:space="preserve">Zmiany w zakresie Kancelarii Prezydenta RP (art. </w:t>
      </w:r>
      <w:r w:rsidR="00ED1ECE">
        <w:rPr>
          <w:b/>
          <w:color w:val="000000" w:themeColor="text1"/>
        </w:rPr>
        <w:t>16</w:t>
      </w:r>
      <w:r w:rsidRPr="00330D6A">
        <w:rPr>
          <w:b/>
          <w:color w:val="000000" w:themeColor="text1"/>
        </w:rPr>
        <w:t>)</w:t>
      </w:r>
    </w:p>
    <w:p w14:paraId="60BC0AED" w14:textId="77777777" w:rsidR="003C14D5" w:rsidRPr="00330D6A" w:rsidRDefault="003C14D5" w:rsidP="007F25E8">
      <w:pPr>
        <w:spacing w:after="120" w:line="360" w:lineRule="auto"/>
        <w:jc w:val="both"/>
        <w:outlineLvl w:val="0"/>
        <w:rPr>
          <w:color w:val="000000" w:themeColor="text1"/>
        </w:rPr>
      </w:pPr>
      <w:r w:rsidRPr="00330D6A">
        <w:rPr>
          <w:color w:val="000000" w:themeColor="text1"/>
        </w:rPr>
        <w:t>Na rok 2024 zaplanowano zadania inwestycyjno-remontowe związane z realizacją prac w</w:t>
      </w:r>
      <w:r w:rsidR="009C6923" w:rsidRPr="00330D6A">
        <w:rPr>
          <w:color w:val="000000" w:themeColor="text1"/>
        </w:rPr>
        <w:t> </w:t>
      </w:r>
      <w:r w:rsidRPr="00330D6A">
        <w:rPr>
          <w:color w:val="000000" w:themeColor="text1"/>
        </w:rPr>
        <w:t xml:space="preserve">obiektach zabytkowych o najwyższej wadze w </w:t>
      </w:r>
      <w:r w:rsidR="000B0BCD" w:rsidRPr="00330D6A">
        <w:rPr>
          <w:color w:val="000000" w:themeColor="text1"/>
        </w:rPr>
        <w:t>p</w:t>
      </w:r>
      <w:r w:rsidRPr="00330D6A">
        <w:rPr>
          <w:color w:val="000000" w:themeColor="text1"/>
        </w:rPr>
        <w:t>aństwie – najważniejszych miejsc</w:t>
      </w:r>
      <w:r w:rsidR="000B0BCD" w:rsidRPr="00330D6A">
        <w:rPr>
          <w:color w:val="000000" w:themeColor="text1"/>
        </w:rPr>
        <w:t>ach</w:t>
      </w:r>
      <w:r w:rsidRPr="00330D6A">
        <w:rPr>
          <w:color w:val="000000" w:themeColor="text1"/>
        </w:rPr>
        <w:t xml:space="preserve"> z</w:t>
      </w:r>
      <w:r w:rsidR="009C6923" w:rsidRPr="00330D6A">
        <w:rPr>
          <w:color w:val="000000" w:themeColor="text1"/>
        </w:rPr>
        <w:t> </w:t>
      </w:r>
      <w:r w:rsidRPr="00330D6A">
        <w:rPr>
          <w:color w:val="000000" w:themeColor="text1"/>
        </w:rPr>
        <w:t xml:space="preserve">punktu widzenia nie tylko historycznego, ale również reprezentacyjnego, tj. Rezydencji Pałac Prezydencki i Rezydencji Belweder. Wykonanie planowanych prac jest procesem wieloetapowym i złożonym, dodatkowo uzależnionym przede wszystkim od wymogów decyzji konserwatorskich, terminów oraz wyników rozstrzygnięć w zakresie zamówień publicznych oraz warunków niepewności dotyczących dostępności materiałów i usług budowlanych, a także ich cenami (w szczególności w czasie wysokiej inflacji). W związku z powyższym, niezbędne jest </w:t>
      </w:r>
      <w:r w:rsidR="000B0BCD" w:rsidRPr="00330D6A">
        <w:rPr>
          <w:color w:val="000000" w:themeColor="text1"/>
        </w:rPr>
        <w:t xml:space="preserve">utrzymanie także </w:t>
      </w:r>
      <w:r w:rsidRPr="00330D6A">
        <w:rPr>
          <w:color w:val="000000" w:themeColor="text1"/>
        </w:rPr>
        <w:t>w roku 2024 podstawy materialnoprawnej do dokonywania przeni</w:t>
      </w:r>
      <w:r w:rsidR="000372F5" w:rsidRPr="00330D6A">
        <w:rPr>
          <w:color w:val="000000" w:themeColor="text1"/>
        </w:rPr>
        <w:t>esień wydatków między działami</w:t>
      </w:r>
      <w:r w:rsidR="004741A1" w:rsidRPr="00330D6A">
        <w:rPr>
          <w:color w:val="000000" w:themeColor="text1"/>
        </w:rPr>
        <w:t xml:space="preserve"> klasyfikacji wydatków budżetu państwa</w:t>
      </w:r>
      <w:r w:rsidRPr="00330D6A">
        <w:rPr>
          <w:color w:val="000000" w:themeColor="text1"/>
        </w:rPr>
        <w:t>, w zdefiniowanym powyżej obszarze, w ramach części 01 – Kancelaria Prezydenta RP.</w:t>
      </w:r>
    </w:p>
    <w:p w14:paraId="28FC1A2A" w14:textId="53747AF9" w:rsidR="003C14D5" w:rsidRPr="00330D6A" w:rsidRDefault="003C14D5" w:rsidP="007F25E8">
      <w:pPr>
        <w:spacing w:after="120" w:line="360" w:lineRule="auto"/>
        <w:jc w:val="both"/>
        <w:outlineLvl w:val="0"/>
        <w:rPr>
          <w:color w:val="000000" w:themeColor="text1"/>
        </w:rPr>
      </w:pPr>
      <w:r w:rsidRPr="00330D6A">
        <w:rPr>
          <w:color w:val="000000" w:themeColor="text1"/>
        </w:rPr>
        <w:t>Umożliwi to sprawne gospodarowanie środkami zaplanowanymi w ustawie budżetowe</w:t>
      </w:r>
      <w:r w:rsidR="004741A1" w:rsidRPr="00330D6A">
        <w:rPr>
          <w:color w:val="000000" w:themeColor="text1"/>
        </w:rPr>
        <w:t>j</w:t>
      </w:r>
      <w:r w:rsidRPr="00330D6A">
        <w:rPr>
          <w:color w:val="000000" w:themeColor="text1"/>
        </w:rPr>
        <w:t xml:space="preserve"> oraz efektywną realizację wydatków w zmieniających s</w:t>
      </w:r>
      <w:r w:rsidR="003927E0">
        <w:rPr>
          <w:color w:val="000000" w:themeColor="text1"/>
        </w:rPr>
        <w:t>ię warunkach na rynku budowlano</w:t>
      </w:r>
      <w:r w:rsidR="003927E0">
        <w:rPr>
          <w:color w:val="000000" w:themeColor="text1"/>
        </w:rPr>
        <w:noBreakHyphen/>
      </w:r>
      <w:r w:rsidRPr="00330D6A">
        <w:rPr>
          <w:color w:val="000000" w:themeColor="text1"/>
        </w:rPr>
        <w:t xml:space="preserve">remontowym, zapewniając dysponentowi części 01 </w:t>
      </w:r>
      <w:r w:rsidR="003927E0">
        <w:t xml:space="preserve">– </w:t>
      </w:r>
      <w:r w:rsidRPr="00330D6A">
        <w:rPr>
          <w:color w:val="000000" w:themeColor="text1"/>
        </w:rPr>
        <w:t>Kancelaria Prezydenta RP przenoszenie zaplanowanych środków w sposób elastyczny, aby finansowanie zadań inwestycyjno</w:t>
      </w:r>
      <w:r w:rsidR="005F3406" w:rsidRPr="00330D6A">
        <w:rPr>
          <w:color w:val="000000" w:themeColor="text1"/>
        </w:rPr>
        <w:t>-r</w:t>
      </w:r>
      <w:r w:rsidRPr="00330D6A">
        <w:rPr>
          <w:color w:val="000000" w:themeColor="text1"/>
        </w:rPr>
        <w:t xml:space="preserve">emontowych było jak najbardziej właściwe i sprawne oraz w przypadku </w:t>
      </w:r>
      <w:r w:rsidRPr="00330D6A">
        <w:rPr>
          <w:color w:val="000000" w:themeColor="text1"/>
        </w:rPr>
        <w:lastRenderedPageBreak/>
        <w:t>zaplanowania środków w różnej klasyfikacji budżetowej uwzględniało potrzebę dokonania bieżących zmian, w krótkim czasie, zdeterminowanym przez wymogi prawno-umowne.</w:t>
      </w:r>
    </w:p>
    <w:p w14:paraId="77F9760A" w14:textId="21ECB268" w:rsidR="00B01D83" w:rsidRPr="00330D6A" w:rsidRDefault="00B01D83" w:rsidP="007F25E8">
      <w:pPr>
        <w:spacing w:after="120" w:line="360" w:lineRule="auto"/>
        <w:ind w:left="425" w:hanging="425"/>
        <w:jc w:val="center"/>
        <w:outlineLvl w:val="0"/>
        <w:rPr>
          <w:b/>
          <w:color w:val="000000" w:themeColor="text1"/>
        </w:rPr>
      </w:pPr>
      <w:r w:rsidRPr="00330D6A">
        <w:rPr>
          <w:b/>
          <w:color w:val="000000" w:themeColor="text1"/>
        </w:rPr>
        <w:t xml:space="preserve">Zmiany w zakresie Centrum Obsługi Administracji Rządowej (art. </w:t>
      </w:r>
      <w:r w:rsidR="00ED1ECE">
        <w:rPr>
          <w:b/>
          <w:color w:val="000000" w:themeColor="text1"/>
        </w:rPr>
        <w:t>17</w:t>
      </w:r>
      <w:r w:rsidRPr="00330D6A">
        <w:rPr>
          <w:b/>
          <w:color w:val="000000" w:themeColor="text1"/>
        </w:rPr>
        <w:t>)</w:t>
      </w:r>
    </w:p>
    <w:p w14:paraId="38326242" w14:textId="409E17E9" w:rsidR="00B01D83" w:rsidRPr="00330D6A" w:rsidRDefault="00B01D83" w:rsidP="007F25E8">
      <w:pPr>
        <w:spacing w:after="120" w:line="360" w:lineRule="auto"/>
        <w:jc w:val="both"/>
        <w:rPr>
          <w:color w:val="000000" w:themeColor="text1"/>
        </w:rPr>
      </w:pPr>
      <w:r w:rsidRPr="00330D6A">
        <w:rPr>
          <w:color w:val="000000" w:themeColor="text1"/>
        </w:rPr>
        <w:t xml:space="preserve">Proponowany przepis – zgodnie z art. 24 ust. 1 ustawy </w:t>
      </w:r>
      <w:r w:rsidR="009477EA" w:rsidRPr="00330D6A">
        <w:rPr>
          <w:color w:val="000000" w:themeColor="text1"/>
        </w:rPr>
        <w:t xml:space="preserve">z dnia 27 sierpnia 2009 r. </w:t>
      </w:r>
      <w:r w:rsidRPr="00330D6A">
        <w:rPr>
          <w:color w:val="000000" w:themeColor="text1"/>
        </w:rPr>
        <w:t>o finansach publicznych – ma na celu stworzenie podstaw</w:t>
      </w:r>
      <w:r w:rsidR="009477EA" w:rsidRPr="00330D6A">
        <w:rPr>
          <w:color w:val="000000" w:themeColor="text1"/>
        </w:rPr>
        <w:t>y</w:t>
      </w:r>
      <w:r w:rsidRPr="00330D6A">
        <w:rPr>
          <w:color w:val="000000" w:themeColor="text1"/>
        </w:rPr>
        <w:t xml:space="preserve"> prawn</w:t>
      </w:r>
      <w:r w:rsidR="009477EA" w:rsidRPr="00330D6A">
        <w:rPr>
          <w:color w:val="000000" w:themeColor="text1"/>
        </w:rPr>
        <w:t>ej</w:t>
      </w:r>
      <w:r w:rsidRPr="00330D6A">
        <w:rPr>
          <w:color w:val="000000" w:themeColor="text1"/>
        </w:rPr>
        <w:t xml:space="preserve"> umożliwiając</w:t>
      </w:r>
      <w:r w:rsidR="009477EA" w:rsidRPr="00330D6A">
        <w:rPr>
          <w:color w:val="000000" w:themeColor="text1"/>
        </w:rPr>
        <w:t>ej</w:t>
      </w:r>
      <w:r w:rsidRPr="00330D6A">
        <w:rPr>
          <w:color w:val="000000" w:themeColor="text1"/>
        </w:rPr>
        <w:t xml:space="preserve"> Szefowi Kancelarii Prezesa Rady Ministrów udzielenie dotacji celowej instytucji gospodarki budżetowej KPRM </w:t>
      </w:r>
      <w:r w:rsidR="003927E0">
        <w:rPr>
          <w:color w:val="000000" w:themeColor="text1"/>
        </w:rPr>
        <w:t>–</w:t>
      </w:r>
      <w:r w:rsidRPr="00330D6A">
        <w:rPr>
          <w:color w:val="000000" w:themeColor="text1"/>
        </w:rPr>
        <w:t xml:space="preserve"> Centrum Obsługi Administracji Rządowej. </w:t>
      </w:r>
    </w:p>
    <w:p w14:paraId="7FF044EE" w14:textId="0FCF15A5" w:rsidR="005C60ED" w:rsidRPr="00330D6A" w:rsidRDefault="005C60ED" w:rsidP="007F25E8">
      <w:pPr>
        <w:spacing w:after="120" w:line="360" w:lineRule="auto"/>
        <w:jc w:val="both"/>
        <w:rPr>
          <w:color w:val="000000" w:themeColor="text1"/>
        </w:rPr>
      </w:pPr>
      <w:r w:rsidRPr="00330D6A">
        <w:rPr>
          <w:color w:val="000000" w:themeColor="text1"/>
        </w:rPr>
        <w:t xml:space="preserve">Umożliwienie Szefowi Kancelarii Prezesa Rady Ministrów udzielenia dotacji Centrum Obsługi Administracji Rządowej </w:t>
      </w:r>
      <w:r w:rsidR="00FA6BB6" w:rsidRPr="00330D6A">
        <w:rPr>
          <w:color w:val="000000" w:themeColor="text1"/>
        </w:rPr>
        <w:t>do</w:t>
      </w:r>
      <w:r w:rsidR="009B0F47" w:rsidRPr="00330D6A">
        <w:rPr>
          <w:color w:val="000000" w:themeColor="text1"/>
        </w:rPr>
        <w:t xml:space="preserve"> wysokości 18 195 tys. zł, </w:t>
      </w:r>
      <w:r w:rsidRPr="00330D6A">
        <w:rPr>
          <w:color w:val="000000" w:themeColor="text1"/>
        </w:rPr>
        <w:t>pozwoli na realizację zadań publicznych, tj. na realizację zadań inwestycyjnych i remontów oraz zakupu wyposażenia w</w:t>
      </w:r>
      <w:r w:rsidR="009F332A">
        <w:rPr>
          <w:color w:val="000000" w:themeColor="text1"/>
        </w:rPr>
        <w:t> </w:t>
      </w:r>
      <w:r w:rsidRPr="00330D6A">
        <w:rPr>
          <w:color w:val="000000" w:themeColor="text1"/>
        </w:rPr>
        <w:t xml:space="preserve">nieruchomościach stanowiących wyposażenie tej instytucji. </w:t>
      </w:r>
    </w:p>
    <w:p w14:paraId="3F915F30" w14:textId="77777777" w:rsidR="00B01D83" w:rsidRPr="00330D6A" w:rsidRDefault="005C60ED" w:rsidP="007F25E8">
      <w:pPr>
        <w:spacing w:after="120" w:line="360" w:lineRule="auto"/>
        <w:jc w:val="both"/>
        <w:rPr>
          <w:color w:val="000000" w:themeColor="text1"/>
        </w:rPr>
      </w:pPr>
      <w:r w:rsidRPr="00330D6A">
        <w:rPr>
          <w:color w:val="000000" w:themeColor="text1"/>
        </w:rPr>
        <w:t xml:space="preserve">Działanie to </w:t>
      </w:r>
      <w:r w:rsidR="00B01D83" w:rsidRPr="00330D6A">
        <w:rPr>
          <w:color w:val="000000" w:themeColor="text1"/>
        </w:rPr>
        <w:t>umożliwi Centrum Obsługi Administracji Rządowej realizację niezbędnych prac związanych z remontem, modernizacją oraz wyposażeniem mienia Skarbu Państwa stanowiącego wyposażenie lub przekazanego w użyczenie instytucji gospodarki budżetowej – Centrum Obsługi Administracji Rządowej.</w:t>
      </w:r>
    </w:p>
    <w:p w14:paraId="005924E8" w14:textId="1120411C" w:rsidR="005C60ED" w:rsidRPr="00330D6A" w:rsidRDefault="009B0F47" w:rsidP="007F25E8">
      <w:pPr>
        <w:spacing w:after="120" w:line="360" w:lineRule="auto"/>
        <w:jc w:val="both"/>
        <w:rPr>
          <w:color w:val="000000" w:themeColor="text1"/>
        </w:rPr>
      </w:pPr>
      <w:r w:rsidRPr="00330D6A">
        <w:rPr>
          <w:color w:val="000000" w:themeColor="text1"/>
        </w:rPr>
        <w:t xml:space="preserve">Powyższe działanie </w:t>
      </w:r>
      <w:r w:rsidR="005C60ED" w:rsidRPr="00330D6A">
        <w:rPr>
          <w:color w:val="000000" w:themeColor="text1"/>
        </w:rPr>
        <w:t>przyczyni się do wzrostu wartości użytkowej majątku stanowiącego własność Skarbu Państwa, zwiększenia bezpieczeństwa użytkowników obiektów, podniesienia bezpieczeństwa technicznego obiektów, a także zmniejszenia kosztów ich użytkowania.</w:t>
      </w:r>
    </w:p>
    <w:p w14:paraId="244EDCE7" w14:textId="1084FA14" w:rsidR="00121986" w:rsidRPr="00330D6A" w:rsidRDefault="00121986" w:rsidP="007F25E8">
      <w:pPr>
        <w:keepNext/>
        <w:spacing w:after="120" w:line="360" w:lineRule="auto"/>
        <w:ind w:left="425" w:hanging="425"/>
        <w:jc w:val="center"/>
        <w:outlineLvl w:val="0"/>
        <w:rPr>
          <w:b/>
          <w:strike/>
          <w:color w:val="000000" w:themeColor="text1"/>
        </w:rPr>
      </w:pPr>
      <w:r w:rsidRPr="00330D6A">
        <w:rPr>
          <w:b/>
          <w:color w:val="000000" w:themeColor="text1"/>
        </w:rPr>
        <w:t xml:space="preserve">Zmiany w zakresie funkcjonariuszy i żołnierzy zawodowych (art. </w:t>
      </w:r>
      <w:r w:rsidR="00ED1ECE">
        <w:rPr>
          <w:b/>
          <w:color w:val="000000" w:themeColor="text1"/>
        </w:rPr>
        <w:t>18</w:t>
      </w:r>
      <w:r w:rsidRPr="00330D6A">
        <w:rPr>
          <w:b/>
          <w:color w:val="000000" w:themeColor="text1"/>
        </w:rPr>
        <w:t>)</w:t>
      </w:r>
    </w:p>
    <w:p w14:paraId="7D96C910" w14:textId="10AE4DF1" w:rsidR="00584F7B" w:rsidRDefault="00584F7B" w:rsidP="007F25E8">
      <w:pPr>
        <w:spacing w:after="120" w:line="360" w:lineRule="auto"/>
        <w:jc w:val="both"/>
        <w:outlineLvl w:val="0"/>
        <w:rPr>
          <w:color w:val="000000" w:themeColor="text1"/>
        </w:rPr>
      </w:pPr>
      <w:r>
        <w:rPr>
          <w:color w:val="000000" w:themeColor="text1"/>
        </w:rPr>
        <w:t xml:space="preserve">Proponuje się regulację wprowadzającą mechanizm zachęcający do pozostawania w służbie czynnej żołnierzy zawodowych, funkcjonariuszy i funkcjonariuszy Służby Celno-Skarbowej. Mając na uwadze powyższe proponuje się, aby w roku </w:t>
      </w:r>
      <w:r w:rsidR="00ED1ECE">
        <w:rPr>
          <w:color w:val="000000" w:themeColor="text1"/>
        </w:rPr>
        <w:t xml:space="preserve">2024 </w:t>
      </w:r>
      <w:r>
        <w:rPr>
          <w:color w:val="000000" w:themeColor="text1"/>
        </w:rPr>
        <w:t>wzrost uposażeń obejmował wyłącznie żołnierzy zawodowych i funkcjonariuszy or</w:t>
      </w:r>
      <w:r w:rsidR="003927E0">
        <w:rPr>
          <w:color w:val="000000" w:themeColor="text1"/>
        </w:rPr>
        <w:t>az funkcjonariuszy Służby Celno</w:t>
      </w:r>
      <w:r w:rsidR="003927E0">
        <w:rPr>
          <w:color w:val="000000" w:themeColor="text1"/>
        </w:rPr>
        <w:noBreakHyphen/>
      </w:r>
      <w:r>
        <w:rPr>
          <w:color w:val="000000" w:themeColor="text1"/>
        </w:rPr>
        <w:t xml:space="preserve">Skarbowej pozostających w służbie na dzień 1 marca 2024 r. </w:t>
      </w:r>
    </w:p>
    <w:p w14:paraId="4E86BA75" w14:textId="766521A2" w:rsidR="002038B6" w:rsidRPr="00330D6A" w:rsidRDefault="003C14D5" w:rsidP="007F25E8">
      <w:pPr>
        <w:spacing w:after="120" w:line="360" w:lineRule="auto"/>
        <w:ind w:left="425" w:hanging="425"/>
        <w:jc w:val="center"/>
        <w:outlineLvl w:val="0"/>
        <w:rPr>
          <w:b/>
          <w:strike/>
          <w:color w:val="000000" w:themeColor="text1"/>
        </w:rPr>
      </w:pPr>
      <w:r w:rsidRPr="00330D6A">
        <w:rPr>
          <w:b/>
          <w:color w:val="000000" w:themeColor="text1"/>
        </w:rPr>
        <w:t>Zmiany w zakresie jednostek samorządu terytorialnego</w:t>
      </w:r>
      <w:r w:rsidR="002038B6" w:rsidRPr="00330D6A">
        <w:rPr>
          <w:b/>
          <w:color w:val="000000" w:themeColor="text1"/>
        </w:rPr>
        <w:t xml:space="preserve"> (art. </w:t>
      </w:r>
      <w:r w:rsidR="00ED1ECE">
        <w:rPr>
          <w:b/>
          <w:color w:val="000000" w:themeColor="text1"/>
        </w:rPr>
        <w:t>19</w:t>
      </w:r>
      <w:r w:rsidR="00ED1ECE" w:rsidRPr="00330D6A">
        <w:rPr>
          <w:b/>
          <w:color w:val="000000" w:themeColor="text1"/>
        </w:rPr>
        <w:t xml:space="preserve"> </w:t>
      </w:r>
      <w:r w:rsidR="00023F80" w:rsidRPr="00330D6A">
        <w:rPr>
          <w:b/>
          <w:color w:val="000000" w:themeColor="text1"/>
        </w:rPr>
        <w:t xml:space="preserve">i art. </w:t>
      </w:r>
      <w:r w:rsidR="00ED1ECE">
        <w:rPr>
          <w:b/>
          <w:color w:val="000000" w:themeColor="text1"/>
        </w:rPr>
        <w:t>29</w:t>
      </w:r>
      <w:r w:rsidR="00351C2E" w:rsidRPr="00330D6A">
        <w:rPr>
          <w:b/>
          <w:color w:val="000000" w:themeColor="text1"/>
        </w:rPr>
        <w:t>)</w:t>
      </w:r>
    </w:p>
    <w:p w14:paraId="21ABF8FE" w14:textId="346010E5" w:rsidR="00023F80" w:rsidRPr="00330D6A" w:rsidRDefault="00023F80" w:rsidP="007F25E8">
      <w:pPr>
        <w:tabs>
          <w:tab w:val="left" w:pos="5235"/>
        </w:tabs>
        <w:spacing w:before="120" w:after="120" w:line="360" w:lineRule="auto"/>
        <w:jc w:val="both"/>
        <w:rPr>
          <w:bCs/>
          <w:color w:val="000000" w:themeColor="text1"/>
        </w:rPr>
      </w:pPr>
      <w:r w:rsidRPr="00330D6A">
        <w:rPr>
          <w:color w:val="000000" w:themeColor="text1"/>
        </w:rPr>
        <w:t xml:space="preserve">W 2023 r. z budżetu państwa jednostki samorządu terytorialnego otrzymają dodatkowe dochody z tytułu uzupełnienia subwencji ogólnej w wysokości 14,3 mld zł. Środki te przyczynią się do wzrostu dochodów jednostek samorządu terytorialnego w 2023 r. z tytułu subwencji ogólnej o prawie 17% w stosunku do środków z tego tytułu zaplanowanych w ustawie budżetowej. Jest to istotne wsparcie finansowe samorządu terytorialnego w realizacji ich zadań własnych. Środki z podziału tej kwoty otrzymają wszystkie jednostki samorządu </w:t>
      </w:r>
      <w:r w:rsidRPr="00330D6A">
        <w:rPr>
          <w:color w:val="000000" w:themeColor="text1"/>
        </w:rPr>
        <w:lastRenderedPageBreak/>
        <w:t xml:space="preserve">terytorialnego. Należy podkreślić, że środki te nie są powiązane z przekazaniem dodatkowych zadań jednostkom samorządu terytorialnego (z wyjątkiem zadań z zakresu finansowania oświaty), czyli stanowią dodatkowe dochody nie przewidziane wcześniej w ustawie z dnia 13 listopada 2003 r. o dochodach jednostek samorządu terytorialnego (Dz. U. z 2022 r. poz. 2267, z </w:t>
      </w:r>
      <w:proofErr w:type="spellStart"/>
      <w:r w:rsidRPr="00330D6A">
        <w:rPr>
          <w:color w:val="000000" w:themeColor="text1"/>
        </w:rPr>
        <w:t>późn</w:t>
      </w:r>
      <w:proofErr w:type="spellEnd"/>
      <w:r w:rsidRPr="00330D6A">
        <w:rPr>
          <w:color w:val="000000" w:themeColor="text1"/>
        </w:rPr>
        <w:t>. zm.). Dodatkowe dochody będą stanowiły uzupełnienie subwencji ogólnej, co pozwoli samorządom na elastyczne gospodarowanie tymi środkami. O przeznaczeniu dodatkowych dochodów zdecydują bowiem jednostki samorządu terytorialnego. Zatem o</w:t>
      </w:r>
      <w:r w:rsidRPr="00330D6A">
        <w:rPr>
          <w:bCs/>
          <w:color w:val="000000" w:themeColor="text1"/>
        </w:rPr>
        <w:t>trzymane środki będą mogły być wykorzystane na pokrycie wydatków bieżących, ale również na cele inwestycyjne. Należy również zauważyć, że w zależności od sytuacji finansowej danej jednostki samorządu terytorialnego oraz decyzji zarządczych organów samorządu terytorialnego, dodatkowe dochody będą mogły być również wykorzystywane do finansowania wydatków budżetowych roku 2024. Jedyną różnicą stanowi to, że istotna część środków nadwyżkowych z roku 2023 będzie w roku 2024 przychodami budżetowymi a nie dochodami budżetowymi. Nie zmieni to jednak faktu, że uzyskane nadwyżki finansowe z roku 2023 będą pozostawać od 2024 r. do swobodnej dyspozycji jednostek samorządu terytorialnego.</w:t>
      </w:r>
    </w:p>
    <w:p w14:paraId="5D7BDD9F" w14:textId="77777777" w:rsidR="00023F80" w:rsidRPr="00330D6A" w:rsidRDefault="00023F80" w:rsidP="007F25E8">
      <w:pPr>
        <w:tabs>
          <w:tab w:val="left" w:pos="5235"/>
        </w:tabs>
        <w:spacing w:before="120" w:after="120" w:line="360" w:lineRule="auto"/>
        <w:jc w:val="both"/>
        <w:rPr>
          <w:color w:val="000000" w:themeColor="text1"/>
        </w:rPr>
      </w:pPr>
      <w:r w:rsidRPr="00330D6A">
        <w:rPr>
          <w:color w:val="000000" w:themeColor="text1"/>
        </w:rPr>
        <w:t>Należy również dodać, że na 2024 r. przewidywany jest znaczny wzrost wpływów z podatków dochodowych, w których jednostki samorządu terytorialnego mają udziały. Przewiduje się, że planowane dochody jednostek samorządu terytorialnego (łącznie z Górnośląsko-Zagłębiowską Metropolią) z tytułu udziału we wpływach z PIT wyniosą w 2024 r. 72,9 mld zł, tj. więcej o</w:t>
      </w:r>
      <w:r w:rsidR="005F3406" w:rsidRPr="00330D6A">
        <w:rPr>
          <w:color w:val="000000" w:themeColor="text1"/>
        </w:rPr>
        <w:t> </w:t>
      </w:r>
      <w:r w:rsidRPr="00330D6A">
        <w:rPr>
          <w:color w:val="000000" w:themeColor="text1"/>
        </w:rPr>
        <w:t>39,9% od dochodów z 2023 r.</w:t>
      </w:r>
    </w:p>
    <w:p w14:paraId="73F20330" w14:textId="77777777" w:rsidR="00023F80" w:rsidRPr="00330D6A" w:rsidRDefault="00023F80" w:rsidP="007F25E8">
      <w:pPr>
        <w:tabs>
          <w:tab w:val="left" w:pos="5235"/>
        </w:tabs>
        <w:spacing w:before="120" w:after="120" w:line="360" w:lineRule="auto"/>
        <w:jc w:val="both"/>
        <w:rPr>
          <w:color w:val="000000" w:themeColor="text1"/>
        </w:rPr>
      </w:pPr>
      <w:r w:rsidRPr="00330D6A">
        <w:rPr>
          <w:color w:val="000000" w:themeColor="text1"/>
        </w:rPr>
        <w:t>W przypadku wpływów z podatku dochodowego od osób prawnych (CIT), w których samorządy mają udział w łącznej wysokości 22,86%, również przewidywany jest wzrost. Prognozuje się, że samorządy z tytułu podatku dochodowego od osób prawnych otrzymają w</w:t>
      </w:r>
      <w:r w:rsidR="005F3406" w:rsidRPr="00330D6A">
        <w:rPr>
          <w:color w:val="000000" w:themeColor="text1"/>
        </w:rPr>
        <w:t> </w:t>
      </w:r>
      <w:r w:rsidRPr="00330D6A">
        <w:rPr>
          <w:color w:val="000000" w:themeColor="text1"/>
        </w:rPr>
        <w:t>2024 r. 26,4 mld zł, tj. więcej o 20,9% od dochodów z 2023 r.</w:t>
      </w:r>
    </w:p>
    <w:p w14:paraId="26712DE4" w14:textId="77777777" w:rsidR="00023F80" w:rsidRPr="00330D6A" w:rsidRDefault="00023F80" w:rsidP="007F25E8">
      <w:pPr>
        <w:tabs>
          <w:tab w:val="left" w:pos="5235"/>
        </w:tabs>
        <w:spacing w:before="120" w:after="120" w:line="360" w:lineRule="auto"/>
        <w:jc w:val="both"/>
        <w:rPr>
          <w:color w:val="000000" w:themeColor="text1"/>
        </w:rPr>
      </w:pPr>
      <w:r w:rsidRPr="00330D6A">
        <w:rPr>
          <w:color w:val="000000" w:themeColor="text1"/>
        </w:rPr>
        <w:t>W ustawie budżetowej na rok 2024 przewiduje się także wzrost subwencji ogólnej dla jednostek samorządu terytorialnego w stosunku do subwencji zaplanowanej w ustawie budżetowej na rok 2023 (przed nowelizacją) o 20,5%.</w:t>
      </w:r>
    </w:p>
    <w:p w14:paraId="5EFA5B91" w14:textId="2CAB7F7C" w:rsidR="00023F80" w:rsidRPr="00330D6A" w:rsidRDefault="00023F80" w:rsidP="007F25E8">
      <w:pPr>
        <w:tabs>
          <w:tab w:val="left" w:pos="5235"/>
        </w:tabs>
        <w:spacing w:before="120" w:after="120" w:line="360" w:lineRule="auto"/>
        <w:jc w:val="both"/>
        <w:rPr>
          <w:color w:val="000000" w:themeColor="text1"/>
        </w:rPr>
      </w:pPr>
      <w:r w:rsidRPr="00330D6A">
        <w:rPr>
          <w:color w:val="000000" w:themeColor="text1"/>
        </w:rPr>
        <w:t>W ostatnich latach Rząd przygotował szereg rozwiązań wspieraj</w:t>
      </w:r>
      <w:r w:rsidR="003927E0">
        <w:rPr>
          <w:color w:val="000000" w:themeColor="text1"/>
        </w:rPr>
        <w:t xml:space="preserve">ących inwestycje w jednostkach </w:t>
      </w:r>
      <w:r w:rsidRPr="00330D6A">
        <w:rPr>
          <w:color w:val="000000" w:themeColor="text1"/>
        </w:rPr>
        <w:t>samorządu terytorialnego. Można tu wymienić chociażby:</w:t>
      </w:r>
    </w:p>
    <w:p w14:paraId="4597BE6A" w14:textId="0A5B9529" w:rsidR="00023F80" w:rsidRPr="00330D6A" w:rsidRDefault="00023F80" w:rsidP="007F25E8">
      <w:pPr>
        <w:numPr>
          <w:ilvl w:val="0"/>
          <w:numId w:val="23"/>
        </w:numPr>
        <w:tabs>
          <w:tab w:val="left" w:pos="5235"/>
        </w:tabs>
        <w:spacing w:before="120" w:after="120" w:line="360" w:lineRule="auto"/>
        <w:jc w:val="both"/>
        <w:rPr>
          <w:color w:val="000000" w:themeColor="text1"/>
        </w:rPr>
      </w:pPr>
      <w:r w:rsidRPr="00330D6A">
        <w:rPr>
          <w:color w:val="000000" w:themeColor="text1"/>
        </w:rPr>
        <w:t xml:space="preserve">Rządowy Fundusz Rozwoju Dróg, z którego jednostki samorządu terytorialnego mogą otrzymać dofinansowanie w wysokości do 80% kosztów realizacji zadania, z wyjątkiem zadania mostowego oraz zadania dojazdowego do terminala </w:t>
      </w:r>
      <w:r w:rsidRPr="00330D6A">
        <w:rPr>
          <w:color w:val="000000" w:themeColor="text1"/>
        </w:rPr>
        <w:lastRenderedPageBreak/>
        <w:t>intermodalnego (95% kosztów). W 2023 r. Fundusz ten zakłada wsparcie finansowe dla samor</w:t>
      </w:r>
      <w:r w:rsidR="003927E0">
        <w:rPr>
          <w:color w:val="000000" w:themeColor="text1"/>
        </w:rPr>
        <w:t>ządów w wysokości 6,8 mld zł. W</w:t>
      </w:r>
      <w:r w:rsidRPr="00330D6A">
        <w:rPr>
          <w:color w:val="000000" w:themeColor="text1"/>
        </w:rPr>
        <w:t xml:space="preserve"> 2024 r. dofinansowanie zadań wynikających z ustawy z dnia 23 października 2018 r. o rządowym funduszu rozwoju dróg (Dz. U. z 2023 r. poz. 747) wyniesie prawie 7 mld</w:t>
      </w:r>
      <w:r w:rsidR="005F3406" w:rsidRPr="00330D6A">
        <w:rPr>
          <w:bCs/>
          <w:color w:val="000000" w:themeColor="text1"/>
        </w:rPr>
        <w:t xml:space="preserve"> zł,</w:t>
      </w:r>
    </w:p>
    <w:p w14:paraId="6970C232" w14:textId="6D093E67" w:rsidR="00023F80" w:rsidRPr="00330D6A" w:rsidRDefault="00023F80" w:rsidP="007F25E8">
      <w:pPr>
        <w:numPr>
          <w:ilvl w:val="0"/>
          <w:numId w:val="23"/>
        </w:numPr>
        <w:tabs>
          <w:tab w:val="left" w:pos="5235"/>
        </w:tabs>
        <w:spacing w:before="120" w:after="120" w:line="360" w:lineRule="auto"/>
        <w:jc w:val="both"/>
        <w:rPr>
          <w:color w:val="000000" w:themeColor="text1"/>
        </w:rPr>
      </w:pPr>
      <w:r w:rsidRPr="00330D6A">
        <w:rPr>
          <w:color w:val="000000" w:themeColor="text1"/>
        </w:rPr>
        <w:t>Rządowy Fundusz Inwestycji Lokalnych,</w:t>
      </w:r>
      <w:r w:rsidR="003927E0">
        <w:rPr>
          <w:color w:val="000000" w:themeColor="text1"/>
        </w:rPr>
        <w:t xml:space="preserve"> w ramach którego w latach 2020–</w:t>
      </w:r>
      <w:r w:rsidRPr="00330D6A">
        <w:rPr>
          <w:color w:val="000000" w:themeColor="text1"/>
        </w:rPr>
        <w:t>2021 do jednostek samorządu terytorialnego na inwestycje p</w:t>
      </w:r>
      <w:r w:rsidR="005F3406" w:rsidRPr="00330D6A">
        <w:rPr>
          <w:color w:val="000000" w:themeColor="text1"/>
        </w:rPr>
        <w:t>rzekazano kwotę ponad 13 mld zł,</w:t>
      </w:r>
    </w:p>
    <w:p w14:paraId="25D6E244" w14:textId="77777777" w:rsidR="00023F80" w:rsidRPr="00330D6A" w:rsidRDefault="00023F80" w:rsidP="007F25E8">
      <w:pPr>
        <w:numPr>
          <w:ilvl w:val="0"/>
          <w:numId w:val="23"/>
        </w:numPr>
        <w:tabs>
          <w:tab w:val="left" w:pos="5235"/>
        </w:tabs>
        <w:spacing w:before="120" w:after="120" w:line="360" w:lineRule="auto"/>
        <w:jc w:val="both"/>
        <w:rPr>
          <w:color w:val="000000" w:themeColor="text1"/>
        </w:rPr>
      </w:pPr>
      <w:r w:rsidRPr="00330D6A">
        <w:rPr>
          <w:color w:val="000000" w:themeColor="text1"/>
        </w:rPr>
        <w:t>Rządowy Fundusz Polski Ład: Program Inwestycji Strategicznych, oferujący jednostkom samorządu terytorialnego bezzwrotne i bardzo wysokie dofinansowanie inwestycji (w wyniku naborów samorządy otrzymają środki w kwocie ok. 100 mld zł). Dofinansowanie inwestycji realizowanych przez samorządy może wynieść do 95% kosztów realizacji.</w:t>
      </w:r>
    </w:p>
    <w:p w14:paraId="3FB305F9" w14:textId="77777777" w:rsidR="00023F80" w:rsidRPr="00330D6A" w:rsidRDefault="00023F80" w:rsidP="007F25E8">
      <w:pPr>
        <w:tabs>
          <w:tab w:val="left" w:pos="5235"/>
        </w:tabs>
        <w:spacing w:before="120" w:after="120" w:line="360" w:lineRule="auto"/>
        <w:jc w:val="both"/>
        <w:rPr>
          <w:color w:val="000000" w:themeColor="text1"/>
        </w:rPr>
      </w:pPr>
      <w:r w:rsidRPr="00330D6A">
        <w:rPr>
          <w:color w:val="000000" w:themeColor="text1"/>
        </w:rPr>
        <w:t>Ponadto inwestycje jednostek samorządu terytorialnego wspierane są również z budżetu państwa. Co roku w ustawie budżetowej planowane są w rezerwach budżetu państwa środki na dofinansowanie inwestycyjnych zadań własnych jednostek samorządu terytorialnego. Przykładowo w roku 2023 na ten cel zaplanowano środki w kwocie prawie 600 mln zł.</w:t>
      </w:r>
    </w:p>
    <w:p w14:paraId="51F8EEEF" w14:textId="77777777" w:rsidR="00023F80" w:rsidRPr="00330D6A" w:rsidRDefault="00023F80" w:rsidP="007F25E8">
      <w:pPr>
        <w:tabs>
          <w:tab w:val="left" w:pos="5235"/>
        </w:tabs>
        <w:spacing w:before="120" w:after="120" w:line="360" w:lineRule="auto"/>
        <w:jc w:val="both"/>
        <w:rPr>
          <w:color w:val="000000" w:themeColor="text1"/>
        </w:rPr>
      </w:pPr>
      <w:r w:rsidRPr="00330D6A">
        <w:rPr>
          <w:color w:val="000000" w:themeColor="text1"/>
        </w:rPr>
        <w:t>Wzrost dochodów samorządów z omawianych źródeł, przy rosnących potrzebach zapewnienia odpowiednich środków na wydatki państwa, w tym np. na bezpieczeństwo, obronę narodową oraz ochronę zdrowia spowodowały, że w 2024 r. w odniesieniu do pewnej grupy jednostek samorządu terytorialnego nie będzie dokonywana korekta dochodów za rok 2022, z tytułu udziału we wpływach z podatku CIT. Korekta nie będzie dokonywana w przypadku zamożnych jednostek samorządu terytorialnego osiągających dochody podatkowe przekraczające średnie dochody w skali kraju, w których jednocześnie w ostatnich latach dochody podatkowe z tytułu udziału w CIT i PIT bardzo znacząco rosły (m.in. co najmniej dwukrotny wzrost dochodów z</w:t>
      </w:r>
      <w:r w:rsidR="005F3406" w:rsidRPr="00330D6A">
        <w:rPr>
          <w:color w:val="000000" w:themeColor="text1"/>
        </w:rPr>
        <w:t> </w:t>
      </w:r>
      <w:r w:rsidRPr="00330D6A">
        <w:rPr>
          <w:color w:val="000000" w:themeColor="text1"/>
        </w:rPr>
        <w:t xml:space="preserve">tytułu udziału w PIT i CIT na rok 2024 w stosunku do roku 2020 ). </w:t>
      </w:r>
    </w:p>
    <w:p w14:paraId="55F3199E" w14:textId="77777777" w:rsidR="00023F80" w:rsidRPr="00330D6A" w:rsidRDefault="00023F80" w:rsidP="007F25E8">
      <w:pPr>
        <w:tabs>
          <w:tab w:val="left" w:pos="5235"/>
        </w:tabs>
        <w:spacing w:before="120" w:after="120" w:line="360" w:lineRule="auto"/>
        <w:jc w:val="both"/>
        <w:rPr>
          <w:color w:val="000000" w:themeColor="text1"/>
        </w:rPr>
      </w:pPr>
      <w:r w:rsidRPr="00330D6A">
        <w:rPr>
          <w:color w:val="000000" w:themeColor="text1"/>
        </w:rPr>
        <w:t>Odnosząc się do kryteriów, na których opiera się mechanizm identyfikacji jednostek samorządu terytorialnego, wobec których nie zostanie zastosowana korekta dochodów z tytułu podatku CIT za 2022 rok, należy uznać, że zostały one ustalone w sposób zobiektywizowany (kategorialny). Opierają się one na obiektywnych wielkościach odnoszących się do potencjału finansowego i dochodowego poszczególnych samorządów.</w:t>
      </w:r>
    </w:p>
    <w:p w14:paraId="6A2AB796" w14:textId="77777777" w:rsidR="00023F80" w:rsidRPr="00330D6A" w:rsidRDefault="00023F80" w:rsidP="007F25E8">
      <w:pPr>
        <w:tabs>
          <w:tab w:val="left" w:pos="5235"/>
        </w:tabs>
        <w:spacing w:before="120" w:after="120" w:line="360" w:lineRule="auto"/>
        <w:jc w:val="both"/>
        <w:rPr>
          <w:color w:val="000000" w:themeColor="text1"/>
        </w:rPr>
      </w:pPr>
      <w:r w:rsidRPr="00330D6A">
        <w:rPr>
          <w:color w:val="000000" w:themeColor="text1"/>
        </w:rPr>
        <w:t xml:space="preserve">Proponowane przepisy identyfikujące jednostki, w odniesieniu do których nie będzie korekty dochodów, zostały sporządzone tak aby w sposób jak najbardziej obiektywny i pełny odzwierciedlić potencjał dochodowy i ekonomiczny jednostek samorządu terytorialnego. </w:t>
      </w:r>
      <w:r w:rsidRPr="00330D6A">
        <w:rPr>
          <w:iCs/>
          <w:color w:val="000000" w:themeColor="text1"/>
        </w:rPr>
        <w:t xml:space="preserve">Tak </w:t>
      </w:r>
      <w:r w:rsidRPr="00330D6A">
        <w:rPr>
          <w:iCs/>
          <w:color w:val="000000" w:themeColor="text1"/>
        </w:rPr>
        <w:lastRenderedPageBreak/>
        <w:t>skonstruowany mechanizm pozwoli na ustalenie jednostek samorządu terytorialnego, których dochody z tytułu udziału we wpływach z CIT za rok 2022 nie podlegają korekcie.</w:t>
      </w:r>
    </w:p>
    <w:p w14:paraId="03D1D2A2" w14:textId="77777777" w:rsidR="00023F80" w:rsidRPr="00330D6A" w:rsidRDefault="00023F80" w:rsidP="007F25E8">
      <w:pPr>
        <w:tabs>
          <w:tab w:val="left" w:pos="5235"/>
        </w:tabs>
        <w:spacing w:before="120" w:after="120" w:line="360" w:lineRule="auto"/>
        <w:jc w:val="both"/>
        <w:rPr>
          <w:color w:val="000000" w:themeColor="text1"/>
        </w:rPr>
      </w:pPr>
      <w:r w:rsidRPr="00330D6A">
        <w:rPr>
          <w:color w:val="000000" w:themeColor="text1"/>
        </w:rPr>
        <w:t>Jednocześnie należy podkreślić, że wybór kryteriów dotyczących wyłączenia niektórych jednostek samorządu terytorialnego jest określony i transparentny. Każdy może ustalić jakie kryteria zostały zastosowane i które jednostki na ich podstawie zostały wykluczone. Ustalenie kryteriów ustawowych, jednolitych dla wszystkich jednostek samorządu terytorialnego sprawia, że nie zostanie naruszona zasada równości wobec prawa.</w:t>
      </w:r>
    </w:p>
    <w:p w14:paraId="238A3BDD" w14:textId="77777777" w:rsidR="00023F80" w:rsidRPr="00330D6A" w:rsidRDefault="00023F80" w:rsidP="007F25E8">
      <w:pPr>
        <w:tabs>
          <w:tab w:val="left" w:pos="5235"/>
        </w:tabs>
        <w:spacing w:before="120" w:after="120" w:line="360" w:lineRule="auto"/>
        <w:jc w:val="both"/>
        <w:rPr>
          <w:color w:val="000000" w:themeColor="text1"/>
        </w:rPr>
      </w:pPr>
      <w:r w:rsidRPr="00330D6A">
        <w:rPr>
          <w:color w:val="000000" w:themeColor="text1"/>
        </w:rPr>
        <w:t>Jednocześnie jednostki samorządu terytorialnego otrzymają w 2024 r. pokaźne środki finansowe z budżetu państwa oraz innych jednostek sektora finansów publicznych, a ponadto znacznie wzrosną ich dochody podatkowe.</w:t>
      </w:r>
    </w:p>
    <w:p w14:paraId="09274ACE" w14:textId="77777777" w:rsidR="00023F80" w:rsidRPr="00330D6A" w:rsidRDefault="00023F80" w:rsidP="007F25E8">
      <w:pPr>
        <w:tabs>
          <w:tab w:val="left" w:pos="5235"/>
        </w:tabs>
        <w:spacing w:before="120" w:after="120" w:line="360" w:lineRule="auto"/>
        <w:jc w:val="both"/>
        <w:rPr>
          <w:color w:val="000000" w:themeColor="text1"/>
        </w:rPr>
      </w:pPr>
      <w:r w:rsidRPr="00330D6A">
        <w:rPr>
          <w:color w:val="000000" w:themeColor="text1"/>
        </w:rPr>
        <w:t xml:space="preserve">Ponadto z ww. powodów w ustawie budżetowej na rok 2024 r. nie zostanie zaplanowana część rozwojowa subwencji ogólnej i jednostki samorządu terytorialnego nie otrzymają tej części subwencji. </w:t>
      </w:r>
    </w:p>
    <w:p w14:paraId="2A9B633D" w14:textId="0A1EAC97" w:rsidR="00994330" w:rsidRPr="00330D6A" w:rsidRDefault="00023F80" w:rsidP="007F25E8">
      <w:pPr>
        <w:tabs>
          <w:tab w:val="left" w:pos="5235"/>
        </w:tabs>
        <w:spacing w:before="120" w:after="120" w:line="360" w:lineRule="auto"/>
        <w:jc w:val="both"/>
        <w:rPr>
          <w:color w:val="000000" w:themeColor="text1"/>
        </w:rPr>
      </w:pPr>
      <w:r w:rsidRPr="00330D6A">
        <w:rPr>
          <w:color w:val="000000" w:themeColor="text1"/>
        </w:rPr>
        <w:t xml:space="preserve">Należy zauważyć, że rosnące dochody jednostek samorządu terytorialnego z tytułu udziału we wpływach z podatku PIT i CIT są znacznie wyższe od kwoty, której jednostki samorządu </w:t>
      </w:r>
      <w:r w:rsidR="00994330" w:rsidRPr="00330D6A">
        <w:rPr>
          <w:color w:val="000000" w:themeColor="text1"/>
        </w:rPr>
        <w:t>terytor</w:t>
      </w:r>
      <w:r w:rsidR="003927E0">
        <w:rPr>
          <w:color w:val="000000" w:themeColor="text1"/>
        </w:rPr>
        <w:t xml:space="preserve">ialnego nie otrzymają w ramach </w:t>
      </w:r>
      <w:r w:rsidR="00994330" w:rsidRPr="00330D6A">
        <w:rPr>
          <w:color w:val="000000" w:themeColor="text1"/>
        </w:rPr>
        <w:t>części rozwojowej subwencji ogólnej.</w:t>
      </w:r>
    </w:p>
    <w:p w14:paraId="263AE172" w14:textId="77777777" w:rsidR="00994330" w:rsidRPr="00330D6A" w:rsidRDefault="00994330" w:rsidP="007F25E8">
      <w:pPr>
        <w:tabs>
          <w:tab w:val="left" w:pos="5235"/>
        </w:tabs>
        <w:spacing w:before="120" w:after="120" w:line="360" w:lineRule="auto"/>
        <w:jc w:val="both"/>
        <w:rPr>
          <w:color w:val="000000" w:themeColor="text1"/>
        </w:rPr>
      </w:pPr>
      <w:r w:rsidRPr="00330D6A">
        <w:rPr>
          <w:color w:val="000000" w:themeColor="text1"/>
        </w:rPr>
        <w:t>Warto też dodać, że dochody z tytułu udziału we wpływach z CIT, skorygowane na podstawie omawianych przepisów, zostaną uwzględnione do wyliczenia części wyrównawczej subwencji ogólnej dla gmin, powiatów i województw oraz części regionalnej subwencji ogólnej dla województw, a także wpłat do budżetu państwa. Poza tym nie będą miały wpływu w 2024 r. na inne rozwiązania zawarte w ustawie z dnia 13 listopada 2003 r. o dochodach jednostek samorządu terytorialnego.</w:t>
      </w:r>
    </w:p>
    <w:p w14:paraId="59CECA54" w14:textId="4E563E12" w:rsidR="00023F80" w:rsidRPr="00330D6A" w:rsidRDefault="00023F80" w:rsidP="007F25E8">
      <w:pPr>
        <w:tabs>
          <w:tab w:val="left" w:pos="5235"/>
        </w:tabs>
        <w:spacing w:before="120" w:after="120" w:line="360" w:lineRule="auto"/>
        <w:jc w:val="both"/>
        <w:rPr>
          <w:color w:val="000000" w:themeColor="text1"/>
        </w:rPr>
      </w:pPr>
      <w:r w:rsidRPr="00330D6A">
        <w:rPr>
          <w:color w:val="000000" w:themeColor="text1"/>
        </w:rPr>
        <w:t xml:space="preserve">Proponowany przepis </w:t>
      </w:r>
      <w:r w:rsidRPr="00330D6A">
        <w:rPr>
          <w:b/>
          <w:bCs/>
          <w:color w:val="000000" w:themeColor="text1"/>
        </w:rPr>
        <w:t xml:space="preserve">art. </w:t>
      </w:r>
      <w:r w:rsidR="00ED1ECE">
        <w:rPr>
          <w:b/>
          <w:bCs/>
          <w:color w:val="000000" w:themeColor="text1"/>
        </w:rPr>
        <w:t>19</w:t>
      </w:r>
      <w:r w:rsidR="00ED1ECE" w:rsidRPr="00330D6A">
        <w:rPr>
          <w:color w:val="000000" w:themeColor="text1"/>
        </w:rPr>
        <w:t xml:space="preserve"> </w:t>
      </w:r>
      <w:r w:rsidRPr="00330D6A">
        <w:rPr>
          <w:color w:val="000000" w:themeColor="text1"/>
        </w:rPr>
        <w:t>umożliwi pełne rozdysponowanie między jednostki samorządu terytorialnego środków przewidzianych w rezerwie subwencji ogólnej na rok 2024. Jeżeli środki rezerwy zaplanowanej na podstawie art. 26 ust. 1 ustawie z dnia 13 listopada 2003 r. o dochodach jednostek samorządu terytorialnego nie zostaną w całości rozdysponowane w terminie do dnia 31 lipca 2024 r., wówczas pozostała kwota zwiększy rezerwę subwencji ogólnej, o której mowa w art. 36 ust. 4 pkt 1 tej ustawy. Środki rezerwy subwencji, które zostały zaplanowane w ustawie budżetowej, z przeznaczeniem dla jedno</w:t>
      </w:r>
      <w:r w:rsidR="00D90BF3" w:rsidRPr="00330D6A">
        <w:rPr>
          <w:color w:val="000000" w:themeColor="text1"/>
        </w:rPr>
        <w:t xml:space="preserve">stek samorządu terytorialnego, </w:t>
      </w:r>
      <w:r w:rsidRPr="00330D6A">
        <w:rPr>
          <w:color w:val="000000" w:themeColor="text1"/>
        </w:rPr>
        <w:t>w całości zasilą budżety samorządowe.</w:t>
      </w:r>
    </w:p>
    <w:p w14:paraId="1E7F5E58" w14:textId="4B737BB6" w:rsidR="0021299E" w:rsidRPr="00330D6A" w:rsidRDefault="0021299E" w:rsidP="00ED4A33">
      <w:pPr>
        <w:keepNext/>
        <w:spacing w:after="120" w:line="360" w:lineRule="auto"/>
        <w:ind w:left="425" w:hanging="425"/>
        <w:jc w:val="center"/>
        <w:outlineLvl w:val="0"/>
        <w:rPr>
          <w:b/>
          <w:strike/>
          <w:color w:val="000000" w:themeColor="text1"/>
        </w:rPr>
      </w:pPr>
      <w:r w:rsidRPr="00330D6A">
        <w:rPr>
          <w:b/>
          <w:color w:val="000000" w:themeColor="text1"/>
        </w:rPr>
        <w:lastRenderedPageBreak/>
        <w:t xml:space="preserve">Zmiany w zakresie oświaty (art. </w:t>
      </w:r>
      <w:r w:rsidR="003040AA">
        <w:rPr>
          <w:b/>
          <w:color w:val="000000" w:themeColor="text1"/>
        </w:rPr>
        <w:t>20–</w:t>
      </w:r>
      <w:r w:rsidR="00ED1ECE">
        <w:rPr>
          <w:b/>
          <w:color w:val="000000" w:themeColor="text1"/>
        </w:rPr>
        <w:t>21</w:t>
      </w:r>
      <w:r w:rsidR="00CE519F">
        <w:rPr>
          <w:b/>
          <w:color w:val="000000" w:themeColor="text1"/>
        </w:rPr>
        <w:t xml:space="preserve"> i art. 31</w:t>
      </w:r>
      <w:r w:rsidRPr="00330D6A">
        <w:rPr>
          <w:b/>
          <w:color w:val="000000" w:themeColor="text1"/>
        </w:rPr>
        <w:t>)</w:t>
      </w:r>
    </w:p>
    <w:p w14:paraId="17532313" w14:textId="19EB34B6" w:rsidR="0021299E" w:rsidRPr="00330D6A" w:rsidRDefault="0021299E" w:rsidP="007F25E8">
      <w:pPr>
        <w:spacing w:after="120" w:line="360" w:lineRule="auto"/>
        <w:jc w:val="both"/>
        <w:rPr>
          <w:color w:val="000000" w:themeColor="text1"/>
        </w:rPr>
      </w:pPr>
      <w:r w:rsidRPr="00330D6A">
        <w:rPr>
          <w:color w:val="000000" w:themeColor="text1"/>
        </w:rPr>
        <w:t>W celu uniknięcia podwójnego finansowania uczniów będących obywatelami Ukrainy z</w:t>
      </w:r>
      <w:r w:rsidR="005F3406" w:rsidRPr="00330D6A">
        <w:rPr>
          <w:color w:val="000000" w:themeColor="text1"/>
        </w:rPr>
        <w:t> </w:t>
      </w:r>
      <w:r w:rsidRPr="00330D6A">
        <w:rPr>
          <w:color w:val="000000" w:themeColor="text1"/>
        </w:rPr>
        <w:t>Funduszu Pomocy oraz ze środków pochodzących z dotacji celowej na dofinansowanie zadań w zakresie wychowania przedszkolnego, proponuje się wprowadzenie przepisu (</w:t>
      </w:r>
      <w:r w:rsidRPr="00330D6A">
        <w:rPr>
          <w:b/>
          <w:color w:val="000000" w:themeColor="text1"/>
        </w:rPr>
        <w:t xml:space="preserve">art. </w:t>
      </w:r>
      <w:r w:rsidR="00ED1ECE">
        <w:rPr>
          <w:b/>
          <w:color w:val="000000" w:themeColor="text1"/>
        </w:rPr>
        <w:t>20</w:t>
      </w:r>
      <w:r w:rsidRPr="00330D6A">
        <w:rPr>
          <w:color w:val="000000" w:themeColor="text1"/>
        </w:rPr>
        <w:t>) wyłączającego finansowanie wyżej wymienionej grupy uczniów ze środków pochodzących z</w:t>
      </w:r>
      <w:r w:rsidR="005F3406" w:rsidRPr="00330D6A">
        <w:rPr>
          <w:color w:val="000000" w:themeColor="text1"/>
        </w:rPr>
        <w:t> </w:t>
      </w:r>
      <w:r w:rsidRPr="00330D6A">
        <w:rPr>
          <w:color w:val="000000" w:themeColor="text1"/>
        </w:rPr>
        <w:t>dotacji celowej.</w:t>
      </w:r>
    </w:p>
    <w:p w14:paraId="6B753FDB" w14:textId="683948F7" w:rsidR="0021299E" w:rsidRDefault="0021299E" w:rsidP="007F25E8">
      <w:pPr>
        <w:spacing w:after="120" w:line="360" w:lineRule="auto"/>
        <w:jc w:val="both"/>
        <w:rPr>
          <w:color w:val="000000" w:themeColor="text1"/>
        </w:rPr>
      </w:pPr>
      <w:r w:rsidRPr="00330D6A">
        <w:rPr>
          <w:color w:val="000000" w:themeColor="text1"/>
        </w:rPr>
        <w:t>W celu uniknięcia podwójnego finansowania uczniów będących obywatelami Ukrainy z</w:t>
      </w:r>
      <w:r w:rsidR="005F3406" w:rsidRPr="00330D6A">
        <w:rPr>
          <w:color w:val="000000" w:themeColor="text1"/>
        </w:rPr>
        <w:t> </w:t>
      </w:r>
      <w:r w:rsidRPr="00330D6A">
        <w:rPr>
          <w:color w:val="000000" w:themeColor="text1"/>
        </w:rPr>
        <w:t>Funduszu Pomocy oraz ze środków pochodzących z części oświatowej subwencji ogólnej w</w:t>
      </w:r>
      <w:r w:rsidR="005F3406" w:rsidRPr="00330D6A">
        <w:rPr>
          <w:color w:val="000000" w:themeColor="text1"/>
        </w:rPr>
        <w:t> </w:t>
      </w:r>
      <w:r w:rsidRPr="00330D6A">
        <w:rPr>
          <w:color w:val="000000" w:themeColor="text1"/>
        </w:rPr>
        <w:t xml:space="preserve">roku 2024, proponuje się wprowadzenie przepisu </w:t>
      </w:r>
      <w:r w:rsidRPr="00330D6A">
        <w:rPr>
          <w:b/>
          <w:color w:val="000000" w:themeColor="text1"/>
        </w:rPr>
        <w:t xml:space="preserve">art. </w:t>
      </w:r>
      <w:r w:rsidR="00ED1ECE">
        <w:rPr>
          <w:b/>
          <w:color w:val="000000" w:themeColor="text1"/>
        </w:rPr>
        <w:t>21</w:t>
      </w:r>
      <w:r w:rsidR="005278B9" w:rsidRPr="00330D6A">
        <w:rPr>
          <w:color w:val="000000" w:themeColor="text1"/>
        </w:rPr>
        <w:t>,</w:t>
      </w:r>
      <w:r w:rsidRPr="00330D6A">
        <w:rPr>
          <w:color w:val="000000" w:themeColor="text1"/>
        </w:rPr>
        <w:t xml:space="preserve"> wyłączającego finansowanie wyżej wymienionej grupy uczniów w ramach części oświatowej subwencji ogólnej, podlegającej podziałowi algorytmicznemu.</w:t>
      </w:r>
    </w:p>
    <w:p w14:paraId="353A3DEB" w14:textId="7920486D" w:rsidR="00CE519F" w:rsidRDefault="00CE519F" w:rsidP="007F25E8">
      <w:pPr>
        <w:pStyle w:val="Akapitzlist"/>
        <w:spacing w:line="360" w:lineRule="auto"/>
        <w:ind w:left="0"/>
        <w:jc w:val="both"/>
        <w:rPr>
          <w:color w:val="000000" w:themeColor="text1"/>
        </w:rPr>
      </w:pPr>
      <w:r>
        <w:rPr>
          <w:color w:val="000000" w:themeColor="text1"/>
        </w:rPr>
        <w:t>P</w:t>
      </w:r>
      <w:r w:rsidRPr="001535AD">
        <w:rPr>
          <w:color w:val="000000" w:themeColor="text1"/>
        </w:rPr>
        <w:t xml:space="preserve">rojektowane </w:t>
      </w:r>
      <w:r>
        <w:rPr>
          <w:color w:val="000000" w:themeColor="text1"/>
        </w:rPr>
        <w:t xml:space="preserve">w </w:t>
      </w:r>
      <w:r w:rsidRPr="00CE519F">
        <w:rPr>
          <w:b/>
          <w:bCs/>
          <w:color w:val="000000" w:themeColor="text1"/>
        </w:rPr>
        <w:t>art. 31</w:t>
      </w:r>
      <w:r>
        <w:rPr>
          <w:color w:val="000000" w:themeColor="text1"/>
        </w:rPr>
        <w:t xml:space="preserve"> </w:t>
      </w:r>
      <w:r w:rsidRPr="001535AD">
        <w:rPr>
          <w:color w:val="000000" w:themeColor="text1"/>
        </w:rPr>
        <w:t>rozwiązanie ma na celu zwiększenie maksymalnego limitu wydatków planowanych do poniesienia w 2024 r</w:t>
      </w:r>
      <w:r>
        <w:rPr>
          <w:color w:val="000000" w:themeColor="text1"/>
        </w:rPr>
        <w:t>oku</w:t>
      </w:r>
      <w:r w:rsidRPr="001535AD">
        <w:rPr>
          <w:color w:val="000000" w:themeColor="text1"/>
        </w:rPr>
        <w:t xml:space="preserve"> z budżetu państwa w obszarze dostępności wycho</w:t>
      </w:r>
      <w:r w:rsidR="009F332A">
        <w:rPr>
          <w:color w:val="000000" w:themeColor="text1"/>
        </w:rPr>
        <w:t>wania przedszkolnego</w:t>
      </w:r>
      <w:r w:rsidRPr="001535AD">
        <w:rPr>
          <w:color w:val="000000" w:themeColor="text1"/>
        </w:rPr>
        <w:t xml:space="preserve"> na dotację celową na dofinansowanie jednostek samorządu terytorialnego w zakresie wychowania przedszkolnego uczniów objętych wychowaniem przedszkolnym do końca roku szkolnego w roku kalendarzowym, w którym kończą 6 lat. Dotychczas planowany w art. 110 ust. 1 pkt 7 ustawy z dnia 27 października 2017 r. o</w:t>
      </w:r>
      <w:r w:rsidR="009F332A">
        <w:rPr>
          <w:color w:val="000000" w:themeColor="text1"/>
        </w:rPr>
        <w:t> </w:t>
      </w:r>
      <w:r w:rsidRPr="001535AD">
        <w:rPr>
          <w:color w:val="000000" w:themeColor="text1"/>
        </w:rPr>
        <w:t xml:space="preserve">finansowaniu zadań oświatowych (Dz. U. z 2023 r. poz. 1400) maksymalny limit wydatków z budżetu państwa przeznaczonych na dotację celową na 2024 r. (1 732 mln zł) stał się niewystarczający. </w:t>
      </w:r>
    </w:p>
    <w:p w14:paraId="16662C47" w14:textId="773F8FCD" w:rsidR="00CE519F" w:rsidRPr="001535AD" w:rsidRDefault="00CE519F" w:rsidP="007F25E8">
      <w:pPr>
        <w:pStyle w:val="Akapitzlist"/>
        <w:spacing w:line="360" w:lineRule="auto"/>
        <w:ind w:left="0"/>
        <w:jc w:val="both"/>
        <w:rPr>
          <w:color w:val="000000" w:themeColor="text1"/>
        </w:rPr>
      </w:pPr>
      <w:r w:rsidRPr="001535AD">
        <w:rPr>
          <w:color w:val="000000" w:themeColor="text1"/>
        </w:rPr>
        <w:t>Dotacja celowa na dofinansowanie zadań w zakresie wychowania przedszkolnego jest dzielona na podstawie iloczynu liczby uczniów w wieku do lat 5 objętych wychowaniem przedszkolnym oraz kwoty rocznej dotacji na dziecko (w roku 2024 – 1 713 zł). W art. 110 ust. 1 pkt 7 ustawy z dnia 27 października 2017 r. o finansowaniu zadań oświatowych określono maksymalny limit wydatków w zakresie dotacji w roku 2024 na poziomie 1 732 mln zł. Prognozuje się, że liczba uczniów w wieku do lat 5 objętych wychowaniem przedszkolnym do dotacji przedszkolnej na 2024 r</w:t>
      </w:r>
      <w:r>
        <w:rPr>
          <w:color w:val="000000" w:themeColor="text1"/>
        </w:rPr>
        <w:t>ok</w:t>
      </w:r>
      <w:r w:rsidRPr="001535AD">
        <w:rPr>
          <w:color w:val="000000" w:themeColor="text1"/>
        </w:rPr>
        <w:t xml:space="preserve"> wyniesie ok. 1 085 tys. dzieci (w liczbie tej nie uwzględniono uczniów będących obywatelami Ukrainy, którzy przybyli na terytorium Rzeczypospolitej Polskiej w związku z</w:t>
      </w:r>
      <w:r w:rsidR="009F332A">
        <w:rPr>
          <w:color w:val="000000" w:themeColor="text1"/>
        </w:rPr>
        <w:t> </w:t>
      </w:r>
      <w:r w:rsidRPr="001535AD">
        <w:rPr>
          <w:color w:val="000000" w:themeColor="text1"/>
        </w:rPr>
        <w:t>konfliktem zbrojnym na terytorium tego państwa). Iloczyn tej liczby i kwoty rocznej dotacji generuje wydatki na poziomie 1 860 mln zł, które przekraczają określony w ww. ustawie maksymalny limit wydatków.</w:t>
      </w:r>
    </w:p>
    <w:p w14:paraId="3316A040" w14:textId="34D6C910" w:rsidR="00A8605A" w:rsidRPr="00330D6A" w:rsidRDefault="00A8605A" w:rsidP="003040AA">
      <w:pPr>
        <w:keepNext/>
        <w:spacing w:after="120" w:line="360" w:lineRule="auto"/>
        <w:ind w:left="425" w:hanging="425"/>
        <w:jc w:val="center"/>
        <w:outlineLvl w:val="0"/>
        <w:rPr>
          <w:b/>
          <w:strike/>
          <w:color w:val="000000" w:themeColor="text1"/>
        </w:rPr>
      </w:pPr>
      <w:r w:rsidRPr="00330D6A">
        <w:rPr>
          <w:b/>
          <w:color w:val="000000" w:themeColor="text1"/>
        </w:rPr>
        <w:lastRenderedPageBreak/>
        <w:t xml:space="preserve">Zmiany w zakresie </w:t>
      </w:r>
      <w:r w:rsidR="00376783" w:rsidRPr="00330D6A">
        <w:rPr>
          <w:b/>
          <w:color w:val="000000" w:themeColor="text1"/>
        </w:rPr>
        <w:t>Funduszu Rekompensat Pośrednich Kosztów Emisji</w:t>
      </w:r>
      <w:r w:rsidRPr="00330D6A">
        <w:rPr>
          <w:b/>
          <w:color w:val="000000" w:themeColor="text1"/>
        </w:rPr>
        <w:t xml:space="preserve"> (art. </w:t>
      </w:r>
      <w:r w:rsidR="00ED1ECE">
        <w:rPr>
          <w:b/>
          <w:color w:val="000000" w:themeColor="text1"/>
        </w:rPr>
        <w:t>22</w:t>
      </w:r>
      <w:r w:rsidRPr="00330D6A">
        <w:rPr>
          <w:b/>
          <w:color w:val="000000" w:themeColor="text1"/>
        </w:rPr>
        <w:t>)</w:t>
      </w:r>
    </w:p>
    <w:p w14:paraId="060E7AD7" w14:textId="118D7D53" w:rsidR="00A8605A" w:rsidRPr="00330D6A" w:rsidRDefault="00A8605A" w:rsidP="007F25E8">
      <w:pPr>
        <w:tabs>
          <w:tab w:val="left" w:pos="5235"/>
        </w:tabs>
        <w:spacing w:before="120" w:after="120" w:line="360" w:lineRule="auto"/>
        <w:jc w:val="both"/>
        <w:rPr>
          <w:bCs/>
          <w:color w:val="000000" w:themeColor="text1"/>
        </w:rPr>
      </w:pPr>
      <w:r w:rsidRPr="00330D6A">
        <w:rPr>
          <w:color w:val="000000" w:themeColor="text1"/>
        </w:rPr>
        <w:t>Zgodnie z ustawą z dnia 12 czerwca 2015 r. o systemie handlu uprawnieniami do emisji gazów cieplarnianych (Dz.</w:t>
      </w:r>
      <w:r w:rsidR="00BA03AA" w:rsidRPr="00330D6A">
        <w:rPr>
          <w:color w:val="000000" w:themeColor="text1"/>
        </w:rPr>
        <w:t xml:space="preserve"> </w:t>
      </w:r>
      <w:r w:rsidRPr="00330D6A">
        <w:rPr>
          <w:color w:val="000000" w:themeColor="text1"/>
        </w:rPr>
        <w:t>U. z 2023 r. poz. 589) środki uzyskane ze sprzedaży w drodze aukcji uprawnień do emisji stanowią dochód budżetu państwa (art. 49 ust. 2), jednak 25% środków uzyskanych ze sprzedaży w drodze aukcji uprawnień do emisji, z wyłączeniem środków, o</w:t>
      </w:r>
      <w:r w:rsidR="009C6923" w:rsidRPr="00330D6A">
        <w:rPr>
          <w:color w:val="000000" w:themeColor="text1"/>
        </w:rPr>
        <w:t> </w:t>
      </w:r>
      <w:r w:rsidRPr="00330D6A">
        <w:rPr>
          <w:color w:val="000000" w:themeColor="text1"/>
        </w:rPr>
        <w:t>których mowa w ust. 2a, i po wyłączeniu środków pieniężnych przeznaczonych na dodatki osłonowe, o których mowa w art. 16 ustawy z dnia 17 grudnia 2021 r. o dodatku osłonowym (Dz.</w:t>
      </w:r>
      <w:r w:rsidR="00BA03AA" w:rsidRPr="00330D6A">
        <w:rPr>
          <w:color w:val="000000" w:themeColor="text1"/>
        </w:rPr>
        <w:t xml:space="preserve"> </w:t>
      </w:r>
      <w:r w:rsidRPr="00330D6A">
        <w:rPr>
          <w:color w:val="000000" w:themeColor="text1"/>
        </w:rPr>
        <w:t>U. z 2023 r. poz. 169), począwszy od dnia 1 stycznia 2020 r., nie więcej niż 1766,9 mln zł w 2020 r. i nie więcej niż 988,18 mln zł w 2021 r., przekazuje się do Funduszu Rekompensat Pośrednich Kosztów Emisji, o którym mowa w art. 21 ust. 1 ustawy z dnia 19 lipca 2019 r. o</w:t>
      </w:r>
      <w:r w:rsidR="009C6923" w:rsidRPr="00330D6A">
        <w:rPr>
          <w:color w:val="000000" w:themeColor="text1"/>
        </w:rPr>
        <w:t> </w:t>
      </w:r>
      <w:r w:rsidRPr="00330D6A">
        <w:rPr>
          <w:color w:val="000000" w:themeColor="text1"/>
        </w:rPr>
        <w:t>systemie rekompensat dla sektorów i podsektorów energochłonnych (Dz.</w:t>
      </w:r>
      <w:r w:rsidR="00BA03AA" w:rsidRPr="00330D6A">
        <w:rPr>
          <w:color w:val="000000" w:themeColor="text1"/>
        </w:rPr>
        <w:t xml:space="preserve"> </w:t>
      </w:r>
      <w:r w:rsidRPr="00330D6A">
        <w:rPr>
          <w:color w:val="000000" w:themeColor="text1"/>
        </w:rPr>
        <w:t>U. z 2022 r. poz.</w:t>
      </w:r>
      <w:r w:rsidR="009C6923" w:rsidRPr="00330D6A">
        <w:rPr>
          <w:color w:val="000000" w:themeColor="text1"/>
        </w:rPr>
        <w:t> </w:t>
      </w:r>
      <w:r w:rsidRPr="00330D6A">
        <w:rPr>
          <w:color w:val="000000" w:themeColor="text1"/>
        </w:rPr>
        <w:t xml:space="preserve">1312, </w:t>
      </w:r>
      <w:r w:rsidR="007F3660" w:rsidRPr="00330D6A">
        <w:rPr>
          <w:color w:val="000000" w:themeColor="text1"/>
        </w:rPr>
        <w:t xml:space="preserve">z </w:t>
      </w:r>
      <w:proofErr w:type="spellStart"/>
      <w:r w:rsidR="007F3660" w:rsidRPr="00330D6A">
        <w:rPr>
          <w:color w:val="000000" w:themeColor="text1"/>
        </w:rPr>
        <w:t>późn</w:t>
      </w:r>
      <w:proofErr w:type="spellEnd"/>
      <w:r w:rsidR="007F3660" w:rsidRPr="00330D6A">
        <w:rPr>
          <w:color w:val="000000" w:themeColor="text1"/>
        </w:rPr>
        <w:t>. zm.</w:t>
      </w:r>
      <w:r w:rsidRPr="00330D6A">
        <w:rPr>
          <w:color w:val="000000" w:themeColor="text1"/>
        </w:rPr>
        <w:t xml:space="preserve">) (art. 49 ust. 2c). Środki te stanowią przychód ww. państwowego funduszu celowego i są przeznaczane na realizację zadań, o których mowa w art. 23 ustawy </w:t>
      </w:r>
      <w:r w:rsidR="009C6923" w:rsidRPr="00330D6A">
        <w:rPr>
          <w:color w:val="000000" w:themeColor="text1"/>
        </w:rPr>
        <w:t>z</w:t>
      </w:r>
      <w:r w:rsidR="00BA193C" w:rsidRPr="00330D6A">
        <w:rPr>
          <w:color w:val="000000" w:themeColor="text1"/>
        </w:rPr>
        <w:t> </w:t>
      </w:r>
      <w:r w:rsidR="009C6923" w:rsidRPr="00330D6A">
        <w:rPr>
          <w:color w:val="000000" w:themeColor="text1"/>
        </w:rPr>
        <w:t xml:space="preserve">dnia 19 lipca 2019 r. </w:t>
      </w:r>
      <w:r w:rsidRPr="00330D6A">
        <w:rPr>
          <w:color w:val="000000" w:themeColor="text1"/>
        </w:rPr>
        <w:t>o</w:t>
      </w:r>
      <w:r w:rsidR="009C6923" w:rsidRPr="00330D6A">
        <w:rPr>
          <w:color w:val="000000" w:themeColor="text1"/>
        </w:rPr>
        <w:t> </w:t>
      </w:r>
      <w:r w:rsidRPr="00330D6A">
        <w:rPr>
          <w:color w:val="000000" w:themeColor="text1"/>
        </w:rPr>
        <w:t>systemie rekompensat dla sektorów i podsektorów energochłonnych, w tym wyp</w:t>
      </w:r>
      <w:r w:rsidR="003927E0">
        <w:rPr>
          <w:color w:val="000000" w:themeColor="text1"/>
        </w:rPr>
        <w:t>łaty rekompensat. W latach 2020–</w:t>
      </w:r>
      <w:r w:rsidRPr="00330D6A">
        <w:rPr>
          <w:color w:val="000000" w:themeColor="text1"/>
        </w:rPr>
        <w:t xml:space="preserve">2021 ustawa </w:t>
      </w:r>
      <w:r w:rsidR="00BA193C" w:rsidRPr="00330D6A">
        <w:rPr>
          <w:color w:val="000000" w:themeColor="text1"/>
        </w:rPr>
        <w:t xml:space="preserve">z dnia 12 czerwca 2015 r. </w:t>
      </w:r>
      <w:r w:rsidRPr="00330D6A">
        <w:rPr>
          <w:color w:val="000000" w:themeColor="text1"/>
        </w:rPr>
        <w:t>o systemie handlu uprawnieniami do emisji gazów cieplarnianych limitowała kwotowo wysokość środków przekazywanych do Funduszu Rekompensat Pośrednich Kosztów Emisji. Podobne ograniczenie planuje się wprowadzić w 2024 r. Proponuje się, aby do Funduszu Rekompensat Pośrednich Kosztów Emisji zostały przekazane środki uzyskane ze sprzedaży w drodze aukcji uprawnień do emisji w kwocie nie wyższej niż 2</w:t>
      </w:r>
      <w:r w:rsidR="00072304" w:rsidRPr="00330D6A">
        <w:rPr>
          <w:color w:val="000000" w:themeColor="text1"/>
        </w:rPr>
        <w:t xml:space="preserve"> </w:t>
      </w:r>
      <w:r w:rsidRPr="00330D6A">
        <w:rPr>
          <w:color w:val="000000" w:themeColor="text1"/>
        </w:rPr>
        <w:t xml:space="preserve">265,31 mln zł. Analiza planów finansowych ww. </w:t>
      </w:r>
      <w:r w:rsidR="00353071" w:rsidRPr="00330D6A">
        <w:rPr>
          <w:color w:val="000000" w:themeColor="text1"/>
        </w:rPr>
        <w:t>F</w:t>
      </w:r>
      <w:r w:rsidRPr="00330D6A">
        <w:rPr>
          <w:color w:val="000000" w:themeColor="text1"/>
        </w:rPr>
        <w:t xml:space="preserve">unduszu (w tym projektu planu na 2024 rok) wskazuje, że pochodząca ze środków uzyskanych ze sprzedaży w drodze aukcji uprawnień do emisji kwota w wysokości 2265,31 mln zł będzie wystarczająca, aby umożliwić pokrycie kosztów ustawowych zadań </w:t>
      </w:r>
      <w:r w:rsidR="00353071" w:rsidRPr="00330D6A">
        <w:rPr>
          <w:color w:val="000000" w:themeColor="text1"/>
        </w:rPr>
        <w:t xml:space="preserve">tego </w:t>
      </w:r>
      <w:r w:rsidRPr="00330D6A">
        <w:rPr>
          <w:color w:val="000000" w:themeColor="text1"/>
        </w:rPr>
        <w:t>Funduszu, natomiast środki pozostałe po wprowadzeniu ograniczenia dot. art. 49 ust. 2c ustawy o systemie handlu uprawnieniami do emisji gazów cieplarnianych zwiększą dochody budżetu państwa w 2024 r.</w:t>
      </w:r>
    </w:p>
    <w:p w14:paraId="1BDA9968" w14:textId="356F363E" w:rsidR="000D50EE" w:rsidRPr="00330D6A" w:rsidRDefault="000D50EE" w:rsidP="007F25E8">
      <w:pPr>
        <w:autoSpaceDE w:val="0"/>
        <w:autoSpaceDN w:val="0"/>
        <w:adjustRightInd w:val="0"/>
        <w:spacing w:after="120" w:line="360" w:lineRule="auto"/>
        <w:jc w:val="center"/>
        <w:rPr>
          <w:b/>
          <w:color w:val="000000" w:themeColor="text1"/>
        </w:rPr>
      </w:pPr>
      <w:bookmarkStart w:id="2" w:name="_Hlk146644587"/>
      <w:r w:rsidRPr="00330D6A">
        <w:rPr>
          <w:b/>
          <w:color w:val="000000" w:themeColor="text1"/>
        </w:rPr>
        <w:t xml:space="preserve">Zmiany w zakresie Funduszu Kolejowego (art. </w:t>
      </w:r>
      <w:r w:rsidR="00ED1ECE">
        <w:rPr>
          <w:b/>
          <w:color w:val="000000" w:themeColor="text1"/>
        </w:rPr>
        <w:t>23</w:t>
      </w:r>
      <w:r w:rsidR="00ED1ECE" w:rsidRPr="00330D6A">
        <w:rPr>
          <w:b/>
          <w:color w:val="000000" w:themeColor="text1"/>
        </w:rPr>
        <w:t xml:space="preserve"> </w:t>
      </w:r>
      <w:r w:rsidRPr="00330D6A">
        <w:rPr>
          <w:b/>
          <w:color w:val="000000" w:themeColor="text1"/>
        </w:rPr>
        <w:t xml:space="preserve">i art. </w:t>
      </w:r>
      <w:r w:rsidR="00ED1ECE">
        <w:rPr>
          <w:b/>
          <w:color w:val="000000" w:themeColor="text1"/>
        </w:rPr>
        <w:t>30</w:t>
      </w:r>
      <w:r w:rsidRPr="00330D6A">
        <w:rPr>
          <w:b/>
          <w:color w:val="000000" w:themeColor="text1"/>
        </w:rPr>
        <w:t>)</w:t>
      </w:r>
    </w:p>
    <w:p w14:paraId="2C3BFCD4" w14:textId="547E4346" w:rsidR="000D50EE" w:rsidRPr="00330D6A" w:rsidRDefault="00353071" w:rsidP="007F25E8">
      <w:pPr>
        <w:spacing w:line="360" w:lineRule="auto"/>
        <w:jc w:val="both"/>
        <w:rPr>
          <w:color w:val="000000" w:themeColor="text1"/>
        </w:rPr>
      </w:pPr>
      <w:r w:rsidRPr="00330D6A">
        <w:rPr>
          <w:color w:val="000000" w:themeColor="text1"/>
        </w:rPr>
        <w:t>Projektowane r</w:t>
      </w:r>
      <w:r w:rsidR="000D50EE" w:rsidRPr="00330D6A">
        <w:rPr>
          <w:color w:val="000000" w:themeColor="text1"/>
        </w:rPr>
        <w:t>egulacj</w:t>
      </w:r>
      <w:r w:rsidRPr="00330D6A">
        <w:rPr>
          <w:color w:val="000000" w:themeColor="text1"/>
        </w:rPr>
        <w:t>e</w:t>
      </w:r>
      <w:r w:rsidR="000D50EE" w:rsidRPr="00330D6A">
        <w:rPr>
          <w:color w:val="000000" w:themeColor="text1"/>
        </w:rPr>
        <w:t xml:space="preserve"> pozwolą na dofinansowanie w roku 2024 zadań kolejowych ze środków Funduszu Kolejowego w miejsce środków, które nie znalazły pokrycia w wydatkach budżetu państwa. Szacowana kwota z Funduszu Kolejowego, jaka może zostać przeznaczona w roku 2024 na dofinansowanie wydatków bieżących zarządcy infrastruktury k</w:t>
      </w:r>
      <w:r w:rsidR="003040AA">
        <w:rPr>
          <w:color w:val="000000" w:themeColor="text1"/>
        </w:rPr>
        <w:t>olejowej wynosi 470 </w:t>
      </w:r>
      <w:r w:rsidR="000D50EE" w:rsidRPr="00330D6A">
        <w:rPr>
          <w:color w:val="000000" w:themeColor="text1"/>
        </w:rPr>
        <w:t>m</w:t>
      </w:r>
      <w:r w:rsidR="009B0F47" w:rsidRPr="00330D6A">
        <w:rPr>
          <w:color w:val="000000" w:themeColor="text1"/>
        </w:rPr>
        <w:t>l</w:t>
      </w:r>
      <w:r w:rsidR="000D50EE" w:rsidRPr="00330D6A">
        <w:rPr>
          <w:color w:val="000000" w:themeColor="text1"/>
        </w:rPr>
        <w:t>n zł.</w:t>
      </w:r>
    </w:p>
    <w:p w14:paraId="145F26E3" w14:textId="06D037C2" w:rsidR="000D50EE" w:rsidRPr="00330D6A" w:rsidRDefault="000D50EE" w:rsidP="007F25E8">
      <w:pPr>
        <w:spacing w:before="120" w:line="360" w:lineRule="auto"/>
        <w:jc w:val="both"/>
        <w:rPr>
          <w:color w:val="000000" w:themeColor="text1"/>
        </w:rPr>
      </w:pPr>
      <w:r w:rsidRPr="00330D6A">
        <w:rPr>
          <w:color w:val="000000" w:themeColor="text1"/>
        </w:rPr>
        <w:lastRenderedPageBreak/>
        <w:t>Zaproponowan</w:t>
      </w:r>
      <w:r w:rsidR="00B35B00" w:rsidRPr="00330D6A">
        <w:rPr>
          <w:color w:val="000000" w:themeColor="text1"/>
        </w:rPr>
        <w:t>e</w:t>
      </w:r>
      <w:r w:rsidRPr="00330D6A">
        <w:rPr>
          <w:color w:val="000000" w:themeColor="text1"/>
        </w:rPr>
        <w:t xml:space="preserve"> przepis</w:t>
      </w:r>
      <w:r w:rsidR="00B35B00" w:rsidRPr="00330D6A">
        <w:rPr>
          <w:color w:val="000000" w:themeColor="text1"/>
        </w:rPr>
        <w:t>y</w:t>
      </w:r>
      <w:r w:rsidRPr="00330D6A">
        <w:rPr>
          <w:color w:val="000000" w:themeColor="text1"/>
        </w:rPr>
        <w:t xml:space="preserve"> stanowi</w:t>
      </w:r>
      <w:r w:rsidR="00B35B00" w:rsidRPr="00330D6A">
        <w:rPr>
          <w:color w:val="000000" w:themeColor="text1"/>
        </w:rPr>
        <w:t>ą</w:t>
      </w:r>
      <w:r w:rsidRPr="00330D6A">
        <w:rPr>
          <w:color w:val="000000" w:themeColor="text1"/>
        </w:rPr>
        <w:t xml:space="preserve"> jednoroczne rozwiązanie w zakresie finansowania utrzymania infrastruktury kolejowej</w:t>
      </w:r>
      <w:r w:rsidR="00B35B00" w:rsidRPr="00330D6A">
        <w:rPr>
          <w:color w:val="000000" w:themeColor="text1"/>
        </w:rPr>
        <w:t>, które</w:t>
      </w:r>
      <w:r w:rsidRPr="00330D6A">
        <w:rPr>
          <w:color w:val="000000" w:themeColor="text1"/>
        </w:rPr>
        <w:t xml:space="preserve"> służ</w:t>
      </w:r>
      <w:r w:rsidR="00B35B00" w:rsidRPr="00330D6A">
        <w:rPr>
          <w:color w:val="000000" w:themeColor="text1"/>
        </w:rPr>
        <w:t>y</w:t>
      </w:r>
      <w:r w:rsidRPr="00330D6A">
        <w:rPr>
          <w:color w:val="000000" w:themeColor="text1"/>
        </w:rPr>
        <w:t xml:space="preserve"> realizacji ustawy budżetowej </w:t>
      </w:r>
      <w:r w:rsidR="00B35B00" w:rsidRPr="00330D6A">
        <w:rPr>
          <w:color w:val="000000" w:themeColor="text1"/>
        </w:rPr>
        <w:t xml:space="preserve">na rok 2024 </w:t>
      </w:r>
      <w:r w:rsidR="003040AA">
        <w:rPr>
          <w:color w:val="000000" w:themeColor="text1"/>
        </w:rPr>
        <w:t>–</w:t>
      </w:r>
      <w:r w:rsidRPr="00330D6A">
        <w:rPr>
          <w:color w:val="000000" w:themeColor="text1"/>
        </w:rPr>
        <w:t xml:space="preserve"> tym samym nie jest systemowym rozwiązaniem, gdyż w kolejnych latach projektowane przepisy nie zapewniają dodatkowego finansowania w tym obszarze.</w:t>
      </w:r>
    </w:p>
    <w:p w14:paraId="62229C45" w14:textId="0D1E3A90" w:rsidR="00036F0F" w:rsidRDefault="00036F0F" w:rsidP="007F25E8">
      <w:pPr>
        <w:autoSpaceDE w:val="0"/>
        <w:autoSpaceDN w:val="0"/>
        <w:adjustRightInd w:val="0"/>
        <w:spacing w:line="360" w:lineRule="auto"/>
        <w:jc w:val="both"/>
      </w:pPr>
      <w:r w:rsidRPr="00036F0F">
        <w:t xml:space="preserve">Na podstawie obecnie obowiązującego art. 3 ust. 3e ustawy o Funduszu Kolejowym nie ma możliwości skorzystania ze środków, o których mowa w art. 3 ust. 3h i 3i ustawy o Funduszu Kolejowym z przeznaczeniem na dofinansowanie działalności zarządcy infrastruktury kolejowej. Wprowadzana w </w:t>
      </w:r>
      <w:r w:rsidRPr="00B80AA0">
        <w:rPr>
          <w:b/>
          <w:bCs/>
        </w:rPr>
        <w:t xml:space="preserve">art. </w:t>
      </w:r>
      <w:r w:rsidR="00B80AA0">
        <w:rPr>
          <w:b/>
          <w:bCs/>
        </w:rPr>
        <w:t>23</w:t>
      </w:r>
      <w:r w:rsidR="00B80AA0" w:rsidRPr="00036F0F">
        <w:t xml:space="preserve"> </w:t>
      </w:r>
      <w:r w:rsidRPr="00036F0F">
        <w:t xml:space="preserve">projektu ustawy regulacja daje możliwość przeznaczenia środków Funduszu Kolejowego, które zgodnie z art. 3 ust. 3h ustawy z dnia 16 grudnia 2005 r. o Funduszu Kolejowym (Dz. U. z 2023 r. poz. 21 i 1720) są obligatoryjnie przeznaczane na realizowane przez PKP PLK SA inwestycje kapitałowe, na dofinansowanie wydatków bieżących zarządcy infrastruktury kolejowej. </w:t>
      </w:r>
      <w:r w:rsidRPr="00B80AA0">
        <w:rPr>
          <w:b/>
          <w:bCs/>
        </w:rPr>
        <w:t xml:space="preserve">Art. </w:t>
      </w:r>
      <w:r w:rsidR="00B80AA0">
        <w:rPr>
          <w:b/>
          <w:bCs/>
        </w:rPr>
        <w:t>23</w:t>
      </w:r>
      <w:r w:rsidR="00B80AA0" w:rsidRPr="00036F0F">
        <w:t xml:space="preserve"> </w:t>
      </w:r>
      <w:r w:rsidRPr="00036F0F">
        <w:t>projektu ustawy przewiduje, że środki przeznaczone na inwestycje kapitałowe realizowane przez PKP PLK SA mogą być przeznaczone również na dofinansowanie działalności zarządcy infrastruktury kolejowej, o</w:t>
      </w:r>
      <w:r w:rsidR="00487018">
        <w:t> </w:t>
      </w:r>
      <w:r w:rsidRPr="00036F0F">
        <w:t>której mowa w art. 38a ust. 1 ustawy z dnia 16 grudnia 2005 r. o transporcie kolejowym (Dz.</w:t>
      </w:r>
      <w:r w:rsidR="00487018">
        <w:t> </w:t>
      </w:r>
      <w:r w:rsidRPr="00036F0F">
        <w:t xml:space="preserve">U. z 2023 r. poz. 1786, z </w:t>
      </w:r>
      <w:proofErr w:type="spellStart"/>
      <w:r w:rsidRPr="00036F0F">
        <w:t>późn</w:t>
      </w:r>
      <w:proofErr w:type="spellEnd"/>
      <w:r w:rsidRPr="00036F0F">
        <w:t>. zm.). Intencją jest zastosowanie zasad finansowania określonych w art. 38a ustawy o transporcie kolejowym, czyli możliwość zaplanowania w</w:t>
      </w:r>
      <w:r w:rsidR="00487018">
        <w:t> </w:t>
      </w:r>
      <w:r w:rsidRPr="00036F0F">
        <w:t xml:space="preserve">programie wieloletnim, o którym mowa w art. 38a ust. 2 tej ustawy, środków przeznaczonych na podstawie obecnie obowiązujących przepisów na realizację przez PKP </w:t>
      </w:r>
      <w:r w:rsidR="003040AA">
        <w:t>PLK SA inwestycji kapitałowych.</w:t>
      </w:r>
    </w:p>
    <w:bookmarkEnd w:id="2"/>
    <w:p w14:paraId="7D388F21" w14:textId="3CCDCAA4" w:rsidR="004574F1" w:rsidRPr="00330D6A" w:rsidRDefault="004574F1" w:rsidP="007F25E8">
      <w:pPr>
        <w:keepNext/>
        <w:autoSpaceDE w:val="0"/>
        <w:autoSpaceDN w:val="0"/>
        <w:adjustRightInd w:val="0"/>
        <w:spacing w:after="120" w:line="360" w:lineRule="auto"/>
        <w:jc w:val="center"/>
        <w:rPr>
          <w:b/>
          <w:color w:val="000000" w:themeColor="text1"/>
        </w:rPr>
      </w:pPr>
      <w:r w:rsidRPr="00330D6A">
        <w:rPr>
          <w:b/>
          <w:color w:val="000000" w:themeColor="text1"/>
        </w:rPr>
        <w:t xml:space="preserve">Zmiany w zakresie Rządowej Agencji Rezerw Strategicznych (art. </w:t>
      </w:r>
      <w:r w:rsidR="00ED1ECE">
        <w:rPr>
          <w:b/>
          <w:color w:val="000000" w:themeColor="text1"/>
        </w:rPr>
        <w:t>24</w:t>
      </w:r>
      <w:r w:rsidR="003927E0">
        <w:rPr>
          <w:b/>
          <w:color w:val="000000" w:themeColor="text1"/>
        </w:rPr>
        <w:t>–</w:t>
      </w:r>
      <w:r w:rsidR="00ED1ECE">
        <w:rPr>
          <w:b/>
          <w:color w:val="000000" w:themeColor="text1"/>
        </w:rPr>
        <w:t>25</w:t>
      </w:r>
      <w:r w:rsidRPr="00330D6A">
        <w:rPr>
          <w:b/>
          <w:color w:val="000000" w:themeColor="text1"/>
        </w:rPr>
        <w:t>)</w:t>
      </w:r>
    </w:p>
    <w:p w14:paraId="13A60A9A" w14:textId="07470ADD" w:rsidR="00953411" w:rsidRPr="00330D6A" w:rsidRDefault="00F005DF" w:rsidP="007F25E8">
      <w:pPr>
        <w:autoSpaceDE w:val="0"/>
        <w:autoSpaceDN w:val="0"/>
        <w:adjustRightInd w:val="0"/>
        <w:spacing w:line="360" w:lineRule="auto"/>
        <w:jc w:val="both"/>
        <w:rPr>
          <w:color w:val="000000" w:themeColor="text1"/>
        </w:rPr>
      </w:pPr>
      <w:r w:rsidRPr="00330D6A">
        <w:rPr>
          <w:color w:val="000000" w:themeColor="text1"/>
        </w:rPr>
        <w:t>Proponuje się ujęcie w ustawie okołobudżetowej przepisu wyłączającego w 2024 r. stosowanie art. 21 ust. 6 oraz art. 52 ust. 2 pkt 2 ustawy z dnia 27 sierpnia 2009 r. o finansach publicznych w przypadku zmiany planu finansowego Rządowej Agencji Rezerw Strategicznych (dalej RARS) wynikającej z realizacji zadań związanych z likwidacją rezerw strategicznych, których utworzenie zostało sfinansowane z pożyczki ze środków budżetu państwa, o której mowa w</w:t>
      </w:r>
      <w:r w:rsidR="00487018">
        <w:rPr>
          <w:color w:val="000000" w:themeColor="text1"/>
        </w:rPr>
        <w:t> </w:t>
      </w:r>
      <w:r w:rsidRPr="00330D6A">
        <w:rPr>
          <w:color w:val="000000" w:themeColor="text1"/>
        </w:rPr>
        <w:t>art.</w:t>
      </w:r>
      <w:r w:rsidR="00487018">
        <w:rPr>
          <w:color w:val="000000" w:themeColor="text1"/>
        </w:rPr>
        <w:t> </w:t>
      </w:r>
      <w:r w:rsidRPr="00330D6A">
        <w:rPr>
          <w:color w:val="000000" w:themeColor="text1"/>
        </w:rPr>
        <w:t>33 ustawy z dnia 15 września 2022 r. o szczególnych rozwiązaniach w zakresie niektórych źródeł ciepła w związku z sytuacją na rynku paliw (Dz.</w:t>
      </w:r>
      <w:r w:rsidR="00664AC6" w:rsidRPr="00330D6A">
        <w:rPr>
          <w:color w:val="000000" w:themeColor="text1"/>
        </w:rPr>
        <w:t xml:space="preserve"> </w:t>
      </w:r>
      <w:r w:rsidRPr="00330D6A">
        <w:rPr>
          <w:color w:val="000000" w:themeColor="text1"/>
        </w:rPr>
        <w:t xml:space="preserve">U. z 2023 r. poz. 1772). </w:t>
      </w:r>
      <w:r w:rsidR="00485A93" w:rsidRPr="00330D6A">
        <w:rPr>
          <w:color w:val="000000" w:themeColor="text1"/>
        </w:rPr>
        <w:t>W</w:t>
      </w:r>
      <w:r w:rsidR="00953411" w:rsidRPr="00330D6A">
        <w:rPr>
          <w:color w:val="000000" w:themeColor="text1"/>
        </w:rPr>
        <w:t xml:space="preserve">ydanie przez Prezesa Rady Ministrów </w:t>
      </w:r>
      <w:r w:rsidRPr="00330D6A">
        <w:rPr>
          <w:color w:val="000000" w:themeColor="text1"/>
        </w:rPr>
        <w:t xml:space="preserve">decyzji </w:t>
      </w:r>
      <w:r w:rsidR="00953411" w:rsidRPr="00330D6A">
        <w:rPr>
          <w:color w:val="000000" w:themeColor="text1"/>
        </w:rPr>
        <w:t xml:space="preserve">o likwidacji rezerw strategicznych będzie skutkować koniecznością zmiany planu finansowego </w:t>
      </w:r>
      <w:r w:rsidR="00485A93" w:rsidRPr="00330D6A">
        <w:rPr>
          <w:color w:val="000000" w:themeColor="text1"/>
        </w:rPr>
        <w:t>RARS</w:t>
      </w:r>
      <w:r w:rsidR="00953411" w:rsidRPr="00330D6A">
        <w:rPr>
          <w:color w:val="000000" w:themeColor="text1"/>
        </w:rPr>
        <w:t xml:space="preserve">. Wykonanie tej decyzji spowoduje, że przy zmianie planu finansowego mogą nie zostać spełnione wymogi wynikające z przepisów art. 21 ust. 6 oraz art. 52 ust. 2 pkt 2 ustawy </w:t>
      </w:r>
      <w:r w:rsidR="00C16F86" w:rsidRPr="00330D6A">
        <w:rPr>
          <w:color w:val="000000" w:themeColor="text1"/>
        </w:rPr>
        <w:t xml:space="preserve">z dnia 27 sierpnia 2009 r. </w:t>
      </w:r>
      <w:r w:rsidR="00953411" w:rsidRPr="00330D6A">
        <w:rPr>
          <w:color w:val="000000" w:themeColor="text1"/>
        </w:rPr>
        <w:t xml:space="preserve">o finansach publicznych, ponieważ koszty związane z likwidacją rezerw strategicznych mogą przewyższać </w:t>
      </w:r>
      <w:r w:rsidR="00953411" w:rsidRPr="00330D6A">
        <w:rPr>
          <w:color w:val="000000" w:themeColor="text1"/>
        </w:rPr>
        <w:lastRenderedPageBreak/>
        <w:t xml:space="preserve">uzyskane przychody z uwagi na cenę uzyskaną ze sprzedaży rezerw strategicznych oraz ewentualną konieczność poniesienia przez </w:t>
      </w:r>
      <w:r w:rsidRPr="00330D6A">
        <w:rPr>
          <w:color w:val="000000" w:themeColor="text1"/>
        </w:rPr>
        <w:t>RARS</w:t>
      </w:r>
      <w:r w:rsidR="00953411" w:rsidRPr="00330D6A">
        <w:rPr>
          <w:color w:val="000000" w:themeColor="text1"/>
        </w:rPr>
        <w:t xml:space="preserve"> dodatkowych kosztów związanych z</w:t>
      </w:r>
      <w:r w:rsidR="00487018">
        <w:rPr>
          <w:color w:val="000000" w:themeColor="text1"/>
        </w:rPr>
        <w:t> </w:t>
      </w:r>
      <w:r w:rsidR="00953411" w:rsidRPr="00330D6A">
        <w:rPr>
          <w:color w:val="000000" w:themeColor="text1"/>
        </w:rPr>
        <w:t xml:space="preserve">likwidacją rezerw np. kosztów logistycznych, w szczególności kosztów transportu, badań jakościowych. </w:t>
      </w:r>
      <w:r w:rsidR="00485A93" w:rsidRPr="00330D6A">
        <w:rPr>
          <w:color w:val="000000" w:themeColor="text1"/>
        </w:rPr>
        <w:t xml:space="preserve">Wyłączenie w tym przypadku stosowania art. 21 ust. 6 oraz art. 52 ust. 2 pkt 2 ustawy </w:t>
      </w:r>
      <w:r w:rsidR="00C16F86" w:rsidRPr="00330D6A">
        <w:rPr>
          <w:color w:val="000000" w:themeColor="text1"/>
        </w:rPr>
        <w:t xml:space="preserve">z dnia 27 sierpnia 2009 r. </w:t>
      </w:r>
      <w:r w:rsidR="00485A93" w:rsidRPr="00330D6A">
        <w:rPr>
          <w:color w:val="000000" w:themeColor="text1"/>
        </w:rPr>
        <w:t xml:space="preserve">o finansach publicznych jest uzasadnione i umożliwi realizację zadań związanych z likwidacją </w:t>
      </w:r>
      <w:r w:rsidRPr="00330D6A">
        <w:rPr>
          <w:color w:val="000000" w:themeColor="text1"/>
        </w:rPr>
        <w:t xml:space="preserve">ww. </w:t>
      </w:r>
      <w:r w:rsidR="00485A93" w:rsidRPr="00330D6A">
        <w:rPr>
          <w:color w:val="000000" w:themeColor="text1"/>
        </w:rPr>
        <w:t>rezerw strategicznych.</w:t>
      </w:r>
    </w:p>
    <w:p w14:paraId="1BBA0DE1" w14:textId="4A8509C5" w:rsidR="004F7BE0" w:rsidRPr="00330D6A" w:rsidRDefault="004F7BE0" w:rsidP="007F25E8">
      <w:pPr>
        <w:spacing w:before="120" w:line="360" w:lineRule="auto"/>
        <w:jc w:val="both"/>
        <w:rPr>
          <w:color w:val="000000" w:themeColor="text1"/>
        </w:rPr>
      </w:pPr>
      <w:r w:rsidRPr="00330D6A">
        <w:rPr>
          <w:color w:val="000000" w:themeColor="text1"/>
        </w:rPr>
        <w:t>W planie finansowym RARS na 2024 r. w</w:t>
      </w:r>
      <w:r w:rsidR="00F005DF" w:rsidRPr="00330D6A">
        <w:rPr>
          <w:color w:val="000000" w:themeColor="text1"/>
        </w:rPr>
        <w:t xml:space="preserve"> </w:t>
      </w:r>
      <w:r w:rsidRPr="00330D6A">
        <w:rPr>
          <w:color w:val="000000" w:themeColor="text1"/>
        </w:rPr>
        <w:t>stanie środków pieniężnych na początek roku wykazano m.in. środki z Rządowego Funduszu Rozwoju Dróg (dalej RFRD) na utworzenie i</w:t>
      </w:r>
      <w:r w:rsidR="009F332A">
        <w:rPr>
          <w:color w:val="000000" w:themeColor="text1"/>
        </w:rPr>
        <w:t> </w:t>
      </w:r>
      <w:r w:rsidRPr="00330D6A">
        <w:rPr>
          <w:color w:val="000000" w:themeColor="text1"/>
        </w:rPr>
        <w:t>utrzymywanie rezerw, na wniosek ministra ds.</w:t>
      </w:r>
      <w:r w:rsidR="00F005DF" w:rsidRPr="00330D6A">
        <w:rPr>
          <w:color w:val="000000" w:themeColor="text1"/>
        </w:rPr>
        <w:t xml:space="preserve"> </w:t>
      </w:r>
      <w:r w:rsidRPr="00330D6A">
        <w:rPr>
          <w:color w:val="000000" w:themeColor="text1"/>
        </w:rPr>
        <w:t>energii, przekazane na podstawie art. 113b ust.</w:t>
      </w:r>
      <w:r w:rsidR="00E82621">
        <w:rPr>
          <w:color w:val="000000" w:themeColor="text1"/>
        </w:rPr>
        <w:t> </w:t>
      </w:r>
      <w:r w:rsidRPr="00330D6A">
        <w:rPr>
          <w:color w:val="000000" w:themeColor="text1"/>
        </w:rPr>
        <w:t>1 i ust. 3 ustawy z dnia 12 marca 2022 r. o</w:t>
      </w:r>
      <w:r w:rsidR="00F005DF" w:rsidRPr="00330D6A">
        <w:rPr>
          <w:color w:val="000000" w:themeColor="text1"/>
        </w:rPr>
        <w:t xml:space="preserve"> </w:t>
      </w:r>
      <w:r w:rsidRPr="00330D6A">
        <w:rPr>
          <w:color w:val="000000" w:themeColor="text1"/>
        </w:rPr>
        <w:t>pomocy obywatelom Ukrainy w związku z</w:t>
      </w:r>
      <w:r w:rsidR="009F332A">
        <w:rPr>
          <w:color w:val="000000" w:themeColor="text1"/>
        </w:rPr>
        <w:t> </w:t>
      </w:r>
      <w:r w:rsidRPr="00330D6A">
        <w:rPr>
          <w:color w:val="000000" w:themeColor="text1"/>
        </w:rPr>
        <w:t>konfliktem zbrojnym na terytorium tego państwa (Dz.</w:t>
      </w:r>
      <w:r w:rsidR="00F005DF" w:rsidRPr="00330D6A">
        <w:rPr>
          <w:color w:val="000000" w:themeColor="text1"/>
        </w:rPr>
        <w:t xml:space="preserve"> </w:t>
      </w:r>
      <w:r w:rsidRPr="00330D6A">
        <w:rPr>
          <w:color w:val="000000" w:themeColor="text1"/>
        </w:rPr>
        <w:t xml:space="preserve">U. z 2023 r. poz. 103, z </w:t>
      </w:r>
      <w:proofErr w:type="spellStart"/>
      <w:r w:rsidRPr="00330D6A">
        <w:rPr>
          <w:color w:val="000000" w:themeColor="text1"/>
        </w:rPr>
        <w:t>późn</w:t>
      </w:r>
      <w:proofErr w:type="spellEnd"/>
      <w:r w:rsidRPr="00330D6A">
        <w:rPr>
          <w:color w:val="000000" w:themeColor="text1"/>
        </w:rPr>
        <w:t>. zm.). Zgodnie z przewidywanym wykonaniem na dzień 31</w:t>
      </w:r>
      <w:r w:rsidR="00054BAB" w:rsidRPr="00330D6A">
        <w:rPr>
          <w:color w:val="000000" w:themeColor="text1"/>
        </w:rPr>
        <w:t> </w:t>
      </w:r>
      <w:r w:rsidRPr="00330D6A">
        <w:rPr>
          <w:color w:val="000000" w:themeColor="text1"/>
        </w:rPr>
        <w:t>grudnia 2023 r. Rządowa Agencja Rezerw Strategicznych będzie posiadać niewykorzystane środki pochodzące z wpłaty z</w:t>
      </w:r>
      <w:r w:rsidR="009F332A">
        <w:rPr>
          <w:color w:val="000000" w:themeColor="text1"/>
        </w:rPr>
        <w:t> </w:t>
      </w:r>
      <w:r w:rsidRPr="00330D6A">
        <w:rPr>
          <w:color w:val="000000" w:themeColor="text1"/>
        </w:rPr>
        <w:t>Rządowego Funduszu Rozwoju Dróg w wysokości ok. 486,7 mln zł (kwota ta może ulec zmianie).</w:t>
      </w:r>
    </w:p>
    <w:p w14:paraId="4BB33659" w14:textId="3F58AA49" w:rsidR="004F7BE0" w:rsidRPr="00330D6A" w:rsidRDefault="004F7BE0" w:rsidP="007F25E8">
      <w:pPr>
        <w:spacing w:before="120" w:line="360" w:lineRule="auto"/>
        <w:jc w:val="both"/>
        <w:rPr>
          <w:color w:val="000000" w:themeColor="text1"/>
        </w:rPr>
      </w:pPr>
      <w:r w:rsidRPr="00330D6A">
        <w:rPr>
          <w:color w:val="000000" w:themeColor="text1"/>
        </w:rPr>
        <w:t>Zgodnie z przepisami, do RFRD powinny być dokonywane przez RARS wpłaty środków pochodzących ze sprzedaży zlikwidowanych rezerw sfinansowanych uprzednio ze środków RFRD, przewidziano także możliwość przekazania środków z budżetu państwa (art. 113b ust.</w:t>
      </w:r>
      <w:r w:rsidR="009F332A">
        <w:rPr>
          <w:color w:val="000000" w:themeColor="text1"/>
        </w:rPr>
        <w:t> </w:t>
      </w:r>
      <w:r w:rsidR="003927E0">
        <w:rPr>
          <w:color w:val="000000" w:themeColor="text1"/>
        </w:rPr>
        <w:t>5–</w:t>
      </w:r>
      <w:r w:rsidRPr="00330D6A">
        <w:rPr>
          <w:color w:val="000000" w:themeColor="text1"/>
        </w:rPr>
        <w:t>8 ustawy z dnia 12 marca 2022 r. pomocy obywatelom Ukra</w:t>
      </w:r>
      <w:r w:rsidR="003040AA">
        <w:rPr>
          <w:color w:val="000000" w:themeColor="text1"/>
        </w:rPr>
        <w:t xml:space="preserve">iny w związku z </w:t>
      </w:r>
      <w:r w:rsidRPr="00330D6A">
        <w:rPr>
          <w:color w:val="000000" w:themeColor="text1"/>
        </w:rPr>
        <w:t xml:space="preserve">konfliktem zbrojnym na terytorium tego państwa), w sytuacji gdy wysokość środków uzyskanych ze sprzedaży byłaby niższa niż wysokość środków RFRD przeznaczonych na utworzenie, utrzymywanie oraz likwidację rezerw strategicznych. </w:t>
      </w:r>
    </w:p>
    <w:p w14:paraId="3538C45B" w14:textId="3097F2F0" w:rsidR="004F7BE0" w:rsidRPr="00330D6A" w:rsidRDefault="004F7BE0" w:rsidP="007F25E8">
      <w:pPr>
        <w:spacing w:before="120" w:line="360" w:lineRule="auto"/>
        <w:jc w:val="both"/>
        <w:rPr>
          <w:color w:val="000000" w:themeColor="text1"/>
        </w:rPr>
      </w:pPr>
      <w:r w:rsidRPr="00330D6A">
        <w:rPr>
          <w:color w:val="000000" w:themeColor="text1"/>
        </w:rPr>
        <w:t>Niemniej, biorąc pod uwagę potrzeby realizacji zadań finansowanych ze środków RFRD w</w:t>
      </w:r>
      <w:r w:rsidR="00054BAB" w:rsidRPr="00330D6A">
        <w:rPr>
          <w:color w:val="000000" w:themeColor="text1"/>
        </w:rPr>
        <w:t> </w:t>
      </w:r>
      <w:r w:rsidRPr="00330D6A">
        <w:rPr>
          <w:color w:val="000000" w:themeColor="text1"/>
        </w:rPr>
        <w:t>2024 r. oraz zgłoszone przez Ministra Infrastruktury dodatkowe potrzeby na 2024 r. w</w:t>
      </w:r>
      <w:r w:rsidR="00054BAB" w:rsidRPr="00330D6A">
        <w:rPr>
          <w:color w:val="000000" w:themeColor="text1"/>
        </w:rPr>
        <w:t> </w:t>
      </w:r>
      <w:r w:rsidRPr="00330D6A">
        <w:rPr>
          <w:color w:val="000000" w:themeColor="text1"/>
        </w:rPr>
        <w:t>zakresie finansowania zadań kolejowych, a także ograniczone możliwości zwiększenia wydatków z budżetu państwa, niezbędne jest utworzenie podstawy prawnej zapewniającej, aby niewykorzystane przez RARS środki wróciły w 2024 roku na rachunek RFRD (nie później niż do dnia 15 marca 2024 roku) w postaci wpłaty dokonanej przez RARS. Dokładna wysokość wpłaty byłaby określona we wniosku ministra właściwego do spraw transportu, podlegającym uzgodnieniu z Prezesem Rady Ministrów.</w:t>
      </w:r>
    </w:p>
    <w:p w14:paraId="5DD1B099" w14:textId="6CE82D41" w:rsidR="004F7BE0" w:rsidRPr="00330D6A" w:rsidRDefault="004F7BE0" w:rsidP="007F25E8">
      <w:pPr>
        <w:spacing w:before="120" w:line="360" w:lineRule="auto"/>
        <w:jc w:val="both"/>
        <w:rPr>
          <w:color w:val="000000" w:themeColor="text1"/>
        </w:rPr>
      </w:pPr>
      <w:r w:rsidRPr="00330D6A">
        <w:rPr>
          <w:color w:val="000000" w:themeColor="text1"/>
        </w:rPr>
        <w:t>Wpłata otrzymana z RARS spowoduje, że w 2024 r</w:t>
      </w:r>
      <w:r w:rsidR="00054BAB" w:rsidRPr="00330D6A">
        <w:rPr>
          <w:color w:val="000000" w:themeColor="text1"/>
        </w:rPr>
        <w:t>.</w:t>
      </w:r>
      <w:r w:rsidRPr="00330D6A">
        <w:rPr>
          <w:color w:val="000000" w:themeColor="text1"/>
        </w:rPr>
        <w:t xml:space="preserve"> o tę kwotę zostanie pomniejszona planowana z budżetu państwa, z części budżetowej, której dysponentem jest minister właściwy do spraw transportu, wpłata do RFRD. Uwolnione w ten sposób środki z budżetu państwa będą </w:t>
      </w:r>
      <w:r w:rsidRPr="00330D6A">
        <w:rPr>
          <w:color w:val="000000" w:themeColor="text1"/>
        </w:rPr>
        <w:lastRenderedPageBreak/>
        <w:t>mogły być przesunięte na realizację innych</w:t>
      </w:r>
      <w:r w:rsidR="003927E0">
        <w:rPr>
          <w:color w:val="000000" w:themeColor="text1"/>
        </w:rPr>
        <w:t xml:space="preserve"> zadań Ministra Infrastruktury –</w:t>
      </w:r>
      <w:r w:rsidRPr="00330D6A">
        <w:rPr>
          <w:color w:val="000000" w:themeColor="text1"/>
        </w:rPr>
        <w:t xml:space="preserve"> w szczególności z</w:t>
      </w:r>
      <w:r w:rsidR="00054BAB" w:rsidRPr="00330D6A">
        <w:rPr>
          <w:color w:val="000000" w:themeColor="text1"/>
        </w:rPr>
        <w:t> </w:t>
      </w:r>
      <w:r w:rsidRPr="00330D6A">
        <w:rPr>
          <w:color w:val="000000" w:themeColor="text1"/>
        </w:rPr>
        <w:t>zakresu kolejnictwa – zgodnie ze zgłoszonymi potrzebami.</w:t>
      </w:r>
    </w:p>
    <w:p w14:paraId="5070B9BE" w14:textId="61A98E23" w:rsidR="004F7BE0" w:rsidRPr="00330D6A" w:rsidRDefault="004F7BE0" w:rsidP="003040AA">
      <w:pPr>
        <w:spacing w:before="120" w:after="120" w:line="360" w:lineRule="auto"/>
        <w:jc w:val="both"/>
        <w:rPr>
          <w:color w:val="000000" w:themeColor="text1"/>
        </w:rPr>
      </w:pPr>
      <w:r w:rsidRPr="00330D6A">
        <w:rPr>
          <w:color w:val="000000" w:themeColor="text1"/>
        </w:rPr>
        <w:t>Kwota dokonanej wpłaty obniżałaby wysokość wpłaty dokonywanej do RFRD przez ministra właściwego do spraw transportu zgodnie z art. 113b ust. 7 ustawy z dnia 12 marca 2022 r. o</w:t>
      </w:r>
      <w:r w:rsidR="00054BAB" w:rsidRPr="00330D6A">
        <w:rPr>
          <w:color w:val="000000" w:themeColor="text1"/>
        </w:rPr>
        <w:t> </w:t>
      </w:r>
      <w:r w:rsidRPr="00330D6A">
        <w:rPr>
          <w:color w:val="000000" w:themeColor="text1"/>
        </w:rPr>
        <w:t>pomocy obywatelom Ukrainy w związku z konfliktem zbrojnym na terytorium tego państwa, gdyż już nastąpi zwrot tych środków do RFRD na podstawie niniejszej ustawy.</w:t>
      </w:r>
    </w:p>
    <w:p w14:paraId="06F3BFA5" w14:textId="485EB7D9" w:rsidR="003A090B" w:rsidRPr="00330D6A" w:rsidRDefault="003A090B" w:rsidP="007F25E8">
      <w:pPr>
        <w:autoSpaceDE w:val="0"/>
        <w:autoSpaceDN w:val="0"/>
        <w:adjustRightInd w:val="0"/>
        <w:spacing w:line="360" w:lineRule="auto"/>
        <w:jc w:val="center"/>
        <w:rPr>
          <w:b/>
          <w:color w:val="000000" w:themeColor="text1"/>
        </w:rPr>
      </w:pPr>
      <w:r w:rsidRPr="00330D6A">
        <w:rPr>
          <w:b/>
          <w:color w:val="000000" w:themeColor="text1"/>
        </w:rPr>
        <w:t>Przepis związany z realizacją zadań związanych z przeciwdziałaniem klęskom żywiołowym i usuwaniem ich skutków oraz przeciwdziałaniem i usuwaniem skutków epidemii oraz zagrożeniom społeczno</w:t>
      </w:r>
      <w:r w:rsidR="003040AA">
        <w:rPr>
          <w:b/>
          <w:color w:val="000000" w:themeColor="text1"/>
        </w:rPr>
        <w:t>-</w:t>
      </w:r>
      <w:r w:rsidRPr="00330D6A">
        <w:rPr>
          <w:b/>
          <w:color w:val="000000" w:themeColor="text1"/>
        </w:rPr>
        <w:t xml:space="preserve">gospodarczym związanym z inflacją oraz przeciwdziałaniem zdarzeniom bezpośrednio zagrażającym bezpieczeństwu państwa związanym z sytuacją geopolityczną oraz usuwaniem ich skutków (art. </w:t>
      </w:r>
      <w:r w:rsidR="00ED1ECE">
        <w:rPr>
          <w:b/>
          <w:color w:val="000000" w:themeColor="text1"/>
        </w:rPr>
        <w:t>26</w:t>
      </w:r>
      <w:r w:rsidRPr="00330D6A">
        <w:rPr>
          <w:b/>
          <w:color w:val="000000" w:themeColor="text1"/>
        </w:rPr>
        <w:t>)</w:t>
      </w:r>
    </w:p>
    <w:p w14:paraId="70FF6243" w14:textId="6A911421" w:rsidR="003A090B" w:rsidRPr="00330D6A" w:rsidRDefault="003A090B" w:rsidP="007F25E8">
      <w:pPr>
        <w:autoSpaceDE w:val="0"/>
        <w:autoSpaceDN w:val="0"/>
        <w:adjustRightInd w:val="0"/>
        <w:spacing w:after="120" w:line="360" w:lineRule="auto"/>
        <w:jc w:val="both"/>
        <w:rPr>
          <w:color w:val="000000" w:themeColor="text1"/>
        </w:rPr>
      </w:pPr>
      <w:r w:rsidRPr="00330D6A">
        <w:rPr>
          <w:color w:val="000000" w:themeColor="text1"/>
        </w:rPr>
        <w:t xml:space="preserve">Proponowany przepis związany jest z realizacją zadań, które mają przeciwdziałać klęskom żywiołowym, epidemii, zagrożeniom </w:t>
      </w:r>
      <w:proofErr w:type="spellStart"/>
      <w:r w:rsidRPr="00330D6A">
        <w:rPr>
          <w:color w:val="000000" w:themeColor="text1"/>
        </w:rPr>
        <w:t>społeczno</w:t>
      </w:r>
      <w:proofErr w:type="spellEnd"/>
      <w:r w:rsidR="003927E0">
        <w:rPr>
          <w:color w:val="000000" w:themeColor="text1"/>
        </w:rPr>
        <w:t xml:space="preserve"> – gospodarczym związanym z </w:t>
      </w:r>
      <w:r w:rsidRPr="00330D6A">
        <w:rPr>
          <w:color w:val="000000" w:themeColor="text1"/>
        </w:rPr>
        <w:t xml:space="preserve">inflacją oraz przeciwdziałaniem zdarzeniom bezpośrednio zagrażającym bezpieczeństwu państwa związanym z sytuacją </w:t>
      </w:r>
      <w:proofErr w:type="spellStart"/>
      <w:r w:rsidRPr="00330D6A">
        <w:rPr>
          <w:color w:val="000000" w:themeColor="text1"/>
        </w:rPr>
        <w:t>geopolitycznąi</w:t>
      </w:r>
      <w:proofErr w:type="spellEnd"/>
      <w:r w:rsidRPr="00330D6A">
        <w:rPr>
          <w:color w:val="000000" w:themeColor="text1"/>
        </w:rPr>
        <w:t xml:space="preserve"> i usuwać powstałe w ich wyniku skutki. Zaproponowany mechanizm tworzenia rezerwy celowej oraz sposób pozyskiwania środków na ten cel (blokady wolnych środków budżetowych) pozwolą w sposób celowy i szybki przeciwdziałać zagrożeniom.</w:t>
      </w:r>
    </w:p>
    <w:p w14:paraId="0EAC9C16" w14:textId="4B78763C" w:rsidR="00485A93" w:rsidRPr="00330D6A" w:rsidRDefault="00485A93" w:rsidP="007F25E8">
      <w:pPr>
        <w:autoSpaceDE w:val="0"/>
        <w:autoSpaceDN w:val="0"/>
        <w:adjustRightInd w:val="0"/>
        <w:spacing w:after="120" w:line="360" w:lineRule="auto"/>
        <w:jc w:val="center"/>
        <w:rPr>
          <w:b/>
          <w:color w:val="000000" w:themeColor="text1"/>
        </w:rPr>
      </w:pPr>
      <w:r w:rsidRPr="00330D6A">
        <w:rPr>
          <w:b/>
          <w:color w:val="000000" w:themeColor="text1"/>
        </w:rPr>
        <w:t>Zmiany w ustawie z dnia 20 lipca 2018 r. o przekształceniu prawa użytkowania wieczystego gruntów zabudowanych na cele mieszkaniowe w prawo własności tych gruntów (Dz. U. z 202</w:t>
      </w:r>
      <w:r w:rsidR="00C16F86" w:rsidRPr="00330D6A">
        <w:rPr>
          <w:b/>
          <w:color w:val="000000" w:themeColor="text1"/>
        </w:rPr>
        <w:t>3</w:t>
      </w:r>
      <w:r w:rsidRPr="00330D6A">
        <w:rPr>
          <w:b/>
          <w:color w:val="000000" w:themeColor="text1"/>
        </w:rPr>
        <w:t xml:space="preserve"> r. poz. </w:t>
      </w:r>
      <w:r w:rsidR="00C16F86" w:rsidRPr="00330D6A">
        <w:rPr>
          <w:b/>
          <w:color w:val="000000" w:themeColor="text1"/>
        </w:rPr>
        <w:t xml:space="preserve">904, z </w:t>
      </w:r>
      <w:proofErr w:type="spellStart"/>
      <w:r w:rsidR="00C16F86" w:rsidRPr="00330D6A">
        <w:rPr>
          <w:b/>
          <w:color w:val="000000" w:themeColor="text1"/>
        </w:rPr>
        <w:t>późn</w:t>
      </w:r>
      <w:proofErr w:type="spellEnd"/>
      <w:r w:rsidR="00C16F86" w:rsidRPr="00330D6A">
        <w:rPr>
          <w:b/>
          <w:color w:val="000000" w:themeColor="text1"/>
        </w:rPr>
        <w:t>. zm.</w:t>
      </w:r>
      <w:r w:rsidRPr="00330D6A">
        <w:rPr>
          <w:b/>
          <w:color w:val="000000" w:themeColor="text1"/>
        </w:rPr>
        <w:t>)</w:t>
      </w:r>
      <w:r w:rsidR="00487018">
        <w:rPr>
          <w:b/>
          <w:color w:val="000000" w:themeColor="text1"/>
        </w:rPr>
        <w:t xml:space="preserve"> </w:t>
      </w:r>
      <w:r w:rsidRPr="00330D6A">
        <w:rPr>
          <w:b/>
          <w:color w:val="000000" w:themeColor="text1"/>
        </w:rPr>
        <w:t xml:space="preserve">(art. </w:t>
      </w:r>
      <w:r w:rsidR="00ED1ECE">
        <w:rPr>
          <w:b/>
          <w:color w:val="000000" w:themeColor="text1"/>
        </w:rPr>
        <w:t>32</w:t>
      </w:r>
      <w:r w:rsidRPr="00330D6A">
        <w:rPr>
          <w:b/>
          <w:color w:val="000000" w:themeColor="text1"/>
        </w:rPr>
        <w:t>)</w:t>
      </w:r>
    </w:p>
    <w:p w14:paraId="0EECBB35" w14:textId="71E94F19" w:rsidR="00485A93" w:rsidRPr="00330D6A" w:rsidRDefault="00485A93" w:rsidP="007F25E8">
      <w:pPr>
        <w:autoSpaceDE w:val="0"/>
        <w:autoSpaceDN w:val="0"/>
        <w:adjustRightInd w:val="0"/>
        <w:spacing w:line="360" w:lineRule="auto"/>
        <w:jc w:val="both"/>
        <w:rPr>
          <w:bCs/>
          <w:color w:val="000000" w:themeColor="text1"/>
        </w:rPr>
      </w:pPr>
      <w:r w:rsidRPr="00330D6A">
        <w:rPr>
          <w:bCs/>
          <w:color w:val="000000" w:themeColor="text1"/>
        </w:rPr>
        <w:t>W ramach ustawy</w:t>
      </w:r>
      <w:r w:rsidRPr="00330D6A">
        <w:rPr>
          <w:color w:val="000000" w:themeColor="text1"/>
        </w:rPr>
        <w:t xml:space="preserve"> dnia 20 lipca 2018 r.</w:t>
      </w:r>
      <w:r w:rsidRPr="00330D6A">
        <w:rPr>
          <w:bCs/>
          <w:color w:val="000000" w:themeColor="text1"/>
        </w:rPr>
        <w:t xml:space="preserve"> o przekształceniu prawa użytkowania wieczystego gruntów zabudowanych na cele mieszkaniowe w prawo własności</w:t>
      </w:r>
      <w:r w:rsidR="00994ADD" w:rsidRPr="00330D6A">
        <w:rPr>
          <w:bCs/>
          <w:color w:val="000000" w:themeColor="text1"/>
        </w:rPr>
        <w:t xml:space="preserve"> (dalej ustawa </w:t>
      </w:r>
      <w:proofErr w:type="spellStart"/>
      <w:r w:rsidR="00994ADD" w:rsidRPr="00330D6A">
        <w:rPr>
          <w:bCs/>
          <w:color w:val="000000" w:themeColor="text1"/>
        </w:rPr>
        <w:t>przekształceniowa</w:t>
      </w:r>
      <w:proofErr w:type="spellEnd"/>
      <w:r w:rsidR="00994ADD" w:rsidRPr="00330D6A">
        <w:rPr>
          <w:bCs/>
          <w:color w:val="000000" w:themeColor="text1"/>
        </w:rPr>
        <w:t>)</w:t>
      </w:r>
      <w:r w:rsidRPr="00330D6A">
        <w:rPr>
          <w:bCs/>
          <w:color w:val="000000" w:themeColor="text1"/>
        </w:rPr>
        <w:t xml:space="preserve"> z przyznanych 1 260 etatów, 429 etatów urzędników sądowych przyznano na czas oznaczony (3 lata), tj. od dnia 1 stycznia 2019 r. do dnia 31 grudnia 2021 r. Następnie zaś ich finansowanie zostało przedłużone decyzją Rady Ministrów na rok budżetowy</w:t>
      </w:r>
      <w:r w:rsidR="0030461F" w:rsidRPr="00330D6A">
        <w:rPr>
          <w:bCs/>
          <w:color w:val="000000" w:themeColor="text1"/>
        </w:rPr>
        <w:t xml:space="preserve"> 2023 </w:t>
      </w:r>
      <w:r w:rsidRPr="00330D6A">
        <w:rPr>
          <w:bCs/>
          <w:color w:val="000000" w:themeColor="text1"/>
        </w:rPr>
        <w:t>.</w:t>
      </w:r>
    </w:p>
    <w:p w14:paraId="7FB09624" w14:textId="64C57CD6" w:rsidR="00791052" w:rsidRPr="00330D6A" w:rsidRDefault="00791052" w:rsidP="007F25E8">
      <w:pPr>
        <w:autoSpaceDE w:val="0"/>
        <w:autoSpaceDN w:val="0"/>
        <w:adjustRightInd w:val="0"/>
        <w:spacing w:line="360" w:lineRule="auto"/>
        <w:jc w:val="both"/>
        <w:rPr>
          <w:bCs/>
          <w:color w:val="000000" w:themeColor="text1"/>
        </w:rPr>
      </w:pPr>
      <w:r w:rsidRPr="00330D6A">
        <w:rPr>
          <w:bCs/>
          <w:color w:val="000000" w:themeColor="text1"/>
        </w:rPr>
        <w:t xml:space="preserve">Na dzień 31 grudnia 2022 r. do sądów wpłynęło 89,19 % prognozowanego wpływu spraw </w:t>
      </w:r>
      <w:r w:rsidR="0030461F" w:rsidRPr="00330D6A">
        <w:rPr>
          <w:bCs/>
          <w:color w:val="000000" w:themeColor="text1"/>
        </w:rPr>
        <w:t>na podstawie</w:t>
      </w:r>
      <w:r w:rsidRPr="00330D6A">
        <w:rPr>
          <w:bCs/>
          <w:color w:val="000000" w:themeColor="text1"/>
        </w:rPr>
        <w:t xml:space="preserve"> </w:t>
      </w:r>
      <w:r w:rsidR="0030461F" w:rsidRPr="00330D6A">
        <w:rPr>
          <w:bCs/>
          <w:color w:val="000000" w:themeColor="text1"/>
        </w:rPr>
        <w:t xml:space="preserve">ustawy </w:t>
      </w:r>
      <w:proofErr w:type="spellStart"/>
      <w:r w:rsidR="00994ADD" w:rsidRPr="00330D6A">
        <w:rPr>
          <w:bCs/>
          <w:color w:val="000000" w:themeColor="text1"/>
        </w:rPr>
        <w:t>przekształceniowej</w:t>
      </w:r>
      <w:proofErr w:type="spellEnd"/>
      <w:r w:rsidR="0030461F" w:rsidRPr="00330D6A" w:rsidDel="0030461F">
        <w:rPr>
          <w:bCs/>
          <w:color w:val="000000" w:themeColor="text1"/>
        </w:rPr>
        <w:t xml:space="preserve"> </w:t>
      </w:r>
      <w:r w:rsidRPr="00330D6A">
        <w:rPr>
          <w:bCs/>
          <w:color w:val="000000" w:themeColor="text1"/>
        </w:rPr>
        <w:t>(który szacowany jest na ponad 4,6 mln spraw), przy czym nie załatwiono jeszcze prawie 13,4 % prognozowanej liczby spraw</w:t>
      </w:r>
      <w:r w:rsidR="00694050" w:rsidRPr="00330D6A">
        <w:rPr>
          <w:bCs/>
          <w:color w:val="000000" w:themeColor="text1"/>
        </w:rPr>
        <w:t>.</w:t>
      </w:r>
      <w:r w:rsidRPr="00330D6A">
        <w:rPr>
          <w:bCs/>
          <w:color w:val="000000" w:themeColor="text1"/>
        </w:rPr>
        <w:t xml:space="preserve"> </w:t>
      </w:r>
      <w:r w:rsidR="00694050" w:rsidRPr="00330D6A">
        <w:rPr>
          <w:bCs/>
          <w:color w:val="000000" w:themeColor="text1"/>
        </w:rPr>
        <w:t>D</w:t>
      </w:r>
      <w:r w:rsidRPr="00330D6A">
        <w:rPr>
          <w:bCs/>
          <w:color w:val="000000" w:themeColor="text1"/>
        </w:rPr>
        <w:t xml:space="preserve">odatkowo należy pamiętać, że w związku z ww. ustawą do sądów trafi też taka sama liczba spraw dotyczących wykreślenia roszczenia o uiszczenie opłaty </w:t>
      </w:r>
      <w:proofErr w:type="spellStart"/>
      <w:r w:rsidRPr="00330D6A">
        <w:rPr>
          <w:bCs/>
          <w:color w:val="000000" w:themeColor="text1"/>
        </w:rPr>
        <w:t>przekształceniowej</w:t>
      </w:r>
      <w:proofErr w:type="spellEnd"/>
      <w:r w:rsidRPr="00330D6A">
        <w:rPr>
          <w:bCs/>
          <w:color w:val="000000" w:themeColor="text1"/>
        </w:rPr>
        <w:t xml:space="preserve">. Ponadto podkreślenia wymaga stały wzrost wpływu spraw z zakresu ksiąg wieczystych innych niż wynikające z ustawy </w:t>
      </w:r>
      <w:proofErr w:type="spellStart"/>
      <w:r w:rsidRPr="00330D6A">
        <w:rPr>
          <w:bCs/>
          <w:color w:val="000000" w:themeColor="text1"/>
        </w:rPr>
        <w:t>przekształceniowej</w:t>
      </w:r>
      <w:proofErr w:type="spellEnd"/>
      <w:r w:rsidRPr="00330D6A">
        <w:rPr>
          <w:bCs/>
          <w:color w:val="000000" w:themeColor="text1"/>
        </w:rPr>
        <w:t xml:space="preserve">, a wobec licznych inwestycji w kraju w skali globalnej (lotniska, w tym </w:t>
      </w:r>
      <w:r w:rsidRPr="00330D6A">
        <w:rPr>
          <w:bCs/>
          <w:color w:val="000000" w:themeColor="text1"/>
        </w:rPr>
        <w:lastRenderedPageBreak/>
        <w:t>CPK, drogi, koleje) oraz lokalnej (mieszkalnictwo, obrót nieruchomościami, w tym rolnymi) należy spodziewać się utrzymania tego trendu.</w:t>
      </w:r>
    </w:p>
    <w:p w14:paraId="347CDEDC" w14:textId="77777777" w:rsidR="00791052" w:rsidRPr="00330D6A" w:rsidRDefault="00791052" w:rsidP="007F25E8">
      <w:pPr>
        <w:autoSpaceDE w:val="0"/>
        <w:autoSpaceDN w:val="0"/>
        <w:adjustRightInd w:val="0"/>
        <w:spacing w:line="360" w:lineRule="auto"/>
        <w:jc w:val="both"/>
        <w:rPr>
          <w:bCs/>
          <w:color w:val="000000" w:themeColor="text1"/>
        </w:rPr>
      </w:pPr>
      <w:r w:rsidRPr="00330D6A">
        <w:rPr>
          <w:bCs/>
          <w:color w:val="000000" w:themeColor="text1"/>
        </w:rPr>
        <w:t>Dodatkowo, przy obecnej liczbie referendarzy, zmniejszenie liczby urzędników aż o 429 etatów uniemożliwi terminowe i sprawne wykonywanie obowiązków przez referendarzy, tym bardziej, iż wiele z obecnie projektowanych rozwiązań legislacyjnych będzie skutkowało</w:t>
      </w:r>
      <w:r w:rsidRPr="00330D6A">
        <w:rPr>
          <w:rFonts w:eastAsiaTheme="minorHAnsi"/>
          <w:lang w:eastAsia="en-US"/>
        </w:rPr>
        <w:t xml:space="preserve"> </w:t>
      </w:r>
      <w:r w:rsidRPr="00330D6A">
        <w:rPr>
          <w:bCs/>
          <w:color w:val="000000" w:themeColor="text1"/>
        </w:rPr>
        <w:t>większym wpływem spraw do sądów.</w:t>
      </w:r>
    </w:p>
    <w:p w14:paraId="357E7A76" w14:textId="16D15B6D" w:rsidR="00791052" w:rsidRPr="00330D6A" w:rsidRDefault="00791052" w:rsidP="007F25E8">
      <w:pPr>
        <w:autoSpaceDE w:val="0"/>
        <w:autoSpaceDN w:val="0"/>
        <w:adjustRightInd w:val="0"/>
        <w:spacing w:line="360" w:lineRule="auto"/>
        <w:jc w:val="both"/>
        <w:rPr>
          <w:bCs/>
          <w:color w:val="000000" w:themeColor="text1"/>
        </w:rPr>
      </w:pPr>
      <w:r w:rsidRPr="00330D6A">
        <w:rPr>
          <w:bCs/>
          <w:color w:val="000000" w:themeColor="text1"/>
        </w:rPr>
        <w:t>Środki na finansowanie wynagrodzeń ww. etatów zostały zaplanowane</w:t>
      </w:r>
      <w:r w:rsidR="003927E0">
        <w:rPr>
          <w:bCs/>
          <w:color w:val="000000" w:themeColor="text1"/>
        </w:rPr>
        <w:t xml:space="preserve"> w projekcie budżetu części 15 –</w:t>
      </w:r>
      <w:r w:rsidRPr="00330D6A">
        <w:rPr>
          <w:bCs/>
          <w:color w:val="000000" w:themeColor="text1"/>
        </w:rPr>
        <w:t xml:space="preserve"> Sądy powszechne na rok 2024.</w:t>
      </w:r>
    </w:p>
    <w:p w14:paraId="43F46702" w14:textId="1B3A9DF0" w:rsidR="00485A93" w:rsidRPr="00330D6A" w:rsidRDefault="00485A93" w:rsidP="007F25E8">
      <w:pPr>
        <w:autoSpaceDE w:val="0"/>
        <w:autoSpaceDN w:val="0"/>
        <w:adjustRightInd w:val="0"/>
        <w:spacing w:after="120" w:line="360" w:lineRule="auto"/>
        <w:jc w:val="center"/>
        <w:rPr>
          <w:b/>
          <w:bCs/>
          <w:color w:val="000000" w:themeColor="text1"/>
        </w:rPr>
      </w:pPr>
      <w:r w:rsidRPr="00330D6A">
        <w:rPr>
          <w:b/>
          <w:color w:val="000000" w:themeColor="text1"/>
        </w:rPr>
        <w:t xml:space="preserve">Zmiany w ustawie z dnia 11 września 2019 r. o zmianie ustawy – Prawo wodne oraz </w:t>
      </w:r>
      <w:r w:rsidRPr="00330D6A">
        <w:rPr>
          <w:b/>
          <w:bCs/>
          <w:color w:val="000000" w:themeColor="text1"/>
        </w:rPr>
        <w:t>niektórych innych ustaw (Dz. U. poz. 2170</w:t>
      </w:r>
      <w:r w:rsidR="00F404D7" w:rsidRPr="00330D6A">
        <w:rPr>
          <w:b/>
          <w:bCs/>
          <w:color w:val="000000" w:themeColor="text1"/>
        </w:rPr>
        <w:t xml:space="preserve">, z </w:t>
      </w:r>
      <w:proofErr w:type="spellStart"/>
      <w:r w:rsidR="00F404D7" w:rsidRPr="00330D6A">
        <w:rPr>
          <w:b/>
          <w:bCs/>
          <w:color w:val="000000" w:themeColor="text1"/>
        </w:rPr>
        <w:t>późn</w:t>
      </w:r>
      <w:proofErr w:type="spellEnd"/>
      <w:r w:rsidR="00F404D7" w:rsidRPr="00330D6A">
        <w:rPr>
          <w:b/>
          <w:bCs/>
          <w:color w:val="000000" w:themeColor="text1"/>
        </w:rPr>
        <w:t>. zm.</w:t>
      </w:r>
      <w:r w:rsidRPr="00330D6A">
        <w:rPr>
          <w:b/>
          <w:bCs/>
          <w:color w:val="000000" w:themeColor="text1"/>
        </w:rPr>
        <w:t>)</w:t>
      </w:r>
      <w:r w:rsidR="00986DB9">
        <w:rPr>
          <w:b/>
          <w:bCs/>
          <w:color w:val="000000" w:themeColor="text1"/>
        </w:rPr>
        <w:t xml:space="preserve"> </w:t>
      </w:r>
      <w:r w:rsidRPr="00330D6A">
        <w:rPr>
          <w:b/>
          <w:bCs/>
          <w:color w:val="000000" w:themeColor="text1"/>
        </w:rPr>
        <w:t xml:space="preserve">(art. </w:t>
      </w:r>
      <w:r w:rsidR="00ED1ECE">
        <w:rPr>
          <w:b/>
          <w:bCs/>
          <w:color w:val="000000" w:themeColor="text1"/>
        </w:rPr>
        <w:t>33</w:t>
      </w:r>
      <w:r w:rsidRPr="00330D6A">
        <w:rPr>
          <w:b/>
          <w:bCs/>
          <w:color w:val="000000" w:themeColor="text1"/>
        </w:rPr>
        <w:t>)</w:t>
      </w:r>
    </w:p>
    <w:p w14:paraId="61C9135C" w14:textId="6B58A501" w:rsidR="00485A93" w:rsidRPr="00330D6A" w:rsidRDefault="00485A93" w:rsidP="007F25E8">
      <w:pPr>
        <w:autoSpaceDE w:val="0"/>
        <w:autoSpaceDN w:val="0"/>
        <w:adjustRightInd w:val="0"/>
        <w:spacing w:line="360" w:lineRule="auto"/>
        <w:jc w:val="both"/>
        <w:rPr>
          <w:bCs/>
          <w:color w:val="000000" w:themeColor="text1"/>
        </w:rPr>
      </w:pPr>
      <w:r w:rsidRPr="00330D6A">
        <w:rPr>
          <w:bCs/>
          <w:color w:val="000000" w:themeColor="text1"/>
        </w:rPr>
        <w:t>Wskutek zmian wprowadzonych przepisami ustawy z dnia 16 cz</w:t>
      </w:r>
      <w:r w:rsidR="003927E0">
        <w:rPr>
          <w:bCs/>
          <w:color w:val="000000" w:themeColor="text1"/>
        </w:rPr>
        <w:t>erwca 2023 r. o zmianie ustawy –</w:t>
      </w:r>
      <w:r w:rsidRPr="00330D6A">
        <w:rPr>
          <w:bCs/>
          <w:color w:val="000000" w:themeColor="text1"/>
        </w:rPr>
        <w:t xml:space="preserve"> Prawo geologiczne i górnicze oraz niektórych innych ustaw</w:t>
      </w:r>
      <w:r w:rsidR="00C16F86" w:rsidRPr="00330D6A">
        <w:rPr>
          <w:bCs/>
          <w:color w:val="000000" w:themeColor="text1"/>
        </w:rPr>
        <w:t xml:space="preserve"> (Dz. U. </w:t>
      </w:r>
      <w:r w:rsidR="004A10D2" w:rsidRPr="00330D6A">
        <w:rPr>
          <w:bCs/>
          <w:color w:val="000000" w:themeColor="text1"/>
        </w:rPr>
        <w:t>poz. 2029</w:t>
      </w:r>
      <w:r w:rsidR="00C16F86" w:rsidRPr="00330D6A">
        <w:rPr>
          <w:bCs/>
          <w:color w:val="000000" w:themeColor="text1"/>
        </w:rPr>
        <w:t>)</w:t>
      </w:r>
      <w:r w:rsidRPr="00330D6A">
        <w:rPr>
          <w:bCs/>
          <w:color w:val="000000" w:themeColor="text1"/>
        </w:rPr>
        <w:t xml:space="preserve">, zmieniających przepisy regulujące działalność państwowej służby geologicznej poprzez zniesienie państwowej służby hydrogeologicznej i włączenia jej zadań do państwowej służby geologicznej, zaistniała konieczność wyodrębnienia </w:t>
      </w:r>
      <w:r w:rsidR="00F404D7" w:rsidRPr="00330D6A">
        <w:rPr>
          <w:bCs/>
          <w:color w:val="000000" w:themeColor="text1"/>
        </w:rPr>
        <w:t xml:space="preserve">w 2024 roku </w:t>
      </w:r>
      <w:r w:rsidRPr="00330D6A">
        <w:rPr>
          <w:bCs/>
          <w:color w:val="000000" w:themeColor="text1"/>
        </w:rPr>
        <w:t xml:space="preserve">limitu wydatków budżetu państwa na finansowanie poszczególnych służb państwowych, tj. państwowej służby hydrologiczno-meteorologicznej, państwowej służby do spraw bezpieczeństwa budowli piętrzących, których wydatki będzie monitorował minister właściwy do spraw gospodarki wodnej oraz państwowej służby geologicznej, której wydatki będzie monitorował minister właściwy do spraw środowiska. </w:t>
      </w:r>
    </w:p>
    <w:p w14:paraId="50838B00" w14:textId="5F15B2DB" w:rsidR="00485A93" w:rsidRPr="00330D6A" w:rsidRDefault="00485A93" w:rsidP="007F25E8">
      <w:pPr>
        <w:autoSpaceDE w:val="0"/>
        <w:autoSpaceDN w:val="0"/>
        <w:adjustRightInd w:val="0"/>
        <w:spacing w:line="360" w:lineRule="auto"/>
        <w:jc w:val="both"/>
        <w:rPr>
          <w:bCs/>
          <w:color w:val="000000" w:themeColor="text1"/>
        </w:rPr>
      </w:pPr>
      <w:r w:rsidRPr="00330D6A">
        <w:rPr>
          <w:bCs/>
          <w:color w:val="000000" w:themeColor="text1"/>
        </w:rPr>
        <w:t xml:space="preserve">Wprowadzenie zasad monitorowania wydatków ma zasadnicze znaczenie z punktu widzenia prawidłowości wydatkowania środków publicznych, </w:t>
      </w:r>
      <w:r w:rsidR="00F404D7" w:rsidRPr="00330D6A">
        <w:rPr>
          <w:bCs/>
          <w:color w:val="000000" w:themeColor="text1"/>
        </w:rPr>
        <w:t>gdyż nie jest możliwa</w:t>
      </w:r>
      <w:r w:rsidRPr="00330D6A">
        <w:rPr>
          <w:bCs/>
          <w:color w:val="000000" w:themeColor="text1"/>
        </w:rPr>
        <w:t xml:space="preserve"> sytuacja</w:t>
      </w:r>
      <w:r w:rsidR="00F404D7" w:rsidRPr="00330D6A">
        <w:rPr>
          <w:bCs/>
          <w:color w:val="000000" w:themeColor="text1"/>
        </w:rPr>
        <w:t>,</w:t>
      </w:r>
      <w:r w:rsidRPr="00330D6A">
        <w:rPr>
          <w:bCs/>
          <w:color w:val="000000" w:themeColor="text1"/>
        </w:rPr>
        <w:t xml:space="preserve"> w której minister właściwy do spraw gospodarki wodnej monitor</w:t>
      </w:r>
      <w:r w:rsidR="00F404D7" w:rsidRPr="00330D6A">
        <w:rPr>
          <w:bCs/>
          <w:color w:val="000000" w:themeColor="text1"/>
        </w:rPr>
        <w:t>owałby</w:t>
      </w:r>
      <w:r w:rsidRPr="00330D6A">
        <w:rPr>
          <w:bCs/>
          <w:color w:val="000000" w:themeColor="text1"/>
        </w:rPr>
        <w:t xml:space="preserve"> wydatkowanie środków przez dysponenta części 41 </w:t>
      </w:r>
      <w:r w:rsidR="00F404D7" w:rsidRPr="00330D6A">
        <w:rPr>
          <w:bCs/>
          <w:color w:val="000000" w:themeColor="text1"/>
        </w:rPr>
        <w:t>–</w:t>
      </w:r>
      <w:r w:rsidRPr="00330D6A">
        <w:rPr>
          <w:bCs/>
          <w:color w:val="000000" w:themeColor="text1"/>
        </w:rPr>
        <w:t xml:space="preserve"> środowisko</w:t>
      </w:r>
      <w:r w:rsidR="00F404D7" w:rsidRPr="00330D6A">
        <w:rPr>
          <w:bCs/>
          <w:color w:val="000000" w:themeColor="text1"/>
        </w:rPr>
        <w:t>.</w:t>
      </w:r>
    </w:p>
    <w:p w14:paraId="05A4CCB4" w14:textId="3C17EA1F" w:rsidR="00485A93" w:rsidRPr="00330D6A" w:rsidRDefault="00485A93" w:rsidP="007F25E8">
      <w:pPr>
        <w:autoSpaceDE w:val="0"/>
        <w:autoSpaceDN w:val="0"/>
        <w:adjustRightInd w:val="0"/>
        <w:spacing w:line="360" w:lineRule="auto"/>
        <w:jc w:val="both"/>
        <w:rPr>
          <w:bCs/>
          <w:color w:val="000000" w:themeColor="text1"/>
        </w:rPr>
      </w:pPr>
      <w:r w:rsidRPr="00330D6A">
        <w:rPr>
          <w:bCs/>
          <w:color w:val="000000" w:themeColor="text1"/>
        </w:rPr>
        <w:t xml:space="preserve">Równocześnie istotne jest podwyższenie ustalonej </w:t>
      </w:r>
      <w:r w:rsidR="00F404D7" w:rsidRPr="00330D6A">
        <w:rPr>
          <w:bCs/>
          <w:color w:val="000000" w:themeColor="text1"/>
        </w:rPr>
        <w:t>w ustawie z dnia 11 września 2019 r. o</w:t>
      </w:r>
      <w:r w:rsidR="009F332A">
        <w:rPr>
          <w:bCs/>
          <w:color w:val="000000" w:themeColor="text1"/>
        </w:rPr>
        <w:t> </w:t>
      </w:r>
      <w:r w:rsidR="00F404D7" w:rsidRPr="00330D6A">
        <w:rPr>
          <w:bCs/>
          <w:color w:val="000000" w:themeColor="text1"/>
        </w:rPr>
        <w:t xml:space="preserve">zmianie ustawy – Prawo wodne oraz niektórych innych ustaw (Dz. U. poz. 2170, z </w:t>
      </w:r>
      <w:proofErr w:type="spellStart"/>
      <w:r w:rsidR="00F404D7" w:rsidRPr="00330D6A">
        <w:rPr>
          <w:bCs/>
          <w:color w:val="000000" w:themeColor="text1"/>
        </w:rPr>
        <w:t>późn</w:t>
      </w:r>
      <w:proofErr w:type="spellEnd"/>
      <w:r w:rsidR="00F404D7" w:rsidRPr="00330D6A">
        <w:rPr>
          <w:bCs/>
          <w:color w:val="000000" w:themeColor="text1"/>
        </w:rPr>
        <w:t xml:space="preserve">. zm.) </w:t>
      </w:r>
      <w:r w:rsidRPr="00330D6A">
        <w:rPr>
          <w:bCs/>
          <w:color w:val="000000" w:themeColor="text1"/>
        </w:rPr>
        <w:t>wysokości limitu na funkcjonowanie wyżej wymienionych służb państwowych. Zwiększenie limitu wydatków na rok 2024 jest niezbędne dla zapewnienia ciągłości wykonywania przez służby państwowe powierzonych zadań ustawowych, przy zapewnieniu dotychczasowego poziomu jakości i kompletności. Zauważyć należy, iż przepis dotyczący zmian limitów w</w:t>
      </w:r>
      <w:r w:rsidR="009F332A">
        <w:rPr>
          <w:bCs/>
          <w:color w:val="000000" w:themeColor="text1"/>
        </w:rPr>
        <w:t> </w:t>
      </w:r>
      <w:r w:rsidRPr="00330D6A">
        <w:rPr>
          <w:bCs/>
          <w:color w:val="000000" w:themeColor="text1"/>
        </w:rPr>
        <w:t>art.</w:t>
      </w:r>
      <w:r w:rsidR="009F332A">
        <w:rPr>
          <w:bCs/>
          <w:color w:val="000000" w:themeColor="text1"/>
        </w:rPr>
        <w:t> </w:t>
      </w:r>
      <w:r w:rsidRPr="00330D6A">
        <w:rPr>
          <w:bCs/>
          <w:color w:val="000000" w:themeColor="text1"/>
        </w:rPr>
        <w:t>17 ustawy z dnia 11 września 2019 r. o zmianie ustawy – Prawo wodne oraz niektórych innych ustaw był już uwzględniony w ustawie okołobud</w:t>
      </w:r>
      <w:r w:rsidR="003927E0">
        <w:rPr>
          <w:bCs/>
          <w:color w:val="000000" w:themeColor="text1"/>
        </w:rPr>
        <w:t>żetowej na rok 2023 (w art. 52 –</w:t>
      </w:r>
      <w:r w:rsidRPr="00330D6A">
        <w:rPr>
          <w:bCs/>
          <w:color w:val="000000" w:themeColor="text1"/>
        </w:rPr>
        <w:t xml:space="preserve"> limit został jednorazowo zwiększony). </w:t>
      </w:r>
      <w:r w:rsidR="00F404D7" w:rsidRPr="00330D6A">
        <w:rPr>
          <w:bCs/>
          <w:color w:val="000000" w:themeColor="text1"/>
        </w:rPr>
        <w:t>Pozostawienie limitów w obecnie</w:t>
      </w:r>
      <w:r w:rsidR="00F404D7" w:rsidRPr="00330D6A" w:rsidDel="0047619F">
        <w:rPr>
          <w:bCs/>
          <w:color w:val="000000" w:themeColor="text1"/>
        </w:rPr>
        <w:t xml:space="preserve"> </w:t>
      </w:r>
      <w:r w:rsidR="00F404D7" w:rsidRPr="00330D6A">
        <w:rPr>
          <w:bCs/>
          <w:color w:val="000000" w:themeColor="text1"/>
        </w:rPr>
        <w:t xml:space="preserve">obowiązujących kwotach </w:t>
      </w:r>
      <w:r w:rsidR="00F404D7" w:rsidRPr="00330D6A">
        <w:rPr>
          <w:bCs/>
          <w:color w:val="000000" w:themeColor="text1"/>
        </w:rPr>
        <w:lastRenderedPageBreak/>
        <w:t>oznaczałoby finansowanie wyżej wymienionych służb państwowych w roku 2024 na poziomie niższym niż w 2023 roku.</w:t>
      </w:r>
    </w:p>
    <w:p w14:paraId="4080F2BE" w14:textId="4A20C9B1" w:rsidR="002038B6" w:rsidRPr="00330D6A" w:rsidRDefault="002038B6" w:rsidP="007F25E8">
      <w:pPr>
        <w:autoSpaceDE w:val="0"/>
        <w:autoSpaceDN w:val="0"/>
        <w:adjustRightInd w:val="0"/>
        <w:spacing w:after="120" w:line="360" w:lineRule="auto"/>
        <w:jc w:val="both"/>
        <w:rPr>
          <w:color w:val="000000" w:themeColor="text1"/>
        </w:rPr>
      </w:pPr>
      <w:r w:rsidRPr="00330D6A">
        <w:rPr>
          <w:color w:val="000000" w:themeColor="text1"/>
        </w:rPr>
        <w:t>Ustawa wejdzie w życie z dniem 1 stycznia 202</w:t>
      </w:r>
      <w:r w:rsidR="00AE79B0" w:rsidRPr="00330D6A">
        <w:rPr>
          <w:color w:val="000000" w:themeColor="text1"/>
        </w:rPr>
        <w:t>4</w:t>
      </w:r>
      <w:r w:rsidRPr="00330D6A">
        <w:rPr>
          <w:color w:val="000000" w:themeColor="text1"/>
        </w:rPr>
        <w:t xml:space="preserve"> r.</w:t>
      </w:r>
      <w:r w:rsidR="006F7CF0" w:rsidRPr="00330D6A">
        <w:rPr>
          <w:color w:val="000000" w:themeColor="text1"/>
        </w:rPr>
        <w:t xml:space="preserve"> (</w:t>
      </w:r>
      <w:r w:rsidR="006F7CF0" w:rsidRPr="00330D6A">
        <w:rPr>
          <w:b/>
          <w:color w:val="000000" w:themeColor="text1"/>
        </w:rPr>
        <w:t xml:space="preserve">art. </w:t>
      </w:r>
      <w:r w:rsidR="00ED1ECE">
        <w:rPr>
          <w:b/>
          <w:color w:val="000000" w:themeColor="text1"/>
        </w:rPr>
        <w:t>34</w:t>
      </w:r>
      <w:r w:rsidR="006F7CF0" w:rsidRPr="00330D6A">
        <w:rPr>
          <w:color w:val="000000" w:themeColor="text1"/>
        </w:rPr>
        <w:t>)</w:t>
      </w:r>
    </w:p>
    <w:p w14:paraId="00EB9FF8" w14:textId="77777777" w:rsidR="001E20E8" w:rsidRPr="00330D6A" w:rsidRDefault="001E20E8" w:rsidP="007F25E8">
      <w:pPr>
        <w:spacing w:after="120" w:line="360" w:lineRule="auto"/>
        <w:jc w:val="both"/>
        <w:rPr>
          <w:color w:val="000000" w:themeColor="text1"/>
        </w:rPr>
      </w:pPr>
      <w:r w:rsidRPr="00330D6A">
        <w:rPr>
          <w:color w:val="000000" w:themeColor="text1"/>
        </w:rPr>
        <w:t>Projekt ustawy nie jest objęty prawem Unii Europejskiej.</w:t>
      </w:r>
    </w:p>
    <w:p w14:paraId="6A64ACC8" w14:textId="77777777" w:rsidR="001E20E8" w:rsidRPr="00330D6A" w:rsidRDefault="001E20E8" w:rsidP="007F25E8">
      <w:pPr>
        <w:spacing w:after="120" w:line="360" w:lineRule="auto"/>
        <w:jc w:val="both"/>
        <w:rPr>
          <w:color w:val="000000" w:themeColor="text1"/>
        </w:rPr>
      </w:pPr>
      <w:r w:rsidRPr="00330D6A">
        <w:rPr>
          <w:color w:val="000000" w:themeColor="text1"/>
        </w:rPr>
        <w:t>Projekt ustawy nie wymaga przedstawienia właściwym organom i instytucjom Unii Europejskiej, w tym Europejskiemu Bankowi Centralnemu, w celu uzyskania opinii, dokonania powiadomienia, konsultacji albo uzgodnienia.</w:t>
      </w:r>
    </w:p>
    <w:p w14:paraId="33455DA2" w14:textId="77777777" w:rsidR="002038B6" w:rsidRPr="00330D6A" w:rsidRDefault="001E20E8" w:rsidP="007F25E8">
      <w:pPr>
        <w:autoSpaceDE w:val="0"/>
        <w:autoSpaceDN w:val="0"/>
        <w:adjustRightInd w:val="0"/>
        <w:spacing w:after="120" w:line="360" w:lineRule="auto"/>
        <w:jc w:val="both"/>
        <w:rPr>
          <w:color w:val="000000" w:themeColor="text1"/>
        </w:rPr>
      </w:pPr>
      <w:r w:rsidRPr="00330D6A">
        <w:rPr>
          <w:color w:val="000000" w:themeColor="text1"/>
        </w:rPr>
        <w:t>P</w:t>
      </w:r>
      <w:r w:rsidR="002038B6" w:rsidRPr="00330D6A">
        <w:rPr>
          <w:color w:val="000000" w:themeColor="text1"/>
        </w:rPr>
        <w:t>rojekt ustawy nie podlega notyfikacji zgodnie z przepisami dotyczącymi funkcjonowania krajowego systemu notyfikacji norm i aktów prawnych, stosownie do § 27 ust. 3 pkt 4 lit. b uchwały nr 190 Rady Ministrów z dnia 29 października 2013 r. – Regulamin pracy Rady Ministrów (M.P. z 20</w:t>
      </w:r>
      <w:r w:rsidR="00BB6568" w:rsidRPr="00330D6A">
        <w:rPr>
          <w:color w:val="000000" w:themeColor="text1"/>
        </w:rPr>
        <w:t>22</w:t>
      </w:r>
      <w:r w:rsidR="002038B6" w:rsidRPr="00330D6A">
        <w:rPr>
          <w:color w:val="000000" w:themeColor="text1"/>
        </w:rPr>
        <w:t xml:space="preserve"> r. poz. </w:t>
      </w:r>
      <w:r w:rsidR="00BB6568" w:rsidRPr="00330D6A">
        <w:rPr>
          <w:color w:val="000000" w:themeColor="text1"/>
        </w:rPr>
        <w:t>348</w:t>
      </w:r>
      <w:r w:rsidR="002038B6" w:rsidRPr="00330D6A">
        <w:rPr>
          <w:color w:val="000000" w:themeColor="text1"/>
        </w:rPr>
        <w:t>).</w:t>
      </w:r>
    </w:p>
    <w:p w14:paraId="0725E127" w14:textId="77777777" w:rsidR="002038B6" w:rsidRPr="00330D6A" w:rsidRDefault="002038B6" w:rsidP="007F25E8">
      <w:pPr>
        <w:pStyle w:val="NIEARTTEKSTtekstnieartykuowanynppodstprawnarozplubpreambua"/>
        <w:ind w:firstLine="0"/>
        <w:rPr>
          <w:rFonts w:ascii="Times New Roman" w:eastAsia="Times New Roman" w:hAnsi="Times New Roman" w:cs="Times New Roman"/>
          <w:color w:val="000000" w:themeColor="text1"/>
        </w:rPr>
      </w:pPr>
      <w:r w:rsidRPr="00330D6A">
        <w:rPr>
          <w:rFonts w:ascii="Times New Roman" w:eastAsia="Times New Roman" w:hAnsi="Times New Roman" w:cs="Times New Roman"/>
          <w:color w:val="000000" w:themeColor="text1"/>
        </w:rPr>
        <w:t>Projekt ustawy nie dotyczy majątkowych praw i obowią</w:t>
      </w:r>
      <w:r w:rsidR="0091041E" w:rsidRPr="00330D6A">
        <w:rPr>
          <w:rFonts w:ascii="Times New Roman" w:eastAsia="Times New Roman" w:hAnsi="Times New Roman" w:cs="Times New Roman"/>
          <w:color w:val="000000" w:themeColor="text1"/>
        </w:rPr>
        <w:t>zków przedsiębiorców lub praw i </w:t>
      </w:r>
      <w:r w:rsidRPr="00330D6A">
        <w:rPr>
          <w:rFonts w:ascii="Times New Roman" w:eastAsia="Times New Roman" w:hAnsi="Times New Roman" w:cs="Times New Roman"/>
          <w:color w:val="000000" w:themeColor="text1"/>
        </w:rPr>
        <w:t>obowiązków przedsiębiorców wobec organów administr</w:t>
      </w:r>
      <w:r w:rsidR="0091041E" w:rsidRPr="00330D6A">
        <w:rPr>
          <w:rFonts w:ascii="Times New Roman" w:eastAsia="Times New Roman" w:hAnsi="Times New Roman" w:cs="Times New Roman"/>
          <w:color w:val="000000" w:themeColor="text1"/>
        </w:rPr>
        <w:t>acji publicznej i nie wpływa na </w:t>
      </w:r>
      <w:r w:rsidRPr="00330D6A">
        <w:rPr>
          <w:rFonts w:ascii="Times New Roman" w:eastAsia="Times New Roman" w:hAnsi="Times New Roman" w:cs="Times New Roman"/>
          <w:color w:val="000000" w:themeColor="text1"/>
        </w:rPr>
        <w:t>działalność mikro przedsiębiorców oraz małych i średnich przedsiębiorców.</w:t>
      </w:r>
    </w:p>
    <w:p w14:paraId="533B4BB7" w14:textId="49F63DAD" w:rsidR="002038B6" w:rsidRPr="00330D6A" w:rsidRDefault="002038B6" w:rsidP="007F25E8">
      <w:pPr>
        <w:pStyle w:val="NIEARTTEKSTtekstnieartykuowanynppodstprawnarozplubpreambua"/>
        <w:spacing w:after="120"/>
        <w:ind w:firstLine="0"/>
        <w:rPr>
          <w:rFonts w:ascii="Times New Roman" w:hAnsi="Times New Roman" w:cs="Times New Roman"/>
          <w:color w:val="000000" w:themeColor="text1"/>
        </w:rPr>
      </w:pPr>
      <w:r w:rsidRPr="00330D6A">
        <w:rPr>
          <w:rFonts w:ascii="Times New Roman" w:eastAsia="Times New Roman" w:hAnsi="Times New Roman" w:cs="Times New Roman"/>
          <w:color w:val="000000" w:themeColor="text1"/>
        </w:rPr>
        <w:t xml:space="preserve">Zgodnie z art. 5 ustawy z dnia 7 lipca 2005 r. o działalności lobbingowej w procesie stanowienia prawa (Dz. U. z 2017 r. poz. 248) projekt </w:t>
      </w:r>
      <w:r w:rsidR="005507FC" w:rsidRPr="00330D6A">
        <w:rPr>
          <w:rFonts w:ascii="Times New Roman" w:eastAsia="Times New Roman" w:hAnsi="Times New Roman" w:cs="Times New Roman"/>
          <w:color w:val="000000" w:themeColor="text1"/>
        </w:rPr>
        <w:t>zosta</w:t>
      </w:r>
      <w:r w:rsidR="00D90BF3" w:rsidRPr="00330D6A">
        <w:rPr>
          <w:rFonts w:ascii="Times New Roman" w:eastAsia="Times New Roman" w:hAnsi="Times New Roman" w:cs="Times New Roman"/>
          <w:color w:val="000000" w:themeColor="text1"/>
        </w:rPr>
        <w:t>ł</w:t>
      </w:r>
      <w:r w:rsidRPr="00330D6A">
        <w:rPr>
          <w:rFonts w:ascii="Times New Roman" w:eastAsia="Times New Roman" w:hAnsi="Times New Roman" w:cs="Times New Roman"/>
          <w:color w:val="000000" w:themeColor="text1"/>
        </w:rPr>
        <w:t xml:space="preserve"> udostępniony w Biuletynie Informacji Publicznej na stronie podmiotowej Rządowego Centrum Legislacji, w serwisie </w:t>
      </w:r>
      <w:r w:rsidR="007F25E8">
        <w:rPr>
          <w:rFonts w:ascii="Times New Roman" w:eastAsia="Times New Roman" w:hAnsi="Times New Roman" w:cs="Times New Roman"/>
          <w:color w:val="000000" w:themeColor="text1"/>
        </w:rPr>
        <w:t>„</w:t>
      </w:r>
      <w:r w:rsidRPr="00330D6A">
        <w:rPr>
          <w:rFonts w:ascii="Times New Roman" w:eastAsia="Times New Roman" w:hAnsi="Times New Roman" w:cs="Times New Roman"/>
          <w:color w:val="000000" w:themeColor="text1"/>
        </w:rPr>
        <w:t>Rządowy Proces Legislacyjny</w:t>
      </w:r>
      <w:r w:rsidR="007F25E8">
        <w:rPr>
          <w:rFonts w:ascii="Times New Roman" w:eastAsia="Times New Roman" w:hAnsi="Times New Roman" w:cs="Times New Roman"/>
          <w:color w:val="000000" w:themeColor="text1"/>
        </w:rPr>
        <w:t>”</w:t>
      </w:r>
      <w:r w:rsidRPr="00330D6A">
        <w:rPr>
          <w:rFonts w:ascii="Times New Roman" w:eastAsia="Times New Roman" w:hAnsi="Times New Roman" w:cs="Times New Roman"/>
          <w:color w:val="000000" w:themeColor="text1"/>
        </w:rPr>
        <w:t xml:space="preserve">. </w:t>
      </w:r>
    </w:p>
    <w:p w14:paraId="24D48E50" w14:textId="77777777" w:rsidR="00DD540F" w:rsidRPr="00330D6A" w:rsidRDefault="001E20E8" w:rsidP="007F25E8">
      <w:pPr>
        <w:spacing w:after="120" w:line="360" w:lineRule="auto"/>
        <w:jc w:val="both"/>
        <w:rPr>
          <w:color w:val="000000" w:themeColor="text1"/>
        </w:rPr>
      </w:pPr>
      <w:r w:rsidRPr="00330D6A">
        <w:rPr>
          <w:color w:val="000000" w:themeColor="text1"/>
        </w:rPr>
        <w:t>Należy wskazać, że nie ma możliwości podjęcia alternatywnych w stosunku do projektu ustawy działań umożliwiających osiągnięcie zamierzonego celu.</w:t>
      </w:r>
    </w:p>
    <w:sectPr w:rsidR="00DD540F" w:rsidRPr="00330D6A" w:rsidSect="008E1AB8">
      <w:footerReference w:type="default" r:id="rId8"/>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7B0A3" w14:textId="77777777" w:rsidR="000B79E6" w:rsidRDefault="000B79E6">
      <w:r>
        <w:separator/>
      </w:r>
    </w:p>
  </w:endnote>
  <w:endnote w:type="continuationSeparator" w:id="0">
    <w:p w14:paraId="28A50D3E" w14:textId="77777777" w:rsidR="000B79E6" w:rsidRDefault="000B79E6">
      <w:r>
        <w:continuationSeparator/>
      </w:r>
    </w:p>
  </w:endnote>
  <w:endnote w:type="continuationNotice" w:id="1">
    <w:p w14:paraId="32F0277C" w14:textId="77777777" w:rsidR="000B79E6" w:rsidRDefault="000B79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28997"/>
      <w:docPartObj>
        <w:docPartGallery w:val="Page Numbers (Bottom of Page)"/>
        <w:docPartUnique/>
      </w:docPartObj>
    </w:sdtPr>
    <w:sdtEndPr/>
    <w:sdtContent>
      <w:p w14:paraId="2A9284BD" w14:textId="7BE2C7DC" w:rsidR="006B08BB" w:rsidRDefault="006B08BB" w:rsidP="008E1AB8">
        <w:pPr>
          <w:pStyle w:val="Stopka"/>
          <w:jc w:val="center"/>
        </w:pPr>
        <w:r>
          <w:fldChar w:fldCharType="begin"/>
        </w:r>
        <w:r>
          <w:instrText>PAGE   \* MERGEFORMAT</w:instrText>
        </w:r>
        <w:r>
          <w:fldChar w:fldCharType="separate"/>
        </w:r>
        <w:r w:rsidR="005C7550">
          <w:rPr>
            <w:noProof/>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A25A8" w14:textId="77777777" w:rsidR="000B79E6" w:rsidRDefault="000B79E6">
      <w:r>
        <w:separator/>
      </w:r>
    </w:p>
  </w:footnote>
  <w:footnote w:type="continuationSeparator" w:id="0">
    <w:p w14:paraId="050F95B1" w14:textId="77777777" w:rsidR="000B79E6" w:rsidRDefault="000B79E6">
      <w:r>
        <w:continuationSeparator/>
      </w:r>
    </w:p>
  </w:footnote>
  <w:footnote w:type="continuationNotice" w:id="1">
    <w:p w14:paraId="6F9EDBA7" w14:textId="77777777" w:rsidR="000B79E6" w:rsidRDefault="000B79E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1D4F"/>
    <w:multiLevelType w:val="hybridMultilevel"/>
    <w:tmpl w:val="BC50FA9A"/>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1" w15:restartNumberingAfterBreak="0">
    <w:nsid w:val="0BB72563"/>
    <w:multiLevelType w:val="hybridMultilevel"/>
    <w:tmpl w:val="15CEDD28"/>
    <w:lvl w:ilvl="0" w:tplc="656C3C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6938FF"/>
    <w:multiLevelType w:val="hybridMultilevel"/>
    <w:tmpl w:val="88B4FBF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0E726B70"/>
    <w:multiLevelType w:val="hybridMultilevel"/>
    <w:tmpl w:val="0E786CF0"/>
    <w:lvl w:ilvl="0" w:tplc="D442944A">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4" w15:restartNumberingAfterBreak="0">
    <w:nsid w:val="14E6617C"/>
    <w:multiLevelType w:val="hybridMultilevel"/>
    <w:tmpl w:val="61F45F94"/>
    <w:lvl w:ilvl="0" w:tplc="9A7AC5FE">
      <w:start w:val="1"/>
      <w:numFmt w:val="decimal"/>
      <w:lvlText w:val="%1."/>
      <w:lvlJc w:val="left"/>
      <w:pPr>
        <w:ind w:left="720" w:hanging="360"/>
      </w:pPr>
    </w:lvl>
    <w:lvl w:ilvl="1" w:tplc="5F42D506" w:tentative="1">
      <w:start w:val="1"/>
      <w:numFmt w:val="lowerLetter"/>
      <w:lvlText w:val="%2."/>
      <w:lvlJc w:val="left"/>
      <w:pPr>
        <w:ind w:left="1440" w:hanging="360"/>
      </w:pPr>
    </w:lvl>
    <w:lvl w:ilvl="2" w:tplc="02FA8D7E" w:tentative="1">
      <w:start w:val="1"/>
      <w:numFmt w:val="lowerRoman"/>
      <w:lvlText w:val="%3."/>
      <w:lvlJc w:val="right"/>
      <w:pPr>
        <w:ind w:left="2160" w:hanging="180"/>
      </w:pPr>
    </w:lvl>
    <w:lvl w:ilvl="3" w:tplc="AA0ABA54" w:tentative="1">
      <w:start w:val="1"/>
      <w:numFmt w:val="decimal"/>
      <w:lvlText w:val="%4."/>
      <w:lvlJc w:val="left"/>
      <w:pPr>
        <w:ind w:left="2880" w:hanging="360"/>
      </w:pPr>
    </w:lvl>
    <w:lvl w:ilvl="4" w:tplc="D1AEBDBC" w:tentative="1">
      <w:start w:val="1"/>
      <w:numFmt w:val="lowerLetter"/>
      <w:lvlText w:val="%5."/>
      <w:lvlJc w:val="left"/>
      <w:pPr>
        <w:ind w:left="3600" w:hanging="360"/>
      </w:pPr>
    </w:lvl>
    <w:lvl w:ilvl="5" w:tplc="73889776" w:tentative="1">
      <w:start w:val="1"/>
      <w:numFmt w:val="lowerRoman"/>
      <w:lvlText w:val="%6."/>
      <w:lvlJc w:val="right"/>
      <w:pPr>
        <w:ind w:left="4320" w:hanging="180"/>
      </w:pPr>
    </w:lvl>
    <w:lvl w:ilvl="6" w:tplc="361C58B0" w:tentative="1">
      <w:start w:val="1"/>
      <w:numFmt w:val="decimal"/>
      <w:lvlText w:val="%7."/>
      <w:lvlJc w:val="left"/>
      <w:pPr>
        <w:ind w:left="5040" w:hanging="360"/>
      </w:pPr>
    </w:lvl>
    <w:lvl w:ilvl="7" w:tplc="DB562CA0" w:tentative="1">
      <w:start w:val="1"/>
      <w:numFmt w:val="lowerLetter"/>
      <w:lvlText w:val="%8."/>
      <w:lvlJc w:val="left"/>
      <w:pPr>
        <w:ind w:left="5760" w:hanging="360"/>
      </w:pPr>
    </w:lvl>
    <w:lvl w:ilvl="8" w:tplc="83A27180" w:tentative="1">
      <w:start w:val="1"/>
      <w:numFmt w:val="lowerRoman"/>
      <w:lvlText w:val="%9."/>
      <w:lvlJc w:val="right"/>
      <w:pPr>
        <w:ind w:left="6480" w:hanging="180"/>
      </w:pPr>
    </w:lvl>
  </w:abstractNum>
  <w:abstractNum w:abstractNumId="5" w15:restartNumberingAfterBreak="0">
    <w:nsid w:val="17E562A7"/>
    <w:multiLevelType w:val="multilevel"/>
    <w:tmpl w:val="DEBA4066"/>
    <w:lvl w:ilvl="0">
      <w:start w:val="1"/>
      <w:numFmt w:val="bullet"/>
      <w:lvlText w:val="•"/>
      <w:lvlJc w:val="left"/>
      <w:rPr>
        <w:rFonts w:ascii="Arial" w:eastAsia="Arial" w:hAnsi="Arial" w:cs="Arial"/>
        <w:b w:val="0"/>
        <w:bCs w:val="0"/>
        <w:i/>
        <w:iCs/>
        <w:smallCaps w:val="0"/>
        <w:strike w:val="0"/>
        <w:color w:val="000000"/>
        <w:spacing w:val="0"/>
        <w:w w:val="100"/>
        <w:position w:val="0"/>
        <w:sz w:val="19"/>
        <w:szCs w:val="19"/>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E87054"/>
    <w:multiLevelType w:val="hybridMultilevel"/>
    <w:tmpl w:val="311414EA"/>
    <w:lvl w:ilvl="0" w:tplc="D44294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176977"/>
    <w:multiLevelType w:val="hybridMultilevel"/>
    <w:tmpl w:val="C01C81BE"/>
    <w:lvl w:ilvl="0" w:tplc="DFCE6BF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1EA013C6"/>
    <w:multiLevelType w:val="hybridMultilevel"/>
    <w:tmpl w:val="7A2A1D74"/>
    <w:lvl w:ilvl="0" w:tplc="43441A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4952B3B"/>
    <w:multiLevelType w:val="hybridMultilevel"/>
    <w:tmpl w:val="6CE6553A"/>
    <w:lvl w:ilvl="0" w:tplc="ABDCCCC0">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C56A03"/>
    <w:multiLevelType w:val="hybridMultilevel"/>
    <w:tmpl w:val="A5344A74"/>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1" w15:restartNumberingAfterBreak="0">
    <w:nsid w:val="2915337C"/>
    <w:multiLevelType w:val="hybridMultilevel"/>
    <w:tmpl w:val="C58C03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D06CBA"/>
    <w:multiLevelType w:val="hybridMultilevel"/>
    <w:tmpl w:val="F878D1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D55AD5"/>
    <w:multiLevelType w:val="hybridMultilevel"/>
    <w:tmpl w:val="40265D2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AF45AB3"/>
    <w:multiLevelType w:val="hybridMultilevel"/>
    <w:tmpl w:val="BC36ECA2"/>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15" w15:restartNumberingAfterBreak="0">
    <w:nsid w:val="3B850EBE"/>
    <w:multiLevelType w:val="hybridMultilevel"/>
    <w:tmpl w:val="9828DC6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43880C37"/>
    <w:multiLevelType w:val="hybridMultilevel"/>
    <w:tmpl w:val="75EE88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D63018"/>
    <w:multiLevelType w:val="hybridMultilevel"/>
    <w:tmpl w:val="796EDE4A"/>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A976BE"/>
    <w:multiLevelType w:val="hybridMultilevel"/>
    <w:tmpl w:val="E982E8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B35A4C"/>
    <w:multiLevelType w:val="hybridMultilevel"/>
    <w:tmpl w:val="E04E978E"/>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0" w15:restartNumberingAfterBreak="0">
    <w:nsid w:val="61833CFF"/>
    <w:multiLevelType w:val="hybridMultilevel"/>
    <w:tmpl w:val="945648B2"/>
    <w:lvl w:ilvl="0" w:tplc="43441A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3B7275F"/>
    <w:multiLevelType w:val="hybridMultilevel"/>
    <w:tmpl w:val="3CF29890"/>
    <w:lvl w:ilvl="0" w:tplc="2B524C6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6CDB6ABC"/>
    <w:multiLevelType w:val="hybridMultilevel"/>
    <w:tmpl w:val="0A0230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E9B7F1A"/>
    <w:multiLevelType w:val="hybridMultilevel"/>
    <w:tmpl w:val="CD1C1F94"/>
    <w:lvl w:ilvl="0" w:tplc="E8C2FB38">
      <w:start w:val="1"/>
      <w:numFmt w:val="lowerLetter"/>
      <w:lvlText w:val="%1)"/>
      <w:lvlJc w:val="left"/>
      <w:pPr>
        <w:ind w:left="372" w:hanging="360"/>
      </w:pPr>
    </w:lvl>
    <w:lvl w:ilvl="1" w:tplc="37AE77DC" w:tentative="1">
      <w:start w:val="1"/>
      <w:numFmt w:val="lowerLetter"/>
      <w:lvlText w:val="%2."/>
      <w:lvlJc w:val="left"/>
      <w:pPr>
        <w:ind w:left="1092" w:hanging="360"/>
      </w:pPr>
    </w:lvl>
    <w:lvl w:ilvl="2" w:tplc="C1FA3C96" w:tentative="1">
      <w:start w:val="1"/>
      <w:numFmt w:val="lowerRoman"/>
      <w:lvlText w:val="%3."/>
      <w:lvlJc w:val="right"/>
      <w:pPr>
        <w:ind w:left="1812" w:hanging="180"/>
      </w:pPr>
    </w:lvl>
    <w:lvl w:ilvl="3" w:tplc="A1165424" w:tentative="1">
      <w:start w:val="1"/>
      <w:numFmt w:val="decimal"/>
      <w:lvlText w:val="%4."/>
      <w:lvlJc w:val="left"/>
      <w:pPr>
        <w:ind w:left="2532" w:hanging="360"/>
      </w:pPr>
    </w:lvl>
    <w:lvl w:ilvl="4" w:tplc="6818F996" w:tentative="1">
      <w:start w:val="1"/>
      <w:numFmt w:val="lowerLetter"/>
      <w:lvlText w:val="%5."/>
      <w:lvlJc w:val="left"/>
      <w:pPr>
        <w:ind w:left="3252" w:hanging="360"/>
      </w:pPr>
    </w:lvl>
    <w:lvl w:ilvl="5" w:tplc="AFD02BF4" w:tentative="1">
      <w:start w:val="1"/>
      <w:numFmt w:val="lowerRoman"/>
      <w:lvlText w:val="%6."/>
      <w:lvlJc w:val="right"/>
      <w:pPr>
        <w:ind w:left="3972" w:hanging="180"/>
      </w:pPr>
    </w:lvl>
    <w:lvl w:ilvl="6" w:tplc="AD7614B4" w:tentative="1">
      <w:start w:val="1"/>
      <w:numFmt w:val="decimal"/>
      <w:lvlText w:val="%7."/>
      <w:lvlJc w:val="left"/>
      <w:pPr>
        <w:ind w:left="4692" w:hanging="360"/>
      </w:pPr>
    </w:lvl>
    <w:lvl w:ilvl="7" w:tplc="A5541CE0" w:tentative="1">
      <w:start w:val="1"/>
      <w:numFmt w:val="lowerLetter"/>
      <w:lvlText w:val="%8."/>
      <w:lvlJc w:val="left"/>
      <w:pPr>
        <w:ind w:left="5412" w:hanging="360"/>
      </w:pPr>
    </w:lvl>
    <w:lvl w:ilvl="8" w:tplc="2AC66204" w:tentative="1">
      <w:start w:val="1"/>
      <w:numFmt w:val="lowerRoman"/>
      <w:lvlText w:val="%9."/>
      <w:lvlJc w:val="right"/>
      <w:pPr>
        <w:ind w:left="6132" w:hanging="180"/>
      </w:pPr>
    </w:lvl>
  </w:abstractNum>
  <w:abstractNum w:abstractNumId="24" w15:restartNumberingAfterBreak="0">
    <w:nsid w:val="75004312"/>
    <w:multiLevelType w:val="hybridMultilevel"/>
    <w:tmpl w:val="90EA030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5" w15:restartNumberingAfterBreak="0">
    <w:nsid w:val="7C8557D8"/>
    <w:multiLevelType w:val="hybridMultilevel"/>
    <w:tmpl w:val="9E524E50"/>
    <w:lvl w:ilvl="0" w:tplc="D442944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num w:numId="1">
    <w:abstractNumId w:val="21"/>
  </w:num>
  <w:num w:numId="2">
    <w:abstractNumId w:val="21"/>
  </w:num>
  <w:num w:numId="3">
    <w:abstractNumId w:val="20"/>
  </w:num>
  <w:num w:numId="4">
    <w:abstractNumId w:val="5"/>
  </w:num>
  <w:num w:numId="5">
    <w:abstractNumId w:val="3"/>
  </w:num>
  <w:num w:numId="6">
    <w:abstractNumId w:val="8"/>
  </w:num>
  <w:num w:numId="7">
    <w:abstractNumId w:val="6"/>
  </w:num>
  <w:num w:numId="8">
    <w:abstractNumId w:val="0"/>
  </w:num>
  <w:num w:numId="9">
    <w:abstractNumId w:val="16"/>
  </w:num>
  <w:num w:numId="10">
    <w:abstractNumId w:val="1"/>
  </w:num>
  <w:num w:numId="11">
    <w:abstractNumId w:val="2"/>
  </w:num>
  <w:num w:numId="12">
    <w:abstractNumId w:val="10"/>
  </w:num>
  <w:num w:numId="13">
    <w:abstractNumId w:val="19"/>
  </w:num>
  <w:num w:numId="14">
    <w:abstractNumId w:val="14"/>
  </w:num>
  <w:num w:numId="15">
    <w:abstractNumId w:val="17"/>
  </w:num>
  <w:num w:numId="16">
    <w:abstractNumId w:val="9"/>
  </w:num>
  <w:num w:numId="17">
    <w:abstractNumId w:val="12"/>
  </w:num>
  <w:num w:numId="18">
    <w:abstractNumId w:val="11"/>
  </w:num>
  <w:num w:numId="19">
    <w:abstractNumId w:val="18"/>
  </w:num>
  <w:num w:numId="20">
    <w:abstractNumId w:val="22"/>
  </w:num>
  <w:num w:numId="21">
    <w:abstractNumId w:val="23"/>
  </w:num>
  <w:num w:numId="22">
    <w:abstractNumId w:val="4"/>
  </w:num>
  <w:num w:numId="23">
    <w:abstractNumId w:val="24"/>
  </w:num>
  <w:num w:numId="24">
    <w:abstractNumId w:val="13"/>
  </w:num>
  <w:num w:numId="25">
    <w:abstractNumId w:val="25"/>
  </w:num>
  <w:num w:numId="26">
    <w:abstractNumId w:val="15"/>
  </w:num>
  <w:num w:numId="2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BAB"/>
    <w:rsid w:val="00000C4E"/>
    <w:rsid w:val="00001297"/>
    <w:rsid w:val="000019AD"/>
    <w:rsid w:val="00001E84"/>
    <w:rsid w:val="000020D5"/>
    <w:rsid w:val="000024DE"/>
    <w:rsid w:val="00002B27"/>
    <w:rsid w:val="000036BE"/>
    <w:rsid w:val="000048C3"/>
    <w:rsid w:val="00005BAC"/>
    <w:rsid w:val="00005D3F"/>
    <w:rsid w:val="0000696B"/>
    <w:rsid w:val="00006AC0"/>
    <w:rsid w:val="00007393"/>
    <w:rsid w:val="000100BE"/>
    <w:rsid w:val="0001075D"/>
    <w:rsid w:val="0001237E"/>
    <w:rsid w:val="000141C2"/>
    <w:rsid w:val="00014A61"/>
    <w:rsid w:val="00015444"/>
    <w:rsid w:val="00015AFE"/>
    <w:rsid w:val="000161A6"/>
    <w:rsid w:val="000167C6"/>
    <w:rsid w:val="00016B6B"/>
    <w:rsid w:val="00016DE2"/>
    <w:rsid w:val="000173D7"/>
    <w:rsid w:val="00017AD4"/>
    <w:rsid w:val="00020014"/>
    <w:rsid w:val="000203C0"/>
    <w:rsid w:val="00020428"/>
    <w:rsid w:val="00020886"/>
    <w:rsid w:val="00020D76"/>
    <w:rsid w:val="00023126"/>
    <w:rsid w:val="00023CA3"/>
    <w:rsid w:val="00023F32"/>
    <w:rsid w:val="00023F80"/>
    <w:rsid w:val="00024C91"/>
    <w:rsid w:val="00025245"/>
    <w:rsid w:val="000260F0"/>
    <w:rsid w:val="0002630A"/>
    <w:rsid w:val="00026B54"/>
    <w:rsid w:val="0002707D"/>
    <w:rsid w:val="00030279"/>
    <w:rsid w:val="00030B05"/>
    <w:rsid w:val="000312B3"/>
    <w:rsid w:val="00031997"/>
    <w:rsid w:val="00031AA1"/>
    <w:rsid w:val="00032511"/>
    <w:rsid w:val="00032565"/>
    <w:rsid w:val="000327AB"/>
    <w:rsid w:val="00032A73"/>
    <w:rsid w:val="00032CC5"/>
    <w:rsid w:val="000330C2"/>
    <w:rsid w:val="000332F2"/>
    <w:rsid w:val="000338FF"/>
    <w:rsid w:val="00035C1E"/>
    <w:rsid w:val="00036805"/>
    <w:rsid w:val="00036C00"/>
    <w:rsid w:val="00036F0F"/>
    <w:rsid w:val="000372F5"/>
    <w:rsid w:val="00037DF3"/>
    <w:rsid w:val="00040856"/>
    <w:rsid w:val="00040C69"/>
    <w:rsid w:val="00041E5F"/>
    <w:rsid w:val="00041F0F"/>
    <w:rsid w:val="00041FC8"/>
    <w:rsid w:val="000423E9"/>
    <w:rsid w:val="00042F8D"/>
    <w:rsid w:val="00042FB1"/>
    <w:rsid w:val="00043A46"/>
    <w:rsid w:val="0004420C"/>
    <w:rsid w:val="00044673"/>
    <w:rsid w:val="00046277"/>
    <w:rsid w:val="0004763F"/>
    <w:rsid w:val="00050B2F"/>
    <w:rsid w:val="00051719"/>
    <w:rsid w:val="00051B3F"/>
    <w:rsid w:val="00053239"/>
    <w:rsid w:val="00054940"/>
    <w:rsid w:val="00054BAB"/>
    <w:rsid w:val="00054D6E"/>
    <w:rsid w:val="00054E04"/>
    <w:rsid w:val="00055EFA"/>
    <w:rsid w:val="00056801"/>
    <w:rsid w:val="00056835"/>
    <w:rsid w:val="00056AFB"/>
    <w:rsid w:val="0005723C"/>
    <w:rsid w:val="00057931"/>
    <w:rsid w:val="0006014D"/>
    <w:rsid w:val="0006124F"/>
    <w:rsid w:val="000614BC"/>
    <w:rsid w:val="00062839"/>
    <w:rsid w:val="00063B04"/>
    <w:rsid w:val="00064DF8"/>
    <w:rsid w:val="00064FA2"/>
    <w:rsid w:val="000665B2"/>
    <w:rsid w:val="0006729E"/>
    <w:rsid w:val="000676EA"/>
    <w:rsid w:val="00070245"/>
    <w:rsid w:val="000713AD"/>
    <w:rsid w:val="00072304"/>
    <w:rsid w:val="000725EE"/>
    <w:rsid w:val="0007374B"/>
    <w:rsid w:val="0007377C"/>
    <w:rsid w:val="00074565"/>
    <w:rsid w:val="0007591B"/>
    <w:rsid w:val="00077823"/>
    <w:rsid w:val="00077FF2"/>
    <w:rsid w:val="0008055E"/>
    <w:rsid w:val="00081FF6"/>
    <w:rsid w:val="00082031"/>
    <w:rsid w:val="00082CB2"/>
    <w:rsid w:val="00083671"/>
    <w:rsid w:val="00084898"/>
    <w:rsid w:val="00085028"/>
    <w:rsid w:val="0008529C"/>
    <w:rsid w:val="00086D2E"/>
    <w:rsid w:val="00086DC3"/>
    <w:rsid w:val="0008726D"/>
    <w:rsid w:val="0008733F"/>
    <w:rsid w:val="00087EA8"/>
    <w:rsid w:val="00090B61"/>
    <w:rsid w:val="00090C3E"/>
    <w:rsid w:val="00090CE7"/>
    <w:rsid w:val="00090E90"/>
    <w:rsid w:val="0009163E"/>
    <w:rsid w:val="0009180D"/>
    <w:rsid w:val="00092C53"/>
    <w:rsid w:val="0009359A"/>
    <w:rsid w:val="00094856"/>
    <w:rsid w:val="0009519B"/>
    <w:rsid w:val="00095907"/>
    <w:rsid w:val="00096E8A"/>
    <w:rsid w:val="000A0084"/>
    <w:rsid w:val="000A0723"/>
    <w:rsid w:val="000A0847"/>
    <w:rsid w:val="000A0EC1"/>
    <w:rsid w:val="000A2B21"/>
    <w:rsid w:val="000A328B"/>
    <w:rsid w:val="000A3C22"/>
    <w:rsid w:val="000A4983"/>
    <w:rsid w:val="000A49E3"/>
    <w:rsid w:val="000A5A7D"/>
    <w:rsid w:val="000A6065"/>
    <w:rsid w:val="000A73EF"/>
    <w:rsid w:val="000B0857"/>
    <w:rsid w:val="000B0BCD"/>
    <w:rsid w:val="000B179D"/>
    <w:rsid w:val="000B1A6B"/>
    <w:rsid w:val="000B2311"/>
    <w:rsid w:val="000B2E57"/>
    <w:rsid w:val="000B33B1"/>
    <w:rsid w:val="000B3C73"/>
    <w:rsid w:val="000B50E3"/>
    <w:rsid w:val="000B56E7"/>
    <w:rsid w:val="000B5C6B"/>
    <w:rsid w:val="000B77EF"/>
    <w:rsid w:val="000B79E6"/>
    <w:rsid w:val="000B7F4B"/>
    <w:rsid w:val="000C0DA5"/>
    <w:rsid w:val="000C0E60"/>
    <w:rsid w:val="000C1307"/>
    <w:rsid w:val="000C1E79"/>
    <w:rsid w:val="000C1EFC"/>
    <w:rsid w:val="000C26AB"/>
    <w:rsid w:val="000C2FC7"/>
    <w:rsid w:val="000C320E"/>
    <w:rsid w:val="000C39AC"/>
    <w:rsid w:val="000C416E"/>
    <w:rsid w:val="000C5947"/>
    <w:rsid w:val="000C7237"/>
    <w:rsid w:val="000C7245"/>
    <w:rsid w:val="000C72FA"/>
    <w:rsid w:val="000C7BBD"/>
    <w:rsid w:val="000D119D"/>
    <w:rsid w:val="000D24A5"/>
    <w:rsid w:val="000D284B"/>
    <w:rsid w:val="000D2B2B"/>
    <w:rsid w:val="000D30B1"/>
    <w:rsid w:val="000D34D7"/>
    <w:rsid w:val="000D4B51"/>
    <w:rsid w:val="000D50EE"/>
    <w:rsid w:val="000D5A62"/>
    <w:rsid w:val="000D6C8C"/>
    <w:rsid w:val="000D723E"/>
    <w:rsid w:val="000D72F0"/>
    <w:rsid w:val="000D7E86"/>
    <w:rsid w:val="000E0B0D"/>
    <w:rsid w:val="000E0BB9"/>
    <w:rsid w:val="000E121D"/>
    <w:rsid w:val="000E1CBD"/>
    <w:rsid w:val="000E232B"/>
    <w:rsid w:val="000E32C7"/>
    <w:rsid w:val="000E52EB"/>
    <w:rsid w:val="000F0ADF"/>
    <w:rsid w:val="000F18C8"/>
    <w:rsid w:val="000F193A"/>
    <w:rsid w:val="000F1B6C"/>
    <w:rsid w:val="000F2184"/>
    <w:rsid w:val="000F2DA6"/>
    <w:rsid w:val="000F3813"/>
    <w:rsid w:val="000F404F"/>
    <w:rsid w:val="000F47F3"/>
    <w:rsid w:val="000F5CB3"/>
    <w:rsid w:val="000F680E"/>
    <w:rsid w:val="000F710C"/>
    <w:rsid w:val="000F7E65"/>
    <w:rsid w:val="00101515"/>
    <w:rsid w:val="00101682"/>
    <w:rsid w:val="00101F6B"/>
    <w:rsid w:val="00102C41"/>
    <w:rsid w:val="00103384"/>
    <w:rsid w:val="00103EFD"/>
    <w:rsid w:val="00103FA0"/>
    <w:rsid w:val="00104214"/>
    <w:rsid w:val="001043EC"/>
    <w:rsid w:val="00104785"/>
    <w:rsid w:val="001047ED"/>
    <w:rsid w:val="00104DA4"/>
    <w:rsid w:val="0010577D"/>
    <w:rsid w:val="001059E5"/>
    <w:rsid w:val="00106079"/>
    <w:rsid w:val="00106508"/>
    <w:rsid w:val="00106EA8"/>
    <w:rsid w:val="00106FFE"/>
    <w:rsid w:val="00112332"/>
    <w:rsid w:val="00113494"/>
    <w:rsid w:val="00114A4B"/>
    <w:rsid w:val="0011577F"/>
    <w:rsid w:val="0011612D"/>
    <w:rsid w:val="00116A16"/>
    <w:rsid w:val="00116C89"/>
    <w:rsid w:val="00117722"/>
    <w:rsid w:val="00117D38"/>
    <w:rsid w:val="00117F28"/>
    <w:rsid w:val="00121566"/>
    <w:rsid w:val="00121986"/>
    <w:rsid w:val="00121D75"/>
    <w:rsid w:val="0012288C"/>
    <w:rsid w:val="00123166"/>
    <w:rsid w:val="00124C2D"/>
    <w:rsid w:val="00124F2E"/>
    <w:rsid w:val="001257F6"/>
    <w:rsid w:val="00125CB3"/>
    <w:rsid w:val="00126850"/>
    <w:rsid w:val="00127674"/>
    <w:rsid w:val="00127F83"/>
    <w:rsid w:val="00130426"/>
    <w:rsid w:val="00130C19"/>
    <w:rsid w:val="00131747"/>
    <w:rsid w:val="001318A3"/>
    <w:rsid w:val="00132062"/>
    <w:rsid w:val="00132E8B"/>
    <w:rsid w:val="001331ED"/>
    <w:rsid w:val="00133AAB"/>
    <w:rsid w:val="00133B5E"/>
    <w:rsid w:val="00134BAC"/>
    <w:rsid w:val="0013546B"/>
    <w:rsid w:val="00135A4F"/>
    <w:rsid w:val="00135F78"/>
    <w:rsid w:val="00136677"/>
    <w:rsid w:val="00136855"/>
    <w:rsid w:val="00136C05"/>
    <w:rsid w:val="00136D8F"/>
    <w:rsid w:val="001400B8"/>
    <w:rsid w:val="00140A1C"/>
    <w:rsid w:val="00140DAC"/>
    <w:rsid w:val="00141466"/>
    <w:rsid w:val="001415F2"/>
    <w:rsid w:val="00141F79"/>
    <w:rsid w:val="001429CB"/>
    <w:rsid w:val="00142F23"/>
    <w:rsid w:val="0014398A"/>
    <w:rsid w:val="00143C32"/>
    <w:rsid w:val="0014457C"/>
    <w:rsid w:val="00144B9D"/>
    <w:rsid w:val="00145FF7"/>
    <w:rsid w:val="00146AB7"/>
    <w:rsid w:val="0014743A"/>
    <w:rsid w:val="0014755E"/>
    <w:rsid w:val="0014798B"/>
    <w:rsid w:val="00147C6F"/>
    <w:rsid w:val="00147C77"/>
    <w:rsid w:val="00147FED"/>
    <w:rsid w:val="001507DA"/>
    <w:rsid w:val="00151A2D"/>
    <w:rsid w:val="00151A9A"/>
    <w:rsid w:val="00152D26"/>
    <w:rsid w:val="001535AD"/>
    <w:rsid w:val="001535FA"/>
    <w:rsid w:val="00153D59"/>
    <w:rsid w:val="00154767"/>
    <w:rsid w:val="00156240"/>
    <w:rsid w:val="00156583"/>
    <w:rsid w:val="00156920"/>
    <w:rsid w:val="001571FD"/>
    <w:rsid w:val="00157B7D"/>
    <w:rsid w:val="00157F6B"/>
    <w:rsid w:val="001602CB"/>
    <w:rsid w:val="00161A2E"/>
    <w:rsid w:val="001620F3"/>
    <w:rsid w:val="00163731"/>
    <w:rsid w:val="00163C2D"/>
    <w:rsid w:val="001645FE"/>
    <w:rsid w:val="00165EBF"/>
    <w:rsid w:val="00165F50"/>
    <w:rsid w:val="001660E9"/>
    <w:rsid w:val="00166801"/>
    <w:rsid w:val="00167525"/>
    <w:rsid w:val="00167C8D"/>
    <w:rsid w:val="00167D7C"/>
    <w:rsid w:val="00167FC3"/>
    <w:rsid w:val="00170523"/>
    <w:rsid w:val="00170865"/>
    <w:rsid w:val="00171AD5"/>
    <w:rsid w:val="00172404"/>
    <w:rsid w:val="00172406"/>
    <w:rsid w:val="001728A0"/>
    <w:rsid w:val="001730EC"/>
    <w:rsid w:val="00173C7E"/>
    <w:rsid w:val="00173CF3"/>
    <w:rsid w:val="00173E86"/>
    <w:rsid w:val="00173F4C"/>
    <w:rsid w:val="0017526C"/>
    <w:rsid w:val="00176001"/>
    <w:rsid w:val="00176897"/>
    <w:rsid w:val="001803F7"/>
    <w:rsid w:val="00181EE1"/>
    <w:rsid w:val="00185262"/>
    <w:rsid w:val="001853FD"/>
    <w:rsid w:val="00185D86"/>
    <w:rsid w:val="00185E15"/>
    <w:rsid w:val="00186E16"/>
    <w:rsid w:val="00187955"/>
    <w:rsid w:val="00190AF9"/>
    <w:rsid w:val="0019147E"/>
    <w:rsid w:val="001915FD"/>
    <w:rsid w:val="0019281B"/>
    <w:rsid w:val="00192A42"/>
    <w:rsid w:val="00192AAD"/>
    <w:rsid w:val="00192B37"/>
    <w:rsid w:val="0019326D"/>
    <w:rsid w:val="00193AF2"/>
    <w:rsid w:val="00194240"/>
    <w:rsid w:val="00194F27"/>
    <w:rsid w:val="0019527C"/>
    <w:rsid w:val="001955A3"/>
    <w:rsid w:val="001959DD"/>
    <w:rsid w:val="00196E2A"/>
    <w:rsid w:val="00197941"/>
    <w:rsid w:val="001A1382"/>
    <w:rsid w:val="001A22AB"/>
    <w:rsid w:val="001A2CF1"/>
    <w:rsid w:val="001A2D54"/>
    <w:rsid w:val="001A3815"/>
    <w:rsid w:val="001A3DC3"/>
    <w:rsid w:val="001A46D2"/>
    <w:rsid w:val="001A502C"/>
    <w:rsid w:val="001A5D02"/>
    <w:rsid w:val="001A60DA"/>
    <w:rsid w:val="001A70F6"/>
    <w:rsid w:val="001A73B3"/>
    <w:rsid w:val="001B192F"/>
    <w:rsid w:val="001B1FA6"/>
    <w:rsid w:val="001B2B08"/>
    <w:rsid w:val="001B2FC5"/>
    <w:rsid w:val="001B38C3"/>
    <w:rsid w:val="001B4A74"/>
    <w:rsid w:val="001B5106"/>
    <w:rsid w:val="001B5E7C"/>
    <w:rsid w:val="001B5EE8"/>
    <w:rsid w:val="001B621A"/>
    <w:rsid w:val="001C0E54"/>
    <w:rsid w:val="001C17E6"/>
    <w:rsid w:val="001C3B76"/>
    <w:rsid w:val="001C47E1"/>
    <w:rsid w:val="001C4818"/>
    <w:rsid w:val="001C557D"/>
    <w:rsid w:val="001C59B5"/>
    <w:rsid w:val="001C5C4A"/>
    <w:rsid w:val="001C6440"/>
    <w:rsid w:val="001C64D1"/>
    <w:rsid w:val="001C7462"/>
    <w:rsid w:val="001D09E5"/>
    <w:rsid w:val="001D0C50"/>
    <w:rsid w:val="001D0E99"/>
    <w:rsid w:val="001D1D73"/>
    <w:rsid w:val="001D2265"/>
    <w:rsid w:val="001D23F3"/>
    <w:rsid w:val="001D322A"/>
    <w:rsid w:val="001D35C7"/>
    <w:rsid w:val="001D376B"/>
    <w:rsid w:val="001D3A46"/>
    <w:rsid w:val="001D4B69"/>
    <w:rsid w:val="001D4ECB"/>
    <w:rsid w:val="001D6530"/>
    <w:rsid w:val="001D6720"/>
    <w:rsid w:val="001D742B"/>
    <w:rsid w:val="001E20E8"/>
    <w:rsid w:val="001E2936"/>
    <w:rsid w:val="001E2FAD"/>
    <w:rsid w:val="001E33E5"/>
    <w:rsid w:val="001E38F0"/>
    <w:rsid w:val="001E3C80"/>
    <w:rsid w:val="001E4090"/>
    <w:rsid w:val="001E6315"/>
    <w:rsid w:val="001E6386"/>
    <w:rsid w:val="001E6648"/>
    <w:rsid w:val="001E7A10"/>
    <w:rsid w:val="001E7D0D"/>
    <w:rsid w:val="001E7F31"/>
    <w:rsid w:val="001F0158"/>
    <w:rsid w:val="001F0199"/>
    <w:rsid w:val="001F292A"/>
    <w:rsid w:val="001F2FDE"/>
    <w:rsid w:val="001F329F"/>
    <w:rsid w:val="001F5658"/>
    <w:rsid w:val="001F6B1A"/>
    <w:rsid w:val="001F6EF6"/>
    <w:rsid w:val="001F774F"/>
    <w:rsid w:val="001F7FFC"/>
    <w:rsid w:val="0020003E"/>
    <w:rsid w:val="0020084C"/>
    <w:rsid w:val="00200CA0"/>
    <w:rsid w:val="002010FD"/>
    <w:rsid w:val="00201FF2"/>
    <w:rsid w:val="0020337E"/>
    <w:rsid w:val="00203470"/>
    <w:rsid w:val="002038B6"/>
    <w:rsid w:val="00203BF9"/>
    <w:rsid w:val="00203D3F"/>
    <w:rsid w:val="00203EA9"/>
    <w:rsid w:val="00203F4C"/>
    <w:rsid w:val="002048CD"/>
    <w:rsid w:val="002052C3"/>
    <w:rsid w:val="00205B3E"/>
    <w:rsid w:val="00206034"/>
    <w:rsid w:val="002060CB"/>
    <w:rsid w:val="00206D94"/>
    <w:rsid w:val="002104D1"/>
    <w:rsid w:val="002106AB"/>
    <w:rsid w:val="00210855"/>
    <w:rsid w:val="00210A08"/>
    <w:rsid w:val="00211C25"/>
    <w:rsid w:val="00211E62"/>
    <w:rsid w:val="002120C5"/>
    <w:rsid w:val="0021299E"/>
    <w:rsid w:val="00213879"/>
    <w:rsid w:val="002155E0"/>
    <w:rsid w:val="00221D29"/>
    <w:rsid w:val="00221FB8"/>
    <w:rsid w:val="0022205F"/>
    <w:rsid w:val="0022277A"/>
    <w:rsid w:val="0022374A"/>
    <w:rsid w:val="00223BE5"/>
    <w:rsid w:val="00225A26"/>
    <w:rsid w:val="00226369"/>
    <w:rsid w:val="00226BDF"/>
    <w:rsid w:val="002279F9"/>
    <w:rsid w:val="00231033"/>
    <w:rsid w:val="0023182B"/>
    <w:rsid w:val="00232E5E"/>
    <w:rsid w:val="00233005"/>
    <w:rsid w:val="002330E7"/>
    <w:rsid w:val="00233516"/>
    <w:rsid w:val="002337A9"/>
    <w:rsid w:val="00233F46"/>
    <w:rsid w:val="002349EA"/>
    <w:rsid w:val="00236186"/>
    <w:rsid w:val="002367AE"/>
    <w:rsid w:val="002379B9"/>
    <w:rsid w:val="002403D8"/>
    <w:rsid w:val="00241291"/>
    <w:rsid w:val="002415D6"/>
    <w:rsid w:val="0024260B"/>
    <w:rsid w:val="00244AD1"/>
    <w:rsid w:val="00245068"/>
    <w:rsid w:val="00245251"/>
    <w:rsid w:val="00245A99"/>
    <w:rsid w:val="00247464"/>
    <w:rsid w:val="0024758B"/>
    <w:rsid w:val="0024775D"/>
    <w:rsid w:val="00250F3F"/>
    <w:rsid w:val="00253D0B"/>
    <w:rsid w:val="00254184"/>
    <w:rsid w:val="0025431A"/>
    <w:rsid w:val="0025485B"/>
    <w:rsid w:val="002552E6"/>
    <w:rsid w:val="00255602"/>
    <w:rsid w:val="00256ABD"/>
    <w:rsid w:val="00256B0E"/>
    <w:rsid w:val="002607E7"/>
    <w:rsid w:val="0026085E"/>
    <w:rsid w:val="00260886"/>
    <w:rsid w:val="00261F4B"/>
    <w:rsid w:val="002629E1"/>
    <w:rsid w:val="002635F8"/>
    <w:rsid w:val="00263D28"/>
    <w:rsid w:val="00264138"/>
    <w:rsid w:val="0026434A"/>
    <w:rsid w:val="0026451C"/>
    <w:rsid w:val="0026469E"/>
    <w:rsid w:val="00265B59"/>
    <w:rsid w:val="0026694C"/>
    <w:rsid w:val="00267E53"/>
    <w:rsid w:val="00270176"/>
    <w:rsid w:val="002705AA"/>
    <w:rsid w:val="00271432"/>
    <w:rsid w:val="002724BD"/>
    <w:rsid w:val="002728CB"/>
    <w:rsid w:val="0027296D"/>
    <w:rsid w:val="00272A1B"/>
    <w:rsid w:val="002754F9"/>
    <w:rsid w:val="002764FA"/>
    <w:rsid w:val="00276A6A"/>
    <w:rsid w:val="00276BB4"/>
    <w:rsid w:val="00276BDD"/>
    <w:rsid w:val="00277DE4"/>
    <w:rsid w:val="00277ED6"/>
    <w:rsid w:val="002822D0"/>
    <w:rsid w:val="0028313B"/>
    <w:rsid w:val="00284C43"/>
    <w:rsid w:val="00285E0F"/>
    <w:rsid w:val="002867DA"/>
    <w:rsid w:val="0028790D"/>
    <w:rsid w:val="00287A3F"/>
    <w:rsid w:val="00287FD5"/>
    <w:rsid w:val="00290986"/>
    <w:rsid w:val="0029140F"/>
    <w:rsid w:val="00293979"/>
    <w:rsid w:val="00293FE9"/>
    <w:rsid w:val="00294116"/>
    <w:rsid w:val="0029451D"/>
    <w:rsid w:val="00294734"/>
    <w:rsid w:val="00294D34"/>
    <w:rsid w:val="00294ECB"/>
    <w:rsid w:val="002951A1"/>
    <w:rsid w:val="00297A9E"/>
    <w:rsid w:val="00297E61"/>
    <w:rsid w:val="002A0621"/>
    <w:rsid w:val="002A1868"/>
    <w:rsid w:val="002A18EC"/>
    <w:rsid w:val="002A36AA"/>
    <w:rsid w:val="002A3737"/>
    <w:rsid w:val="002A638F"/>
    <w:rsid w:val="002A6698"/>
    <w:rsid w:val="002B0665"/>
    <w:rsid w:val="002B0B49"/>
    <w:rsid w:val="002B111E"/>
    <w:rsid w:val="002B1680"/>
    <w:rsid w:val="002B1BBB"/>
    <w:rsid w:val="002B1EA0"/>
    <w:rsid w:val="002B2FB5"/>
    <w:rsid w:val="002B3703"/>
    <w:rsid w:val="002B40C2"/>
    <w:rsid w:val="002B45CB"/>
    <w:rsid w:val="002B5782"/>
    <w:rsid w:val="002B77A4"/>
    <w:rsid w:val="002B7F8A"/>
    <w:rsid w:val="002C0665"/>
    <w:rsid w:val="002C0669"/>
    <w:rsid w:val="002C1B3C"/>
    <w:rsid w:val="002C21AA"/>
    <w:rsid w:val="002C3228"/>
    <w:rsid w:val="002C359E"/>
    <w:rsid w:val="002C41B1"/>
    <w:rsid w:val="002C42E1"/>
    <w:rsid w:val="002C43DF"/>
    <w:rsid w:val="002C5049"/>
    <w:rsid w:val="002C7CDE"/>
    <w:rsid w:val="002D1126"/>
    <w:rsid w:val="002D16C0"/>
    <w:rsid w:val="002D2270"/>
    <w:rsid w:val="002D290A"/>
    <w:rsid w:val="002D2C5D"/>
    <w:rsid w:val="002D48FB"/>
    <w:rsid w:val="002E0723"/>
    <w:rsid w:val="002E0C99"/>
    <w:rsid w:val="002E2B7F"/>
    <w:rsid w:val="002E36B2"/>
    <w:rsid w:val="002E4412"/>
    <w:rsid w:val="002E468B"/>
    <w:rsid w:val="002E5811"/>
    <w:rsid w:val="002E64A4"/>
    <w:rsid w:val="002E7516"/>
    <w:rsid w:val="002F0C4D"/>
    <w:rsid w:val="002F1D3C"/>
    <w:rsid w:val="002F2174"/>
    <w:rsid w:val="002F26C1"/>
    <w:rsid w:val="002F3E11"/>
    <w:rsid w:val="002F3E7E"/>
    <w:rsid w:val="002F4788"/>
    <w:rsid w:val="002F4E45"/>
    <w:rsid w:val="002F523F"/>
    <w:rsid w:val="002F5853"/>
    <w:rsid w:val="002F5BC1"/>
    <w:rsid w:val="002F6954"/>
    <w:rsid w:val="002F6DF9"/>
    <w:rsid w:val="002F78A1"/>
    <w:rsid w:val="00300892"/>
    <w:rsid w:val="003014E1"/>
    <w:rsid w:val="003021C5"/>
    <w:rsid w:val="00302288"/>
    <w:rsid w:val="00302C03"/>
    <w:rsid w:val="00302C60"/>
    <w:rsid w:val="00302EDB"/>
    <w:rsid w:val="00303103"/>
    <w:rsid w:val="003034B9"/>
    <w:rsid w:val="003040AA"/>
    <w:rsid w:val="0030461F"/>
    <w:rsid w:val="0030640F"/>
    <w:rsid w:val="003104FE"/>
    <w:rsid w:val="00310691"/>
    <w:rsid w:val="00312403"/>
    <w:rsid w:val="00313664"/>
    <w:rsid w:val="00314817"/>
    <w:rsid w:val="00314CDE"/>
    <w:rsid w:val="00314E51"/>
    <w:rsid w:val="00315C11"/>
    <w:rsid w:val="0031727F"/>
    <w:rsid w:val="00317EEE"/>
    <w:rsid w:val="00320D25"/>
    <w:rsid w:val="0032161A"/>
    <w:rsid w:val="003217ED"/>
    <w:rsid w:val="003239BB"/>
    <w:rsid w:val="00323FE8"/>
    <w:rsid w:val="003248B1"/>
    <w:rsid w:val="00324D5F"/>
    <w:rsid w:val="0032580C"/>
    <w:rsid w:val="003259D0"/>
    <w:rsid w:val="00326350"/>
    <w:rsid w:val="0032663B"/>
    <w:rsid w:val="00327225"/>
    <w:rsid w:val="00327719"/>
    <w:rsid w:val="00327921"/>
    <w:rsid w:val="0033013A"/>
    <w:rsid w:val="0033077D"/>
    <w:rsid w:val="00330D6A"/>
    <w:rsid w:val="00331AA3"/>
    <w:rsid w:val="003334A0"/>
    <w:rsid w:val="003337F8"/>
    <w:rsid w:val="003338BB"/>
    <w:rsid w:val="00333ED8"/>
    <w:rsid w:val="00337F16"/>
    <w:rsid w:val="00340E95"/>
    <w:rsid w:val="00341D4A"/>
    <w:rsid w:val="00341EA1"/>
    <w:rsid w:val="003429FF"/>
    <w:rsid w:val="00342BD5"/>
    <w:rsid w:val="0034309E"/>
    <w:rsid w:val="0034431B"/>
    <w:rsid w:val="00344910"/>
    <w:rsid w:val="00344FE8"/>
    <w:rsid w:val="0034548B"/>
    <w:rsid w:val="003456ED"/>
    <w:rsid w:val="0034575B"/>
    <w:rsid w:val="00346DE7"/>
    <w:rsid w:val="00347069"/>
    <w:rsid w:val="003471F2"/>
    <w:rsid w:val="0034776E"/>
    <w:rsid w:val="00350C9E"/>
    <w:rsid w:val="00351698"/>
    <w:rsid w:val="00351C2E"/>
    <w:rsid w:val="00353071"/>
    <w:rsid w:val="0035328D"/>
    <w:rsid w:val="0035362E"/>
    <w:rsid w:val="00353E53"/>
    <w:rsid w:val="003540BA"/>
    <w:rsid w:val="0035518D"/>
    <w:rsid w:val="003563DA"/>
    <w:rsid w:val="0035790F"/>
    <w:rsid w:val="003579B9"/>
    <w:rsid w:val="00357D37"/>
    <w:rsid w:val="003600A2"/>
    <w:rsid w:val="003605EF"/>
    <w:rsid w:val="0036155B"/>
    <w:rsid w:val="003618EC"/>
    <w:rsid w:val="00361AC6"/>
    <w:rsid w:val="003622C0"/>
    <w:rsid w:val="0036326D"/>
    <w:rsid w:val="00363874"/>
    <w:rsid w:val="00363C81"/>
    <w:rsid w:val="003645B8"/>
    <w:rsid w:val="003666BF"/>
    <w:rsid w:val="00367B29"/>
    <w:rsid w:val="00367F08"/>
    <w:rsid w:val="0037008F"/>
    <w:rsid w:val="00370BD3"/>
    <w:rsid w:val="00371510"/>
    <w:rsid w:val="0037330D"/>
    <w:rsid w:val="00375135"/>
    <w:rsid w:val="00375507"/>
    <w:rsid w:val="00375568"/>
    <w:rsid w:val="003757A9"/>
    <w:rsid w:val="00375AFD"/>
    <w:rsid w:val="00375CA1"/>
    <w:rsid w:val="003761EC"/>
    <w:rsid w:val="003766EE"/>
    <w:rsid w:val="00376783"/>
    <w:rsid w:val="003767A5"/>
    <w:rsid w:val="0037710A"/>
    <w:rsid w:val="00377AF9"/>
    <w:rsid w:val="00377D2F"/>
    <w:rsid w:val="00380850"/>
    <w:rsid w:val="00382395"/>
    <w:rsid w:val="003823BA"/>
    <w:rsid w:val="0038379E"/>
    <w:rsid w:val="00383EDF"/>
    <w:rsid w:val="003840A3"/>
    <w:rsid w:val="00384599"/>
    <w:rsid w:val="003852F1"/>
    <w:rsid w:val="00385A75"/>
    <w:rsid w:val="003863AB"/>
    <w:rsid w:val="0038753D"/>
    <w:rsid w:val="00390324"/>
    <w:rsid w:val="003927E0"/>
    <w:rsid w:val="00392F22"/>
    <w:rsid w:val="00392F44"/>
    <w:rsid w:val="00393265"/>
    <w:rsid w:val="00393896"/>
    <w:rsid w:val="00393C71"/>
    <w:rsid w:val="003951E1"/>
    <w:rsid w:val="00395747"/>
    <w:rsid w:val="003960B7"/>
    <w:rsid w:val="0039782F"/>
    <w:rsid w:val="003A0114"/>
    <w:rsid w:val="003A090B"/>
    <w:rsid w:val="003A0C94"/>
    <w:rsid w:val="003A0F4C"/>
    <w:rsid w:val="003A1B06"/>
    <w:rsid w:val="003A1BE6"/>
    <w:rsid w:val="003A1D25"/>
    <w:rsid w:val="003A3EBF"/>
    <w:rsid w:val="003A585D"/>
    <w:rsid w:val="003A621D"/>
    <w:rsid w:val="003A6296"/>
    <w:rsid w:val="003A62C8"/>
    <w:rsid w:val="003A6C6D"/>
    <w:rsid w:val="003A73F9"/>
    <w:rsid w:val="003A76C3"/>
    <w:rsid w:val="003A7BB9"/>
    <w:rsid w:val="003A7CCB"/>
    <w:rsid w:val="003B20AB"/>
    <w:rsid w:val="003B20E7"/>
    <w:rsid w:val="003B22BD"/>
    <w:rsid w:val="003B258B"/>
    <w:rsid w:val="003B276A"/>
    <w:rsid w:val="003B2986"/>
    <w:rsid w:val="003B2BBF"/>
    <w:rsid w:val="003B2FA5"/>
    <w:rsid w:val="003B37CC"/>
    <w:rsid w:val="003B4078"/>
    <w:rsid w:val="003B44E6"/>
    <w:rsid w:val="003B6747"/>
    <w:rsid w:val="003B678C"/>
    <w:rsid w:val="003B6D75"/>
    <w:rsid w:val="003B6FA4"/>
    <w:rsid w:val="003B6FFF"/>
    <w:rsid w:val="003B7E5E"/>
    <w:rsid w:val="003C00A3"/>
    <w:rsid w:val="003C0855"/>
    <w:rsid w:val="003C08E1"/>
    <w:rsid w:val="003C1185"/>
    <w:rsid w:val="003C12B1"/>
    <w:rsid w:val="003C14D5"/>
    <w:rsid w:val="003C14F8"/>
    <w:rsid w:val="003C2083"/>
    <w:rsid w:val="003C21A8"/>
    <w:rsid w:val="003C3952"/>
    <w:rsid w:val="003C3EA2"/>
    <w:rsid w:val="003C4065"/>
    <w:rsid w:val="003C46FF"/>
    <w:rsid w:val="003C5D78"/>
    <w:rsid w:val="003C60CA"/>
    <w:rsid w:val="003C6EDB"/>
    <w:rsid w:val="003C73EB"/>
    <w:rsid w:val="003C772E"/>
    <w:rsid w:val="003D104C"/>
    <w:rsid w:val="003D16D2"/>
    <w:rsid w:val="003D176A"/>
    <w:rsid w:val="003D1D95"/>
    <w:rsid w:val="003D1E8A"/>
    <w:rsid w:val="003D2468"/>
    <w:rsid w:val="003D246E"/>
    <w:rsid w:val="003D3E1F"/>
    <w:rsid w:val="003D4D5D"/>
    <w:rsid w:val="003D5129"/>
    <w:rsid w:val="003D5277"/>
    <w:rsid w:val="003D5BC9"/>
    <w:rsid w:val="003D6F03"/>
    <w:rsid w:val="003E032B"/>
    <w:rsid w:val="003E2830"/>
    <w:rsid w:val="003E2BFC"/>
    <w:rsid w:val="003E2DA7"/>
    <w:rsid w:val="003E3235"/>
    <w:rsid w:val="003E3345"/>
    <w:rsid w:val="003E3763"/>
    <w:rsid w:val="003E4072"/>
    <w:rsid w:val="003E4D19"/>
    <w:rsid w:val="003E5215"/>
    <w:rsid w:val="003E598A"/>
    <w:rsid w:val="003E5E21"/>
    <w:rsid w:val="003E6217"/>
    <w:rsid w:val="003E6BC7"/>
    <w:rsid w:val="003E7CDB"/>
    <w:rsid w:val="003F1835"/>
    <w:rsid w:val="003F4404"/>
    <w:rsid w:val="003F4DCE"/>
    <w:rsid w:val="003F5752"/>
    <w:rsid w:val="003F6E2A"/>
    <w:rsid w:val="003F7D47"/>
    <w:rsid w:val="00401472"/>
    <w:rsid w:val="0040163E"/>
    <w:rsid w:val="004024B8"/>
    <w:rsid w:val="00402648"/>
    <w:rsid w:val="00403330"/>
    <w:rsid w:val="00403498"/>
    <w:rsid w:val="004037C6"/>
    <w:rsid w:val="00403D5D"/>
    <w:rsid w:val="00403ED5"/>
    <w:rsid w:val="00403F97"/>
    <w:rsid w:val="004050FA"/>
    <w:rsid w:val="004053A3"/>
    <w:rsid w:val="004062C3"/>
    <w:rsid w:val="00407056"/>
    <w:rsid w:val="004111DA"/>
    <w:rsid w:val="004112AE"/>
    <w:rsid w:val="0041249B"/>
    <w:rsid w:val="00412977"/>
    <w:rsid w:val="00415C38"/>
    <w:rsid w:val="004169CC"/>
    <w:rsid w:val="00416EE8"/>
    <w:rsid w:val="004177A4"/>
    <w:rsid w:val="00421EA9"/>
    <w:rsid w:val="004229D5"/>
    <w:rsid w:val="00422A4F"/>
    <w:rsid w:val="00422C57"/>
    <w:rsid w:val="004239E7"/>
    <w:rsid w:val="00424480"/>
    <w:rsid w:val="00424D83"/>
    <w:rsid w:val="0043033A"/>
    <w:rsid w:val="0043136D"/>
    <w:rsid w:val="00432DBB"/>
    <w:rsid w:val="0043560E"/>
    <w:rsid w:val="004366E9"/>
    <w:rsid w:val="00436B92"/>
    <w:rsid w:val="00436C2D"/>
    <w:rsid w:val="00436EB2"/>
    <w:rsid w:val="0043735D"/>
    <w:rsid w:val="00437AF6"/>
    <w:rsid w:val="00440D7A"/>
    <w:rsid w:val="00441036"/>
    <w:rsid w:val="00441CFA"/>
    <w:rsid w:val="004436A6"/>
    <w:rsid w:val="004443D0"/>
    <w:rsid w:val="00444855"/>
    <w:rsid w:val="00444E8B"/>
    <w:rsid w:val="004452D1"/>
    <w:rsid w:val="00445420"/>
    <w:rsid w:val="00446B47"/>
    <w:rsid w:val="00447B30"/>
    <w:rsid w:val="00447B99"/>
    <w:rsid w:val="00450905"/>
    <w:rsid w:val="00450E80"/>
    <w:rsid w:val="004515EB"/>
    <w:rsid w:val="004519B3"/>
    <w:rsid w:val="00452B69"/>
    <w:rsid w:val="00453009"/>
    <w:rsid w:val="004539A9"/>
    <w:rsid w:val="0045587C"/>
    <w:rsid w:val="004574F1"/>
    <w:rsid w:val="00457796"/>
    <w:rsid w:val="004579AC"/>
    <w:rsid w:val="00457EE8"/>
    <w:rsid w:val="0046000B"/>
    <w:rsid w:val="00460A3F"/>
    <w:rsid w:val="00460B24"/>
    <w:rsid w:val="00461A92"/>
    <w:rsid w:val="00461B25"/>
    <w:rsid w:val="00461E34"/>
    <w:rsid w:val="004630E7"/>
    <w:rsid w:val="004631AB"/>
    <w:rsid w:val="004647ED"/>
    <w:rsid w:val="00465E04"/>
    <w:rsid w:val="00466A54"/>
    <w:rsid w:val="00467EB2"/>
    <w:rsid w:val="00470AC3"/>
    <w:rsid w:val="00470D2B"/>
    <w:rsid w:val="00470F67"/>
    <w:rsid w:val="004718D9"/>
    <w:rsid w:val="004720EA"/>
    <w:rsid w:val="00472CF5"/>
    <w:rsid w:val="00473047"/>
    <w:rsid w:val="00473449"/>
    <w:rsid w:val="004741A1"/>
    <w:rsid w:val="00475852"/>
    <w:rsid w:val="00475C42"/>
    <w:rsid w:val="00476137"/>
    <w:rsid w:val="00476AF4"/>
    <w:rsid w:val="0047745E"/>
    <w:rsid w:val="0048087F"/>
    <w:rsid w:val="00481D72"/>
    <w:rsid w:val="00481E9D"/>
    <w:rsid w:val="004826FE"/>
    <w:rsid w:val="00482D86"/>
    <w:rsid w:val="00482DAF"/>
    <w:rsid w:val="00484370"/>
    <w:rsid w:val="004844AB"/>
    <w:rsid w:val="00484D2B"/>
    <w:rsid w:val="004852A6"/>
    <w:rsid w:val="00485A93"/>
    <w:rsid w:val="00485AA1"/>
    <w:rsid w:val="00486519"/>
    <w:rsid w:val="00486F2A"/>
    <w:rsid w:val="00487018"/>
    <w:rsid w:val="004871A0"/>
    <w:rsid w:val="00487388"/>
    <w:rsid w:val="0048775C"/>
    <w:rsid w:val="00487B5D"/>
    <w:rsid w:val="004907DC"/>
    <w:rsid w:val="00490816"/>
    <w:rsid w:val="00492E15"/>
    <w:rsid w:val="004937C2"/>
    <w:rsid w:val="00493E64"/>
    <w:rsid w:val="0049499A"/>
    <w:rsid w:val="0049501B"/>
    <w:rsid w:val="00495032"/>
    <w:rsid w:val="004957F2"/>
    <w:rsid w:val="00496276"/>
    <w:rsid w:val="004978DC"/>
    <w:rsid w:val="004A0E69"/>
    <w:rsid w:val="004A10D2"/>
    <w:rsid w:val="004A1DE8"/>
    <w:rsid w:val="004A267D"/>
    <w:rsid w:val="004A293F"/>
    <w:rsid w:val="004A32EE"/>
    <w:rsid w:val="004A3F25"/>
    <w:rsid w:val="004A4171"/>
    <w:rsid w:val="004A5571"/>
    <w:rsid w:val="004A57AE"/>
    <w:rsid w:val="004A634B"/>
    <w:rsid w:val="004A6C52"/>
    <w:rsid w:val="004A6CF7"/>
    <w:rsid w:val="004A751F"/>
    <w:rsid w:val="004B06CC"/>
    <w:rsid w:val="004B0F39"/>
    <w:rsid w:val="004B1A4A"/>
    <w:rsid w:val="004B2451"/>
    <w:rsid w:val="004B2ECF"/>
    <w:rsid w:val="004B374D"/>
    <w:rsid w:val="004B4149"/>
    <w:rsid w:val="004B4ACE"/>
    <w:rsid w:val="004B4DBD"/>
    <w:rsid w:val="004B4F11"/>
    <w:rsid w:val="004B744C"/>
    <w:rsid w:val="004C01D7"/>
    <w:rsid w:val="004C18B9"/>
    <w:rsid w:val="004C2751"/>
    <w:rsid w:val="004C38DF"/>
    <w:rsid w:val="004C540C"/>
    <w:rsid w:val="004D0913"/>
    <w:rsid w:val="004D19ED"/>
    <w:rsid w:val="004D1CBD"/>
    <w:rsid w:val="004D2275"/>
    <w:rsid w:val="004D3B63"/>
    <w:rsid w:val="004D530F"/>
    <w:rsid w:val="004D55B3"/>
    <w:rsid w:val="004D56CE"/>
    <w:rsid w:val="004D59BC"/>
    <w:rsid w:val="004D66C9"/>
    <w:rsid w:val="004D6CBA"/>
    <w:rsid w:val="004D7697"/>
    <w:rsid w:val="004D7CF9"/>
    <w:rsid w:val="004D7D79"/>
    <w:rsid w:val="004D7FF1"/>
    <w:rsid w:val="004E36B3"/>
    <w:rsid w:val="004E37FA"/>
    <w:rsid w:val="004E5022"/>
    <w:rsid w:val="004E5684"/>
    <w:rsid w:val="004E5A54"/>
    <w:rsid w:val="004E604D"/>
    <w:rsid w:val="004E615C"/>
    <w:rsid w:val="004E656D"/>
    <w:rsid w:val="004E662B"/>
    <w:rsid w:val="004E7057"/>
    <w:rsid w:val="004E7BB8"/>
    <w:rsid w:val="004F0274"/>
    <w:rsid w:val="004F10A2"/>
    <w:rsid w:val="004F259B"/>
    <w:rsid w:val="004F2870"/>
    <w:rsid w:val="004F5F28"/>
    <w:rsid w:val="004F6868"/>
    <w:rsid w:val="004F7130"/>
    <w:rsid w:val="004F7BE0"/>
    <w:rsid w:val="0050019C"/>
    <w:rsid w:val="005012D5"/>
    <w:rsid w:val="0050198A"/>
    <w:rsid w:val="00501C52"/>
    <w:rsid w:val="0050200A"/>
    <w:rsid w:val="00502357"/>
    <w:rsid w:val="005024BF"/>
    <w:rsid w:val="00502DA9"/>
    <w:rsid w:val="00502EFF"/>
    <w:rsid w:val="00503405"/>
    <w:rsid w:val="00503F45"/>
    <w:rsid w:val="005068F0"/>
    <w:rsid w:val="005072A2"/>
    <w:rsid w:val="00507AD2"/>
    <w:rsid w:val="0051048E"/>
    <w:rsid w:val="00510851"/>
    <w:rsid w:val="00512C8E"/>
    <w:rsid w:val="00512CE5"/>
    <w:rsid w:val="00512F87"/>
    <w:rsid w:val="00513236"/>
    <w:rsid w:val="00513AC1"/>
    <w:rsid w:val="005144F1"/>
    <w:rsid w:val="00514670"/>
    <w:rsid w:val="00514F45"/>
    <w:rsid w:val="005156B9"/>
    <w:rsid w:val="005158A5"/>
    <w:rsid w:val="00517041"/>
    <w:rsid w:val="005177C4"/>
    <w:rsid w:val="00517A0E"/>
    <w:rsid w:val="00521E1B"/>
    <w:rsid w:val="00522094"/>
    <w:rsid w:val="00522E1C"/>
    <w:rsid w:val="00523574"/>
    <w:rsid w:val="00524A09"/>
    <w:rsid w:val="0052520B"/>
    <w:rsid w:val="0052585F"/>
    <w:rsid w:val="0052598F"/>
    <w:rsid w:val="0052636A"/>
    <w:rsid w:val="00526B32"/>
    <w:rsid w:val="00526E85"/>
    <w:rsid w:val="005272A6"/>
    <w:rsid w:val="0052765E"/>
    <w:rsid w:val="00527891"/>
    <w:rsid w:val="005278B9"/>
    <w:rsid w:val="00527B3D"/>
    <w:rsid w:val="00527E57"/>
    <w:rsid w:val="005303E4"/>
    <w:rsid w:val="00530C65"/>
    <w:rsid w:val="005311A5"/>
    <w:rsid w:val="00531B93"/>
    <w:rsid w:val="00531F05"/>
    <w:rsid w:val="0053214A"/>
    <w:rsid w:val="005328CE"/>
    <w:rsid w:val="00532DD1"/>
    <w:rsid w:val="005331DB"/>
    <w:rsid w:val="005346AE"/>
    <w:rsid w:val="005349BF"/>
    <w:rsid w:val="00534C9F"/>
    <w:rsid w:val="00534E88"/>
    <w:rsid w:val="005350A4"/>
    <w:rsid w:val="005351E2"/>
    <w:rsid w:val="0053520A"/>
    <w:rsid w:val="00535865"/>
    <w:rsid w:val="005366D9"/>
    <w:rsid w:val="00537A9A"/>
    <w:rsid w:val="00537C86"/>
    <w:rsid w:val="0054080A"/>
    <w:rsid w:val="00540C57"/>
    <w:rsid w:val="00540CA9"/>
    <w:rsid w:val="00540CAA"/>
    <w:rsid w:val="0054149E"/>
    <w:rsid w:val="00541C26"/>
    <w:rsid w:val="00543317"/>
    <w:rsid w:val="005440E5"/>
    <w:rsid w:val="0054428B"/>
    <w:rsid w:val="00544DD5"/>
    <w:rsid w:val="0054733F"/>
    <w:rsid w:val="005507FC"/>
    <w:rsid w:val="00551135"/>
    <w:rsid w:val="00551FD7"/>
    <w:rsid w:val="005521F4"/>
    <w:rsid w:val="00553232"/>
    <w:rsid w:val="005540EE"/>
    <w:rsid w:val="00554D9E"/>
    <w:rsid w:val="00554FCA"/>
    <w:rsid w:val="0055573D"/>
    <w:rsid w:val="00555A2C"/>
    <w:rsid w:val="00556692"/>
    <w:rsid w:val="00556836"/>
    <w:rsid w:val="005571E4"/>
    <w:rsid w:val="0056057C"/>
    <w:rsid w:val="00560B4C"/>
    <w:rsid w:val="00561201"/>
    <w:rsid w:val="00561355"/>
    <w:rsid w:val="00561603"/>
    <w:rsid w:val="00561A61"/>
    <w:rsid w:val="005653E3"/>
    <w:rsid w:val="00565592"/>
    <w:rsid w:val="00565BDC"/>
    <w:rsid w:val="00566DD5"/>
    <w:rsid w:val="00567089"/>
    <w:rsid w:val="005670A1"/>
    <w:rsid w:val="00570426"/>
    <w:rsid w:val="00570860"/>
    <w:rsid w:val="00571D08"/>
    <w:rsid w:val="00572A94"/>
    <w:rsid w:val="00573A00"/>
    <w:rsid w:val="00575471"/>
    <w:rsid w:val="00575670"/>
    <w:rsid w:val="00576876"/>
    <w:rsid w:val="0058047F"/>
    <w:rsid w:val="00580BD5"/>
    <w:rsid w:val="00580D49"/>
    <w:rsid w:val="00581AE3"/>
    <w:rsid w:val="005820F3"/>
    <w:rsid w:val="00582556"/>
    <w:rsid w:val="00582BB1"/>
    <w:rsid w:val="00584072"/>
    <w:rsid w:val="005842D9"/>
    <w:rsid w:val="005844C9"/>
    <w:rsid w:val="00584F7B"/>
    <w:rsid w:val="005851FF"/>
    <w:rsid w:val="005856C6"/>
    <w:rsid w:val="005857A6"/>
    <w:rsid w:val="00585C19"/>
    <w:rsid w:val="00586FC6"/>
    <w:rsid w:val="00590C82"/>
    <w:rsid w:val="005917AC"/>
    <w:rsid w:val="00591854"/>
    <w:rsid w:val="00591C93"/>
    <w:rsid w:val="00593870"/>
    <w:rsid w:val="00593B15"/>
    <w:rsid w:val="00594559"/>
    <w:rsid w:val="0059528B"/>
    <w:rsid w:val="00596D30"/>
    <w:rsid w:val="0059719B"/>
    <w:rsid w:val="005971F9"/>
    <w:rsid w:val="00597895"/>
    <w:rsid w:val="005A10A9"/>
    <w:rsid w:val="005A2E16"/>
    <w:rsid w:val="005A2ECC"/>
    <w:rsid w:val="005A3879"/>
    <w:rsid w:val="005A621A"/>
    <w:rsid w:val="005A7C28"/>
    <w:rsid w:val="005A7C85"/>
    <w:rsid w:val="005B1524"/>
    <w:rsid w:val="005B23C8"/>
    <w:rsid w:val="005B27E4"/>
    <w:rsid w:val="005B291F"/>
    <w:rsid w:val="005B2B63"/>
    <w:rsid w:val="005B2C67"/>
    <w:rsid w:val="005B3665"/>
    <w:rsid w:val="005B3742"/>
    <w:rsid w:val="005B432F"/>
    <w:rsid w:val="005B4948"/>
    <w:rsid w:val="005B4F48"/>
    <w:rsid w:val="005B5181"/>
    <w:rsid w:val="005B5AAC"/>
    <w:rsid w:val="005B5DB2"/>
    <w:rsid w:val="005B6860"/>
    <w:rsid w:val="005B6F26"/>
    <w:rsid w:val="005B7267"/>
    <w:rsid w:val="005B7542"/>
    <w:rsid w:val="005C03A9"/>
    <w:rsid w:val="005C0802"/>
    <w:rsid w:val="005C0918"/>
    <w:rsid w:val="005C384C"/>
    <w:rsid w:val="005C3AC1"/>
    <w:rsid w:val="005C3E52"/>
    <w:rsid w:val="005C4828"/>
    <w:rsid w:val="005C494E"/>
    <w:rsid w:val="005C4D2C"/>
    <w:rsid w:val="005C4ED0"/>
    <w:rsid w:val="005C529E"/>
    <w:rsid w:val="005C5609"/>
    <w:rsid w:val="005C5F93"/>
    <w:rsid w:val="005C60ED"/>
    <w:rsid w:val="005C6E98"/>
    <w:rsid w:val="005C74F6"/>
    <w:rsid w:val="005C7550"/>
    <w:rsid w:val="005C75D7"/>
    <w:rsid w:val="005C7A75"/>
    <w:rsid w:val="005C7BCF"/>
    <w:rsid w:val="005D0754"/>
    <w:rsid w:val="005D162A"/>
    <w:rsid w:val="005D18E5"/>
    <w:rsid w:val="005D1AF4"/>
    <w:rsid w:val="005D23A3"/>
    <w:rsid w:val="005D2E7C"/>
    <w:rsid w:val="005D2F36"/>
    <w:rsid w:val="005D36BD"/>
    <w:rsid w:val="005D3A90"/>
    <w:rsid w:val="005D3BDA"/>
    <w:rsid w:val="005D4320"/>
    <w:rsid w:val="005D4999"/>
    <w:rsid w:val="005D61AF"/>
    <w:rsid w:val="005D6499"/>
    <w:rsid w:val="005D6CC2"/>
    <w:rsid w:val="005D6E6B"/>
    <w:rsid w:val="005D7188"/>
    <w:rsid w:val="005D732A"/>
    <w:rsid w:val="005D7885"/>
    <w:rsid w:val="005D7CBA"/>
    <w:rsid w:val="005E007F"/>
    <w:rsid w:val="005E00E1"/>
    <w:rsid w:val="005E049A"/>
    <w:rsid w:val="005E0CC3"/>
    <w:rsid w:val="005E109C"/>
    <w:rsid w:val="005E2D8D"/>
    <w:rsid w:val="005E31CD"/>
    <w:rsid w:val="005E63CD"/>
    <w:rsid w:val="005E6BBC"/>
    <w:rsid w:val="005E6DAB"/>
    <w:rsid w:val="005E75B5"/>
    <w:rsid w:val="005E7AC9"/>
    <w:rsid w:val="005F060F"/>
    <w:rsid w:val="005F112E"/>
    <w:rsid w:val="005F1492"/>
    <w:rsid w:val="005F1528"/>
    <w:rsid w:val="005F17CE"/>
    <w:rsid w:val="005F2B0F"/>
    <w:rsid w:val="005F3406"/>
    <w:rsid w:val="005F3A3B"/>
    <w:rsid w:val="005F3DAD"/>
    <w:rsid w:val="005F3F8D"/>
    <w:rsid w:val="005F4484"/>
    <w:rsid w:val="005F47C3"/>
    <w:rsid w:val="005F49C7"/>
    <w:rsid w:val="005F4AAA"/>
    <w:rsid w:val="005F4DA9"/>
    <w:rsid w:val="005F6AD3"/>
    <w:rsid w:val="005F6C76"/>
    <w:rsid w:val="005F6CBF"/>
    <w:rsid w:val="005F6E5B"/>
    <w:rsid w:val="005F74A0"/>
    <w:rsid w:val="005F77CD"/>
    <w:rsid w:val="005F7C81"/>
    <w:rsid w:val="00600A6F"/>
    <w:rsid w:val="00601B03"/>
    <w:rsid w:val="00602809"/>
    <w:rsid w:val="006029BA"/>
    <w:rsid w:val="00602A10"/>
    <w:rsid w:val="00603C83"/>
    <w:rsid w:val="00603F30"/>
    <w:rsid w:val="006052F4"/>
    <w:rsid w:val="0060570D"/>
    <w:rsid w:val="00605783"/>
    <w:rsid w:val="00605963"/>
    <w:rsid w:val="00605F71"/>
    <w:rsid w:val="00606070"/>
    <w:rsid w:val="006064D1"/>
    <w:rsid w:val="00606695"/>
    <w:rsid w:val="00606E80"/>
    <w:rsid w:val="0061066C"/>
    <w:rsid w:val="00611B30"/>
    <w:rsid w:val="00611B76"/>
    <w:rsid w:val="0061258E"/>
    <w:rsid w:val="00613D95"/>
    <w:rsid w:val="00614873"/>
    <w:rsid w:val="00615061"/>
    <w:rsid w:val="006159E4"/>
    <w:rsid w:val="00615BE2"/>
    <w:rsid w:val="00616260"/>
    <w:rsid w:val="00616A38"/>
    <w:rsid w:val="00617C8B"/>
    <w:rsid w:val="00620064"/>
    <w:rsid w:val="00620749"/>
    <w:rsid w:val="00620DDD"/>
    <w:rsid w:val="0062140A"/>
    <w:rsid w:val="00621D48"/>
    <w:rsid w:val="00621FF1"/>
    <w:rsid w:val="00622718"/>
    <w:rsid w:val="0062368D"/>
    <w:rsid w:val="00623D1F"/>
    <w:rsid w:val="0062483B"/>
    <w:rsid w:val="0062705F"/>
    <w:rsid w:val="00630163"/>
    <w:rsid w:val="0063214D"/>
    <w:rsid w:val="006326BD"/>
    <w:rsid w:val="006332E1"/>
    <w:rsid w:val="0063340E"/>
    <w:rsid w:val="0063401D"/>
    <w:rsid w:val="0063437B"/>
    <w:rsid w:val="00635196"/>
    <w:rsid w:val="006355F1"/>
    <w:rsid w:val="006369D1"/>
    <w:rsid w:val="00636DC9"/>
    <w:rsid w:val="00637835"/>
    <w:rsid w:val="006378E0"/>
    <w:rsid w:val="00637A10"/>
    <w:rsid w:val="00637F36"/>
    <w:rsid w:val="0064020C"/>
    <w:rsid w:val="00640B36"/>
    <w:rsid w:val="006410FD"/>
    <w:rsid w:val="0064188A"/>
    <w:rsid w:val="00641B7E"/>
    <w:rsid w:val="00642F65"/>
    <w:rsid w:val="00644522"/>
    <w:rsid w:val="00644725"/>
    <w:rsid w:val="00644E72"/>
    <w:rsid w:val="006456AD"/>
    <w:rsid w:val="00646242"/>
    <w:rsid w:val="006528AE"/>
    <w:rsid w:val="0065369D"/>
    <w:rsid w:val="00653DF7"/>
    <w:rsid w:val="0065439C"/>
    <w:rsid w:val="00654830"/>
    <w:rsid w:val="00654BBC"/>
    <w:rsid w:val="006552B9"/>
    <w:rsid w:val="00655F9C"/>
    <w:rsid w:val="006572EE"/>
    <w:rsid w:val="00657402"/>
    <w:rsid w:val="00657498"/>
    <w:rsid w:val="006577E3"/>
    <w:rsid w:val="0065792D"/>
    <w:rsid w:val="00657CBA"/>
    <w:rsid w:val="00657E2B"/>
    <w:rsid w:val="0066089D"/>
    <w:rsid w:val="0066243A"/>
    <w:rsid w:val="00662AC5"/>
    <w:rsid w:val="00662BE0"/>
    <w:rsid w:val="006631CE"/>
    <w:rsid w:val="0066385D"/>
    <w:rsid w:val="00664AC6"/>
    <w:rsid w:val="006654A2"/>
    <w:rsid w:val="006656A6"/>
    <w:rsid w:val="00666DB7"/>
    <w:rsid w:val="00671D86"/>
    <w:rsid w:val="00672625"/>
    <w:rsid w:val="0067285D"/>
    <w:rsid w:val="00672DD3"/>
    <w:rsid w:val="0067576A"/>
    <w:rsid w:val="00675C92"/>
    <w:rsid w:val="00675E97"/>
    <w:rsid w:val="006763E4"/>
    <w:rsid w:val="00676582"/>
    <w:rsid w:val="00677D54"/>
    <w:rsid w:val="006807AD"/>
    <w:rsid w:val="00680C29"/>
    <w:rsid w:val="00681570"/>
    <w:rsid w:val="00682201"/>
    <w:rsid w:val="006822EB"/>
    <w:rsid w:val="00682315"/>
    <w:rsid w:val="00684195"/>
    <w:rsid w:val="006841F4"/>
    <w:rsid w:val="00684863"/>
    <w:rsid w:val="00684BA1"/>
    <w:rsid w:val="00684CC0"/>
    <w:rsid w:val="00684FF4"/>
    <w:rsid w:val="00685777"/>
    <w:rsid w:val="006862AC"/>
    <w:rsid w:val="00686302"/>
    <w:rsid w:val="00686BDF"/>
    <w:rsid w:val="00690B03"/>
    <w:rsid w:val="00690CFB"/>
    <w:rsid w:val="006913CC"/>
    <w:rsid w:val="0069194D"/>
    <w:rsid w:val="00691F45"/>
    <w:rsid w:val="00691FDD"/>
    <w:rsid w:val="00693079"/>
    <w:rsid w:val="0069352E"/>
    <w:rsid w:val="00693B92"/>
    <w:rsid w:val="00694050"/>
    <w:rsid w:val="00694E3B"/>
    <w:rsid w:val="0069579B"/>
    <w:rsid w:val="00695A76"/>
    <w:rsid w:val="00695C62"/>
    <w:rsid w:val="00695E36"/>
    <w:rsid w:val="0069673F"/>
    <w:rsid w:val="00697D59"/>
    <w:rsid w:val="006A1776"/>
    <w:rsid w:val="006A2DB0"/>
    <w:rsid w:val="006A3634"/>
    <w:rsid w:val="006A4072"/>
    <w:rsid w:val="006A62BD"/>
    <w:rsid w:val="006A7837"/>
    <w:rsid w:val="006A7D29"/>
    <w:rsid w:val="006B08BB"/>
    <w:rsid w:val="006B0B32"/>
    <w:rsid w:val="006B251B"/>
    <w:rsid w:val="006B2A26"/>
    <w:rsid w:val="006B2D07"/>
    <w:rsid w:val="006B36AC"/>
    <w:rsid w:val="006B3A28"/>
    <w:rsid w:val="006B4DF3"/>
    <w:rsid w:val="006B4EBC"/>
    <w:rsid w:val="006B56C0"/>
    <w:rsid w:val="006B5E34"/>
    <w:rsid w:val="006B64E4"/>
    <w:rsid w:val="006B6D6A"/>
    <w:rsid w:val="006C02E1"/>
    <w:rsid w:val="006C0DBB"/>
    <w:rsid w:val="006C23BA"/>
    <w:rsid w:val="006C2DD9"/>
    <w:rsid w:val="006C2FB8"/>
    <w:rsid w:val="006C3BAD"/>
    <w:rsid w:val="006C4750"/>
    <w:rsid w:val="006C5274"/>
    <w:rsid w:val="006C5B88"/>
    <w:rsid w:val="006C5C8A"/>
    <w:rsid w:val="006C5F86"/>
    <w:rsid w:val="006C79A6"/>
    <w:rsid w:val="006C7D66"/>
    <w:rsid w:val="006C7F26"/>
    <w:rsid w:val="006D03CC"/>
    <w:rsid w:val="006D1C71"/>
    <w:rsid w:val="006D2253"/>
    <w:rsid w:val="006D2B9E"/>
    <w:rsid w:val="006D2E9D"/>
    <w:rsid w:val="006D2FB8"/>
    <w:rsid w:val="006D3C20"/>
    <w:rsid w:val="006D3E50"/>
    <w:rsid w:val="006D5758"/>
    <w:rsid w:val="006D58EB"/>
    <w:rsid w:val="006D7476"/>
    <w:rsid w:val="006E0CAF"/>
    <w:rsid w:val="006E0F9B"/>
    <w:rsid w:val="006E335C"/>
    <w:rsid w:val="006E376E"/>
    <w:rsid w:val="006E3C63"/>
    <w:rsid w:val="006E5384"/>
    <w:rsid w:val="006E724E"/>
    <w:rsid w:val="006E7EFB"/>
    <w:rsid w:val="006F034B"/>
    <w:rsid w:val="006F0872"/>
    <w:rsid w:val="006F0AD4"/>
    <w:rsid w:val="006F238E"/>
    <w:rsid w:val="006F2FFB"/>
    <w:rsid w:val="006F4B28"/>
    <w:rsid w:val="006F52F4"/>
    <w:rsid w:val="006F5EEF"/>
    <w:rsid w:val="006F6381"/>
    <w:rsid w:val="006F6968"/>
    <w:rsid w:val="006F75C2"/>
    <w:rsid w:val="006F7CF0"/>
    <w:rsid w:val="00700BB4"/>
    <w:rsid w:val="007029DE"/>
    <w:rsid w:val="00702C1C"/>
    <w:rsid w:val="0070355D"/>
    <w:rsid w:val="00703660"/>
    <w:rsid w:val="007046B3"/>
    <w:rsid w:val="00706419"/>
    <w:rsid w:val="007079B3"/>
    <w:rsid w:val="00707A19"/>
    <w:rsid w:val="007113D7"/>
    <w:rsid w:val="00711C87"/>
    <w:rsid w:val="00714AC6"/>
    <w:rsid w:val="0071587F"/>
    <w:rsid w:val="00716253"/>
    <w:rsid w:val="0071635A"/>
    <w:rsid w:val="00716372"/>
    <w:rsid w:val="007170E2"/>
    <w:rsid w:val="0071776E"/>
    <w:rsid w:val="00717A1E"/>
    <w:rsid w:val="0072042C"/>
    <w:rsid w:val="00720A52"/>
    <w:rsid w:val="00720F5D"/>
    <w:rsid w:val="007226B2"/>
    <w:rsid w:val="007231EF"/>
    <w:rsid w:val="007237F1"/>
    <w:rsid w:val="007240A2"/>
    <w:rsid w:val="007245BC"/>
    <w:rsid w:val="007245DF"/>
    <w:rsid w:val="007254CD"/>
    <w:rsid w:val="0072568F"/>
    <w:rsid w:val="00725881"/>
    <w:rsid w:val="00725AC7"/>
    <w:rsid w:val="00726079"/>
    <w:rsid w:val="00726D35"/>
    <w:rsid w:val="00727F59"/>
    <w:rsid w:val="0073083F"/>
    <w:rsid w:val="00731AEB"/>
    <w:rsid w:val="00732EB4"/>
    <w:rsid w:val="00732EC8"/>
    <w:rsid w:val="0073335E"/>
    <w:rsid w:val="00733BDC"/>
    <w:rsid w:val="00733EEA"/>
    <w:rsid w:val="00735C68"/>
    <w:rsid w:val="00735CCF"/>
    <w:rsid w:val="007370D7"/>
    <w:rsid w:val="007376BD"/>
    <w:rsid w:val="007407D2"/>
    <w:rsid w:val="00740FAE"/>
    <w:rsid w:val="0074216E"/>
    <w:rsid w:val="007428C2"/>
    <w:rsid w:val="0074294E"/>
    <w:rsid w:val="007442BC"/>
    <w:rsid w:val="00745687"/>
    <w:rsid w:val="007462A1"/>
    <w:rsid w:val="007467A7"/>
    <w:rsid w:val="00747285"/>
    <w:rsid w:val="00747B2A"/>
    <w:rsid w:val="0075003C"/>
    <w:rsid w:val="007502E7"/>
    <w:rsid w:val="007506A5"/>
    <w:rsid w:val="00750A53"/>
    <w:rsid w:val="0075110C"/>
    <w:rsid w:val="00751EEB"/>
    <w:rsid w:val="00752E9E"/>
    <w:rsid w:val="0075364B"/>
    <w:rsid w:val="0075376A"/>
    <w:rsid w:val="00753BDB"/>
    <w:rsid w:val="007562DF"/>
    <w:rsid w:val="00756ECD"/>
    <w:rsid w:val="00757617"/>
    <w:rsid w:val="0076148E"/>
    <w:rsid w:val="0076262F"/>
    <w:rsid w:val="00763077"/>
    <w:rsid w:val="00763118"/>
    <w:rsid w:val="00763966"/>
    <w:rsid w:val="00763FBC"/>
    <w:rsid w:val="00764551"/>
    <w:rsid w:val="00764793"/>
    <w:rsid w:val="007650D5"/>
    <w:rsid w:val="00765B92"/>
    <w:rsid w:val="00766429"/>
    <w:rsid w:val="007665B4"/>
    <w:rsid w:val="0076732A"/>
    <w:rsid w:val="0077065D"/>
    <w:rsid w:val="007707FF"/>
    <w:rsid w:val="007717C2"/>
    <w:rsid w:val="0077193D"/>
    <w:rsid w:val="00772D11"/>
    <w:rsid w:val="007748D6"/>
    <w:rsid w:val="00774AD8"/>
    <w:rsid w:val="00774FCC"/>
    <w:rsid w:val="00775007"/>
    <w:rsid w:val="007750A7"/>
    <w:rsid w:val="00776FAC"/>
    <w:rsid w:val="00776FBD"/>
    <w:rsid w:val="00777812"/>
    <w:rsid w:val="00777A03"/>
    <w:rsid w:val="007800EB"/>
    <w:rsid w:val="0078023D"/>
    <w:rsid w:val="00782B07"/>
    <w:rsid w:val="00782BC7"/>
    <w:rsid w:val="0078350A"/>
    <w:rsid w:val="00783D61"/>
    <w:rsid w:val="00783D75"/>
    <w:rsid w:val="007849FF"/>
    <w:rsid w:val="0078535F"/>
    <w:rsid w:val="007856E1"/>
    <w:rsid w:val="00785717"/>
    <w:rsid w:val="007858D2"/>
    <w:rsid w:val="007858FD"/>
    <w:rsid w:val="00785AEC"/>
    <w:rsid w:val="00785CAA"/>
    <w:rsid w:val="00786417"/>
    <w:rsid w:val="00790147"/>
    <w:rsid w:val="00791052"/>
    <w:rsid w:val="007911A9"/>
    <w:rsid w:val="0079125B"/>
    <w:rsid w:val="00791840"/>
    <w:rsid w:val="0079244E"/>
    <w:rsid w:val="0079371D"/>
    <w:rsid w:val="00794140"/>
    <w:rsid w:val="00794F47"/>
    <w:rsid w:val="007950B7"/>
    <w:rsid w:val="00795733"/>
    <w:rsid w:val="00796723"/>
    <w:rsid w:val="00797535"/>
    <w:rsid w:val="007A085D"/>
    <w:rsid w:val="007A0B1F"/>
    <w:rsid w:val="007A22C4"/>
    <w:rsid w:val="007A3BC7"/>
    <w:rsid w:val="007A3FE5"/>
    <w:rsid w:val="007A4779"/>
    <w:rsid w:val="007A5AD3"/>
    <w:rsid w:val="007A6155"/>
    <w:rsid w:val="007A6392"/>
    <w:rsid w:val="007A7240"/>
    <w:rsid w:val="007A79BA"/>
    <w:rsid w:val="007B14F7"/>
    <w:rsid w:val="007B34E9"/>
    <w:rsid w:val="007B3A2D"/>
    <w:rsid w:val="007B3EBB"/>
    <w:rsid w:val="007B3FDF"/>
    <w:rsid w:val="007B4033"/>
    <w:rsid w:val="007B47B1"/>
    <w:rsid w:val="007B49C5"/>
    <w:rsid w:val="007B5EAA"/>
    <w:rsid w:val="007B5ECF"/>
    <w:rsid w:val="007B6594"/>
    <w:rsid w:val="007B6C6B"/>
    <w:rsid w:val="007B7022"/>
    <w:rsid w:val="007C0048"/>
    <w:rsid w:val="007C0A54"/>
    <w:rsid w:val="007C12E4"/>
    <w:rsid w:val="007C16BE"/>
    <w:rsid w:val="007C16F4"/>
    <w:rsid w:val="007C185F"/>
    <w:rsid w:val="007C18F0"/>
    <w:rsid w:val="007C18F2"/>
    <w:rsid w:val="007C3172"/>
    <w:rsid w:val="007C4247"/>
    <w:rsid w:val="007C5AB6"/>
    <w:rsid w:val="007C65B8"/>
    <w:rsid w:val="007C6C4A"/>
    <w:rsid w:val="007C7AEE"/>
    <w:rsid w:val="007C7BC4"/>
    <w:rsid w:val="007D03D4"/>
    <w:rsid w:val="007D084C"/>
    <w:rsid w:val="007D0B4A"/>
    <w:rsid w:val="007D1827"/>
    <w:rsid w:val="007D2016"/>
    <w:rsid w:val="007D2177"/>
    <w:rsid w:val="007D27C4"/>
    <w:rsid w:val="007D2E2F"/>
    <w:rsid w:val="007D3BEB"/>
    <w:rsid w:val="007D4C30"/>
    <w:rsid w:val="007D50AC"/>
    <w:rsid w:val="007D55AD"/>
    <w:rsid w:val="007D5C29"/>
    <w:rsid w:val="007D5DEA"/>
    <w:rsid w:val="007D68C1"/>
    <w:rsid w:val="007E0D8E"/>
    <w:rsid w:val="007E26B9"/>
    <w:rsid w:val="007E283E"/>
    <w:rsid w:val="007E3393"/>
    <w:rsid w:val="007E385C"/>
    <w:rsid w:val="007E4B7A"/>
    <w:rsid w:val="007E4F99"/>
    <w:rsid w:val="007E6A51"/>
    <w:rsid w:val="007E6CE9"/>
    <w:rsid w:val="007F0085"/>
    <w:rsid w:val="007F032C"/>
    <w:rsid w:val="007F06D3"/>
    <w:rsid w:val="007F1550"/>
    <w:rsid w:val="007F167B"/>
    <w:rsid w:val="007F2317"/>
    <w:rsid w:val="007F2437"/>
    <w:rsid w:val="007F25E8"/>
    <w:rsid w:val="007F29F0"/>
    <w:rsid w:val="007F2B68"/>
    <w:rsid w:val="007F3578"/>
    <w:rsid w:val="007F3660"/>
    <w:rsid w:val="007F45AE"/>
    <w:rsid w:val="007F4610"/>
    <w:rsid w:val="007F591D"/>
    <w:rsid w:val="007F649D"/>
    <w:rsid w:val="007F7F38"/>
    <w:rsid w:val="00800193"/>
    <w:rsid w:val="00801B05"/>
    <w:rsid w:val="00801BCE"/>
    <w:rsid w:val="00801FAB"/>
    <w:rsid w:val="0080209A"/>
    <w:rsid w:val="00802102"/>
    <w:rsid w:val="008022AB"/>
    <w:rsid w:val="008046D8"/>
    <w:rsid w:val="00804B4B"/>
    <w:rsid w:val="00804C4C"/>
    <w:rsid w:val="00805FDB"/>
    <w:rsid w:val="008061FD"/>
    <w:rsid w:val="008062B4"/>
    <w:rsid w:val="00806476"/>
    <w:rsid w:val="00806D59"/>
    <w:rsid w:val="008105D8"/>
    <w:rsid w:val="008108D5"/>
    <w:rsid w:val="00810E9A"/>
    <w:rsid w:val="00812831"/>
    <w:rsid w:val="008131D0"/>
    <w:rsid w:val="008146DE"/>
    <w:rsid w:val="008148BF"/>
    <w:rsid w:val="00814E7E"/>
    <w:rsid w:val="008152AE"/>
    <w:rsid w:val="00815979"/>
    <w:rsid w:val="00816548"/>
    <w:rsid w:val="00816724"/>
    <w:rsid w:val="00816D56"/>
    <w:rsid w:val="008173D8"/>
    <w:rsid w:val="00817969"/>
    <w:rsid w:val="00817BC0"/>
    <w:rsid w:val="00817C09"/>
    <w:rsid w:val="00820870"/>
    <w:rsid w:val="00821122"/>
    <w:rsid w:val="0082142D"/>
    <w:rsid w:val="008224C9"/>
    <w:rsid w:val="00822D55"/>
    <w:rsid w:val="00823D24"/>
    <w:rsid w:val="008245A0"/>
    <w:rsid w:val="008245DF"/>
    <w:rsid w:val="008250D6"/>
    <w:rsid w:val="008252A7"/>
    <w:rsid w:val="00825426"/>
    <w:rsid w:val="00825F54"/>
    <w:rsid w:val="0082601A"/>
    <w:rsid w:val="008267BA"/>
    <w:rsid w:val="008267D9"/>
    <w:rsid w:val="00826F71"/>
    <w:rsid w:val="00827F93"/>
    <w:rsid w:val="00830348"/>
    <w:rsid w:val="00830CE9"/>
    <w:rsid w:val="00831282"/>
    <w:rsid w:val="008315BF"/>
    <w:rsid w:val="00832435"/>
    <w:rsid w:val="00832DA2"/>
    <w:rsid w:val="0083331B"/>
    <w:rsid w:val="00833365"/>
    <w:rsid w:val="00834105"/>
    <w:rsid w:val="008341C2"/>
    <w:rsid w:val="00834699"/>
    <w:rsid w:val="0083476B"/>
    <w:rsid w:val="00835054"/>
    <w:rsid w:val="0083508F"/>
    <w:rsid w:val="00835A6F"/>
    <w:rsid w:val="00835C97"/>
    <w:rsid w:val="00835DD7"/>
    <w:rsid w:val="0083666B"/>
    <w:rsid w:val="008368AD"/>
    <w:rsid w:val="00836AC7"/>
    <w:rsid w:val="00840AF3"/>
    <w:rsid w:val="00840C1A"/>
    <w:rsid w:val="00841FDE"/>
    <w:rsid w:val="008425B8"/>
    <w:rsid w:val="008427D6"/>
    <w:rsid w:val="0084326F"/>
    <w:rsid w:val="00843930"/>
    <w:rsid w:val="00843BDB"/>
    <w:rsid w:val="0084612D"/>
    <w:rsid w:val="0084680A"/>
    <w:rsid w:val="0084769F"/>
    <w:rsid w:val="00847A4B"/>
    <w:rsid w:val="008533D9"/>
    <w:rsid w:val="008542CC"/>
    <w:rsid w:val="008547AF"/>
    <w:rsid w:val="008556E9"/>
    <w:rsid w:val="00855940"/>
    <w:rsid w:val="00855BF1"/>
    <w:rsid w:val="00855D46"/>
    <w:rsid w:val="0085627B"/>
    <w:rsid w:val="00856950"/>
    <w:rsid w:val="00856B28"/>
    <w:rsid w:val="00856BA3"/>
    <w:rsid w:val="00857152"/>
    <w:rsid w:val="008574F6"/>
    <w:rsid w:val="00857B1E"/>
    <w:rsid w:val="00857CE6"/>
    <w:rsid w:val="00861A87"/>
    <w:rsid w:val="0086246A"/>
    <w:rsid w:val="00862800"/>
    <w:rsid w:val="0086293C"/>
    <w:rsid w:val="00862C96"/>
    <w:rsid w:val="00864B5A"/>
    <w:rsid w:val="008660CF"/>
    <w:rsid w:val="008665B1"/>
    <w:rsid w:val="008666EE"/>
    <w:rsid w:val="0086742A"/>
    <w:rsid w:val="0086790A"/>
    <w:rsid w:val="008679A4"/>
    <w:rsid w:val="00867BE7"/>
    <w:rsid w:val="008708D8"/>
    <w:rsid w:val="0087095E"/>
    <w:rsid w:val="00870F34"/>
    <w:rsid w:val="00872049"/>
    <w:rsid w:val="00872330"/>
    <w:rsid w:val="008748FA"/>
    <w:rsid w:val="00875071"/>
    <w:rsid w:val="008753F9"/>
    <w:rsid w:val="00875C1D"/>
    <w:rsid w:val="00875E55"/>
    <w:rsid w:val="0087681A"/>
    <w:rsid w:val="008772F6"/>
    <w:rsid w:val="00877D4C"/>
    <w:rsid w:val="00880018"/>
    <w:rsid w:val="008800B9"/>
    <w:rsid w:val="0088054F"/>
    <w:rsid w:val="008812A6"/>
    <w:rsid w:val="00881BD2"/>
    <w:rsid w:val="00882011"/>
    <w:rsid w:val="00883373"/>
    <w:rsid w:val="00883E2E"/>
    <w:rsid w:val="00883F66"/>
    <w:rsid w:val="00884FE1"/>
    <w:rsid w:val="00886554"/>
    <w:rsid w:val="00887861"/>
    <w:rsid w:val="008878CF"/>
    <w:rsid w:val="0089042B"/>
    <w:rsid w:val="00890C6C"/>
    <w:rsid w:val="0089151B"/>
    <w:rsid w:val="0089299A"/>
    <w:rsid w:val="00892A3A"/>
    <w:rsid w:val="00893C0E"/>
    <w:rsid w:val="00894606"/>
    <w:rsid w:val="00894F43"/>
    <w:rsid w:val="008952F5"/>
    <w:rsid w:val="008961EB"/>
    <w:rsid w:val="008977E6"/>
    <w:rsid w:val="00897A79"/>
    <w:rsid w:val="008A0515"/>
    <w:rsid w:val="008A137D"/>
    <w:rsid w:val="008A1402"/>
    <w:rsid w:val="008A14E0"/>
    <w:rsid w:val="008A3838"/>
    <w:rsid w:val="008A3AAA"/>
    <w:rsid w:val="008A43E5"/>
    <w:rsid w:val="008A5458"/>
    <w:rsid w:val="008A5480"/>
    <w:rsid w:val="008A5D18"/>
    <w:rsid w:val="008A5D4B"/>
    <w:rsid w:val="008A6B6A"/>
    <w:rsid w:val="008A74EE"/>
    <w:rsid w:val="008B0BAF"/>
    <w:rsid w:val="008B0F03"/>
    <w:rsid w:val="008B1D96"/>
    <w:rsid w:val="008B216A"/>
    <w:rsid w:val="008B3037"/>
    <w:rsid w:val="008B4B4E"/>
    <w:rsid w:val="008B4BD6"/>
    <w:rsid w:val="008B5C17"/>
    <w:rsid w:val="008B5F1F"/>
    <w:rsid w:val="008B6590"/>
    <w:rsid w:val="008C05B0"/>
    <w:rsid w:val="008C123C"/>
    <w:rsid w:val="008C323E"/>
    <w:rsid w:val="008C398A"/>
    <w:rsid w:val="008C3D2F"/>
    <w:rsid w:val="008C42E4"/>
    <w:rsid w:val="008C4966"/>
    <w:rsid w:val="008C637C"/>
    <w:rsid w:val="008C69F4"/>
    <w:rsid w:val="008C6FB6"/>
    <w:rsid w:val="008C70A2"/>
    <w:rsid w:val="008C7266"/>
    <w:rsid w:val="008C72E7"/>
    <w:rsid w:val="008D0AD8"/>
    <w:rsid w:val="008D0C72"/>
    <w:rsid w:val="008D158D"/>
    <w:rsid w:val="008D2526"/>
    <w:rsid w:val="008D2AB5"/>
    <w:rsid w:val="008D3166"/>
    <w:rsid w:val="008D3D92"/>
    <w:rsid w:val="008D4870"/>
    <w:rsid w:val="008D4C3A"/>
    <w:rsid w:val="008D4F20"/>
    <w:rsid w:val="008D63F2"/>
    <w:rsid w:val="008D6B23"/>
    <w:rsid w:val="008D6BEC"/>
    <w:rsid w:val="008D6D0B"/>
    <w:rsid w:val="008D6E42"/>
    <w:rsid w:val="008D74C1"/>
    <w:rsid w:val="008D7A62"/>
    <w:rsid w:val="008D7B73"/>
    <w:rsid w:val="008D7F5B"/>
    <w:rsid w:val="008E06F9"/>
    <w:rsid w:val="008E0D5B"/>
    <w:rsid w:val="008E1872"/>
    <w:rsid w:val="008E1AB8"/>
    <w:rsid w:val="008E286F"/>
    <w:rsid w:val="008E29FC"/>
    <w:rsid w:val="008E2D4A"/>
    <w:rsid w:val="008E321F"/>
    <w:rsid w:val="008E3D13"/>
    <w:rsid w:val="008E5A8F"/>
    <w:rsid w:val="008F0145"/>
    <w:rsid w:val="008F0C2E"/>
    <w:rsid w:val="008F1711"/>
    <w:rsid w:val="008F2168"/>
    <w:rsid w:val="008F321E"/>
    <w:rsid w:val="008F38F5"/>
    <w:rsid w:val="008F4AD0"/>
    <w:rsid w:val="008F5B72"/>
    <w:rsid w:val="008F5F88"/>
    <w:rsid w:val="008F68B8"/>
    <w:rsid w:val="008F6B10"/>
    <w:rsid w:val="008F761A"/>
    <w:rsid w:val="00900430"/>
    <w:rsid w:val="0090051F"/>
    <w:rsid w:val="009038A7"/>
    <w:rsid w:val="009038F0"/>
    <w:rsid w:val="00905E78"/>
    <w:rsid w:val="00906244"/>
    <w:rsid w:val="00906A52"/>
    <w:rsid w:val="00906C28"/>
    <w:rsid w:val="00906D0C"/>
    <w:rsid w:val="00907410"/>
    <w:rsid w:val="00907F0D"/>
    <w:rsid w:val="0091041E"/>
    <w:rsid w:val="0091235D"/>
    <w:rsid w:val="009129CD"/>
    <w:rsid w:val="00914996"/>
    <w:rsid w:val="00915407"/>
    <w:rsid w:val="00915CBE"/>
    <w:rsid w:val="00916DD1"/>
    <w:rsid w:val="00917803"/>
    <w:rsid w:val="009179B1"/>
    <w:rsid w:val="009211C6"/>
    <w:rsid w:val="009217A9"/>
    <w:rsid w:val="00921D47"/>
    <w:rsid w:val="009221EB"/>
    <w:rsid w:val="009226E1"/>
    <w:rsid w:val="00923D25"/>
    <w:rsid w:val="0092476D"/>
    <w:rsid w:val="009252B9"/>
    <w:rsid w:val="00925533"/>
    <w:rsid w:val="00925566"/>
    <w:rsid w:val="0092621E"/>
    <w:rsid w:val="009267F4"/>
    <w:rsid w:val="00926C7E"/>
    <w:rsid w:val="009275C4"/>
    <w:rsid w:val="00927F1F"/>
    <w:rsid w:val="009306FB"/>
    <w:rsid w:val="00931298"/>
    <w:rsid w:val="00931C48"/>
    <w:rsid w:val="00931CF3"/>
    <w:rsid w:val="00932556"/>
    <w:rsid w:val="00932AE4"/>
    <w:rsid w:val="0093339D"/>
    <w:rsid w:val="00934B43"/>
    <w:rsid w:val="0093535D"/>
    <w:rsid w:val="0093568B"/>
    <w:rsid w:val="00936E6A"/>
    <w:rsid w:val="0094050F"/>
    <w:rsid w:val="0094452C"/>
    <w:rsid w:val="009445C2"/>
    <w:rsid w:val="00944B2D"/>
    <w:rsid w:val="00945030"/>
    <w:rsid w:val="00945085"/>
    <w:rsid w:val="00945E18"/>
    <w:rsid w:val="00946508"/>
    <w:rsid w:val="00946513"/>
    <w:rsid w:val="00946671"/>
    <w:rsid w:val="009477EA"/>
    <w:rsid w:val="009477FD"/>
    <w:rsid w:val="009501B6"/>
    <w:rsid w:val="009501FC"/>
    <w:rsid w:val="009512E8"/>
    <w:rsid w:val="00952711"/>
    <w:rsid w:val="00953411"/>
    <w:rsid w:val="009538BD"/>
    <w:rsid w:val="00953FC4"/>
    <w:rsid w:val="00954183"/>
    <w:rsid w:val="00954361"/>
    <w:rsid w:val="009557E0"/>
    <w:rsid w:val="0095631B"/>
    <w:rsid w:val="00956577"/>
    <w:rsid w:val="009569BE"/>
    <w:rsid w:val="00956BB2"/>
    <w:rsid w:val="00957DD2"/>
    <w:rsid w:val="00960ECC"/>
    <w:rsid w:val="009610B2"/>
    <w:rsid w:val="00961261"/>
    <w:rsid w:val="009613E4"/>
    <w:rsid w:val="009622A4"/>
    <w:rsid w:val="00962623"/>
    <w:rsid w:val="009627D8"/>
    <w:rsid w:val="00962B31"/>
    <w:rsid w:val="00963747"/>
    <w:rsid w:val="00963CA7"/>
    <w:rsid w:val="00964DDC"/>
    <w:rsid w:val="00965CDE"/>
    <w:rsid w:val="00966829"/>
    <w:rsid w:val="0096788D"/>
    <w:rsid w:val="0097231C"/>
    <w:rsid w:val="009739FB"/>
    <w:rsid w:val="00975EDB"/>
    <w:rsid w:val="0098027A"/>
    <w:rsid w:val="0098075D"/>
    <w:rsid w:val="00980DDA"/>
    <w:rsid w:val="0098172F"/>
    <w:rsid w:val="00981859"/>
    <w:rsid w:val="009821E4"/>
    <w:rsid w:val="0098269B"/>
    <w:rsid w:val="009828BC"/>
    <w:rsid w:val="00984021"/>
    <w:rsid w:val="00985BF3"/>
    <w:rsid w:val="00985D0F"/>
    <w:rsid w:val="009865E2"/>
    <w:rsid w:val="00986B8C"/>
    <w:rsid w:val="00986BA7"/>
    <w:rsid w:val="00986DB9"/>
    <w:rsid w:val="00987372"/>
    <w:rsid w:val="00990D72"/>
    <w:rsid w:val="009916E4"/>
    <w:rsid w:val="00992241"/>
    <w:rsid w:val="00992DF3"/>
    <w:rsid w:val="00992F24"/>
    <w:rsid w:val="00993223"/>
    <w:rsid w:val="00993C14"/>
    <w:rsid w:val="00994330"/>
    <w:rsid w:val="00994ADD"/>
    <w:rsid w:val="00994B9D"/>
    <w:rsid w:val="0099533D"/>
    <w:rsid w:val="00995E86"/>
    <w:rsid w:val="0099674B"/>
    <w:rsid w:val="00996FF7"/>
    <w:rsid w:val="009A1EBC"/>
    <w:rsid w:val="009A3AE8"/>
    <w:rsid w:val="009A4E9F"/>
    <w:rsid w:val="009A55E8"/>
    <w:rsid w:val="009A5C19"/>
    <w:rsid w:val="009B0130"/>
    <w:rsid w:val="009B025E"/>
    <w:rsid w:val="009B0458"/>
    <w:rsid w:val="009B0F47"/>
    <w:rsid w:val="009B2FF8"/>
    <w:rsid w:val="009B358C"/>
    <w:rsid w:val="009B38B2"/>
    <w:rsid w:val="009B579F"/>
    <w:rsid w:val="009B5899"/>
    <w:rsid w:val="009B5C58"/>
    <w:rsid w:val="009B631D"/>
    <w:rsid w:val="009B756F"/>
    <w:rsid w:val="009B769A"/>
    <w:rsid w:val="009B770A"/>
    <w:rsid w:val="009C117F"/>
    <w:rsid w:val="009C288B"/>
    <w:rsid w:val="009C3261"/>
    <w:rsid w:val="009C5A57"/>
    <w:rsid w:val="009C6923"/>
    <w:rsid w:val="009C6A4E"/>
    <w:rsid w:val="009C76B4"/>
    <w:rsid w:val="009D045C"/>
    <w:rsid w:val="009D04B0"/>
    <w:rsid w:val="009D06C1"/>
    <w:rsid w:val="009D0C42"/>
    <w:rsid w:val="009D1343"/>
    <w:rsid w:val="009D161F"/>
    <w:rsid w:val="009D1A82"/>
    <w:rsid w:val="009D3C61"/>
    <w:rsid w:val="009D57A7"/>
    <w:rsid w:val="009D5C21"/>
    <w:rsid w:val="009D7A46"/>
    <w:rsid w:val="009D7E03"/>
    <w:rsid w:val="009E04B7"/>
    <w:rsid w:val="009E0738"/>
    <w:rsid w:val="009E1BC7"/>
    <w:rsid w:val="009E237F"/>
    <w:rsid w:val="009E2459"/>
    <w:rsid w:val="009E41F5"/>
    <w:rsid w:val="009E4910"/>
    <w:rsid w:val="009E4919"/>
    <w:rsid w:val="009E4F14"/>
    <w:rsid w:val="009E4F2C"/>
    <w:rsid w:val="009E587C"/>
    <w:rsid w:val="009E6B7E"/>
    <w:rsid w:val="009E727E"/>
    <w:rsid w:val="009E7678"/>
    <w:rsid w:val="009F00E4"/>
    <w:rsid w:val="009F0698"/>
    <w:rsid w:val="009F18F2"/>
    <w:rsid w:val="009F1A69"/>
    <w:rsid w:val="009F1DD8"/>
    <w:rsid w:val="009F1E3F"/>
    <w:rsid w:val="009F332A"/>
    <w:rsid w:val="009F34B5"/>
    <w:rsid w:val="009F3DD1"/>
    <w:rsid w:val="009F4610"/>
    <w:rsid w:val="009F4FE8"/>
    <w:rsid w:val="009F5F14"/>
    <w:rsid w:val="009F6714"/>
    <w:rsid w:val="009F7349"/>
    <w:rsid w:val="00A01038"/>
    <w:rsid w:val="00A01212"/>
    <w:rsid w:val="00A039E9"/>
    <w:rsid w:val="00A04A69"/>
    <w:rsid w:val="00A051DA"/>
    <w:rsid w:val="00A061CE"/>
    <w:rsid w:val="00A078CE"/>
    <w:rsid w:val="00A078E3"/>
    <w:rsid w:val="00A10D30"/>
    <w:rsid w:val="00A11BE0"/>
    <w:rsid w:val="00A1216C"/>
    <w:rsid w:val="00A12D2C"/>
    <w:rsid w:val="00A12F60"/>
    <w:rsid w:val="00A13658"/>
    <w:rsid w:val="00A13DEC"/>
    <w:rsid w:val="00A16D6D"/>
    <w:rsid w:val="00A16DEC"/>
    <w:rsid w:val="00A17175"/>
    <w:rsid w:val="00A20BC0"/>
    <w:rsid w:val="00A213F0"/>
    <w:rsid w:val="00A21BE4"/>
    <w:rsid w:val="00A22001"/>
    <w:rsid w:val="00A22697"/>
    <w:rsid w:val="00A22FB4"/>
    <w:rsid w:val="00A23E07"/>
    <w:rsid w:val="00A23F68"/>
    <w:rsid w:val="00A23FC3"/>
    <w:rsid w:val="00A24652"/>
    <w:rsid w:val="00A248CB"/>
    <w:rsid w:val="00A25E56"/>
    <w:rsid w:val="00A26125"/>
    <w:rsid w:val="00A27C96"/>
    <w:rsid w:val="00A27E9C"/>
    <w:rsid w:val="00A30107"/>
    <w:rsid w:val="00A30991"/>
    <w:rsid w:val="00A3261D"/>
    <w:rsid w:val="00A32721"/>
    <w:rsid w:val="00A348DF"/>
    <w:rsid w:val="00A34B0B"/>
    <w:rsid w:val="00A34F93"/>
    <w:rsid w:val="00A36DFF"/>
    <w:rsid w:val="00A371B2"/>
    <w:rsid w:val="00A37D02"/>
    <w:rsid w:val="00A37F55"/>
    <w:rsid w:val="00A40901"/>
    <w:rsid w:val="00A40C76"/>
    <w:rsid w:val="00A40D93"/>
    <w:rsid w:val="00A41AA6"/>
    <w:rsid w:val="00A421B1"/>
    <w:rsid w:val="00A4246E"/>
    <w:rsid w:val="00A4347B"/>
    <w:rsid w:val="00A44521"/>
    <w:rsid w:val="00A4500B"/>
    <w:rsid w:val="00A45F17"/>
    <w:rsid w:val="00A463F6"/>
    <w:rsid w:val="00A46F3F"/>
    <w:rsid w:val="00A47840"/>
    <w:rsid w:val="00A500E0"/>
    <w:rsid w:val="00A505FF"/>
    <w:rsid w:val="00A51B8A"/>
    <w:rsid w:val="00A52C40"/>
    <w:rsid w:val="00A530C1"/>
    <w:rsid w:val="00A53732"/>
    <w:rsid w:val="00A537A0"/>
    <w:rsid w:val="00A53A9A"/>
    <w:rsid w:val="00A540F9"/>
    <w:rsid w:val="00A54326"/>
    <w:rsid w:val="00A54443"/>
    <w:rsid w:val="00A54862"/>
    <w:rsid w:val="00A5495B"/>
    <w:rsid w:val="00A54A79"/>
    <w:rsid w:val="00A54D07"/>
    <w:rsid w:val="00A54EDF"/>
    <w:rsid w:val="00A55134"/>
    <w:rsid w:val="00A55906"/>
    <w:rsid w:val="00A56376"/>
    <w:rsid w:val="00A56571"/>
    <w:rsid w:val="00A56764"/>
    <w:rsid w:val="00A56C70"/>
    <w:rsid w:val="00A56D79"/>
    <w:rsid w:val="00A60897"/>
    <w:rsid w:val="00A6129B"/>
    <w:rsid w:val="00A61517"/>
    <w:rsid w:val="00A627C0"/>
    <w:rsid w:val="00A63074"/>
    <w:rsid w:val="00A64FC7"/>
    <w:rsid w:val="00A66B63"/>
    <w:rsid w:val="00A7048E"/>
    <w:rsid w:val="00A70EBF"/>
    <w:rsid w:val="00A70F60"/>
    <w:rsid w:val="00A71AC8"/>
    <w:rsid w:val="00A737AE"/>
    <w:rsid w:val="00A75075"/>
    <w:rsid w:val="00A75621"/>
    <w:rsid w:val="00A80994"/>
    <w:rsid w:val="00A810B2"/>
    <w:rsid w:val="00A81BB8"/>
    <w:rsid w:val="00A81FC6"/>
    <w:rsid w:val="00A82352"/>
    <w:rsid w:val="00A83BA9"/>
    <w:rsid w:val="00A844CC"/>
    <w:rsid w:val="00A84A2F"/>
    <w:rsid w:val="00A85438"/>
    <w:rsid w:val="00A8605A"/>
    <w:rsid w:val="00A86CD7"/>
    <w:rsid w:val="00A86DCE"/>
    <w:rsid w:val="00A873C3"/>
    <w:rsid w:val="00A90B47"/>
    <w:rsid w:val="00A91D00"/>
    <w:rsid w:val="00A9237D"/>
    <w:rsid w:val="00A92D2F"/>
    <w:rsid w:val="00A92D84"/>
    <w:rsid w:val="00A93E0F"/>
    <w:rsid w:val="00A940B1"/>
    <w:rsid w:val="00A950BF"/>
    <w:rsid w:val="00A955DC"/>
    <w:rsid w:val="00A96C91"/>
    <w:rsid w:val="00AA0865"/>
    <w:rsid w:val="00AA0933"/>
    <w:rsid w:val="00AA0C3A"/>
    <w:rsid w:val="00AA2F13"/>
    <w:rsid w:val="00AA38DC"/>
    <w:rsid w:val="00AA3E13"/>
    <w:rsid w:val="00AA4BC8"/>
    <w:rsid w:val="00AA586C"/>
    <w:rsid w:val="00AA6420"/>
    <w:rsid w:val="00AA6E60"/>
    <w:rsid w:val="00AA6F1A"/>
    <w:rsid w:val="00AA7D23"/>
    <w:rsid w:val="00AA7D3D"/>
    <w:rsid w:val="00AB0A96"/>
    <w:rsid w:val="00AB2669"/>
    <w:rsid w:val="00AB267F"/>
    <w:rsid w:val="00AB2E1B"/>
    <w:rsid w:val="00AB390D"/>
    <w:rsid w:val="00AB3C37"/>
    <w:rsid w:val="00AB4233"/>
    <w:rsid w:val="00AB48A9"/>
    <w:rsid w:val="00AB4968"/>
    <w:rsid w:val="00AB539B"/>
    <w:rsid w:val="00AB54C4"/>
    <w:rsid w:val="00AB5FA5"/>
    <w:rsid w:val="00AB60EE"/>
    <w:rsid w:val="00AB6B30"/>
    <w:rsid w:val="00AB71A9"/>
    <w:rsid w:val="00AB75C0"/>
    <w:rsid w:val="00AB76C7"/>
    <w:rsid w:val="00AC0461"/>
    <w:rsid w:val="00AC0F59"/>
    <w:rsid w:val="00AC12C6"/>
    <w:rsid w:val="00AC1A52"/>
    <w:rsid w:val="00AC2223"/>
    <w:rsid w:val="00AC2518"/>
    <w:rsid w:val="00AC29B2"/>
    <w:rsid w:val="00AC2C68"/>
    <w:rsid w:val="00AC48F1"/>
    <w:rsid w:val="00AC4922"/>
    <w:rsid w:val="00AC749D"/>
    <w:rsid w:val="00AD00E9"/>
    <w:rsid w:val="00AD0636"/>
    <w:rsid w:val="00AD2047"/>
    <w:rsid w:val="00AD20B6"/>
    <w:rsid w:val="00AD2202"/>
    <w:rsid w:val="00AD2709"/>
    <w:rsid w:val="00AD278E"/>
    <w:rsid w:val="00AD2E43"/>
    <w:rsid w:val="00AD2E8F"/>
    <w:rsid w:val="00AD2F36"/>
    <w:rsid w:val="00AD3444"/>
    <w:rsid w:val="00AD3CC8"/>
    <w:rsid w:val="00AD3E92"/>
    <w:rsid w:val="00AD42B4"/>
    <w:rsid w:val="00AD462A"/>
    <w:rsid w:val="00AD5EC9"/>
    <w:rsid w:val="00AD75E8"/>
    <w:rsid w:val="00AD7F9B"/>
    <w:rsid w:val="00AE0111"/>
    <w:rsid w:val="00AE0673"/>
    <w:rsid w:val="00AE20A9"/>
    <w:rsid w:val="00AE20BF"/>
    <w:rsid w:val="00AE2825"/>
    <w:rsid w:val="00AE2BD0"/>
    <w:rsid w:val="00AE6B29"/>
    <w:rsid w:val="00AE7950"/>
    <w:rsid w:val="00AE79B0"/>
    <w:rsid w:val="00AF13AC"/>
    <w:rsid w:val="00AF18A8"/>
    <w:rsid w:val="00AF2422"/>
    <w:rsid w:val="00AF3238"/>
    <w:rsid w:val="00AF413B"/>
    <w:rsid w:val="00AF45C0"/>
    <w:rsid w:val="00AF4616"/>
    <w:rsid w:val="00AF4897"/>
    <w:rsid w:val="00AF4F33"/>
    <w:rsid w:val="00AF654D"/>
    <w:rsid w:val="00AF6910"/>
    <w:rsid w:val="00AF7373"/>
    <w:rsid w:val="00B0033D"/>
    <w:rsid w:val="00B00792"/>
    <w:rsid w:val="00B0079D"/>
    <w:rsid w:val="00B00F73"/>
    <w:rsid w:val="00B013F1"/>
    <w:rsid w:val="00B01513"/>
    <w:rsid w:val="00B01D83"/>
    <w:rsid w:val="00B02682"/>
    <w:rsid w:val="00B037AC"/>
    <w:rsid w:val="00B037F4"/>
    <w:rsid w:val="00B05601"/>
    <w:rsid w:val="00B05754"/>
    <w:rsid w:val="00B06BAA"/>
    <w:rsid w:val="00B1151C"/>
    <w:rsid w:val="00B115B8"/>
    <w:rsid w:val="00B11BE1"/>
    <w:rsid w:val="00B11C4B"/>
    <w:rsid w:val="00B12A75"/>
    <w:rsid w:val="00B13510"/>
    <w:rsid w:val="00B145EB"/>
    <w:rsid w:val="00B1528A"/>
    <w:rsid w:val="00B155C3"/>
    <w:rsid w:val="00B16538"/>
    <w:rsid w:val="00B16B2B"/>
    <w:rsid w:val="00B17274"/>
    <w:rsid w:val="00B175C6"/>
    <w:rsid w:val="00B202F3"/>
    <w:rsid w:val="00B20A63"/>
    <w:rsid w:val="00B20FFA"/>
    <w:rsid w:val="00B2239A"/>
    <w:rsid w:val="00B228AA"/>
    <w:rsid w:val="00B23540"/>
    <w:rsid w:val="00B24723"/>
    <w:rsid w:val="00B247DC"/>
    <w:rsid w:val="00B251D2"/>
    <w:rsid w:val="00B25BD0"/>
    <w:rsid w:val="00B2610A"/>
    <w:rsid w:val="00B26714"/>
    <w:rsid w:val="00B26DB6"/>
    <w:rsid w:val="00B278E1"/>
    <w:rsid w:val="00B27975"/>
    <w:rsid w:val="00B27E43"/>
    <w:rsid w:val="00B27FC1"/>
    <w:rsid w:val="00B30553"/>
    <w:rsid w:val="00B305CD"/>
    <w:rsid w:val="00B30B86"/>
    <w:rsid w:val="00B30E31"/>
    <w:rsid w:val="00B329E2"/>
    <w:rsid w:val="00B337B4"/>
    <w:rsid w:val="00B338A5"/>
    <w:rsid w:val="00B33A6F"/>
    <w:rsid w:val="00B33D44"/>
    <w:rsid w:val="00B3437D"/>
    <w:rsid w:val="00B35B00"/>
    <w:rsid w:val="00B35F5E"/>
    <w:rsid w:val="00B3616E"/>
    <w:rsid w:val="00B3752A"/>
    <w:rsid w:val="00B37E27"/>
    <w:rsid w:val="00B40380"/>
    <w:rsid w:val="00B40C8D"/>
    <w:rsid w:val="00B41301"/>
    <w:rsid w:val="00B4257A"/>
    <w:rsid w:val="00B42947"/>
    <w:rsid w:val="00B42C65"/>
    <w:rsid w:val="00B42CDD"/>
    <w:rsid w:val="00B43F64"/>
    <w:rsid w:val="00B4416E"/>
    <w:rsid w:val="00B44A61"/>
    <w:rsid w:val="00B44E8A"/>
    <w:rsid w:val="00B456AD"/>
    <w:rsid w:val="00B46D87"/>
    <w:rsid w:val="00B4775C"/>
    <w:rsid w:val="00B478F1"/>
    <w:rsid w:val="00B5051A"/>
    <w:rsid w:val="00B50D9A"/>
    <w:rsid w:val="00B51324"/>
    <w:rsid w:val="00B5155C"/>
    <w:rsid w:val="00B51EFA"/>
    <w:rsid w:val="00B5224C"/>
    <w:rsid w:val="00B5325B"/>
    <w:rsid w:val="00B532C0"/>
    <w:rsid w:val="00B53571"/>
    <w:rsid w:val="00B544D5"/>
    <w:rsid w:val="00B54BA2"/>
    <w:rsid w:val="00B5552B"/>
    <w:rsid w:val="00B556AE"/>
    <w:rsid w:val="00B56194"/>
    <w:rsid w:val="00B56DDE"/>
    <w:rsid w:val="00B57087"/>
    <w:rsid w:val="00B5798F"/>
    <w:rsid w:val="00B57A6C"/>
    <w:rsid w:val="00B6057E"/>
    <w:rsid w:val="00B60787"/>
    <w:rsid w:val="00B6228A"/>
    <w:rsid w:val="00B63967"/>
    <w:rsid w:val="00B63D5A"/>
    <w:rsid w:val="00B64A67"/>
    <w:rsid w:val="00B64BC3"/>
    <w:rsid w:val="00B65EB1"/>
    <w:rsid w:val="00B6605F"/>
    <w:rsid w:val="00B67018"/>
    <w:rsid w:val="00B6771B"/>
    <w:rsid w:val="00B679B0"/>
    <w:rsid w:val="00B706E1"/>
    <w:rsid w:val="00B706EC"/>
    <w:rsid w:val="00B71078"/>
    <w:rsid w:val="00B71353"/>
    <w:rsid w:val="00B718E8"/>
    <w:rsid w:val="00B7379C"/>
    <w:rsid w:val="00B737B3"/>
    <w:rsid w:val="00B743A2"/>
    <w:rsid w:val="00B74956"/>
    <w:rsid w:val="00B74C49"/>
    <w:rsid w:val="00B7515C"/>
    <w:rsid w:val="00B7554E"/>
    <w:rsid w:val="00B75796"/>
    <w:rsid w:val="00B76FEB"/>
    <w:rsid w:val="00B779AE"/>
    <w:rsid w:val="00B77C7A"/>
    <w:rsid w:val="00B77F0B"/>
    <w:rsid w:val="00B8079E"/>
    <w:rsid w:val="00B8098E"/>
    <w:rsid w:val="00B80AA0"/>
    <w:rsid w:val="00B816E6"/>
    <w:rsid w:val="00B81B9D"/>
    <w:rsid w:val="00B81C24"/>
    <w:rsid w:val="00B822FA"/>
    <w:rsid w:val="00B82D01"/>
    <w:rsid w:val="00B8346C"/>
    <w:rsid w:val="00B83AC0"/>
    <w:rsid w:val="00B84515"/>
    <w:rsid w:val="00B845E6"/>
    <w:rsid w:val="00B86132"/>
    <w:rsid w:val="00B86B74"/>
    <w:rsid w:val="00B86F68"/>
    <w:rsid w:val="00B87635"/>
    <w:rsid w:val="00B87916"/>
    <w:rsid w:val="00B90459"/>
    <w:rsid w:val="00B90663"/>
    <w:rsid w:val="00B910F6"/>
    <w:rsid w:val="00B911F7"/>
    <w:rsid w:val="00B915E1"/>
    <w:rsid w:val="00B91AB8"/>
    <w:rsid w:val="00B936E1"/>
    <w:rsid w:val="00B93F3D"/>
    <w:rsid w:val="00B94D7D"/>
    <w:rsid w:val="00B95DBA"/>
    <w:rsid w:val="00B96AA5"/>
    <w:rsid w:val="00B974A1"/>
    <w:rsid w:val="00B97C38"/>
    <w:rsid w:val="00BA02EA"/>
    <w:rsid w:val="00BA03AA"/>
    <w:rsid w:val="00BA0BE8"/>
    <w:rsid w:val="00BA0C2F"/>
    <w:rsid w:val="00BA165C"/>
    <w:rsid w:val="00BA193C"/>
    <w:rsid w:val="00BA2F99"/>
    <w:rsid w:val="00BA4A72"/>
    <w:rsid w:val="00BA4BC3"/>
    <w:rsid w:val="00BA4EF9"/>
    <w:rsid w:val="00BA7A28"/>
    <w:rsid w:val="00BA7D49"/>
    <w:rsid w:val="00BB25C1"/>
    <w:rsid w:val="00BB263D"/>
    <w:rsid w:val="00BB4095"/>
    <w:rsid w:val="00BB4E92"/>
    <w:rsid w:val="00BB570C"/>
    <w:rsid w:val="00BB6568"/>
    <w:rsid w:val="00BB696A"/>
    <w:rsid w:val="00BB6F49"/>
    <w:rsid w:val="00BB7135"/>
    <w:rsid w:val="00BB7595"/>
    <w:rsid w:val="00BB77EB"/>
    <w:rsid w:val="00BC03A1"/>
    <w:rsid w:val="00BC1031"/>
    <w:rsid w:val="00BC12AC"/>
    <w:rsid w:val="00BC25AE"/>
    <w:rsid w:val="00BC540F"/>
    <w:rsid w:val="00BC605A"/>
    <w:rsid w:val="00BC677A"/>
    <w:rsid w:val="00BD1ADB"/>
    <w:rsid w:val="00BD1E6F"/>
    <w:rsid w:val="00BD324B"/>
    <w:rsid w:val="00BD355E"/>
    <w:rsid w:val="00BD39D9"/>
    <w:rsid w:val="00BD40F7"/>
    <w:rsid w:val="00BD462C"/>
    <w:rsid w:val="00BD46EF"/>
    <w:rsid w:val="00BD625F"/>
    <w:rsid w:val="00BD69B1"/>
    <w:rsid w:val="00BD6EB3"/>
    <w:rsid w:val="00BD7C01"/>
    <w:rsid w:val="00BE01B8"/>
    <w:rsid w:val="00BE1DDC"/>
    <w:rsid w:val="00BE3495"/>
    <w:rsid w:val="00BE3DF4"/>
    <w:rsid w:val="00BE451D"/>
    <w:rsid w:val="00BE520C"/>
    <w:rsid w:val="00BE71F4"/>
    <w:rsid w:val="00BF0149"/>
    <w:rsid w:val="00BF0255"/>
    <w:rsid w:val="00BF0EC8"/>
    <w:rsid w:val="00BF1AC3"/>
    <w:rsid w:val="00BF2780"/>
    <w:rsid w:val="00BF3264"/>
    <w:rsid w:val="00BF34D7"/>
    <w:rsid w:val="00BF3DD8"/>
    <w:rsid w:val="00BF3FFE"/>
    <w:rsid w:val="00BF4236"/>
    <w:rsid w:val="00BF4F2C"/>
    <w:rsid w:val="00BF50F5"/>
    <w:rsid w:val="00BF5B29"/>
    <w:rsid w:val="00BF5C2B"/>
    <w:rsid w:val="00BF6714"/>
    <w:rsid w:val="00BF7370"/>
    <w:rsid w:val="00BF7478"/>
    <w:rsid w:val="00BF7630"/>
    <w:rsid w:val="00C00D37"/>
    <w:rsid w:val="00C01B2B"/>
    <w:rsid w:val="00C01DBB"/>
    <w:rsid w:val="00C02B18"/>
    <w:rsid w:val="00C03DB1"/>
    <w:rsid w:val="00C03F17"/>
    <w:rsid w:val="00C04C1C"/>
    <w:rsid w:val="00C04F63"/>
    <w:rsid w:val="00C05D32"/>
    <w:rsid w:val="00C061D2"/>
    <w:rsid w:val="00C06721"/>
    <w:rsid w:val="00C070A9"/>
    <w:rsid w:val="00C073F1"/>
    <w:rsid w:val="00C0785B"/>
    <w:rsid w:val="00C1046A"/>
    <w:rsid w:val="00C10951"/>
    <w:rsid w:val="00C10BAB"/>
    <w:rsid w:val="00C1107E"/>
    <w:rsid w:val="00C128AB"/>
    <w:rsid w:val="00C1346A"/>
    <w:rsid w:val="00C1452E"/>
    <w:rsid w:val="00C1457D"/>
    <w:rsid w:val="00C14D39"/>
    <w:rsid w:val="00C14E32"/>
    <w:rsid w:val="00C15722"/>
    <w:rsid w:val="00C16380"/>
    <w:rsid w:val="00C16567"/>
    <w:rsid w:val="00C1670C"/>
    <w:rsid w:val="00C16860"/>
    <w:rsid w:val="00C16AF8"/>
    <w:rsid w:val="00C16F86"/>
    <w:rsid w:val="00C175C9"/>
    <w:rsid w:val="00C178D2"/>
    <w:rsid w:val="00C20978"/>
    <w:rsid w:val="00C21753"/>
    <w:rsid w:val="00C22AF5"/>
    <w:rsid w:val="00C22E9A"/>
    <w:rsid w:val="00C23611"/>
    <w:rsid w:val="00C2376A"/>
    <w:rsid w:val="00C23D8A"/>
    <w:rsid w:val="00C2497F"/>
    <w:rsid w:val="00C24D7C"/>
    <w:rsid w:val="00C258CD"/>
    <w:rsid w:val="00C26D45"/>
    <w:rsid w:val="00C27CC4"/>
    <w:rsid w:val="00C302C0"/>
    <w:rsid w:val="00C3079B"/>
    <w:rsid w:val="00C30BA6"/>
    <w:rsid w:val="00C3148B"/>
    <w:rsid w:val="00C31495"/>
    <w:rsid w:val="00C32EE2"/>
    <w:rsid w:val="00C3482B"/>
    <w:rsid w:val="00C34A3D"/>
    <w:rsid w:val="00C35A2A"/>
    <w:rsid w:val="00C36057"/>
    <w:rsid w:val="00C36153"/>
    <w:rsid w:val="00C366A6"/>
    <w:rsid w:val="00C371DB"/>
    <w:rsid w:val="00C37374"/>
    <w:rsid w:val="00C37695"/>
    <w:rsid w:val="00C37E39"/>
    <w:rsid w:val="00C40872"/>
    <w:rsid w:val="00C40A00"/>
    <w:rsid w:val="00C411AA"/>
    <w:rsid w:val="00C421EE"/>
    <w:rsid w:val="00C42D50"/>
    <w:rsid w:val="00C43D30"/>
    <w:rsid w:val="00C43EF1"/>
    <w:rsid w:val="00C443C5"/>
    <w:rsid w:val="00C4521D"/>
    <w:rsid w:val="00C452B9"/>
    <w:rsid w:val="00C461F6"/>
    <w:rsid w:val="00C46222"/>
    <w:rsid w:val="00C462B5"/>
    <w:rsid w:val="00C4641E"/>
    <w:rsid w:val="00C4669C"/>
    <w:rsid w:val="00C46ACF"/>
    <w:rsid w:val="00C46BA0"/>
    <w:rsid w:val="00C470DD"/>
    <w:rsid w:val="00C47638"/>
    <w:rsid w:val="00C478F1"/>
    <w:rsid w:val="00C506AB"/>
    <w:rsid w:val="00C51D84"/>
    <w:rsid w:val="00C52993"/>
    <w:rsid w:val="00C533FE"/>
    <w:rsid w:val="00C574EC"/>
    <w:rsid w:val="00C615D0"/>
    <w:rsid w:val="00C623EA"/>
    <w:rsid w:val="00C6248A"/>
    <w:rsid w:val="00C62640"/>
    <w:rsid w:val="00C62A58"/>
    <w:rsid w:val="00C655CC"/>
    <w:rsid w:val="00C65F5C"/>
    <w:rsid w:val="00C66307"/>
    <w:rsid w:val="00C666B3"/>
    <w:rsid w:val="00C66A81"/>
    <w:rsid w:val="00C67B71"/>
    <w:rsid w:val="00C7024C"/>
    <w:rsid w:val="00C71017"/>
    <w:rsid w:val="00C73693"/>
    <w:rsid w:val="00C73E4F"/>
    <w:rsid w:val="00C7443E"/>
    <w:rsid w:val="00C74F63"/>
    <w:rsid w:val="00C759A2"/>
    <w:rsid w:val="00C7618F"/>
    <w:rsid w:val="00C76672"/>
    <w:rsid w:val="00C76FBA"/>
    <w:rsid w:val="00C83D95"/>
    <w:rsid w:val="00C83F84"/>
    <w:rsid w:val="00C87156"/>
    <w:rsid w:val="00C871A9"/>
    <w:rsid w:val="00C8745A"/>
    <w:rsid w:val="00C87599"/>
    <w:rsid w:val="00C87EC4"/>
    <w:rsid w:val="00C9074E"/>
    <w:rsid w:val="00C90A37"/>
    <w:rsid w:val="00C92032"/>
    <w:rsid w:val="00C9271E"/>
    <w:rsid w:val="00C935E2"/>
    <w:rsid w:val="00C93789"/>
    <w:rsid w:val="00C9460E"/>
    <w:rsid w:val="00C95C83"/>
    <w:rsid w:val="00C966C6"/>
    <w:rsid w:val="00C9681F"/>
    <w:rsid w:val="00C96FC7"/>
    <w:rsid w:val="00C97C84"/>
    <w:rsid w:val="00CA0422"/>
    <w:rsid w:val="00CA0C5A"/>
    <w:rsid w:val="00CA10DA"/>
    <w:rsid w:val="00CA1694"/>
    <w:rsid w:val="00CA1F4F"/>
    <w:rsid w:val="00CA28DF"/>
    <w:rsid w:val="00CA2B5E"/>
    <w:rsid w:val="00CA2C08"/>
    <w:rsid w:val="00CA325D"/>
    <w:rsid w:val="00CA386E"/>
    <w:rsid w:val="00CA3E72"/>
    <w:rsid w:val="00CA4951"/>
    <w:rsid w:val="00CA5895"/>
    <w:rsid w:val="00CA5EC7"/>
    <w:rsid w:val="00CA79F0"/>
    <w:rsid w:val="00CB050B"/>
    <w:rsid w:val="00CB1060"/>
    <w:rsid w:val="00CB1A21"/>
    <w:rsid w:val="00CB2536"/>
    <w:rsid w:val="00CB3AD0"/>
    <w:rsid w:val="00CB5FF4"/>
    <w:rsid w:val="00CB647C"/>
    <w:rsid w:val="00CB6B6F"/>
    <w:rsid w:val="00CB76F7"/>
    <w:rsid w:val="00CC0209"/>
    <w:rsid w:val="00CC0253"/>
    <w:rsid w:val="00CC0CF9"/>
    <w:rsid w:val="00CC0F93"/>
    <w:rsid w:val="00CC1108"/>
    <w:rsid w:val="00CC1D7D"/>
    <w:rsid w:val="00CC27C5"/>
    <w:rsid w:val="00CC2D7E"/>
    <w:rsid w:val="00CC3540"/>
    <w:rsid w:val="00CC3D6D"/>
    <w:rsid w:val="00CC461F"/>
    <w:rsid w:val="00CC676E"/>
    <w:rsid w:val="00CC6F4F"/>
    <w:rsid w:val="00CC7723"/>
    <w:rsid w:val="00CD042F"/>
    <w:rsid w:val="00CD1371"/>
    <w:rsid w:val="00CD17CD"/>
    <w:rsid w:val="00CD1932"/>
    <w:rsid w:val="00CD1BB4"/>
    <w:rsid w:val="00CD1EE8"/>
    <w:rsid w:val="00CD396D"/>
    <w:rsid w:val="00CD3CBB"/>
    <w:rsid w:val="00CD41A0"/>
    <w:rsid w:val="00CD4687"/>
    <w:rsid w:val="00CD50D1"/>
    <w:rsid w:val="00CD6279"/>
    <w:rsid w:val="00CD6858"/>
    <w:rsid w:val="00CD68DC"/>
    <w:rsid w:val="00CD738B"/>
    <w:rsid w:val="00CD75B2"/>
    <w:rsid w:val="00CE0D72"/>
    <w:rsid w:val="00CE1208"/>
    <w:rsid w:val="00CE1CDE"/>
    <w:rsid w:val="00CE2497"/>
    <w:rsid w:val="00CE2C42"/>
    <w:rsid w:val="00CE38DF"/>
    <w:rsid w:val="00CE5138"/>
    <w:rsid w:val="00CE519F"/>
    <w:rsid w:val="00CE540B"/>
    <w:rsid w:val="00CE5E5B"/>
    <w:rsid w:val="00CE621B"/>
    <w:rsid w:val="00CE6F0B"/>
    <w:rsid w:val="00CE777F"/>
    <w:rsid w:val="00CF2014"/>
    <w:rsid w:val="00CF2015"/>
    <w:rsid w:val="00CF2F13"/>
    <w:rsid w:val="00D00977"/>
    <w:rsid w:val="00D01096"/>
    <w:rsid w:val="00D010A6"/>
    <w:rsid w:val="00D01BBF"/>
    <w:rsid w:val="00D0246B"/>
    <w:rsid w:val="00D025DA"/>
    <w:rsid w:val="00D02F1B"/>
    <w:rsid w:val="00D0516E"/>
    <w:rsid w:val="00D06A8C"/>
    <w:rsid w:val="00D06BE7"/>
    <w:rsid w:val="00D07EE5"/>
    <w:rsid w:val="00D108A7"/>
    <w:rsid w:val="00D11453"/>
    <w:rsid w:val="00D11B18"/>
    <w:rsid w:val="00D11DD1"/>
    <w:rsid w:val="00D12D64"/>
    <w:rsid w:val="00D13F49"/>
    <w:rsid w:val="00D1674A"/>
    <w:rsid w:val="00D16776"/>
    <w:rsid w:val="00D16977"/>
    <w:rsid w:val="00D17DC8"/>
    <w:rsid w:val="00D215B8"/>
    <w:rsid w:val="00D2180E"/>
    <w:rsid w:val="00D22121"/>
    <w:rsid w:val="00D2237E"/>
    <w:rsid w:val="00D223FA"/>
    <w:rsid w:val="00D2385F"/>
    <w:rsid w:val="00D23907"/>
    <w:rsid w:val="00D2541B"/>
    <w:rsid w:val="00D25553"/>
    <w:rsid w:val="00D26834"/>
    <w:rsid w:val="00D27D1F"/>
    <w:rsid w:val="00D31D20"/>
    <w:rsid w:val="00D322EE"/>
    <w:rsid w:val="00D3257D"/>
    <w:rsid w:val="00D333D7"/>
    <w:rsid w:val="00D339DF"/>
    <w:rsid w:val="00D349C8"/>
    <w:rsid w:val="00D34E53"/>
    <w:rsid w:val="00D36184"/>
    <w:rsid w:val="00D362EE"/>
    <w:rsid w:val="00D369E3"/>
    <w:rsid w:val="00D37213"/>
    <w:rsid w:val="00D373C5"/>
    <w:rsid w:val="00D37A70"/>
    <w:rsid w:val="00D37AD3"/>
    <w:rsid w:val="00D40144"/>
    <w:rsid w:val="00D40CAB"/>
    <w:rsid w:val="00D40F71"/>
    <w:rsid w:val="00D41416"/>
    <w:rsid w:val="00D41B86"/>
    <w:rsid w:val="00D41C42"/>
    <w:rsid w:val="00D4213E"/>
    <w:rsid w:val="00D43540"/>
    <w:rsid w:val="00D451D6"/>
    <w:rsid w:val="00D45577"/>
    <w:rsid w:val="00D46BAB"/>
    <w:rsid w:val="00D47F84"/>
    <w:rsid w:val="00D5016D"/>
    <w:rsid w:val="00D50469"/>
    <w:rsid w:val="00D50891"/>
    <w:rsid w:val="00D50915"/>
    <w:rsid w:val="00D5142D"/>
    <w:rsid w:val="00D5299D"/>
    <w:rsid w:val="00D53A48"/>
    <w:rsid w:val="00D54029"/>
    <w:rsid w:val="00D547E6"/>
    <w:rsid w:val="00D54C83"/>
    <w:rsid w:val="00D54E88"/>
    <w:rsid w:val="00D5501C"/>
    <w:rsid w:val="00D5547F"/>
    <w:rsid w:val="00D55BD3"/>
    <w:rsid w:val="00D569CC"/>
    <w:rsid w:val="00D57439"/>
    <w:rsid w:val="00D600EB"/>
    <w:rsid w:val="00D619C6"/>
    <w:rsid w:val="00D62A01"/>
    <w:rsid w:val="00D648AD"/>
    <w:rsid w:val="00D657D3"/>
    <w:rsid w:val="00D65A59"/>
    <w:rsid w:val="00D6633B"/>
    <w:rsid w:val="00D66E26"/>
    <w:rsid w:val="00D6717E"/>
    <w:rsid w:val="00D67CD1"/>
    <w:rsid w:val="00D67E6A"/>
    <w:rsid w:val="00D70A30"/>
    <w:rsid w:val="00D7109F"/>
    <w:rsid w:val="00D713E2"/>
    <w:rsid w:val="00D71447"/>
    <w:rsid w:val="00D721F1"/>
    <w:rsid w:val="00D726E7"/>
    <w:rsid w:val="00D727F0"/>
    <w:rsid w:val="00D734DB"/>
    <w:rsid w:val="00D747BE"/>
    <w:rsid w:val="00D74FBD"/>
    <w:rsid w:val="00D75185"/>
    <w:rsid w:val="00D756B9"/>
    <w:rsid w:val="00D766A4"/>
    <w:rsid w:val="00D76BC3"/>
    <w:rsid w:val="00D77EDE"/>
    <w:rsid w:val="00D81635"/>
    <w:rsid w:val="00D817C7"/>
    <w:rsid w:val="00D82137"/>
    <w:rsid w:val="00D82A26"/>
    <w:rsid w:val="00D82C1E"/>
    <w:rsid w:val="00D839D4"/>
    <w:rsid w:val="00D855E2"/>
    <w:rsid w:val="00D85DFB"/>
    <w:rsid w:val="00D8623D"/>
    <w:rsid w:val="00D8640F"/>
    <w:rsid w:val="00D87137"/>
    <w:rsid w:val="00D879C7"/>
    <w:rsid w:val="00D87C29"/>
    <w:rsid w:val="00D90055"/>
    <w:rsid w:val="00D90BF3"/>
    <w:rsid w:val="00D919D3"/>
    <w:rsid w:val="00D931E0"/>
    <w:rsid w:val="00D9328C"/>
    <w:rsid w:val="00D94893"/>
    <w:rsid w:val="00D94C0B"/>
    <w:rsid w:val="00D95201"/>
    <w:rsid w:val="00D9551B"/>
    <w:rsid w:val="00D971BF"/>
    <w:rsid w:val="00DA1CCE"/>
    <w:rsid w:val="00DA1EDE"/>
    <w:rsid w:val="00DA2222"/>
    <w:rsid w:val="00DA39C9"/>
    <w:rsid w:val="00DA4399"/>
    <w:rsid w:val="00DA4D35"/>
    <w:rsid w:val="00DA5110"/>
    <w:rsid w:val="00DA57EC"/>
    <w:rsid w:val="00DA5930"/>
    <w:rsid w:val="00DA6521"/>
    <w:rsid w:val="00DA6F36"/>
    <w:rsid w:val="00DA7BA0"/>
    <w:rsid w:val="00DA7D14"/>
    <w:rsid w:val="00DB042A"/>
    <w:rsid w:val="00DB1908"/>
    <w:rsid w:val="00DB1E6A"/>
    <w:rsid w:val="00DB47F5"/>
    <w:rsid w:val="00DB4CFC"/>
    <w:rsid w:val="00DB5204"/>
    <w:rsid w:val="00DB5544"/>
    <w:rsid w:val="00DB570A"/>
    <w:rsid w:val="00DB5884"/>
    <w:rsid w:val="00DB589B"/>
    <w:rsid w:val="00DB6A1A"/>
    <w:rsid w:val="00DB6CD2"/>
    <w:rsid w:val="00DB7189"/>
    <w:rsid w:val="00DB7734"/>
    <w:rsid w:val="00DB798A"/>
    <w:rsid w:val="00DB7FC8"/>
    <w:rsid w:val="00DC0231"/>
    <w:rsid w:val="00DC04A5"/>
    <w:rsid w:val="00DC0D25"/>
    <w:rsid w:val="00DC146D"/>
    <w:rsid w:val="00DC1532"/>
    <w:rsid w:val="00DC16E6"/>
    <w:rsid w:val="00DC324D"/>
    <w:rsid w:val="00DC339B"/>
    <w:rsid w:val="00DC47AC"/>
    <w:rsid w:val="00DC5F68"/>
    <w:rsid w:val="00DC636C"/>
    <w:rsid w:val="00DD0482"/>
    <w:rsid w:val="00DD04F1"/>
    <w:rsid w:val="00DD0724"/>
    <w:rsid w:val="00DD0E70"/>
    <w:rsid w:val="00DD1F15"/>
    <w:rsid w:val="00DD2D60"/>
    <w:rsid w:val="00DD3DD7"/>
    <w:rsid w:val="00DD4582"/>
    <w:rsid w:val="00DD497B"/>
    <w:rsid w:val="00DD4A9B"/>
    <w:rsid w:val="00DD52C4"/>
    <w:rsid w:val="00DD540F"/>
    <w:rsid w:val="00DD5605"/>
    <w:rsid w:val="00DD6E55"/>
    <w:rsid w:val="00DE028E"/>
    <w:rsid w:val="00DE2621"/>
    <w:rsid w:val="00DE3DD3"/>
    <w:rsid w:val="00DE4308"/>
    <w:rsid w:val="00DE4B80"/>
    <w:rsid w:val="00DE66A6"/>
    <w:rsid w:val="00DE6BF0"/>
    <w:rsid w:val="00DE723F"/>
    <w:rsid w:val="00DE795A"/>
    <w:rsid w:val="00DF03B5"/>
    <w:rsid w:val="00DF0651"/>
    <w:rsid w:val="00DF0DFE"/>
    <w:rsid w:val="00DF143A"/>
    <w:rsid w:val="00DF14B1"/>
    <w:rsid w:val="00DF3543"/>
    <w:rsid w:val="00DF3BB2"/>
    <w:rsid w:val="00DF4194"/>
    <w:rsid w:val="00DF42DB"/>
    <w:rsid w:val="00DF47D2"/>
    <w:rsid w:val="00DF4821"/>
    <w:rsid w:val="00DF5504"/>
    <w:rsid w:val="00DF5909"/>
    <w:rsid w:val="00DF7B63"/>
    <w:rsid w:val="00DF7EEF"/>
    <w:rsid w:val="00DF7F20"/>
    <w:rsid w:val="00DF7F78"/>
    <w:rsid w:val="00E00336"/>
    <w:rsid w:val="00E006B3"/>
    <w:rsid w:val="00E00A63"/>
    <w:rsid w:val="00E00B5D"/>
    <w:rsid w:val="00E00C2D"/>
    <w:rsid w:val="00E0105D"/>
    <w:rsid w:val="00E010E8"/>
    <w:rsid w:val="00E0187B"/>
    <w:rsid w:val="00E023D7"/>
    <w:rsid w:val="00E02FAE"/>
    <w:rsid w:val="00E03880"/>
    <w:rsid w:val="00E04B63"/>
    <w:rsid w:val="00E0532E"/>
    <w:rsid w:val="00E05786"/>
    <w:rsid w:val="00E05E07"/>
    <w:rsid w:val="00E05FA4"/>
    <w:rsid w:val="00E061A1"/>
    <w:rsid w:val="00E06207"/>
    <w:rsid w:val="00E06448"/>
    <w:rsid w:val="00E06E11"/>
    <w:rsid w:val="00E07511"/>
    <w:rsid w:val="00E07AC4"/>
    <w:rsid w:val="00E07CBA"/>
    <w:rsid w:val="00E102EC"/>
    <w:rsid w:val="00E106CD"/>
    <w:rsid w:val="00E113C7"/>
    <w:rsid w:val="00E11B36"/>
    <w:rsid w:val="00E11CBF"/>
    <w:rsid w:val="00E11FE1"/>
    <w:rsid w:val="00E12617"/>
    <w:rsid w:val="00E12EE4"/>
    <w:rsid w:val="00E136C0"/>
    <w:rsid w:val="00E13E0F"/>
    <w:rsid w:val="00E153E2"/>
    <w:rsid w:val="00E15948"/>
    <w:rsid w:val="00E16AEC"/>
    <w:rsid w:val="00E1732B"/>
    <w:rsid w:val="00E20907"/>
    <w:rsid w:val="00E20B1D"/>
    <w:rsid w:val="00E21814"/>
    <w:rsid w:val="00E22063"/>
    <w:rsid w:val="00E2219F"/>
    <w:rsid w:val="00E22278"/>
    <w:rsid w:val="00E22A73"/>
    <w:rsid w:val="00E24021"/>
    <w:rsid w:val="00E245BB"/>
    <w:rsid w:val="00E256C5"/>
    <w:rsid w:val="00E26A0B"/>
    <w:rsid w:val="00E27885"/>
    <w:rsid w:val="00E27AC7"/>
    <w:rsid w:val="00E27DEA"/>
    <w:rsid w:val="00E31799"/>
    <w:rsid w:val="00E31F31"/>
    <w:rsid w:val="00E32024"/>
    <w:rsid w:val="00E32616"/>
    <w:rsid w:val="00E32A84"/>
    <w:rsid w:val="00E32EA4"/>
    <w:rsid w:val="00E33215"/>
    <w:rsid w:val="00E33597"/>
    <w:rsid w:val="00E34B5D"/>
    <w:rsid w:val="00E35EF7"/>
    <w:rsid w:val="00E3610D"/>
    <w:rsid w:val="00E36F47"/>
    <w:rsid w:val="00E37BB2"/>
    <w:rsid w:val="00E37E42"/>
    <w:rsid w:val="00E4127B"/>
    <w:rsid w:val="00E41304"/>
    <w:rsid w:val="00E418DE"/>
    <w:rsid w:val="00E419FD"/>
    <w:rsid w:val="00E41EBA"/>
    <w:rsid w:val="00E42285"/>
    <w:rsid w:val="00E43225"/>
    <w:rsid w:val="00E434B1"/>
    <w:rsid w:val="00E4478F"/>
    <w:rsid w:val="00E44D58"/>
    <w:rsid w:val="00E450D9"/>
    <w:rsid w:val="00E45111"/>
    <w:rsid w:val="00E45B14"/>
    <w:rsid w:val="00E45DFB"/>
    <w:rsid w:val="00E45F3D"/>
    <w:rsid w:val="00E460CD"/>
    <w:rsid w:val="00E463F9"/>
    <w:rsid w:val="00E464A3"/>
    <w:rsid w:val="00E47F30"/>
    <w:rsid w:val="00E501AF"/>
    <w:rsid w:val="00E50901"/>
    <w:rsid w:val="00E50CBD"/>
    <w:rsid w:val="00E50FCC"/>
    <w:rsid w:val="00E514C6"/>
    <w:rsid w:val="00E51DA1"/>
    <w:rsid w:val="00E5220C"/>
    <w:rsid w:val="00E52BC3"/>
    <w:rsid w:val="00E54358"/>
    <w:rsid w:val="00E54B67"/>
    <w:rsid w:val="00E55C71"/>
    <w:rsid w:val="00E561C2"/>
    <w:rsid w:val="00E56296"/>
    <w:rsid w:val="00E56E4E"/>
    <w:rsid w:val="00E576F9"/>
    <w:rsid w:val="00E57850"/>
    <w:rsid w:val="00E606CB"/>
    <w:rsid w:val="00E611AB"/>
    <w:rsid w:val="00E62075"/>
    <w:rsid w:val="00E64058"/>
    <w:rsid w:val="00E6428E"/>
    <w:rsid w:val="00E64A88"/>
    <w:rsid w:val="00E6525E"/>
    <w:rsid w:val="00E66467"/>
    <w:rsid w:val="00E667EC"/>
    <w:rsid w:val="00E67347"/>
    <w:rsid w:val="00E70347"/>
    <w:rsid w:val="00E72AB3"/>
    <w:rsid w:val="00E72F80"/>
    <w:rsid w:val="00E73044"/>
    <w:rsid w:val="00E73252"/>
    <w:rsid w:val="00E74A92"/>
    <w:rsid w:val="00E74D09"/>
    <w:rsid w:val="00E74EFE"/>
    <w:rsid w:val="00E75431"/>
    <w:rsid w:val="00E7550E"/>
    <w:rsid w:val="00E75EAC"/>
    <w:rsid w:val="00E77350"/>
    <w:rsid w:val="00E77488"/>
    <w:rsid w:val="00E776D9"/>
    <w:rsid w:val="00E7788B"/>
    <w:rsid w:val="00E77BAF"/>
    <w:rsid w:val="00E80300"/>
    <w:rsid w:val="00E80516"/>
    <w:rsid w:val="00E80EE3"/>
    <w:rsid w:val="00E81304"/>
    <w:rsid w:val="00E818E8"/>
    <w:rsid w:val="00E82535"/>
    <w:rsid w:val="00E82621"/>
    <w:rsid w:val="00E82AED"/>
    <w:rsid w:val="00E83490"/>
    <w:rsid w:val="00E8349C"/>
    <w:rsid w:val="00E83A85"/>
    <w:rsid w:val="00E840E8"/>
    <w:rsid w:val="00E8467F"/>
    <w:rsid w:val="00E84812"/>
    <w:rsid w:val="00E84A30"/>
    <w:rsid w:val="00E855AC"/>
    <w:rsid w:val="00E85EC6"/>
    <w:rsid w:val="00E868F2"/>
    <w:rsid w:val="00E87CA3"/>
    <w:rsid w:val="00E905FD"/>
    <w:rsid w:val="00E918B6"/>
    <w:rsid w:val="00E91D00"/>
    <w:rsid w:val="00E928F2"/>
    <w:rsid w:val="00E92C78"/>
    <w:rsid w:val="00E93A0B"/>
    <w:rsid w:val="00E93B69"/>
    <w:rsid w:val="00E9481C"/>
    <w:rsid w:val="00E94B1D"/>
    <w:rsid w:val="00E94E9B"/>
    <w:rsid w:val="00E95631"/>
    <w:rsid w:val="00E9662E"/>
    <w:rsid w:val="00EA021A"/>
    <w:rsid w:val="00EA02FA"/>
    <w:rsid w:val="00EA1023"/>
    <w:rsid w:val="00EA1A71"/>
    <w:rsid w:val="00EA3047"/>
    <w:rsid w:val="00EA394F"/>
    <w:rsid w:val="00EA3CF1"/>
    <w:rsid w:val="00EA43D0"/>
    <w:rsid w:val="00EA4AAD"/>
    <w:rsid w:val="00EA5202"/>
    <w:rsid w:val="00EA5670"/>
    <w:rsid w:val="00EA5D7F"/>
    <w:rsid w:val="00EA5F73"/>
    <w:rsid w:val="00EA6367"/>
    <w:rsid w:val="00EA639E"/>
    <w:rsid w:val="00EA69DD"/>
    <w:rsid w:val="00EA6A85"/>
    <w:rsid w:val="00EA6CD7"/>
    <w:rsid w:val="00EA6EE9"/>
    <w:rsid w:val="00EB051B"/>
    <w:rsid w:val="00EB092D"/>
    <w:rsid w:val="00EB1810"/>
    <w:rsid w:val="00EB1A38"/>
    <w:rsid w:val="00EB258A"/>
    <w:rsid w:val="00EB2EDF"/>
    <w:rsid w:val="00EB342C"/>
    <w:rsid w:val="00EB3BA5"/>
    <w:rsid w:val="00EB4923"/>
    <w:rsid w:val="00EB551D"/>
    <w:rsid w:val="00EB7DC4"/>
    <w:rsid w:val="00EC05D5"/>
    <w:rsid w:val="00EC0954"/>
    <w:rsid w:val="00EC1D5F"/>
    <w:rsid w:val="00EC1F0E"/>
    <w:rsid w:val="00EC2074"/>
    <w:rsid w:val="00EC231D"/>
    <w:rsid w:val="00EC2423"/>
    <w:rsid w:val="00EC2765"/>
    <w:rsid w:val="00EC27CA"/>
    <w:rsid w:val="00EC32A7"/>
    <w:rsid w:val="00EC3F75"/>
    <w:rsid w:val="00EC52E7"/>
    <w:rsid w:val="00EC5ABF"/>
    <w:rsid w:val="00EC5F53"/>
    <w:rsid w:val="00EC642F"/>
    <w:rsid w:val="00EC6479"/>
    <w:rsid w:val="00EC78A3"/>
    <w:rsid w:val="00EC7A04"/>
    <w:rsid w:val="00ED04AD"/>
    <w:rsid w:val="00ED1BA8"/>
    <w:rsid w:val="00ED1E4A"/>
    <w:rsid w:val="00ED1ECE"/>
    <w:rsid w:val="00ED1F14"/>
    <w:rsid w:val="00ED2ADB"/>
    <w:rsid w:val="00ED33B2"/>
    <w:rsid w:val="00ED4301"/>
    <w:rsid w:val="00ED449D"/>
    <w:rsid w:val="00ED4956"/>
    <w:rsid w:val="00ED4A33"/>
    <w:rsid w:val="00ED667A"/>
    <w:rsid w:val="00ED7087"/>
    <w:rsid w:val="00ED7CB7"/>
    <w:rsid w:val="00ED7D42"/>
    <w:rsid w:val="00EE0032"/>
    <w:rsid w:val="00EE0E5C"/>
    <w:rsid w:val="00EE11DE"/>
    <w:rsid w:val="00EE154C"/>
    <w:rsid w:val="00EE1569"/>
    <w:rsid w:val="00EE173D"/>
    <w:rsid w:val="00EE1D88"/>
    <w:rsid w:val="00EE5F30"/>
    <w:rsid w:val="00EE6432"/>
    <w:rsid w:val="00EE675B"/>
    <w:rsid w:val="00EE6E54"/>
    <w:rsid w:val="00EE6F0F"/>
    <w:rsid w:val="00EE702B"/>
    <w:rsid w:val="00EE7A39"/>
    <w:rsid w:val="00EE7C09"/>
    <w:rsid w:val="00EE7F65"/>
    <w:rsid w:val="00EF0E69"/>
    <w:rsid w:val="00EF1676"/>
    <w:rsid w:val="00EF1B6A"/>
    <w:rsid w:val="00EF1B7A"/>
    <w:rsid w:val="00EF2151"/>
    <w:rsid w:val="00EF2ED2"/>
    <w:rsid w:val="00EF4BF9"/>
    <w:rsid w:val="00EF5318"/>
    <w:rsid w:val="00EF62BD"/>
    <w:rsid w:val="00EF6A87"/>
    <w:rsid w:val="00EF6D6C"/>
    <w:rsid w:val="00EF77B2"/>
    <w:rsid w:val="00EF7A5E"/>
    <w:rsid w:val="00F005DF"/>
    <w:rsid w:val="00F00FBA"/>
    <w:rsid w:val="00F0217F"/>
    <w:rsid w:val="00F02918"/>
    <w:rsid w:val="00F0412F"/>
    <w:rsid w:val="00F05526"/>
    <w:rsid w:val="00F05846"/>
    <w:rsid w:val="00F05F5F"/>
    <w:rsid w:val="00F06C74"/>
    <w:rsid w:val="00F07163"/>
    <w:rsid w:val="00F07DF7"/>
    <w:rsid w:val="00F10E0D"/>
    <w:rsid w:val="00F11423"/>
    <w:rsid w:val="00F1362A"/>
    <w:rsid w:val="00F1435E"/>
    <w:rsid w:val="00F1529B"/>
    <w:rsid w:val="00F15DDD"/>
    <w:rsid w:val="00F160AF"/>
    <w:rsid w:val="00F167B0"/>
    <w:rsid w:val="00F1746A"/>
    <w:rsid w:val="00F17CD1"/>
    <w:rsid w:val="00F20112"/>
    <w:rsid w:val="00F201B7"/>
    <w:rsid w:val="00F2050D"/>
    <w:rsid w:val="00F20AD7"/>
    <w:rsid w:val="00F20E07"/>
    <w:rsid w:val="00F21333"/>
    <w:rsid w:val="00F21515"/>
    <w:rsid w:val="00F21960"/>
    <w:rsid w:val="00F24060"/>
    <w:rsid w:val="00F2420E"/>
    <w:rsid w:val="00F24D65"/>
    <w:rsid w:val="00F259D4"/>
    <w:rsid w:val="00F25B46"/>
    <w:rsid w:val="00F26C8F"/>
    <w:rsid w:val="00F2748A"/>
    <w:rsid w:val="00F274E0"/>
    <w:rsid w:val="00F277F4"/>
    <w:rsid w:val="00F30096"/>
    <w:rsid w:val="00F3018C"/>
    <w:rsid w:val="00F31692"/>
    <w:rsid w:val="00F31C68"/>
    <w:rsid w:val="00F34235"/>
    <w:rsid w:val="00F34BB0"/>
    <w:rsid w:val="00F36832"/>
    <w:rsid w:val="00F404D7"/>
    <w:rsid w:val="00F40CB3"/>
    <w:rsid w:val="00F4128B"/>
    <w:rsid w:val="00F41668"/>
    <w:rsid w:val="00F41A53"/>
    <w:rsid w:val="00F42683"/>
    <w:rsid w:val="00F42EC4"/>
    <w:rsid w:val="00F436FC"/>
    <w:rsid w:val="00F44A18"/>
    <w:rsid w:val="00F44B56"/>
    <w:rsid w:val="00F44F10"/>
    <w:rsid w:val="00F45C56"/>
    <w:rsid w:val="00F461B7"/>
    <w:rsid w:val="00F4673B"/>
    <w:rsid w:val="00F46B2A"/>
    <w:rsid w:val="00F46CA5"/>
    <w:rsid w:val="00F51736"/>
    <w:rsid w:val="00F51833"/>
    <w:rsid w:val="00F5211A"/>
    <w:rsid w:val="00F525E9"/>
    <w:rsid w:val="00F525FE"/>
    <w:rsid w:val="00F5261F"/>
    <w:rsid w:val="00F52AF4"/>
    <w:rsid w:val="00F536FC"/>
    <w:rsid w:val="00F54760"/>
    <w:rsid w:val="00F548BD"/>
    <w:rsid w:val="00F548DA"/>
    <w:rsid w:val="00F551CB"/>
    <w:rsid w:val="00F55340"/>
    <w:rsid w:val="00F55D27"/>
    <w:rsid w:val="00F568FD"/>
    <w:rsid w:val="00F56EEC"/>
    <w:rsid w:val="00F570FE"/>
    <w:rsid w:val="00F57FE2"/>
    <w:rsid w:val="00F60DF4"/>
    <w:rsid w:val="00F616B3"/>
    <w:rsid w:val="00F6200D"/>
    <w:rsid w:val="00F6335F"/>
    <w:rsid w:val="00F63B2A"/>
    <w:rsid w:val="00F64105"/>
    <w:rsid w:val="00F650E4"/>
    <w:rsid w:val="00F65445"/>
    <w:rsid w:val="00F65E42"/>
    <w:rsid w:val="00F6709C"/>
    <w:rsid w:val="00F677E2"/>
    <w:rsid w:val="00F7141C"/>
    <w:rsid w:val="00F72B01"/>
    <w:rsid w:val="00F7368E"/>
    <w:rsid w:val="00F74497"/>
    <w:rsid w:val="00F74BC1"/>
    <w:rsid w:val="00F76682"/>
    <w:rsid w:val="00F770F4"/>
    <w:rsid w:val="00F774BC"/>
    <w:rsid w:val="00F80167"/>
    <w:rsid w:val="00F82FC9"/>
    <w:rsid w:val="00F840C6"/>
    <w:rsid w:val="00F84121"/>
    <w:rsid w:val="00F85EB1"/>
    <w:rsid w:val="00F868CA"/>
    <w:rsid w:val="00F874EA"/>
    <w:rsid w:val="00F9028B"/>
    <w:rsid w:val="00F90339"/>
    <w:rsid w:val="00F906DF"/>
    <w:rsid w:val="00F90B2B"/>
    <w:rsid w:val="00F90F49"/>
    <w:rsid w:val="00F91021"/>
    <w:rsid w:val="00F91890"/>
    <w:rsid w:val="00F91D88"/>
    <w:rsid w:val="00F92355"/>
    <w:rsid w:val="00F92539"/>
    <w:rsid w:val="00F93542"/>
    <w:rsid w:val="00F945E5"/>
    <w:rsid w:val="00F95C7B"/>
    <w:rsid w:val="00F96DF4"/>
    <w:rsid w:val="00F971D9"/>
    <w:rsid w:val="00FA1510"/>
    <w:rsid w:val="00FA1AFD"/>
    <w:rsid w:val="00FA234A"/>
    <w:rsid w:val="00FA277B"/>
    <w:rsid w:val="00FA2A6F"/>
    <w:rsid w:val="00FA3488"/>
    <w:rsid w:val="00FA4AAB"/>
    <w:rsid w:val="00FA5197"/>
    <w:rsid w:val="00FA5721"/>
    <w:rsid w:val="00FA5A09"/>
    <w:rsid w:val="00FA5BD0"/>
    <w:rsid w:val="00FA670D"/>
    <w:rsid w:val="00FA6BB6"/>
    <w:rsid w:val="00FA7C8C"/>
    <w:rsid w:val="00FA7CED"/>
    <w:rsid w:val="00FB026F"/>
    <w:rsid w:val="00FB1011"/>
    <w:rsid w:val="00FB109F"/>
    <w:rsid w:val="00FB12A5"/>
    <w:rsid w:val="00FB1586"/>
    <w:rsid w:val="00FB1632"/>
    <w:rsid w:val="00FB467A"/>
    <w:rsid w:val="00FB4714"/>
    <w:rsid w:val="00FB55AD"/>
    <w:rsid w:val="00FB5DBA"/>
    <w:rsid w:val="00FB745C"/>
    <w:rsid w:val="00FC0A7B"/>
    <w:rsid w:val="00FC10ED"/>
    <w:rsid w:val="00FC2612"/>
    <w:rsid w:val="00FC3162"/>
    <w:rsid w:val="00FC356C"/>
    <w:rsid w:val="00FC4B8D"/>
    <w:rsid w:val="00FC56B9"/>
    <w:rsid w:val="00FC5CC9"/>
    <w:rsid w:val="00FC6449"/>
    <w:rsid w:val="00FC6460"/>
    <w:rsid w:val="00FC6BFB"/>
    <w:rsid w:val="00FC773A"/>
    <w:rsid w:val="00FD1933"/>
    <w:rsid w:val="00FD22C1"/>
    <w:rsid w:val="00FD2EF9"/>
    <w:rsid w:val="00FD3C5E"/>
    <w:rsid w:val="00FD6125"/>
    <w:rsid w:val="00FD6149"/>
    <w:rsid w:val="00FD698C"/>
    <w:rsid w:val="00FE056E"/>
    <w:rsid w:val="00FE0CF0"/>
    <w:rsid w:val="00FE24C7"/>
    <w:rsid w:val="00FE32B8"/>
    <w:rsid w:val="00FE391F"/>
    <w:rsid w:val="00FE3B8D"/>
    <w:rsid w:val="00FE3FEA"/>
    <w:rsid w:val="00FE49B0"/>
    <w:rsid w:val="00FE5C05"/>
    <w:rsid w:val="00FE60B3"/>
    <w:rsid w:val="00FE69F0"/>
    <w:rsid w:val="00FE6B08"/>
    <w:rsid w:val="00FE7659"/>
    <w:rsid w:val="00FE7B8A"/>
    <w:rsid w:val="00FF0488"/>
    <w:rsid w:val="00FF1630"/>
    <w:rsid w:val="00FF39B2"/>
    <w:rsid w:val="00FF4DE8"/>
    <w:rsid w:val="00FF5596"/>
    <w:rsid w:val="00FF5814"/>
    <w:rsid w:val="00FF5CAB"/>
    <w:rsid w:val="00FF788D"/>
    <w:rsid w:val="00FF7B6A"/>
    <w:rsid w:val="00FF7E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7B4D16"/>
  <w15:docId w15:val="{A1718DD7-250C-44DF-A2FA-D69C33B3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510"/>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46BAB"/>
    <w:pPr>
      <w:spacing w:after="120"/>
      <w:jc w:val="both"/>
    </w:pPr>
  </w:style>
  <w:style w:type="paragraph" w:styleId="Stopka">
    <w:name w:val="footer"/>
    <w:basedOn w:val="Normalny"/>
    <w:link w:val="StopkaZnak"/>
    <w:uiPriority w:val="99"/>
    <w:rsid w:val="00D46BAB"/>
    <w:pPr>
      <w:tabs>
        <w:tab w:val="center" w:pos="4536"/>
        <w:tab w:val="right" w:pos="9072"/>
      </w:tabs>
    </w:pPr>
  </w:style>
  <w:style w:type="paragraph" w:styleId="Tekstpodstawowy3">
    <w:name w:val="Body Text 3"/>
    <w:basedOn w:val="Normalny"/>
    <w:rsid w:val="00D46BAB"/>
    <w:pPr>
      <w:spacing w:after="120"/>
    </w:pPr>
    <w:rPr>
      <w:sz w:val="16"/>
      <w:szCs w:val="16"/>
    </w:rPr>
  </w:style>
  <w:style w:type="paragraph" w:customStyle="1" w:styleId="Tekstpodstawowywcity21">
    <w:name w:val="Tekst podstawowy wcięty 21"/>
    <w:basedOn w:val="Normalny"/>
    <w:rsid w:val="00D46BAB"/>
    <w:pPr>
      <w:overflowPunct w:val="0"/>
      <w:autoSpaceDE w:val="0"/>
      <w:autoSpaceDN w:val="0"/>
      <w:adjustRightInd w:val="0"/>
      <w:ind w:firstLine="708"/>
      <w:jc w:val="both"/>
      <w:textAlignment w:val="baseline"/>
    </w:pPr>
    <w:rPr>
      <w:szCs w:val="20"/>
    </w:rPr>
  </w:style>
  <w:style w:type="paragraph" w:customStyle="1" w:styleId="Default">
    <w:name w:val="Default"/>
    <w:rsid w:val="00D46BAB"/>
    <w:pPr>
      <w:autoSpaceDE w:val="0"/>
      <w:autoSpaceDN w:val="0"/>
      <w:adjustRightInd w:val="0"/>
    </w:pPr>
    <w:rPr>
      <w:rFonts w:ascii="Arial" w:eastAsia="Calibri" w:hAnsi="Arial" w:cs="Arial"/>
      <w:color w:val="000000"/>
      <w:sz w:val="24"/>
      <w:szCs w:val="24"/>
      <w:lang w:eastAsia="en-US"/>
    </w:rPr>
  </w:style>
  <w:style w:type="character" w:styleId="Numerstrony">
    <w:name w:val="page number"/>
    <w:basedOn w:val="Domylnaczcionkaakapitu"/>
    <w:rsid w:val="00D46BAB"/>
  </w:style>
  <w:style w:type="paragraph" w:styleId="Tekstpodstawowywcity">
    <w:name w:val="Body Text Indent"/>
    <w:basedOn w:val="Normalny"/>
    <w:link w:val="TekstpodstawowywcityZnak"/>
    <w:rsid w:val="00D46BAB"/>
    <w:pPr>
      <w:spacing w:after="120"/>
      <w:ind w:left="283"/>
    </w:pPr>
  </w:style>
  <w:style w:type="character" w:styleId="Hipercze">
    <w:name w:val="Hyperlink"/>
    <w:basedOn w:val="Domylnaczcionkaakapitu"/>
    <w:rsid w:val="00030279"/>
    <w:rPr>
      <w:color w:val="0000FF"/>
      <w:u w:val="single"/>
    </w:rPr>
  </w:style>
  <w:style w:type="paragraph" w:customStyle="1" w:styleId="punkt">
    <w:name w:val="punkt"/>
    <w:basedOn w:val="Normalny"/>
    <w:rsid w:val="008022AB"/>
    <w:pPr>
      <w:spacing w:before="60" w:after="60"/>
      <w:ind w:left="840" w:hanging="284"/>
      <w:jc w:val="both"/>
      <w:outlineLvl w:val="3"/>
    </w:pPr>
    <w:rPr>
      <w:szCs w:val="22"/>
      <w:lang w:eastAsia="en-US"/>
    </w:rPr>
  </w:style>
  <w:style w:type="paragraph" w:styleId="Tekstprzypisudolnego">
    <w:name w:val="footnote text"/>
    <w:basedOn w:val="Normalny"/>
    <w:link w:val="TekstprzypisudolnegoZnak"/>
    <w:semiHidden/>
    <w:rsid w:val="00C87599"/>
    <w:pPr>
      <w:spacing w:before="60" w:after="60"/>
      <w:jc w:val="both"/>
    </w:pPr>
    <w:rPr>
      <w:sz w:val="20"/>
      <w:szCs w:val="22"/>
      <w:lang w:eastAsia="en-US"/>
    </w:rPr>
  </w:style>
  <w:style w:type="character" w:customStyle="1" w:styleId="TekstprzypisudolnegoZnak">
    <w:name w:val="Tekst przypisu dolnego Znak"/>
    <w:basedOn w:val="Domylnaczcionkaakapitu"/>
    <w:link w:val="Tekstprzypisudolnego"/>
    <w:semiHidden/>
    <w:locked/>
    <w:rsid w:val="00C87599"/>
    <w:rPr>
      <w:szCs w:val="22"/>
      <w:lang w:val="pl-PL" w:eastAsia="en-US" w:bidi="ar-SA"/>
    </w:rPr>
  </w:style>
  <w:style w:type="character" w:styleId="Odwoanieprzypisudolnego">
    <w:name w:val="footnote reference"/>
    <w:basedOn w:val="Domylnaczcionkaakapitu"/>
    <w:semiHidden/>
    <w:rsid w:val="00C87599"/>
    <w:rPr>
      <w:rFonts w:cs="Times New Roman"/>
      <w:vertAlign w:val="superscript"/>
    </w:rPr>
  </w:style>
  <w:style w:type="paragraph" w:customStyle="1" w:styleId="p">
    <w:name w:val="p"/>
    <w:uiPriority w:val="99"/>
    <w:rsid w:val="00C87599"/>
    <w:pPr>
      <w:widowControl w:val="0"/>
      <w:autoSpaceDE w:val="0"/>
      <w:autoSpaceDN w:val="0"/>
      <w:adjustRightInd w:val="0"/>
      <w:spacing w:before="20" w:after="40" w:line="40" w:lineRule="atLeast"/>
      <w:jc w:val="both"/>
    </w:pPr>
    <w:rPr>
      <w:rFonts w:ascii="Arial" w:hAnsi="Arial" w:cs="Arial"/>
      <w:color w:val="000000"/>
      <w:sz w:val="18"/>
      <w:szCs w:val="18"/>
    </w:rPr>
  </w:style>
  <w:style w:type="paragraph" w:styleId="Tekstdymka">
    <w:name w:val="Balloon Text"/>
    <w:basedOn w:val="Normalny"/>
    <w:semiHidden/>
    <w:rsid w:val="00EA4AAD"/>
    <w:rPr>
      <w:rFonts w:ascii="Tahoma" w:hAnsi="Tahoma" w:cs="Tahoma"/>
      <w:sz w:val="16"/>
      <w:szCs w:val="16"/>
    </w:rPr>
  </w:style>
  <w:style w:type="paragraph" w:customStyle="1" w:styleId="Styl">
    <w:name w:val="Styl"/>
    <w:rsid w:val="00CB647C"/>
    <w:pPr>
      <w:widowControl w:val="0"/>
      <w:autoSpaceDE w:val="0"/>
      <w:autoSpaceDN w:val="0"/>
      <w:adjustRightInd w:val="0"/>
    </w:pPr>
    <w:rPr>
      <w:sz w:val="24"/>
      <w:szCs w:val="24"/>
    </w:rPr>
  </w:style>
  <w:style w:type="paragraph" w:styleId="Tekstpodstawowywcity2">
    <w:name w:val="Body Text Indent 2"/>
    <w:basedOn w:val="Normalny"/>
    <w:link w:val="Tekstpodstawowywcity2Znak"/>
    <w:unhideWhenUsed/>
    <w:rsid w:val="004239E7"/>
    <w:pPr>
      <w:spacing w:after="120" w:line="480" w:lineRule="auto"/>
      <w:ind w:left="283"/>
    </w:pPr>
    <w:rPr>
      <w:sz w:val="20"/>
      <w:szCs w:val="20"/>
    </w:rPr>
  </w:style>
  <w:style w:type="character" w:customStyle="1" w:styleId="Tekstpodstawowywcity2Znak">
    <w:name w:val="Tekst podstawowy wcięty 2 Znak"/>
    <w:link w:val="Tekstpodstawowywcity2"/>
    <w:rsid w:val="004239E7"/>
    <w:rPr>
      <w:lang w:val="pl-PL" w:eastAsia="pl-PL" w:bidi="ar-SA"/>
    </w:rPr>
  </w:style>
  <w:style w:type="paragraph" w:styleId="Nagwek">
    <w:name w:val="header"/>
    <w:basedOn w:val="Normalny"/>
    <w:link w:val="NagwekZnak"/>
    <w:unhideWhenUsed/>
    <w:rsid w:val="00F64105"/>
    <w:pPr>
      <w:tabs>
        <w:tab w:val="center" w:pos="4320"/>
        <w:tab w:val="right" w:pos="8640"/>
      </w:tabs>
    </w:pPr>
    <w:rPr>
      <w:rFonts w:ascii="Cambria" w:eastAsia="Cambria" w:hAnsi="Cambria"/>
      <w:lang w:eastAsia="en-US"/>
    </w:rPr>
  </w:style>
  <w:style w:type="character" w:customStyle="1" w:styleId="NagwekZnak">
    <w:name w:val="Nagłówek Znak"/>
    <w:basedOn w:val="Domylnaczcionkaakapitu"/>
    <w:link w:val="Nagwek"/>
    <w:rsid w:val="00F64105"/>
    <w:rPr>
      <w:rFonts w:ascii="Cambria" w:eastAsia="Cambria" w:hAnsi="Cambria"/>
      <w:sz w:val="24"/>
      <w:szCs w:val="24"/>
      <w:lang w:val="pl-PL" w:eastAsia="en-US" w:bidi="ar-SA"/>
    </w:rPr>
  </w:style>
  <w:style w:type="paragraph" w:styleId="Tekstpodstawowywcity3">
    <w:name w:val="Body Text Indent 3"/>
    <w:basedOn w:val="Normalny"/>
    <w:rsid w:val="00F64105"/>
    <w:pPr>
      <w:spacing w:after="120"/>
      <w:ind w:left="283"/>
    </w:pPr>
    <w:rPr>
      <w:rFonts w:ascii="Cambria" w:eastAsia="Cambria" w:hAnsi="Cambria"/>
      <w:sz w:val="16"/>
      <w:szCs w:val="16"/>
      <w:lang w:eastAsia="en-US"/>
    </w:rPr>
  </w:style>
  <w:style w:type="paragraph" w:customStyle="1" w:styleId="Znak1ZnakZnakZnakZnakZnakZnak">
    <w:name w:val="Znak1 Znak Znak Znak Znak Znak Znak"/>
    <w:basedOn w:val="Normalny"/>
    <w:rsid w:val="00320D25"/>
  </w:style>
  <w:style w:type="table" w:styleId="Tabela-Siatka">
    <w:name w:val="Table Grid"/>
    <w:basedOn w:val="Standardowy"/>
    <w:rsid w:val="00320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7,2 pt,Po:  12 pt"/>
    <w:basedOn w:val="Normalny"/>
    <w:rsid w:val="004A293F"/>
    <w:pPr>
      <w:shd w:val="clear" w:color="auto" w:fill="FFFFFF"/>
      <w:spacing w:before="12" w:after="240"/>
      <w:ind w:left="19"/>
      <w:jc w:val="both"/>
    </w:pPr>
    <w:rPr>
      <w:spacing w:val="10"/>
    </w:rPr>
  </w:style>
  <w:style w:type="character" w:customStyle="1" w:styleId="StopkaZnak">
    <w:name w:val="Stopka Znak"/>
    <w:basedOn w:val="Domylnaczcionkaakapitu"/>
    <w:link w:val="Stopka"/>
    <w:uiPriority w:val="99"/>
    <w:rsid w:val="007F167B"/>
    <w:rPr>
      <w:sz w:val="24"/>
      <w:szCs w:val="24"/>
    </w:rPr>
  </w:style>
  <w:style w:type="paragraph" w:styleId="Akapitzlist">
    <w:name w:val="List Paragraph"/>
    <w:basedOn w:val="Normalny"/>
    <w:uiPriority w:val="34"/>
    <w:qFormat/>
    <w:rsid w:val="005D2E7C"/>
    <w:pPr>
      <w:ind w:left="720"/>
      <w:contextualSpacing/>
    </w:pPr>
  </w:style>
  <w:style w:type="paragraph" w:customStyle="1" w:styleId="tekstjed">
    <w:name w:val="tekst_jed"/>
    <w:uiPriority w:val="99"/>
    <w:rsid w:val="007C12E4"/>
    <w:pPr>
      <w:spacing w:before="60" w:after="60"/>
      <w:jc w:val="both"/>
      <w:outlineLvl w:val="2"/>
    </w:pPr>
    <w:rPr>
      <w:sz w:val="24"/>
      <w:szCs w:val="22"/>
      <w:lang w:eastAsia="en-US"/>
    </w:rPr>
  </w:style>
  <w:style w:type="paragraph" w:styleId="NormalnyWeb">
    <w:name w:val="Normal (Web)"/>
    <w:basedOn w:val="Normalny"/>
    <w:uiPriority w:val="99"/>
    <w:unhideWhenUsed/>
    <w:rsid w:val="007C12E4"/>
    <w:pPr>
      <w:spacing w:after="200" w:line="276" w:lineRule="auto"/>
    </w:pPr>
    <w:rPr>
      <w:rFonts w:eastAsiaTheme="minorHAnsi"/>
      <w:lang w:eastAsia="en-US"/>
    </w:rPr>
  </w:style>
  <w:style w:type="character" w:customStyle="1" w:styleId="TekstpodstawowyZnak">
    <w:name w:val="Tekst podstawowy Znak"/>
    <w:basedOn w:val="Domylnaczcionkaakapitu"/>
    <w:link w:val="Tekstpodstawowy"/>
    <w:rsid w:val="007C12E4"/>
    <w:rPr>
      <w:sz w:val="24"/>
      <w:szCs w:val="24"/>
    </w:rPr>
  </w:style>
  <w:style w:type="character" w:customStyle="1" w:styleId="Bodytext">
    <w:name w:val="Body text_"/>
    <w:basedOn w:val="Domylnaczcionkaakapitu"/>
    <w:link w:val="Tekstpodstawowy30"/>
    <w:locked/>
    <w:rsid w:val="004111DA"/>
    <w:rPr>
      <w:shd w:val="clear" w:color="auto" w:fill="FFFFFF"/>
    </w:rPr>
  </w:style>
  <w:style w:type="paragraph" w:customStyle="1" w:styleId="Tekstpodstawowy30">
    <w:name w:val="Tekst podstawowy3"/>
    <w:basedOn w:val="Normalny"/>
    <w:link w:val="Bodytext"/>
    <w:rsid w:val="004111DA"/>
    <w:pPr>
      <w:shd w:val="clear" w:color="auto" w:fill="FFFFFF"/>
      <w:spacing w:before="600" w:after="300" w:line="0" w:lineRule="atLeast"/>
      <w:ind w:hanging="300"/>
      <w:jc w:val="both"/>
    </w:pPr>
    <w:rPr>
      <w:sz w:val="20"/>
      <w:szCs w:val="20"/>
    </w:rPr>
  </w:style>
  <w:style w:type="paragraph" w:styleId="Tytu">
    <w:name w:val="Title"/>
    <w:basedOn w:val="Normalny"/>
    <w:link w:val="TytuZnak"/>
    <w:qFormat/>
    <w:rsid w:val="00E04B63"/>
    <w:pPr>
      <w:jc w:val="center"/>
    </w:pPr>
    <w:rPr>
      <w:b/>
      <w:bCs/>
    </w:rPr>
  </w:style>
  <w:style w:type="character" w:customStyle="1" w:styleId="TytuZnak">
    <w:name w:val="Tytuł Znak"/>
    <w:basedOn w:val="Domylnaczcionkaakapitu"/>
    <w:link w:val="Tytu"/>
    <w:rsid w:val="00E04B63"/>
    <w:rPr>
      <w:b/>
      <w:bCs/>
      <w:sz w:val="24"/>
      <w:szCs w:val="24"/>
    </w:rPr>
  </w:style>
  <w:style w:type="paragraph" w:styleId="Poprawka">
    <w:name w:val="Revision"/>
    <w:hidden/>
    <w:uiPriority w:val="99"/>
    <w:semiHidden/>
    <w:rsid w:val="009D7E03"/>
    <w:rPr>
      <w:sz w:val="24"/>
      <w:szCs w:val="24"/>
    </w:rPr>
  </w:style>
  <w:style w:type="paragraph" w:customStyle="1" w:styleId="NIEARTTEKSTtekstnieartykuowanynppodstprawnarozplubpreambua">
    <w:name w:val="NIEART_TEKST – tekst nieartykułowany (np. podst. prawna rozp. lub preambuła)"/>
    <w:basedOn w:val="Normalny"/>
    <w:uiPriority w:val="7"/>
    <w:qFormat/>
    <w:rsid w:val="00881BD2"/>
    <w:pPr>
      <w:autoSpaceDE w:val="0"/>
      <w:autoSpaceDN w:val="0"/>
      <w:spacing w:before="120" w:line="360" w:lineRule="auto"/>
      <w:ind w:firstLine="510"/>
      <w:jc w:val="both"/>
    </w:pPr>
    <w:rPr>
      <w:rFonts w:ascii="Times" w:eastAsiaTheme="minorHAnsi" w:hAnsi="Times" w:cs="Times"/>
    </w:rPr>
  </w:style>
  <w:style w:type="character" w:customStyle="1" w:styleId="NIEARTTEKSTtekstnieartykuowanynppreambuaZnak">
    <w:name w:val="NIEART_TEKST – tekst nieartykułowany (np. preambuła) Znak"/>
    <w:basedOn w:val="Domylnaczcionkaakapitu"/>
    <w:link w:val="NIEARTTEKSTtekstnieartykuowanynppreambua"/>
    <w:uiPriority w:val="4"/>
    <w:locked/>
    <w:rsid w:val="00881BD2"/>
    <w:rPr>
      <w:rFonts w:ascii="Times" w:hAnsi="Times" w:cs="Times"/>
    </w:rPr>
  </w:style>
  <w:style w:type="paragraph" w:customStyle="1" w:styleId="NIEARTTEKSTtekstnieartykuowanynppreambua">
    <w:name w:val="NIEART_TEKST – tekst nieartykułowany (np. preambuła)"/>
    <w:basedOn w:val="Normalny"/>
    <w:link w:val="NIEARTTEKSTtekstnieartykuowanynppreambuaZnak"/>
    <w:uiPriority w:val="4"/>
    <w:rsid w:val="00881BD2"/>
    <w:pPr>
      <w:autoSpaceDE w:val="0"/>
      <w:autoSpaceDN w:val="0"/>
      <w:spacing w:before="120" w:line="360" w:lineRule="auto"/>
      <w:ind w:firstLine="510"/>
      <w:jc w:val="both"/>
    </w:pPr>
    <w:rPr>
      <w:rFonts w:ascii="Times" w:hAnsi="Times" w:cs="Times"/>
      <w:sz w:val="20"/>
      <w:szCs w:val="20"/>
    </w:rPr>
  </w:style>
  <w:style w:type="paragraph" w:styleId="Tekstkomentarza">
    <w:name w:val="annotation text"/>
    <w:basedOn w:val="Normalny"/>
    <w:link w:val="TekstkomentarzaZnak"/>
    <w:uiPriority w:val="99"/>
    <w:unhideWhenUsed/>
    <w:rsid w:val="005272A6"/>
    <w:rPr>
      <w:sz w:val="20"/>
      <w:szCs w:val="20"/>
    </w:rPr>
  </w:style>
  <w:style w:type="character" w:customStyle="1" w:styleId="TekstkomentarzaZnak">
    <w:name w:val="Tekst komentarza Znak"/>
    <w:basedOn w:val="Domylnaczcionkaakapitu"/>
    <w:link w:val="Tekstkomentarza"/>
    <w:uiPriority w:val="99"/>
    <w:rsid w:val="005272A6"/>
  </w:style>
  <w:style w:type="character" w:styleId="Odwoaniedokomentarza">
    <w:name w:val="annotation reference"/>
    <w:basedOn w:val="Domylnaczcionkaakapitu"/>
    <w:uiPriority w:val="99"/>
    <w:unhideWhenUsed/>
    <w:rsid w:val="005272A6"/>
    <w:rPr>
      <w:sz w:val="16"/>
      <w:szCs w:val="16"/>
    </w:rPr>
  </w:style>
  <w:style w:type="character" w:customStyle="1" w:styleId="TekstpodstawowywcityZnak">
    <w:name w:val="Tekst podstawowy wcięty Znak"/>
    <w:basedOn w:val="Domylnaczcionkaakapitu"/>
    <w:link w:val="Tekstpodstawowywcity"/>
    <w:rsid w:val="008A5D4B"/>
    <w:rPr>
      <w:sz w:val="24"/>
      <w:szCs w:val="24"/>
    </w:rPr>
  </w:style>
  <w:style w:type="paragraph" w:customStyle="1" w:styleId="ppkt">
    <w:name w:val="p.pkt"/>
    <w:uiPriority w:val="99"/>
    <w:rsid w:val="00894606"/>
    <w:pPr>
      <w:widowControl w:val="0"/>
      <w:autoSpaceDE w:val="0"/>
      <w:autoSpaceDN w:val="0"/>
      <w:adjustRightInd w:val="0"/>
      <w:spacing w:line="40" w:lineRule="atLeast"/>
      <w:ind w:left="240"/>
      <w:jc w:val="both"/>
    </w:pPr>
    <w:rPr>
      <w:rFonts w:ascii="Arial" w:eastAsiaTheme="minorEastAsia" w:hAnsi="Arial" w:cs="Arial"/>
      <w:color w:val="000000"/>
      <w:sz w:val="18"/>
      <w:szCs w:val="18"/>
    </w:rPr>
  </w:style>
  <w:style w:type="paragraph" w:customStyle="1" w:styleId="TYTUAKTUprzedmiotregulacjiustawylubrozporzdzenia">
    <w:name w:val="TYTUŁ_AKTU – przedmiot regulacji ustawy lub rozporządzenia"/>
    <w:next w:val="Normalny"/>
    <w:uiPriority w:val="3"/>
    <w:qFormat/>
    <w:rsid w:val="002B1BBB"/>
    <w:pPr>
      <w:keepNext/>
      <w:suppressAutoHyphens/>
      <w:spacing w:before="120" w:after="360" w:line="360" w:lineRule="auto"/>
      <w:jc w:val="center"/>
    </w:pPr>
    <w:rPr>
      <w:rFonts w:ascii="Times" w:eastAsiaTheme="minorEastAsia" w:hAnsi="Times" w:cs="Arial"/>
      <w:b/>
      <w:bCs/>
      <w:sz w:val="24"/>
      <w:szCs w:val="24"/>
    </w:rPr>
  </w:style>
  <w:style w:type="paragraph" w:customStyle="1" w:styleId="PKTpunkt">
    <w:name w:val="PKT – punkt"/>
    <w:uiPriority w:val="16"/>
    <w:qFormat/>
    <w:rsid w:val="002B1BBB"/>
    <w:pPr>
      <w:spacing w:line="360" w:lineRule="auto"/>
      <w:ind w:left="510" w:hanging="510"/>
      <w:jc w:val="both"/>
    </w:pPr>
    <w:rPr>
      <w:rFonts w:ascii="Times" w:eastAsiaTheme="minorEastAsia" w:hAnsi="Times" w:cs="Arial"/>
      <w:bCs/>
      <w:sz w:val="24"/>
    </w:rPr>
  </w:style>
  <w:style w:type="paragraph" w:customStyle="1" w:styleId="menfont">
    <w:name w:val="men font"/>
    <w:basedOn w:val="Normalny"/>
    <w:rsid w:val="000C26AB"/>
    <w:rPr>
      <w:rFonts w:ascii="Arial" w:hAnsi="Arial" w:cs="Arial"/>
    </w:rPr>
  </w:style>
  <w:style w:type="paragraph" w:customStyle="1" w:styleId="pub">
    <w:name w:val="pub"/>
    <w:basedOn w:val="Normalny"/>
    <w:rsid w:val="00DA4D35"/>
    <w:pPr>
      <w:spacing w:before="100" w:beforeAutospacing="1" w:after="100" w:afterAutospacing="1"/>
    </w:pPr>
    <w:rPr>
      <w:rFonts w:eastAsia="Calibri"/>
    </w:rPr>
  </w:style>
  <w:style w:type="character" w:customStyle="1" w:styleId="tabulatory">
    <w:name w:val="tabulatory"/>
    <w:basedOn w:val="Domylnaczcionkaakapitu"/>
    <w:rsid w:val="0075003C"/>
  </w:style>
  <w:style w:type="character" w:styleId="Uwydatnienie">
    <w:name w:val="Emphasis"/>
    <w:basedOn w:val="Domylnaczcionkaakapitu"/>
    <w:uiPriority w:val="20"/>
    <w:qFormat/>
    <w:rsid w:val="00BE71F4"/>
    <w:rPr>
      <w:i/>
      <w:iCs/>
    </w:rPr>
  </w:style>
  <w:style w:type="paragraph" w:customStyle="1" w:styleId="ARTartustawynprozporzdzenia">
    <w:name w:val="ART(§) – art. ustawy (§ np. rozporządzenia)"/>
    <w:uiPriority w:val="11"/>
    <w:qFormat/>
    <w:rsid w:val="00FC4B8D"/>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styleId="Tematkomentarza">
    <w:name w:val="annotation subject"/>
    <w:basedOn w:val="Tekstkomentarza"/>
    <w:next w:val="Tekstkomentarza"/>
    <w:link w:val="TematkomentarzaZnak"/>
    <w:semiHidden/>
    <w:unhideWhenUsed/>
    <w:rsid w:val="005842D9"/>
    <w:rPr>
      <w:b/>
      <w:bCs/>
    </w:rPr>
  </w:style>
  <w:style w:type="character" w:customStyle="1" w:styleId="TematkomentarzaZnak">
    <w:name w:val="Temat komentarza Znak"/>
    <w:basedOn w:val="TekstkomentarzaZnak"/>
    <w:link w:val="Tematkomentarza"/>
    <w:semiHidden/>
    <w:rsid w:val="005842D9"/>
    <w:rPr>
      <w:b/>
      <w:bCs/>
    </w:rPr>
  </w:style>
  <w:style w:type="character" w:customStyle="1" w:styleId="luchili">
    <w:name w:val="luc_hili"/>
    <w:basedOn w:val="Domylnaczcionkaakapitu"/>
    <w:rsid w:val="0062140A"/>
  </w:style>
  <w:style w:type="paragraph" w:customStyle="1" w:styleId="Tekstpodstawowy4">
    <w:name w:val="Tekst podstawowy4"/>
    <w:basedOn w:val="Normalny"/>
    <w:rsid w:val="00E51DA1"/>
    <w:pPr>
      <w:shd w:val="clear" w:color="auto" w:fill="FFFFFF"/>
      <w:spacing w:line="413" w:lineRule="exact"/>
      <w:ind w:hanging="520"/>
      <w:jc w:val="both"/>
    </w:pPr>
    <w:rPr>
      <w:color w:val="000000"/>
      <w:sz w:val="21"/>
      <w:szCs w:val="21"/>
      <w:lang w:val="pl"/>
    </w:rPr>
  </w:style>
  <w:style w:type="character" w:customStyle="1" w:styleId="BodytextItalic">
    <w:name w:val="Body text + Italic"/>
    <w:basedOn w:val="Bodytext"/>
    <w:rsid w:val="00644522"/>
    <w:rPr>
      <w:rFonts w:ascii="Times New Roman" w:eastAsia="Times New Roman" w:hAnsi="Times New Roman" w:cs="Times New Roman"/>
      <w:b w:val="0"/>
      <w:bCs w:val="0"/>
      <w:i/>
      <w:iCs/>
      <w:smallCaps w:val="0"/>
      <w:strike w:val="0"/>
      <w:spacing w:val="0"/>
      <w:sz w:val="24"/>
      <w:szCs w:val="24"/>
      <w:shd w:val="clear" w:color="auto" w:fill="FFFFFF"/>
    </w:rPr>
  </w:style>
  <w:style w:type="paragraph" w:customStyle="1" w:styleId="Tekstpodstawowy1">
    <w:name w:val="Tekst podstawowy1"/>
    <w:basedOn w:val="Normalny"/>
    <w:rsid w:val="00644522"/>
    <w:pPr>
      <w:shd w:val="clear" w:color="auto" w:fill="FFFFFF"/>
      <w:spacing w:before="60" w:line="0" w:lineRule="atLeast"/>
      <w:ind w:hanging="340"/>
    </w:pPr>
    <w:rPr>
      <w:color w:val="000000"/>
      <w:lang w:val="pl"/>
    </w:rPr>
  </w:style>
  <w:style w:type="character" w:customStyle="1" w:styleId="Bodytext10ptNotItalic">
    <w:name w:val="Body text + 10 pt;Not Italic"/>
    <w:basedOn w:val="Bodytext"/>
    <w:rsid w:val="007D4C30"/>
    <w:rPr>
      <w:rFonts w:ascii="Arial" w:eastAsia="Arial" w:hAnsi="Arial" w:cs="Arial"/>
      <w:b w:val="0"/>
      <w:bCs w:val="0"/>
      <w:i/>
      <w:iCs/>
      <w:smallCaps w:val="0"/>
      <w:strike w:val="0"/>
      <w:spacing w:val="0"/>
      <w:sz w:val="20"/>
      <w:szCs w:val="20"/>
      <w:shd w:val="clear" w:color="auto" w:fill="FFFFFF"/>
    </w:rPr>
  </w:style>
  <w:style w:type="character" w:customStyle="1" w:styleId="Bodytext4">
    <w:name w:val="Body text (4)_"/>
    <w:basedOn w:val="Domylnaczcionkaakapitu"/>
    <w:link w:val="Bodytext40"/>
    <w:rsid w:val="007D4C30"/>
    <w:rPr>
      <w:rFonts w:ascii="Arial" w:eastAsia="Arial" w:hAnsi="Arial" w:cs="Arial"/>
      <w:sz w:val="14"/>
      <w:szCs w:val="14"/>
      <w:shd w:val="clear" w:color="auto" w:fill="FFFFFF"/>
    </w:rPr>
  </w:style>
  <w:style w:type="paragraph" w:customStyle="1" w:styleId="Tekstpodstawowy2">
    <w:name w:val="Tekst podstawowy2"/>
    <w:basedOn w:val="Normalny"/>
    <w:rsid w:val="007D4C30"/>
    <w:pPr>
      <w:shd w:val="clear" w:color="auto" w:fill="FFFFFF"/>
      <w:spacing w:before="300" w:after="180" w:line="0" w:lineRule="atLeast"/>
      <w:ind w:hanging="360"/>
    </w:pPr>
    <w:rPr>
      <w:rFonts w:ascii="Arial" w:eastAsia="Arial" w:hAnsi="Arial" w:cs="Arial"/>
      <w:i/>
      <w:iCs/>
      <w:color w:val="000000"/>
      <w:sz w:val="19"/>
      <w:szCs w:val="19"/>
      <w:lang w:val="pl"/>
    </w:rPr>
  </w:style>
  <w:style w:type="paragraph" w:customStyle="1" w:styleId="Bodytext40">
    <w:name w:val="Body text (4)"/>
    <w:basedOn w:val="Normalny"/>
    <w:link w:val="Bodytext4"/>
    <w:rsid w:val="007D4C30"/>
    <w:pPr>
      <w:shd w:val="clear" w:color="auto" w:fill="FFFFFF"/>
      <w:spacing w:before="720" w:line="182" w:lineRule="exact"/>
      <w:jc w:val="center"/>
    </w:pPr>
    <w:rPr>
      <w:rFonts w:ascii="Arial" w:eastAsia="Arial" w:hAnsi="Arial" w:cs="Arial"/>
      <w:sz w:val="14"/>
      <w:szCs w:val="14"/>
    </w:rPr>
  </w:style>
  <w:style w:type="paragraph" w:styleId="Zwykytekst">
    <w:name w:val="Plain Text"/>
    <w:basedOn w:val="Normalny"/>
    <w:link w:val="ZwykytekstZnak"/>
    <w:uiPriority w:val="99"/>
    <w:unhideWhenUsed/>
    <w:rsid w:val="002A638F"/>
    <w:rPr>
      <w:rFonts w:ascii="Calibri" w:eastAsiaTheme="minorHAnsi" w:hAnsi="Calibri" w:cs="Calibri"/>
      <w:sz w:val="22"/>
      <w:szCs w:val="22"/>
      <w:lang w:eastAsia="en-US"/>
    </w:rPr>
  </w:style>
  <w:style w:type="character" w:customStyle="1" w:styleId="ZwykytekstZnak">
    <w:name w:val="Zwykły tekst Znak"/>
    <w:basedOn w:val="Domylnaczcionkaakapitu"/>
    <w:link w:val="Zwykytekst"/>
    <w:uiPriority w:val="99"/>
    <w:rsid w:val="002A638F"/>
    <w:rPr>
      <w:rFonts w:ascii="Calibri" w:eastAsiaTheme="minorHAnsi" w:hAnsi="Calibri" w:cs="Calibri"/>
      <w:sz w:val="22"/>
      <w:szCs w:val="22"/>
      <w:lang w:eastAsia="en-US"/>
    </w:rPr>
  </w:style>
  <w:style w:type="paragraph" w:customStyle="1" w:styleId="pakthead2">
    <w:name w:val="p.akthead2"/>
    <w:uiPriority w:val="99"/>
    <w:rsid w:val="008A14E0"/>
    <w:pPr>
      <w:widowControl w:val="0"/>
      <w:autoSpaceDE w:val="0"/>
      <w:autoSpaceDN w:val="0"/>
      <w:adjustRightInd w:val="0"/>
      <w:spacing w:before="120" w:after="120" w:line="40" w:lineRule="atLeast"/>
      <w:jc w:val="center"/>
    </w:pPr>
    <w:rPr>
      <w:rFonts w:ascii="Helvetica" w:eastAsiaTheme="minorEastAsia" w:hAnsi="Helvetica"/>
      <w:b/>
      <w:bCs/>
      <w:color w:val="000000"/>
    </w:rPr>
  </w:style>
  <w:style w:type="paragraph" w:styleId="Tekstpodstawowy20">
    <w:name w:val="Body Text 2"/>
    <w:basedOn w:val="Normalny"/>
    <w:link w:val="Tekstpodstawowy2Znak"/>
    <w:semiHidden/>
    <w:unhideWhenUsed/>
    <w:rsid w:val="00D766A4"/>
    <w:pPr>
      <w:spacing w:after="120" w:line="480" w:lineRule="auto"/>
    </w:pPr>
  </w:style>
  <w:style w:type="character" w:customStyle="1" w:styleId="Tekstpodstawowy2Znak">
    <w:name w:val="Tekst podstawowy 2 Znak"/>
    <w:basedOn w:val="Domylnaczcionkaakapitu"/>
    <w:link w:val="Tekstpodstawowy20"/>
    <w:semiHidden/>
    <w:rsid w:val="00D766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7747">
      <w:bodyDiv w:val="1"/>
      <w:marLeft w:val="0"/>
      <w:marRight w:val="0"/>
      <w:marTop w:val="0"/>
      <w:marBottom w:val="0"/>
      <w:divBdr>
        <w:top w:val="none" w:sz="0" w:space="0" w:color="auto"/>
        <w:left w:val="none" w:sz="0" w:space="0" w:color="auto"/>
        <w:bottom w:val="none" w:sz="0" w:space="0" w:color="auto"/>
        <w:right w:val="none" w:sz="0" w:space="0" w:color="auto"/>
      </w:divBdr>
    </w:div>
    <w:div w:id="56519642">
      <w:bodyDiv w:val="1"/>
      <w:marLeft w:val="0"/>
      <w:marRight w:val="0"/>
      <w:marTop w:val="0"/>
      <w:marBottom w:val="0"/>
      <w:divBdr>
        <w:top w:val="none" w:sz="0" w:space="0" w:color="auto"/>
        <w:left w:val="none" w:sz="0" w:space="0" w:color="auto"/>
        <w:bottom w:val="none" w:sz="0" w:space="0" w:color="auto"/>
        <w:right w:val="none" w:sz="0" w:space="0" w:color="auto"/>
      </w:divBdr>
    </w:div>
    <w:div w:id="74979654">
      <w:bodyDiv w:val="1"/>
      <w:marLeft w:val="0"/>
      <w:marRight w:val="0"/>
      <w:marTop w:val="0"/>
      <w:marBottom w:val="0"/>
      <w:divBdr>
        <w:top w:val="none" w:sz="0" w:space="0" w:color="auto"/>
        <w:left w:val="none" w:sz="0" w:space="0" w:color="auto"/>
        <w:bottom w:val="none" w:sz="0" w:space="0" w:color="auto"/>
        <w:right w:val="none" w:sz="0" w:space="0" w:color="auto"/>
      </w:divBdr>
    </w:div>
    <w:div w:id="98305980">
      <w:bodyDiv w:val="1"/>
      <w:marLeft w:val="0"/>
      <w:marRight w:val="0"/>
      <w:marTop w:val="0"/>
      <w:marBottom w:val="0"/>
      <w:divBdr>
        <w:top w:val="none" w:sz="0" w:space="0" w:color="auto"/>
        <w:left w:val="none" w:sz="0" w:space="0" w:color="auto"/>
        <w:bottom w:val="none" w:sz="0" w:space="0" w:color="auto"/>
        <w:right w:val="none" w:sz="0" w:space="0" w:color="auto"/>
      </w:divBdr>
      <w:divsChild>
        <w:div w:id="1446733785">
          <w:marLeft w:val="0"/>
          <w:marRight w:val="0"/>
          <w:marTop w:val="0"/>
          <w:marBottom w:val="0"/>
          <w:divBdr>
            <w:top w:val="none" w:sz="0" w:space="0" w:color="auto"/>
            <w:left w:val="none" w:sz="0" w:space="0" w:color="auto"/>
            <w:bottom w:val="none" w:sz="0" w:space="0" w:color="auto"/>
            <w:right w:val="none" w:sz="0" w:space="0" w:color="auto"/>
          </w:divBdr>
        </w:div>
      </w:divsChild>
    </w:div>
    <w:div w:id="110831092">
      <w:bodyDiv w:val="1"/>
      <w:marLeft w:val="0"/>
      <w:marRight w:val="0"/>
      <w:marTop w:val="0"/>
      <w:marBottom w:val="0"/>
      <w:divBdr>
        <w:top w:val="none" w:sz="0" w:space="0" w:color="auto"/>
        <w:left w:val="none" w:sz="0" w:space="0" w:color="auto"/>
        <w:bottom w:val="none" w:sz="0" w:space="0" w:color="auto"/>
        <w:right w:val="none" w:sz="0" w:space="0" w:color="auto"/>
      </w:divBdr>
    </w:div>
    <w:div w:id="114834265">
      <w:bodyDiv w:val="1"/>
      <w:marLeft w:val="0"/>
      <w:marRight w:val="0"/>
      <w:marTop w:val="0"/>
      <w:marBottom w:val="0"/>
      <w:divBdr>
        <w:top w:val="none" w:sz="0" w:space="0" w:color="auto"/>
        <w:left w:val="none" w:sz="0" w:space="0" w:color="auto"/>
        <w:bottom w:val="none" w:sz="0" w:space="0" w:color="auto"/>
        <w:right w:val="none" w:sz="0" w:space="0" w:color="auto"/>
      </w:divBdr>
    </w:div>
    <w:div w:id="117267085">
      <w:bodyDiv w:val="1"/>
      <w:marLeft w:val="0"/>
      <w:marRight w:val="0"/>
      <w:marTop w:val="0"/>
      <w:marBottom w:val="0"/>
      <w:divBdr>
        <w:top w:val="none" w:sz="0" w:space="0" w:color="auto"/>
        <w:left w:val="none" w:sz="0" w:space="0" w:color="auto"/>
        <w:bottom w:val="none" w:sz="0" w:space="0" w:color="auto"/>
        <w:right w:val="none" w:sz="0" w:space="0" w:color="auto"/>
      </w:divBdr>
    </w:div>
    <w:div w:id="123353153">
      <w:bodyDiv w:val="1"/>
      <w:marLeft w:val="0"/>
      <w:marRight w:val="0"/>
      <w:marTop w:val="0"/>
      <w:marBottom w:val="0"/>
      <w:divBdr>
        <w:top w:val="none" w:sz="0" w:space="0" w:color="auto"/>
        <w:left w:val="none" w:sz="0" w:space="0" w:color="auto"/>
        <w:bottom w:val="none" w:sz="0" w:space="0" w:color="auto"/>
        <w:right w:val="none" w:sz="0" w:space="0" w:color="auto"/>
      </w:divBdr>
    </w:div>
    <w:div w:id="147330285">
      <w:bodyDiv w:val="1"/>
      <w:marLeft w:val="0"/>
      <w:marRight w:val="0"/>
      <w:marTop w:val="0"/>
      <w:marBottom w:val="0"/>
      <w:divBdr>
        <w:top w:val="none" w:sz="0" w:space="0" w:color="auto"/>
        <w:left w:val="none" w:sz="0" w:space="0" w:color="auto"/>
        <w:bottom w:val="none" w:sz="0" w:space="0" w:color="auto"/>
        <w:right w:val="none" w:sz="0" w:space="0" w:color="auto"/>
      </w:divBdr>
      <w:divsChild>
        <w:div w:id="346563376">
          <w:marLeft w:val="0"/>
          <w:marRight w:val="0"/>
          <w:marTop w:val="0"/>
          <w:marBottom w:val="0"/>
          <w:divBdr>
            <w:top w:val="none" w:sz="0" w:space="0" w:color="auto"/>
            <w:left w:val="none" w:sz="0" w:space="0" w:color="auto"/>
            <w:bottom w:val="none" w:sz="0" w:space="0" w:color="auto"/>
            <w:right w:val="none" w:sz="0" w:space="0" w:color="auto"/>
          </w:divBdr>
        </w:div>
      </w:divsChild>
    </w:div>
    <w:div w:id="156506340">
      <w:bodyDiv w:val="1"/>
      <w:marLeft w:val="0"/>
      <w:marRight w:val="0"/>
      <w:marTop w:val="0"/>
      <w:marBottom w:val="0"/>
      <w:divBdr>
        <w:top w:val="none" w:sz="0" w:space="0" w:color="auto"/>
        <w:left w:val="none" w:sz="0" w:space="0" w:color="auto"/>
        <w:bottom w:val="none" w:sz="0" w:space="0" w:color="auto"/>
        <w:right w:val="none" w:sz="0" w:space="0" w:color="auto"/>
      </w:divBdr>
    </w:div>
    <w:div w:id="164975698">
      <w:bodyDiv w:val="1"/>
      <w:marLeft w:val="0"/>
      <w:marRight w:val="0"/>
      <w:marTop w:val="0"/>
      <w:marBottom w:val="0"/>
      <w:divBdr>
        <w:top w:val="none" w:sz="0" w:space="0" w:color="auto"/>
        <w:left w:val="none" w:sz="0" w:space="0" w:color="auto"/>
        <w:bottom w:val="none" w:sz="0" w:space="0" w:color="auto"/>
        <w:right w:val="none" w:sz="0" w:space="0" w:color="auto"/>
      </w:divBdr>
    </w:div>
    <w:div w:id="179707135">
      <w:bodyDiv w:val="1"/>
      <w:marLeft w:val="0"/>
      <w:marRight w:val="0"/>
      <w:marTop w:val="0"/>
      <w:marBottom w:val="0"/>
      <w:divBdr>
        <w:top w:val="none" w:sz="0" w:space="0" w:color="auto"/>
        <w:left w:val="none" w:sz="0" w:space="0" w:color="auto"/>
        <w:bottom w:val="none" w:sz="0" w:space="0" w:color="auto"/>
        <w:right w:val="none" w:sz="0" w:space="0" w:color="auto"/>
      </w:divBdr>
    </w:div>
    <w:div w:id="203687008">
      <w:bodyDiv w:val="1"/>
      <w:marLeft w:val="0"/>
      <w:marRight w:val="0"/>
      <w:marTop w:val="0"/>
      <w:marBottom w:val="0"/>
      <w:divBdr>
        <w:top w:val="none" w:sz="0" w:space="0" w:color="auto"/>
        <w:left w:val="none" w:sz="0" w:space="0" w:color="auto"/>
        <w:bottom w:val="none" w:sz="0" w:space="0" w:color="auto"/>
        <w:right w:val="none" w:sz="0" w:space="0" w:color="auto"/>
      </w:divBdr>
    </w:div>
    <w:div w:id="225922357">
      <w:bodyDiv w:val="1"/>
      <w:marLeft w:val="0"/>
      <w:marRight w:val="0"/>
      <w:marTop w:val="0"/>
      <w:marBottom w:val="0"/>
      <w:divBdr>
        <w:top w:val="none" w:sz="0" w:space="0" w:color="auto"/>
        <w:left w:val="none" w:sz="0" w:space="0" w:color="auto"/>
        <w:bottom w:val="none" w:sz="0" w:space="0" w:color="auto"/>
        <w:right w:val="none" w:sz="0" w:space="0" w:color="auto"/>
      </w:divBdr>
    </w:div>
    <w:div w:id="226768237">
      <w:bodyDiv w:val="1"/>
      <w:marLeft w:val="0"/>
      <w:marRight w:val="0"/>
      <w:marTop w:val="0"/>
      <w:marBottom w:val="0"/>
      <w:divBdr>
        <w:top w:val="none" w:sz="0" w:space="0" w:color="auto"/>
        <w:left w:val="none" w:sz="0" w:space="0" w:color="auto"/>
        <w:bottom w:val="none" w:sz="0" w:space="0" w:color="auto"/>
        <w:right w:val="none" w:sz="0" w:space="0" w:color="auto"/>
      </w:divBdr>
    </w:div>
    <w:div w:id="232860531">
      <w:bodyDiv w:val="1"/>
      <w:marLeft w:val="0"/>
      <w:marRight w:val="0"/>
      <w:marTop w:val="0"/>
      <w:marBottom w:val="0"/>
      <w:divBdr>
        <w:top w:val="none" w:sz="0" w:space="0" w:color="auto"/>
        <w:left w:val="none" w:sz="0" w:space="0" w:color="auto"/>
        <w:bottom w:val="none" w:sz="0" w:space="0" w:color="auto"/>
        <w:right w:val="none" w:sz="0" w:space="0" w:color="auto"/>
      </w:divBdr>
    </w:div>
    <w:div w:id="233056004">
      <w:bodyDiv w:val="1"/>
      <w:marLeft w:val="0"/>
      <w:marRight w:val="0"/>
      <w:marTop w:val="0"/>
      <w:marBottom w:val="0"/>
      <w:divBdr>
        <w:top w:val="none" w:sz="0" w:space="0" w:color="auto"/>
        <w:left w:val="none" w:sz="0" w:space="0" w:color="auto"/>
        <w:bottom w:val="none" w:sz="0" w:space="0" w:color="auto"/>
        <w:right w:val="none" w:sz="0" w:space="0" w:color="auto"/>
      </w:divBdr>
    </w:div>
    <w:div w:id="269164350">
      <w:bodyDiv w:val="1"/>
      <w:marLeft w:val="0"/>
      <w:marRight w:val="0"/>
      <w:marTop w:val="0"/>
      <w:marBottom w:val="0"/>
      <w:divBdr>
        <w:top w:val="none" w:sz="0" w:space="0" w:color="auto"/>
        <w:left w:val="none" w:sz="0" w:space="0" w:color="auto"/>
        <w:bottom w:val="none" w:sz="0" w:space="0" w:color="auto"/>
        <w:right w:val="none" w:sz="0" w:space="0" w:color="auto"/>
      </w:divBdr>
    </w:div>
    <w:div w:id="281765035">
      <w:bodyDiv w:val="1"/>
      <w:marLeft w:val="0"/>
      <w:marRight w:val="0"/>
      <w:marTop w:val="0"/>
      <w:marBottom w:val="0"/>
      <w:divBdr>
        <w:top w:val="none" w:sz="0" w:space="0" w:color="auto"/>
        <w:left w:val="none" w:sz="0" w:space="0" w:color="auto"/>
        <w:bottom w:val="none" w:sz="0" w:space="0" w:color="auto"/>
        <w:right w:val="none" w:sz="0" w:space="0" w:color="auto"/>
      </w:divBdr>
    </w:div>
    <w:div w:id="293414332">
      <w:bodyDiv w:val="1"/>
      <w:marLeft w:val="0"/>
      <w:marRight w:val="0"/>
      <w:marTop w:val="0"/>
      <w:marBottom w:val="0"/>
      <w:divBdr>
        <w:top w:val="none" w:sz="0" w:space="0" w:color="auto"/>
        <w:left w:val="none" w:sz="0" w:space="0" w:color="auto"/>
        <w:bottom w:val="none" w:sz="0" w:space="0" w:color="auto"/>
        <w:right w:val="none" w:sz="0" w:space="0" w:color="auto"/>
      </w:divBdr>
    </w:div>
    <w:div w:id="294063179">
      <w:bodyDiv w:val="1"/>
      <w:marLeft w:val="0"/>
      <w:marRight w:val="0"/>
      <w:marTop w:val="0"/>
      <w:marBottom w:val="0"/>
      <w:divBdr>
        <w:top w:val="none" w:sz="0" w:space="0" w:color="auto"/>
        <w:left w:val="none" w:sz="0" w:space="0" w:color="auto"/>
        <w:bottom w:val="none" w:sz="0" w:space="0" w:color="auto"/>
        <w:right w:val="none" w:sz="0" w:space="0" w:color="auto"/>
      </w:divBdr>
    </w:div>
    <w:div w:id="323171819">
      <w:bodyDiv w:val="1"/>
      <w:marLeft w:val="0"/>
      <w:marRight w:val="0"/>
      <w:marTop w:val="0"/>
      <w:marBottom w:val="0"/>
      <w:divBdr>
        <w:top w:val="none" w:sz="0" w:space="0" w:color="auto"/>
        <w:left w:val="none" w:sz="0" w:space="0" w:color="auto"/>
        <w:bottom w:val="none" w:sz="0" w:space="0" w:color="auto"/>
        <w:right w:val="none" w:sz="0" w:space="0" w:color="auto"/>
      </w:divBdr>
    </w:div>
    <w:div w:id="353314577">
      <w:bodyDiv w:val="1"/>
      <w:marLeft w:val="0"/>
      <w:marRight w:val="0"/>
      <w:marTop w:val="0"/>
      <w:marBottom w:val="0"/>
      <w:divBdr>
        <w:top w:val="none" w:sz="0" w:space="0" w:color="auto"/>
        <w:left w:val="none" w:sz="0" w:space="0" w:color="auto"/>
        <w:bottom w:val="none" w:sz="0" w:space="0" w:color="auto"/>
        <w:right w:val="none" w:sz="0" w:space="0" w:color="auto"/>
      </w:divBdr>
    </w:div>
    <w:div w:id="363096064">
      <w:bodyDiv w:val="1"/>
      <w:marLeft w:val="0"/>
      <w:marRight w:val="0"/>
      <w:marTop w:val="0"/>
      <w:marBottom w:val="0"/>
      <w:divBdr>
        <w:top w:val="none" w:sz="0" w:space="0" w:color="auto"/>
        <w:left w:val="none" w:sz="0" w:space="0" w:color="auto"/>
        <w:bottom w:val="none" w:sz="0" w:space="0" w:color="auto"/>
        <w:right w:val="none" w:sz="0" w:space="0" w:color="auto"/>
      </w:divBdr>
    </w:div>
    <w:div w:id="386883464">
      <w:bodyDiv w:val="1"/>
      <w:marLeft w:val="0"/>
      <w:marRight w:val="0"/>
      <w:marTop w:val="0"/>
      <w:marBottom w:val="0"/>
      <w:divBdr>
        <w:top w:val="none" w:sz="0" w:space="0" w:color="auto"/>
        <w:left w:val="none" w:sz="0" w:space="0" w:color="auto"/>
        <w:bottom w:val="none" w:sz="0" w:space="0" w:color="auto"/>
        <w:right w:val="none" w:sz="0" w:space="0" w:color="auto"/>
      </w:divBdr>
    </w:div>
    <w:div w:id="388922220">
      <w:bodyDiv w:val="1"/>
      <w:marLeft w:val="0"/>
      <w:marRight w:val="0"/>
      <w:marTop w:val="0"/>
      <w:marBottom w:val="0"/>
      <w:divBdr>
        <w:top w:val="none" w:sz="0" w:space="0" w:color="auto"/>
        <w:left w:val="none" w:sz="0" w:space="0" w:color="auto"/>
        <w:bottom w:val="none" w:sz="0" w:space="0" w:color="auto"/>
        <w:right w:val="none" w:sz="0" w:space="0" w:color="auto"/>
      </w:divBdr>
    </w:div>
    <w:div w:id="395595254">
      <w:bodyDiv w:val="1"/>
      <w:marLeft w:val="0"/>
      <w:marRight w:val="0"/>
      <w:marTop w:val="0"/>
      <w:marBottom w:val="0"/>
      <w:divBdr>
        <w:top w:val="none" w:sz="0" w:space="0" w:color="auto"/>
        <w:left w:val="none" w:sz="0" w:space="0" w:color="auto"/>
        <w:bottom w:val="none" w:sz="0" w:space="0" w:color="auto"/>
        <w:right w:val="none" w:sz="0" w:space="0" w:color="auto"/>
      </w:divBdr>
    </w:div>
    <w:div w:id="415591310">
      <w:bodyDiv w:val="1"/>
      <w:marLeft w:val="0"/>
      <w:marRight w:val="0"/>
      <w:marTop w:val="0"/>
      <w:marBottom w:val="0"/>
      <w:divBdr>
        <w:top w:val="none" w:sz="0" w:space="0" w:color="auto"/>
        <w:left w:val="none" w:sz="0" w:space="0" w:color="auto"/>
        <w:bottom w:val="none" w:sz="0" w:space="0" w:color="auto"/>
        <w:right w:val="none" w:sz="0" w:space="0" w:color="auto"/>
      </w:divBdr>
    </w:div>
    <w:div w:id="437339004">
      <w:bodyDiv w:val="1"/>
      <w:marLeft w:val="0"/>
      <w:marRight w:val="0"/>
      <w:marTop w:val="0"/>
      <w:marBottom w:val="0"/>
      <w:divBdr>
        <w:top w:val="none" w:sz="0" w:space="0" w:color="auto"/>
        <w:left w:val="none" w:sz="0" w:space="0" w:color="auto"/>
        <w:bottom w:val="none" w:sz="0" w:space="0" w:color="auto"/>
        <w:right w:val="none" w:sz="0" w:space="0" w:color="auto"/>
      </w:divBdr>
    </w:div>
    <w:div w:id="455174688">
      <w:bodyDiv w:val="1"/>
      <w:marLeft w:val="0"/>
      <w:marRight w:val="0"/>
      <w:marTop w:val="0"/>
      <w:marBottom w:val="0"/>
      <w:divBdr>
        <w:top w:val="none" w:sz="0" w:space="0" w:color="auto"/>
        <w:left w:val="none" w:sz="0" w:space="0" w:color="auto"/>
        <w:bottom w:val="none" w:sz="0" w:space="0" w:color="auto"/>
        <w:right w:val="none" w:sz="0" w:space="0" w:color="auto"/>
      </w:divBdr>
    </w:div>
    <w:div w:id="462309200">
      <w:bodyDiv w:val="1"/>
      <w:marLeft w:val="0"/>
      <w:marRight w:val="0"/>
      <w:marTop w:val="0"/>
      <w:marBottom w:val="0"/>
      <w:divBdr>
        <w:top w:val="none" w:sz="0" w:space="0" w:color="auto"/>
        <w:left w:val="none" w:sz="0" w:space="0" w:color="auto"/>
        <w:bottom w:val="none" w:sz="0" w:space="0" w:color="auto"/>
        <w:right w:val="none" w:sz="0" w:space="0" w:color="auto"/>
      </w:divBdr>
    </w:div>
    <w:div w:id="467014872">
      <w:bodyDiv w:val="1"/>
      <w:marLeft w:val="0"/>
      <w:marRight w:val="0"/>
      <w:marTop w:val="0"/>
      <w:marBottom w:val="0"/>
      <w:divBdr>
        <w:top w:val="none" w:sz="0" w:space="0" w:color="auto"/>
        <w:left w:val="none" w:sz="0" w:space="0" w:color="auto"/>
        <w:bottom w:val="none" w:sz="0" w:space="0" w:color="auto"/>
        <w:right w:val="none" w:sz="0" w:space="0" w:color="auto"/>
      </w:divBdr>
    </w:div>
    <w:div w:id="475073425">
      <w:bodyDiv w:val="1"/>
      <w:marLeft w:val="0"/>
      <w:marRight w:val="0"/>
      <w:marTop w:val="0"/>
      <w:marBottom w:val="0"/>
      <w:divBdr>
        <w:top w:val="none" w:sz="0" w:space="0" w:color="auto"/>
        <w:left w:val="none" w:sz="0" w:space="0" w:color="auto"/>
        <w:bottom w:val="none" w:sz="0" w:space="0" w:color="auto"/>
        <w:right w:val="none" w:sz="0" w:space="0" w:color="auto"/>
      </w:divBdr>
    </w:div>
    <w:div w:id="507909181">
      <w:bodyDiv w:val="1"/>
      <w:marLeft w:val="0"/>
      <w:marRight w:val="0"/>
      <w:marTop w:val="0"/>
      <w:marBottom w:val="0"/>
      <w:divBdr>
        <w:top w:val="none" w:sz="0" w:space="0" w:color="auto"/>
        <w:left w:val="none" w:sz="0" w:space="0" w:color="auto"/>
        <w:bottom w:val="none" w:sz="0" w:space="0" w:color="auto"/>
        <w:right w:val="none" w:sz="0" w:space="0" w:color="auto"/>
      </w:divBdr>
    </w:div>
    <w:div w:id="530841956">
      <w:bodyDiv w:val="1"/>
      <w:marLeft w:val="0"/>
      <w:marRight w:val="0"/>
      <w:marTop w:val="0"/>
      <w:marBottom w:val="0"/>
      <w:divBdr>
        <w:top w:val="none" w:sz="0" w:space="0" w:color="auto"/>
        <w:left w:val="none" w:sz="0" w:space="0" w:color="auto"/>
        <w:bottom w:val="none" w:sz="0" w:space="0" w:color="auto"/>
        <w:right w:val="none" w:sz="0" w:space="0" w:color="auto"/>
      </w:divBdr>
    </w:div>
    <w:div w:id="532038941">
      <w:bodyDiv w:val="1"/>
      <w:marLeft w:val="0"/>
      <w:marRight w:val="0"/>
      <w:marTop w:val="0"/>
      <w:marBottom w:val="0"/>
      <w:divBdr>
        <w:top w:val="none" w:sz="0" w:space="0" w:color="auto"/>
        <w:left w:val="none" w:sz="0" w:space="0" w:color="auto"/>
        <w:bottom w:val="none" w:sz="0" w:space="0" w:color="auto"/>
        <w:right w:val="none" w:sz="0" w:space="0" w:color="auto"/>
      </w:divBdr>
    </w:div>
    <w:div w:id="539510202">
      <w:bodyDiv w:val="1"/>
      <w:marLeft w:val="0"/>
      <w:marRight w:val="0"/>
      <w:marTop w:val="0"/>
      <w:marBottom w:val="0"/>
      <w:divBdr>
        <w:top w:val="none" w:sz="0" w:space="0" w:color="auto"/>
        <w:left w:val="none" w:sz="0" w:space="0" w:color="auto"/>
        <w:bottom w:val="none" w:sz="0" w:space="0" w:color="auto"/>
        <w:right w:val="none" w:sz="0" w:space="0" w:color="auto"/>
      </w:divBdr>
    </w:div>
    <w:div w:id="552236457">
      <w:bodyDiv w:val="1"/>
      <w:marLeft w:val="0"/>
      <w:marRight w:val="0"/>
      <w:marTop w:val="0"/>
      <w:marBottom w:val="0"/>
      <w:divBdr>
        <w:top w:val="none" w:sz="0" w:space="0" w:color="auto"/>
        <w:left w:val="none" w:sz="0" w:space="0" w:color="auto"/>
        <w:bottom w:val="none" w:sz="0" w:space="0" w:color="auto"/>
        <w:right w:val="none" w:sz="0" w:space="0" w:color="auto"/>
      </w:divBdr>
    </w:div>
    <w:div w:id="554001225">
      <w:bodyDiv w:val="1"/>
      <w:marLeft w:val="0"/>
      <w:marRight w:val="0"/>
      <w:marTop w:val="0"/>
      <w:marBottom w:val="0"/>
      <w:divBdr>
        <w:top w:val="none" w:sz="0" w:space="0" w:color="auto"/>
        <w:left w:val="none" w:sz="0" w:space="0" w:color="auto"/>
        <w:bottom w:val="none" w:sz="0" w:space="0" w:color="auto"/>
        <w:right w:val="none" w:sz="0" w:space="0" w:color="auto"/>
      </w:divBdr>
    </w:div>
    <w:div w:id="557476499">
      <w:bodyDiv w:val="1"/>
      <w:marLeft w:val="0"/>
      <w:marRight w:val="0"/>
      <w:marTop w:val="0"/>
      <w:marBottom w:val="0"/>
      <w:divBdr>
        <w:top w:val="none" w:sz="0" w:space="0" w:color="auto"/>
        <w:left w:val="none" w:sz="0" w:space="0" w:color="auto"/>
        <w:bottom w:val="none" w:sz="0" w:space="0" w:color="auto"/>
        <w:right w:val="none" w:sz="0" w:space="0" w:color="auto"/>
      </w:divBdr>
    </w:div>
    <w:div w:id="587422406">
      <w:bodyDiv w:val="1"/>
      <w:marLeft w:val="0"/>
      <w:marRight w:val="0"/>
      <w:marTop w:val="0"/>
      <w:marBottom w:val="0"/>
      <w:divBdr>
        <w:top w:val="none" w:sz="0" w:space="0" w:color="auto"/>
        <w:left w:val="none" w:sz="0" w:space="0" w:color="auto"/>
        <w:bottom w:val="none" w:sz="0" w:space="0" w:color="auto"/>
        <w:right w:val="none" w:sz="0" w:space="0" w:color="auto"/>
      </w:divBdr>
    </w:div>
    <w:div w:id="592663320">
      <w:bodyDiv w:val="1"/>
      <w:marLeft w:val="0"/>
      <w:marRight w:val="0"/>
      <w:marTop w:val="0"/>
      <w:marBottom w:val="0"/>
      <w:divBdr>
        <w:top w:val="none" w:sz="0" w:space="0" w:color="auto"/>
        <w:left w:val="none" w:sz="0" w:space="0" w:color="auto"/>
        <w:bottom w:val="none" w:sz="0" w:space="0" w:color="auto"/>
        <w:right w:val="none" w:sz="0" w:space="0" w:color="auto"/>
      </w:divBdr>
    </w:div>
    <w:div w:id="594946432">
      <w:bodyDiv w:val="1"/>
      <w:marLeft w:val="0"/>
      <w:marRight w:val="0"/>
      <w:marTop w:val="0"/>
      <w:marBottom w:val="0"/>
      <w:divBdr>
        <w:top w:val="none" w:sz="0" w:space="0" w:color="auto"/>
        <w:left w:val="none" w:sz="0" w:space="0" w:color="auto"/>
        <w:bottom w:val="none" w:sz="0" w:space="0" w:color="auto"/>
        <w:right w:val="none" w:sz="0" w:space="0" w:color="auto"/>
      </w:divBdr>
    </w:div>
    <w:div w:id="615867694">
      <w:bodyDiv w:val="1"/>
      <w:marLeft w:val="0"/>
      <w:marRight w:val="0"/>
      <w:marTop w:val="0"/>
      <w:marBottom w:val="0"/>
      <w:divBdr>
        <w:top w:val="none" w:sz="0" w:space="0" w:color="auto"/>
        <w:left w:val="none" w:sz="0" w:space="0" w:color="auto"/>
        <w:bottom w:val="none" w:sz="0" w:space="0" w:color="auto"/>
        <w:right w:val="none" w:sz="0" w:space="0" w:color="auto"/>
      </w:divBdr>
      <w:divsChild>
        <w:div w:id="1858764149">
          <w:marLeft w:val="0"/>
          <w:marRight w:val="0"/>
          <w:marTop w:val="0"/>
          <w:marBottom w:val="0"/>
          <w:divBdr>
            <w:top w:val="none" w:sz="0" w:space="0" w:color="auto"/>
            <w:left w:val="none" w:sz="0" w:space="0" w:color="auto"/>
            <w:bottom w:val="none" w:sz="0" w:space="0" w:color="auto"/>
            <w:right w:val="none" w:sz="0" w:space="0" w:color="auto"/>
          </w:divBdr>
          <w:divsChild>
            <w:div w:id="715274634">
              <w:marLeft w:val="0"/>
              <w:marRight w:val="0"/>
              <w:marTop w:val="0"/>
              <w:marBottom w:val="0"/>
              <w:divBdr>
                <w:top w:val="none" w:sz="0" w:space="0" w:color="auto"/>
                <w:left w:val="none" w:sz="0" w:space="0" w:color="auto"/>
                <w:bottom w:val="none" w:sz="0" w:space="0" w:color="auto"/>
                <w:right w:val="none" w:sz="0" w:space="0" w:color="auto"/>
              </w:divBdr>
              <w:divsChild>
                <w:div w:id="5570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459109">
      <w:bodyDiv w:val="1"/>
      <w:marLeft w:val="0"/>
      <w:marRight w:val="0"/>
      <w:marTop w:val="0"/>
      <w:marBottom w:val="0"/>
      <w:divBdr>
        <w:top w:val="none" w:sz="0" w:space="0" w:color="auto"/>
        <w:left w:val="none" w:sz="0" w:space="0" w:color="auto"/>
        <w:bottom w:val="none" w:sz="0" w:space="0" w:color="auto"/>
        <w:right w:val="none" w:sz="0" w:space="0" w:color="auto"/>
      </w:divBdr>
    </w:div>
    <w:div w:id="628784831">
      <w:bodyDiv w:val="1"/>
      <w:marLeft w:val="0"/>
      <w:marRight w:val="0"/>
      <w:marTop w:val="0"/>
      <w:marBottom w:val="0"/>
      <w:divBdr>
        <w:top w:val="none" w:sz="0" w:space="0" w:color="auto"/>
        <w:left w:val="none" w:sz="0" w:space="0" w:color="auto"/>
        <w:bottom w:val="none" w:sz="0" w:space="0" w:color="auto"/>
        <w:right w:val="none" w:sz="0" w:space="0" w:color="auto"/>
      </w:divBdr>
    </w:div>
    <w:div w:id="641731537">
      <w:bodyDiv w:val="1"/>
      <w:marLeft w:val="0"/>
      <w:marRight w:val="0"/>
      <w:marTop w:val="0"/>
      <w:marBottom w:val="0"/>
      <w:divBdr>
        <w:top w:val="none" w:sz="0" w:space="0" w:color="auto"/>
        <w:left w:val="none" w:sz="0" w:space="0" w:color="auto"/>
        <w:bottom w:val="none" w:sz="0" w:space="0" w:color="auto"/>
        <w:right w:val="none" w:sz="0" w:space="0" w:color="auto"/>
      </w:divBdr>
    </w:div>
    <w:div w:id="650987658">
      <w:bodyDiv w:val="1"/>
      <w:marLeft w:val="0"/>
      <w:marRight w:val="0"/>
      <w:marTop w:val="0"/>
      <w:marBottom w:val="0"/>
      <w:divBdr>
        <w:top w:val="none" w:sz="0" w:space="0" w:color="auto"/>
        <w:left w:val="none" w:sz="0" w:space="0" w:color="auto"/>
        <w:bottom w:val="none" w:sz="0" w:space="0" w:color="auto"/>
        <w:right w:val="none" w:sz="0" w:space="0" w:color="auto"/>
      </w:divBdr>
      <w:divsChild>
        <w:div w:id="1676570673">
          <w:marLeft w:val="0"/>
          <w:marRight w:val="0"/>
          <w:marTop w:val="0"/>
          <w:marBottom w:val="0"/>
          <w:divBdr>
            <w:top w:val="none" w:sz="0" w:space="0" w:color="auto"/>
            <w:left w:val="none" w:sz="0" w:space="0" w:color="auto"/>
            <w:bottom w:val="none" w:sz="0" w:space="0" w:color="auto"/>
            <w:right w:val="none" w:sz="0" w:space="0" w:color="auto"/>
          </w:divBdr>
        </w:div>
      </w:divsChild>
    </w:div>
    <w:div w:id="683635704">
      <w:bodyDiv w:val="1"/>
      <w:marLeft w:val="0"/>
      <w:marRight w:val="0"/>
      <w:marTop w:val="0"/>
      <w:marBottom w:val="0"/>
      <w:divBdr>
        <w:top w:val="none" w:sz="0" w:space="0" w:color="auto"/>
        <w:left w:val="none" w:sz="0" w:space="0" w:color="auto"/>
        <w:bottom w:val="none" w:sz="0" w:space="0" w:color="auto"/>
        <w:right w:val="none" w:sz="0" w:space="0" w:color="auto"/>
      </w:divBdr>
      <w:divsChild>
        <w:div w:id="956831096">
          <w:marLeft w:val="0"/>
          <w:marRight w:val="0"/>
          <w:marTop w:val="0"/>
          <w:marBottom w:val="0"/>
          <w:divBdr>
            <w:top w:val="none" w:sz="0" w:space="0" w:color="auto"/>
            <w:left w:val="none" w:sz="0" w:space="0" w:color="auto"/>
            <w:bottom w:val="none" w:sz="0" w:space="0" w:color="auto"/>
            <w:right w:val="none" w:sz="0" w:space="0" w:color="auto"/>
          </w:divBdr>
        </w:div>
      </w:divsChild>
    </w:div>
    <w:div w:id="685400577">
      <w:bodyDiv w:val="1"/>
      <w:marLeft w:val="0"/>
      <w:marRight w:val="0"/>
      <w:marTop w:val="0"/>
      <w:marBottom w:val="0"/>
      <w:divBdr>
        <w:top w:val="none" w:sz="0" w:space="0" w:color="auto"/>
        <w:left w:val="none" w:sz="0" w:space="0" w:color="auto"/>
        <w:bottom w:val="none" w:sz="0" w:space="0" w:color="auto"/>
        <w:right w:val="none" w:sz="0" w:space="0" w:color="auto"/>
      </w:divBdr>
    </w:div>
    <w:div w:id="705330536">
      <w:bodyDiv w:val="1"/>
      <w:marLeft w:val="0"/>
      <w:marRight w:val="0"/>
      <w:marTop w:val="0"/>
      <w:marBottom w:val="0"/>
      <w:divBdr>
        <w:top w:val="none" w:sz="0" w:space="0" w:color="auto"/>
        <w:left w:val="none" w:sz="0" w:space="0" w:color="auto"/>
        <w:bottom w:val="none" w:sz="0" w:space="0" w:color="auto"/>
        <w:right w:val="none" w:sz="0" w:space="0" w:color="auto"/>
      </w:divBdr>
    </w:div>
    <w:div w:id="727801824">
      <w:bodyDiv w:val="1"/>
      <w:marLeft w:val="0"/>
      <w:marRight w:val="0"/>
      <w:marTop w:val="0"/>
      <w:marBottom w:val="0"/>
      <w:divBdr>
        <w:top w:val="none" w:sz="0" w:space="0" w:color="auto"/>
        <w:left w:val="none" w:sz="0" w:space="0" w:color="auto"/>
        <w:bottom w:val="none" w:sz="0" w:space="0" w:color="auto"/>
        <w:right w:val="none" w:sz="0" w:space="0" w:color="auto"/>
      </w:divBdr>
    </w:div>
    <w:div w:id="738989634">
      <w:bodyDiv w:val="1"/>
      <w:marLeft w:val="0"/>
      <w:marRight w:val="0"/>
      <w:marTop w:val="0"/>
      <w:marBottom w:val="0"/>
      <w:divBdr>
        <w:top w:val="none" w:sz="0" w:space="0" w:color="auto"/>
        <w:left w:val="none" w:sz="0" w:space="0" w:color="auto"/>
        <w:bottom w:val="none" w:sz="0" w:space="0" w:color="auto"/>
        <w:right w:val="none" w:sz="0" w:space="0" w:color="auto"/>
      </w:divBdr>
    </w:div>
    <w:div w:id="758059274">
      <w:bodyDiv w:val="1"/>
      <w:marLeft w:val="0"/>
      <w:marRight w:val="0"/>
      <w:marTop w:val="0"/>
      <w:marBottom w:val="0"/>
      <w:divBdr>
        <w:top w:val="none" w:sz="0" w:space="0" w:color="auto"/>
        <w:left w:val="none" w:sz="0" w:space="0" w:color="auto"/>
        <w:bottom w:val="none" w:sz="0" w:space="0" w:color="auto"/>
        <w:right w:val="none" w:sz="0" w:space="0" w:color="auto"/>
      </w:divBdr>
    </w:div>
    <w:div w:id="777024621">
      <w:bodyDiv w:val="1"/>
      <w:marLeft w:val="0"/>
      <w:marRight w:val="0"/>
      <w:marTop w:val="0"/>
      <w:marBottom w:val="0"/>
      <w:divBdr>
        <w:top w:val="none" w:sz="0" w:space="0" w:color="auto"/>
        <w:left w:val="none" w:sz="0" w:space="0" w:color="auto"/>
        <w:bottom w:val="none" w:sz="0" w:space="0" w:color="auto"/>
        <w:right w:val="none" w:sz="0" w:space="0" w:color="auto"/>
      </w:divBdr>
    </w:div>
    <w:div w:id="777601033">
      <w:bodyDiv w:val="1"/>
      <w:marLeft w:val="0"/>
      <w:marRight w:val="0"/>
      <w:marTop w:val="0"/>
      <w:marBottom w:val="0"/>
      <w:divBdr>
        <w:top w:val="none" w:sz="0" w:space="0" w:color="auto"/>
        <w:left w:val="none" w:sz="0" w:space="0" w:color="auto"/>
        <w:bottom w:val="none" w:sz="0" w:space="0" w:color="auto"/>
        <w:right w:val="none" w:sz="0" w:space="0" w:color="auto"/>
      </w:divBdr>
    </w:div>
    <w:div w:id="783305408">
      <w:bodyDiv w:val="1"/>
      <w:marLeft w:val="0"/>
      <w:marRight w:val="0"/>
      <w:marTop w:val="0"/>
      <w:marBottom w:val="0"/>
      <w:divBdr>
        <w:top w:val="none" w:sz="0" w:space="0" w:color="auto"/>
        <w:left w:val="none" w:sz="0" w:space="0" w:color="auto"/>
        <w:bottom w:val="none" w:sz="0" w:space="0" w:color="auto"/>
        <w:right w:val="none" w:sz="0" w:space="0" w:color="auto"/>
      </w:divBdr>
    </w:div>
    <w:div w:id="812915752">
      <w:bodyDiv w:val="1"/>
      <w:marLeft w:val="0"/>
      <w:marRight w:val="0"/>
      <w:marTop w:val="0"/>
      <w:marBottom w:val="0"/>
      <w:divBdr>
        <w:top w:val="none" w:sz="0" w:space="0" w:color="auto"/>
        <w:left w:val="none" w:sz="0" w:space="0" w:color="auto"/>
        <w:bottom w:val="none" w:sz="0" w:space="0" w:color="auto"/>
        <w:right w:val="none" w:sz="0" w:space="0" w:color="auto"/>
      </w:divBdr>
    </w:div>
    <w:div w:id="814178105">
      <w:bodyDiv w:val="1"/>
      <w:marLeft w:val="0"/>
      <w:marRight w:val="0"/>
      <w:marTop w:val="0"/>
      <w:marBottom w:val="0"/>
      <w:divBdr>
        <w:top w:val="none" w:sz="0" w:space="0" w:color="auto"/>
        <w:left w:val="none" w:sz="0" w:space="0" w:color="auto"/>
        <w:bottom w:val="none" w:sz="0" w:space="0" w:color="auto"/>
        <w:right w:val="none" w:sz="0" w:space="0" w:color="auto"/>
      </w:divBdr>
    </w:div>
    <w:div w:id="824006306">
      <w:bodyDiv w:val="1"/>
      <w:marLeft w:val="0"/>
      <w:marRight w:val="0"/>
      <w:marTop w:val="0"/>
      <w:marBottom w:val="0"/>
      <w:divBdr>
        <w:top w:val="none" w:sz="0" w:space="0" w:color="auto"/>
        <w:left w:val="none" w:sz="0" w:space="0" w:color="auto"/>
        <w:bottom w:val="none" w:sz="0" w:space="0" w:color="auto"/>
        <w:right w:val="none" w:sz="0" w:space="0" w:color="auto"/>
      </w:divBdr>
    </w:div>
    <w:div w:id="832838587">
      <w:bodyDiv w:val="1"/>
      <w:marLeft w:val="0"/>
      <w:marRight w:val="0"/>
      <w:marTop w:val="0"/>
      <w:marBottom w:val="0"/>
      <w:divBdr>
        <w:top w:val="none" w:sz="0" w:space="0" w:color="auto"/>
        <w:left w:val="none" w:sz="0" w:space="0" w:color="auto"/>
        <w:bottom w:val="none" w:sz="0" w:space="0" w:color="auto"/>
        <w:right w:val="none" w:sz="0" w:space="0" w:color="auto"/>
      </w:divBdr>
    </w:div>
    <w:div w:id="859468341">
      <w:bodyDiv w:val="1"/>
      <w:marLeft w:val="0"/>
      <w:marRight w:val="0"/>
      <w:marTop w:val="0"/>
      <w:marBottom w:val="0"/>
      <w:divBdr>
        <w:top w:val="none" w:sz="0" w:space="0" w:color="auto"/>
        <w:left w:val="none" w:sz="0" w:space="0" w:color="auto"/>
        <w:bottom w:val="none" w:sz="0" w:space="0" w:color="auto"/>
        <w:right w:val="none" w:sz="0" w:space="0" w:color="auto"/>
      </w:divBdr>
    </w:div>
    <w:div w:id="871458931">
      <w:bodyDiv w:val="1"/>
      <w:marLeft w:val="0"/>
      <w:marRight w:val="0"/>
      <w:marTop w:val="0"/>
      <w:marBottom w:val="0"/>
      <w:divBdr>
        <w:top w:val="none" w:sz="0" w:space="0" w:color="auto"/>
        <w:left w:val="none" w:sz="0" w:space="0" w:color="auto"/>
        <w:bottom w:val="none" w:sz="0" w:space="0" w:color="auto"/>
        <w:right w:val="none" w:sz="0" w:space="0" w:color="auto"/>
      </w:divBdr>
    </w:div>
    <w:div w:id="873888334">
      <w:bodyDiv w:val="1"/>
      <w:marLeft w:val="0"/>
      <w:marRight w:val="0"/>
      <w:marTop w:val="0"/>
      <w:marBottom w:val="0"/>
      <w:divBdr>
        <w:top w:val="none" w:sz="0" w:space="0" w:color="auto"/>
        <w:left w:val="none" w:sz="0" w:space="0" w:color="auto"/>
        <w:bottom w:val="none" w:sz="0" w:space="0" w:color="auto"/>
        <w:right w:val="none" w:sz="0" w:space="0" w:color="auto"/>
      </w:divBdr>
    </w:div>
    <w:div w:id="876896814">
      <w:bodyDiv w:val="1"/>
      <w:marLeft w:val="0"/>
      <w:marRight w:val="0"/>
      <w:marTop w:val="0"/>
      <w:marBottom w:val="0"/>
      <w:divBdr>
        <w:top w:val="none" w:sz="0" w:space="0" w:color="auto"/>
        <w:left w:val="none" w:sz="0" w:space="0" w:color="auto"/>
        <w:bottom w:val="none" w:sz="0" w:space="0" w:color="auto"/>
        <w:right w:val="none" w:sz="0" w:space="0" w:color="auto"/>
      </w:divBdr>
    </w:div>
    <w:div w:id="903952076">
      <w:bodyDiv w:val="1"/>
      <w:marLeft w:val="0"/>
      <w:marRight w:val="0"/>
      <w:marTop w:val="0"/>
      <w:marBottom w:val="0"/>
      <w:divBdr>
        <w:top w:val="none" w:sz="0" w:space="0" w:color="auto"/>
        <w:left w:val="none" w:sz="0" w:space="0" w:color="auto"/>
        <w:bottom w:val="none" w:sz="0" w:space="0" w:color="auto"/>
        <w:right w:val="none" w:sz="0" w:space="0" w:color="auto"/>
      </w:divBdr>
    </w:div>
    <w:div w:id="927808895">
      <w:bodyDiv w:val="1"/>
      <w:marLeft w:val="0"/>
      <w:marRight w:val="0"/>
      <w:marTop w:val="0"/>
      <w:marBottom w:val="0"/>
      <w:divBdr>
        <w:top w:val="none" w:sz="0" w:space="0" w:color="auto"/>
        <w:left w:val="none" w:sz="0" w:space="0" w:color="auto"/>
        <w:bottom w:val="none" w:sz="0" w:space="0" w:color="auto"/>
        <w:right w:val="none" w:sz="0" w:space="0" w:color="auto"/>
      </w:divBdr>
    </w:div>
    <w:div w:id="931619892">
      <w:bodyDiv w:val="1"/>
      <w:marLeft w:val="0"/>
      <w:marRight w:val="0"/>
      <w:marTop w:val="0"/>
      <w:marBottom w:val="0"/>
      <w:divBdr>
        <w:top w:val="none" w:sz="0" w:space="0" w:color="auto"/>
        <w:left w:val="none" w:sz="0" w:space="0" w:color="auto"/>
        <w:bottom w:val="none" w:sz="0" w:space="0" w:color="auto"/>
        <w:right w:val="none" w:sz="0" w:space="0" w:color="auto"/>
      </w:divBdr>
      <w:divsChild>
        <w:div w:id="1596786196">
          <w:marLeft w:val="0"/>
          <w:marRight w:val="0"/>
          <w:marTop w:val="0"/>
          <w:marBottom w:val="0"/>
          <w:divBdr>
            <w:top w:val="none" w:sz="0" w:space="0" w:color="auto"/>
            <w:left w:val="none" w:sz="0" w:space="0" w:color="auto"/>
            <w:bottom w:val="none" w:sz="0" w:space="0" w:color="auto"/>
            <w:right w:val="none" w:sz="0" w:space="0" w:color="auto"/>
          </w:divBdr>
          <w:divsChild>
            <w:div w:id="1663779593">
              <w:marLeft w:val="0"/>
              <w:marRight w:val="0"/>
              <w:marTop w:val="0"/>
              <w:marBottom w:val="0"/>
              <w:divBdr>
                <w:top w:val="none" w:sz="0" w:space="0" w:color="auto"/>
                <w:left w:val="none" w:sz="0" w:space="0" w:color="auto"/>
                <w:bottom w:val="none" w:sz="0" w:space="0" w:color="auto"/>
                <w:right w:val="none" w:sz="0" w:space="0" w:color="auto"/>
              </w:divBdr>
            </w:div>
            <w:div w:id="1536885337">
              <w:marLeft w:val="0"/>
              <w:marRight w:val="0"/>
              <w:marTop w:val="0"/>
              <w:marBottom w:val="0"/>
              <w:divBdr>
                <w:top w:val="none" w:sz="0" w:space="0" w:color="auto"/>
                <w:left w:val="none" w:sz="0" w:space="0" w:color="auto"/>
                <w:bottom w:val="none" w:sz="0" w:space="0" w:color="auto"/>
                <w:right w:val="none" w:sz="0" w:space="0" w:color="auto"/>
              </w:divBdr>
              <w:divsChild>
                <w:div w:id="1204556070">
                  <w:marLeft w:val="0"/>
                  <w:marRight w:val="0"/>
                  <w:marTop w:val="0"/>
                  <w:marBottom w:val="0"/>
                  <w:divBdr>
                    <w:top w:val="none" w:sz="0" w:space="0" w:color="auto"/>
                    <w:left w:val="none" w:sz="0" w:space="0" w:color="auto"/>
                    <w:bottom w:val="none" w:sz="0" w:space="0" w:color="auto"/>
                    <w:right w:val="none" w:sz="0" w:space="0" w:color="auto"/>
                  </w:divBdr>
                </w:div>
              </w:divsChild>
            </w:div>
            <w:div w:id="431323657">
              <w:marLeft w:val="0"/>
              <w:marRight w:val="0"/>
              <w:marTop w:val="0"/>
              <w:marBottom w:val="0"/>
              <w:divBdr>
                <w:top w:val="none" w:sz="0" w:space="0" w:color="auto"/>
                <w:left w:val="none" w:sz="0" w:space="0" w:color="auto"/>
                <w:bottom w:val="none" w:sz="0" w:space="0" w:color="auto"/>
                <w:right w:val="none" w:sz="0" w:space="0" w:color="auto"/>
              </w:divBdr>
              <w:divsChild>
                <w:div w:id="725493560">
                  <w:marLeft w:val="0"/>
                  <w:marRight w:val="0"/>
                  <w:marTop w:val="0"/>
                  <w:marBottom w:val="0"/>
                  <w:divBdr>
                    <w:top w:val="none" w:sz="0" w:space="0" w:color="auto"/>
                    <w:left w:val="none" w:sz="0" w:space="0" w:color="auto"/>
                    <w:bottom w:val="none" w:sz="0" w:space="0" w:color="auto"/>
                    <w:right w:val="none" w:sz="0" w:space="0" w:color="auto"/>
                  </w:divBdr>
                </w:div>
              </w:divsChild>
            </w:div>
            <w:div w:id="629362245">
              <w:marLeft w:val="0"/>
              <w:marRight w:val="0"/>
              <w:marTop w:val="0"/>
              <w:marBottom w:val="0"/>
              <w:divBdr>
                <w:top w:val="none" w:sz="0" w:space="0" w:color="auto"/>
                <w:left w:val="none" w:sz="0" w:space="0" w:color="auto"/>
                <w:bottom w:val="none" w:sz="0" w:space="0" w:color="auto"/>
                <w:right w:val="none" w:sz="0" w:space="0" w:color="auto"/>
              </w:divBdr>
              <w:divsChild>
                <w:div w:id="176842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01285">
      <w:bodyDiv w:val="1"/>
      <w:marLeft w:val="0"/>
      <w:marRight w:val="0"/>
      <w:marTop w:val="0"/>
      <w:marBottom w:val="0"/>
      <w:divBdr>
        <w:top w:val="none" w:sz="0" w:space="0" w:color="auto"/>
        <w:left w:val="none" w:sz="0" w:space="0" w:color="auto"/>
        <w:bottom w:val="none" w:sz="0" w:space="0" w:color="auto"/>
        <w:right w:val="none" w:sz="0" w:space="0" w:color="auto"/>
      </w:divBdr>
    </w:div>
    <w:div w:id="947587428">
      <w:bodyDiv w:val="1"/>
      <w:marLeft w:val="0"/>
      <w:marRight w:val="0"/>
      <w:marTop w:val="0"/>
      <w:marBottom w:val="0"/>
      <w:divBdr>
        <w:top w:val="none" w:sz="0" w:space="0" w:color="auto"/>
        <w:left w:val="none" w:sz="0" w:space="0" w:color="auto"/>
        <w:bottom w:val="none" w:sz="0" w:space="0" w:color="auto"/>
        <w:right w:val="none" w:sz="0" w:space="0" w:color="auto"/>
      </w:divBdr>
    </w:div>
    <w:div w:id="951403098">
      <w:bodyDiv w:val="1"/>
      <w:marLeft w:val="0"/>
      <w:marRight w:val="0"/>
      <w:marTop w:val="0"/>
      <w:marBottom w:val="0"/>
      <w:divBdr>
        <w:top w:val="none" w:sz="0" w:space="0" w:color="auto"/>
        <w:left w:val="none" w:sz="0" w:space="0" w:color="auto"/>
        <w:bottom w:val="none" w:sz="0" w:space="0" w:color="auto"/>
        <w:right w:val="none" w:sz="0" w:space="0" w:color="auto"/>
      </w:divBdr>
    </w:div>
    <w:div w:id="984746034">
      <w:bodyDiv w:val="1"/>
      <w:marLeft w:val="0"/>
      <w:marRight w:val="0"/>
      <w:marTop w:val="0"/>
      <w:marBottom w:val="0"/>
      <w:divBdr>
        <w:top w:val="none" w:sz="0" w:space="0" w:color="auto"/>
        <w:left w:val="none" w:sz="0" w:space="0" w:color="auto"/>
        <w:bottom w:val="none" w:sz="0" w:space="0" w:color="auto"/>
        <w:right w:val="none" w:sz="0" w:space="0" w:color="auto"/>
      </w:divBdr>
    </w:div>
    <w:div w:id="1020158918">
      <w:bodyDiv w:val="1"/>
      <w:marLeft w:val="0"/>
      <w:marRight w:val="0"/>
      <w:marTop w:val="0"/>
      <w:marBottom w:val="0"/>
      <w:divBdr>
        <w:top w:val="none" w:sz="0" w:space="0" w:color="auto"/>
        <w:left w:val="none" w:sz="0" w:space="0" w:color="auto"/>
        <w:bottom w:val="none" w:sz="0" w:space="0" w:color="auto"/>
        <w:right w:val="none" w:sz="0" w:space="0" w:color="auto"/>
      </w:divBdr>
    </w:div>
    <w:div w:id="1023749858">
      <w:bodyDiv w:val="1"/>
      <w:marLeft w:val="0"/>
      <w:marRight w:val="0"/>
      <w:marTop w:val="0"/>
      <w:marBottom w:val="0"/>
      <w:divBdr>
        <w:top w:val="none" w:sz="0" w:space="0" w:color="auto"/>
        <w:left w:val="none" w:sz="0" w:space="0" w:color="auto"/>
        <w:bottom w:val="none" w:sz="0" w:space="0" w:color="auto"/>
        <w:right w:val="none" w:sz="0" w:space="0" w:color="auto"/>
      </w:divBdr>
    </w:div>
    <w:div w:id="1065640190">
      <w:bodyDiv w:val="1"/>
      <w:marLeft w:val="0"/>
      <w:marRight w:val="0"/>
      <w:marTop w:val="0"/>
      <w:marBottom w:val="0"/>
      <w:divBdr>
        <w:top w:val="none" w:sz="0" w:space="0" w:color="auto"/>
        <w:left w:val="none" w:sz="0" w:space="0" w:color="auto"/>
        <w:bottom w:val="none" w:sz="0" w:space="0" w:color="auto"/>
        <w:right w:val="none" w:sz="0" w:space="0" w:color="auto"/>
      </w:divBdr>
    </w:div>
    <w:div w:id="1086728481">
      <w:bodyDiv w:val="1"/>
      <w:marLeft w:val="0"/>
      <w:marRight w:val="0"/>
      <w:marTop w:val="0"/>
      <w:marBottom w:val="0"/>
      <w:divBdr>
        <w:top w:val="none" w:sz="0" w:space="0" w:color="auto"/>
        <w:left w:val="none" w:sz="0" w:space="0" w:color="auto"/>
        <w:bottom w:val="none" w:sz="0" w:space="0" w:color="auto"/>
        <w:right w:val="none" w:sz="0" w:space="0" w:color="auto"/>
      </w:divBdr>
    </w:div>
    <w:div w:id="1101292139">
      <w:bodyDiv w:val="1"/>
      <w:marLeft w:val="0"/>
      <w:marRight w:val="0"/>
      <w:marTop w:val="0"/>
      <w:marBottom w:val="0"/>
      <w:divBdr>
        <w:top w:val="none" w:sz="0" w:space="0" w:color="auto"/>
        <w:left w:val="none" w:sz="0" w:space="0" w:color="auto"/>
        <w:bottom w:val="none" w:sz="0" w:space="0" w:color="auto"/>
        <w:right w:val="none" w:sz="0" w:space="0" w:color="auto"/>
      </w:divBdr>
    </w:div>
    <w:div w:id="1101415534">
      <w:bodyDiv w:val="1"/>
      <w:marLeft w:val="0"/>
      <w:marRight w:val="0"/>
      <w:marTop w:val="0"/>
      <w:marBottom w:val="0"/>
      <w:divBdr>
        <w:top w:val="none" w:sz="0" w:space="0" w:color="auto"/>
        <w:left w:val="none" w:sz="0" w:space="0" w:color="auto"/>
        <w:bottom w:val="none" w:sz="0" w:space="0" w:color="auto"/>
        <w:right w:val="none" w:sz="0" w:space="0" w:color="auto"/>
      </w:divBdr>
    </w:div>
    <w:div w:id="1130900742">
      <w:bodyDiv w:val="1"/>
      <w:marLeft w:val="0"/>
      <w:marRight w:val="0"/>
      <w:marTop w:val="0"/>
      <w:marBottom w:val="0"/>
      <w:divBdr>
        <w:top w:val="none" w:sz="0" w:space="0" w:color="auto"/>
        <w:left w:val="none" w:sz="0" w:space="0" w:color="auto"/>
        <w:bottom w:val="none" w:sz="0" w:space="0" w:color="auto"/>
        <w:right w:val="none" w:sz="0" w:space="0" w:color="auto"/>
      </w:divBdr>
    </w:div>
    <w:div w:id="1182476210">
      <w:bodyDiv w:val="1"/>
      <w:marLeft w:val="0"/>
      <w:marRight w:val="0"/>
      <w:marTop w:val="0"/>
      <w:marBottom w:val="0"/>
      <w:divBdr>
        <w:top w:val="none" w:sz="0" w:space="0" w:color="auto"/>
        <w:left w:val="none" w:sz="0" w:space="0" w:color="auto"/>
        <w:bottom w:val="none" w:sz="0" w:space="0" w:color="auto"/>
        <w:right w:val="none" w:sz="0" w:space="0" w:color="auto"/>
      </w:divBdr>
    </w:div>
    <w:div w:id="1184323310">
      <w:bodyDiv w:val="1"/>
      <w:marLeft w:val="0"/>
      <w:marRight w:val="0"/>
      <w:marTop w:val="0"/>
      <w:marBottom w:val="0"/>
      <w:divBdr>
        <w:top w:val="none" w:sz="0" w:space="0" w:color="auto"/>
        <w:left w:val="none" w:sz="0" w:space="0" w:color="auto"/>
        <w:bottom w:val="none" w:sz="0" w:space="0" w:color="auto"/>
        <w:right w:val="none" w:sz="0" w:space="0" w:color="auto"/>
      </w:divBdr>
    </w:div>
    <w:div w:id="1199440006">
      <w:bodyDiv w:val="1"/>
      <w:marLeft w:val="0"/>
      <w:marRight w:val="0"/>
      <w:marTop w:val="0"/>
      <w:marBottom w:val="0"/>
      <w:divBdr>
        <w:top w:val="none" w:sz="0" w:space="0" w:color="auto"/>
        <w:left w:val="none" w:sz="0" w:space="0" w:color="auto"/>
        <w:bottom w:val="none" w:sz="0" w:space="0" w:color="auto"/>
        <w:right w:val="none" w:sz="0" w:space="0" w:color="auto"/>
      </w:divBdr>
    </w:div>
    <w:div w:id="1211917000">
      <w:bodyDiv w:val="1"/>
      <w:marLeft w:val="0"/>
      <w:marRight w:val="0"/>
      <w:marTop w:val="0"/>
      <w:marBottom w:val="0"/>
      <w:divBdr>
        <w:top w:val="none" w:sz="0" w:space="0" w:color="auto"/>
        <w:left w:val="none" w:sz="0" w:space="0" w:color="auto"/>
        <w:bottom w:val="none" w:sz="0" w:space="0" w:color="auto"/>
        <w:right w:val="none" w:sz="0" w:space="0" w:color="auto"/>
      </w:divBdr>
      <w:divsChild>
        <w:div w:id="1758943227">
          <w:marLeft w:val="0"/>
          <w:marRight w:val="0"/>
          <w:marTop w:val="0"/>
          <w:marBottom w:val="0"/>
          <w:divBdr>
            <w:top w:val="none" w:sz="0" w:space="0" w:color="auto"/>
            <w:left w:val="none" w:sz="0" w:space="0" w:color="auto"/>
            <w:bottom w:val="none" w:sz="0" w:space="0" w:color="auto"/>
            <w:right w:val="none" w:sz="0" w:space="0" w:color="auto"/>
          </w:divBdr>
        </w:div>
      </w:divsChild>
    </w:div>
    <w:div w:id="1227447412">
      <w:bodyDiv w:val="1"/>
      <w:marLeft w:val="0"/>
      <w:marRight w:val="0"/>
      <w:marTop w:val="0"/>
      <w:marBottom w:val="0"/>
      <w:divBdr>
        <w:top w:val="none" w:sz="0" w:space="0" w:color="auto"/>
        <w:left w:val="none" w:sz="0" w:space="0" w:color="auto"/>
        <w:bottom w:val="none" w:sz="0" w:space="0" w:color="auto"/>
        <w:right w:val="none" w:sz="0" w:space="0" w:color="auto"/>
      </w:divBdr>
    </w:div>
    <w:div w:id="1269582418">
      <w:bodyDiv w:val="1"/>
      <w:marLeft w:val="0"/>
      <w:marRight w:val="0"/>
      <w:marTop w:val="0"/>
      <w:marBottom w:val="0"/>
      <w:divBdr>
        <w:top w:val="none" w:sz="0" w:space="0" w:color="auto"/>
        <w:left w:val="none" w:sz="0" w:space="0" w:color="auto"/>
        <w:bottom w:val="none" w:sz="0" w:space="0" w:color="auto"/>
        <w:right w:val="none" w:sz="0" w:space="0" w:color="auto"/>
      </w:divBdr>
    </w:div>
    <w:div w:id="1339697093">
      <w:bodyDiv w:val="1"/>
      <w:marLeft w:val="0"/>
      <w:marRight w:val="0"/>
      <w:marTop w:val="0"/>
      <w:marBottom w:val="0"/>
      <w:divBdr>
        <w:top w:val="none" w:sz="0" w:space="0" w:color="auto"/>
        <w:left w:val="none" w:sz="0" w:space="0" w:color="auto"/>
        <w:bottom w:val="none" w:sz="0" w:space="0" w:color="auto"/>
        <w:right w:val="none" w:sz="0" w:space="0" w:color="auto"/>
      </w:divBdr>
    </w:div>
    <w:div w:id="1350907275">
      <w:bodyDiv w:val="1"/>
      <w:marLeft w:val="0"/>
      <w:marRight w:val="0"/>
      <w:marTop w:val="0"/>
      <w:marBottom w:val="0"/>
      <w:divBdr>
        <w:top w:val="none" w:sz="0" w:space="0" w:color="auto"/>
        <w:left w:val="none" w:sz="0" w:space="0" w:color="auto"/>
        <w:bottom w:val="none" w:sz="0" w:space="0" w:color="auto"/>
        <w:right w:val="none" w:sz="0" w:space="0" w:color="auto"/>
      </w:divBdr>
      <w:divsChild>
        <w:div w:id="1013342297">
          <w:marLeft w:val="0"/>
          <w:marRight w:val="0"/>
          <w:marTop w:val="0"/>
          <w:marBottom w:val="0"/>
          <w:divBdr>
            <w:top w:val="none" w:sz="0" w:space="0" w:color="auto"/>
            <w:left w:val="none" w:sz="0" w:space="0" w:color="auto"/>
            <w:bottom w:val="none" w:sz="0" w:space="0" w:color="auto"/>
            <w:right w:val="none" w:sz="0" w:space="0" w:color="auto"/>
          </w:divBdr>
          <w:divsChild>
            <w:div w:id="1285425730">
              <w:marLeft w:val="0"/>
              <w:marRight w:val="0"/>
              <w:marTop w:val="0"/>
              <w:marBottom w:val="0"/>
              <w:divBdr>
                <w:top w:val="none" w:sz="0" w:space="0" w:color="auto"/>
                <w:left w:val="none" w:sz="0" w:space="0" w:color="auto"/>
                <w:bottom w:val="none" w:sz="0" w:space="0" w:color="auto"/>
                <w:right w:val="none" w:sz="0" w:space="0" w:color="auto"/>
              </w:divBdr>
            </w:div>
            <w:div w:id="718014476">
              <w:marLeft w:val="0"/>
              <w:marRight w:val="0"/>
              <w:marTop w:val="0"/>
              <w:marBottom w:val="0"/>
              <w:divBdr>
                <w:top w:val="none" w:sz="0" w:space="0" w:color="auto"/>
                <w:left w:val="none" w:sz="0" w:space="0" w:color="auto"/>
                <w:bottom w:val="none" w:sz="0" w:space="0" w:color="auto"/>
                <w:right w:val="none" w:sz="0" w:space="0" w:color="auto"/>
              </w:divBdr>
              <w:divsChild>
                <w:div w:id="63113334">
                  <w:marLeft w:val="0"/>
                  <w:marRight w:val="0"/>
                  <w:marTop w:val="0"/>
                  <w:marBottom w:val="0"/>
                  <w:divBdr>
                    <w:top w:val="none" w:sz="0" w:space="0" w:color="auto"/>
                    <w:left w:val="none" w:sz="0" w:space="0" w:color="auto"/>
                    <w:bottom w:val="none" w:sz="0" w:space="0" w:color="auto"/>
                    <w:right w:val="none" w:sz="0" w:space="0" w:color="auto"/>
                  </w:divBdr>
                </w:div>
              </w:divsChild>
            </w:div>
            <w:div w:id="2113937377">
              <w:marLeft w:val="0"/>
              <w:marRight w:val="0"/>
              <w:marTop w:val="0"/>
              <w:marBottom w:val="0"/>
              <w:divBdr>
                <w:top w:val="none" w:sz="0" w:space="0" w:color="auto"/>
                <w:left w:val="none" w:sz="0" w:space="0" w:color="auto"/>
                <w:bottom w:val="none" w:sz="0" w:space="0" w:color="auto"/>
                <w:right w:val="none" w:sz="0" w:space="0" w:color="auto"/>
              </w:divBdr>
              <w:divsChild>
                <w:div w:id="757990003">
                  <w:marLeft w:val="0"/>
                  <w:marRight w:val="0"/>
                  <w:marTop w:val="0"/>
                  <w:marBottom w:val="0"/>
                  <w:divBdr>
                    <w:top w:val="none" w:sz="0" w:space="0" w:color="auto"/>
                    <w:left w:val="none" w:sz="0" w:space="0" w:color="auto"/>
                    <w:bottom w:val="none" w:sz="0" w:space="0" w:color="auto"/>
                    <w:right w:val="none" w:sz="0" w:space="0" w:color="auto"/>
                  </w:divBdr>
                </w:div>
              </w:divsChild>
            </w:div>
            <w:div w:id="559370521">
              <w:marLeft w:val="0"/>
              <w:marRight w:val="0"/>
              <w:marTop w:val="0"/>
              <w:marBottom w:val="0"/>
              <w:divBdr>
                <w:top w:val="none" w:sz="0" w:space="0" w:color="auto"/>
                <w:left w:val="none" w:sz="0" w:space="0" w:color="auto"/>
                <w:bottom w:val="none" w:sz="0" w:space="0" w:color="auto"/>
                <w:right w:val="none" w:sz="0" w:space="0" w:color="auto"/>
              </w:divBdr>
              <w:divsChild>
                <w:div w:id="1780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960844">
      <w:bodyDiv w:val="1"/>
      <w:marLeft w:val="0"/>
      <w:marRight w:val="0"/>
      <w:marTop w:val="0"/>
      <w:marBottom w:val="0"/>
      <w:divBdr>
        <w:top w:val="none" w:sz="0" w:space="0" w:color="auto"/>
        <w:left w:val="none" w:sz="0" w:space="0" w:color="auto"/>
        <w:bottom w:val="none" w:sz="0" w:space="0" w:color="auto"/>
        <w:right w:val="none" w:sz="0" w:space="0" w:color="auto"/>
      </w:divBdr>
    </w:div>
    <w:div w:id="1365788108">
      <w:bodyDiv w:val="1"/>
      <w:marLeft w:val="0"/>
      <w:marRight w:val="0"/>
      <w:marTop w:val="0"/>
      <w:marBottom w:val="0"/>
      <w:divBdr>
        <w:top w:val="none" w:sz="0" w:space="0" w:color="auto"/>
        <w:left w:val="none" w:sz="0" w:space="0" w:color="auto"/>
        <w:bottom w:val="none" w:sz="0" w:space="0" w:color="auto"/>
        <w:right w:val="none" w:sz="0" w:space="0" w:color="auto"/>
      </w:divBdr>
    </w:div>
    <w:div w:id="1369141300">
      <w:bodyDiv w:val="1"/>
      <w:marLeft w:val="0"/>
      <w:marRight w:val="0"/>
      <w:marTop w:val="0"/>
      <w:marBottom w:val="0"/>
      <w:divBdr>
        <w:top w:val="none" w:sz="0" w:space="0" w:color="auto"/>
        <w:left w:val="none" w:sz="0" w:space="0" w:color="auto"/>
        <w:bottom w:val="none" w:sz="0" w:space="0" w:color="auto"/>
        <w:right w:val="none" w:sz="0" w:space="0" w:color="auto"/>
      </w:divBdr>
    </w:div>
    <w:div w:id="1382099901">
      <w:bodyDiv w:val="1"/>
      <w:marLeft w:val="0"/>
      <w:marRight w:val="0"/>
      <w:marTop w:val="0"/>
      <w:marBottom w:val="0"/>
      <w:divBdr>
        <w:top w:val="none" w:sz="0" w:space="0" w:color="auto"/>
        <w:left w:val="none" w:sz="0" w:space="0" w:color="auto"/>
        <w:bottom w:val="none" w:sz="0" w:space="0" w:color="auto"/>
        <w:right w:val="none" w:sz="0" w:space="0" w:color="auto"/>
      </w:divBdr>
    </w:div>
    <w:div w:id="1402022988">
      <w:bodyDiv w:val="1"/>
      <w:marLeft w:val="0"/>
      <w:marRight w:val="0"/>
      <w:marTop w:val="0"/>
      <w:marBottom w:val="0"/>
      <w:divBdr>
        <w:top w:val="none" w:sz="0" w:space="0" w:color="auto"/>
        <w:left w:val="none" w:sz="0" w:space="0" w:color="auto"/>
        <w:bottom w:val="none" w:sz="0" w:space="0" w:color="auto"/>
        <w:right w:val="none" w:sz="0" w:space="0" w:color="auto"/>
      </w:divBdr>
    </w:div>
    <w:div w:id="1406293882">
      <w:bodyDiv w:val="1"/>
      <w:marLeft w:val="0"/>
      <w:marRight w:val="0"/>
      <w:marTop w:val="0"/>
      <w:marBottom w:val="0"/>
      <w:divBdr>
        <w:top w:val="none" w:sz="0" w:space="0" w:color="auto"/>
        <w:left w:val="none" w:sz="0" w:space="0" w:color="auto"/>
        <w:bottom w:val="none" w:sz="0" w:space="0" w:color="auto"/>
        <w:right w:val="none" w:sz="0" w:space="0" w:color="auto"/>
      </w:divBdr>
    </w:div>
    <w:div w:id="1412965681">
      <w:bodyDiv w:val="1"/>
      <w:marLeft w:val="0"/>
      <w:marRight w:val="0"/>
      <w:marTop w:val="0"/>
      <w:marBottom w:val="0"/>
      <w:divBdr>
        <w:top w:val="none" w:sz="0" w:space="0" w:color="auto"/>
        <w:left w:val="none" w:sz="0" w:space="0" w:color="auto"/>
        <w:bottom w:val="none" w:sz="0" w:space="0" w:color="auto"/>
        <w:right w:val="none" w:sz="0" w:space="0" w:color="auto"/>
      </w:divBdr>
    </w:div>
    <w:div w:id="1415391528">
      <w:bodyDiv w:val="1"/>
      <w:marLeft w:val="0"/>
      <w:marRight w:val="0"/>
      <w:marTop w:val="0"/>
      <w:marBottom w:val="0"/>
      <w:divBdr>
        <w:top w:val="none" w:sz="0" w:space="0" w:color="auto"/>
        <w:left w:val="none" w:sz="0" w:space="0" w:color="auto"/>
        <w:bottom w:val="none" w:sz="0" w:space="0" w:color="auto"/>
        <w:right w:val="none" w:sz="0" w:space="0" w:color="auto"/>
      </w:divBdr>
    </w:div>
    <w:div w:id="1435242999">
      <w:bodyDiv w:val="1"/>
      <w:marLeft w:val="0"/>
      <w:marRight w:val="0"/>
      <w:marTop w:val="0"/>
      <w:marBottom w:val="0"/>
      <w:divBdr>
        <w:top w:val="none" w:sz="0" w:space="0" w:color="auto"/>
        <w:left w:val="none" w:sz="0" w:space="0" w:color="auto"/>
        <w:bottom w:val="none" w:sz="0" w:space="0" w:color="auto"/>
        <w:right w:val="none" w:sz="0" w:space="0" w:color="auto"/>
      </w:divBdr>
    </w:div>
    <w:div w:id="1445728881">
      <w:bodyDiv w:val="1"/>
      <w:marLeft w:val="0"/>
      <w:marRight w:val="0"/>
      <w:marTop w:val="0"/>
      <w:marBottom w:val="0"/>
      <w:divBdr>
        <w:top w:val="none" w:sz="0" w:space="0" w:color="auto"/>
        <w:left w:val="none" w:sz="0" w:space="0" w:color="auto"/>
        <w:bottom w:val="none" w:sz="0" w:space="0" w:color="auto"/>
        <w:right w:val="none" w:sz="0" w:space="0" w:color="auto"/>
      </w:divBdr>
    </w:div>
    <w:div w:id="1445924260">
      <w:bodyDiv w:val="1"/>
      <w:marLeft w:val="0"/>
      <w:marRight w:val="0"/>
      <w:marTop w:val="0"/>
      <w:marBottom w:val="0"/>
      <w:divBdr>
        <w:top w:val="none" w:sz="0" w:space="0" w:color="auto"/>
        <w:left w:val="none" w:sz="0" w:space="0" w:color="auto"/>
        <w:bottom w:val="none" w:sz="0" w:space="0" w:color="auto"/>
        <w:right w:val="none" w:sz="0" w:space="0" w:color="auto"/>
      </w:divBdr>
    </w:div>
    <w:div w:id="1490517690">
      <w:bodyDiv w:val="1"/>
      <w:marLeft w:val="0"/>
      <w:marRight w:val="0"/>
      <w:marTop w:val="0"/>
      <w:marBottom w:val="0"/>
      <w:divBdr>
        <w:top w:val="none" w:sz="0" w:space="0" w:color="auto"/>
        <w:left w:val="none" w:sz="0" w:space="0" w:color="auto"/>
        <w:bottom w:val="none" w:sz="0" w:space="0" w:color="auto"/>
        <w:right w:val="none" w:sz="0" w:space="0" w:color="auto"/>
      </w:divBdr>
    </w:div>
    <w:div w:id="1494562216">
      <w:bodyDiv w:val="1"/>
      <w:marLeft w:val="0"/>
      <w:marRight w:val="0"/>
      <w:marTop w:val="0"/>
      <w:marBottom w:val="0"/>
      <w:divBdr>
        <w:top w:val="none" w:sz="0" w:space="0" w:color="auto"/>
        <w:left w:val="none" w:sz="0" w:space="0" w:color="auto"/>
        <w:bottom w:val="none" w:sz="0" w:space="0" w:color="auto"/>
        <w:right w:val="none" w:sz="0" w:space="0" w:color="auto"/>
      </w:divBdr>
    </w:div>
    <w:div w:id="1512910650">
      <w:bodyDiv w:val="1"/>
      <w:marLeft w:val="0"/>
      <w:marRight w:val="0"/>
      <w:marTop w:val="0"/>
      <w:marBottom w:val="0"/>
      <w:divBdr>
        <w:top w:val="none" w:sz="0" w:space="0" w:color="auto"/>
        <w:left w:val="none" w:sz="0" w:space="0" w:color="auto"/>
        <w:bottom w:val="none" w:sz="0" w:space="0" w:color="auto"/>
        <w:right w:val="none" w:sz="0" w:space="0" w:color="auto"/>
      </w:divBdr>
    </w:div>
    <w:div w:id="1523130198">
      <w:bodyDiv w:val="1"/>
      <w:marLeft w:val="0"/>
      <w:marRight w:val="0"/>
      <w:marTop w:val="0"/>
      <w:marBottom w:val="0"/>
      <w:divBdr>
        <w:top w:val="none" w:sz="0" w:space="0" w:color="auto"/>
        <w:left w:val="none" w:sz="0" w:space="0" w:color="auto"/>
        <w:bottom w:val="none" w:sz="0" w:space="0" w:color="auto"/>
        <w:right w:val="none" w:sz="0" w:space="0" w:color="auto"/>
      </w:divBdr>
    </w:div>
    <w:div w:id="1538732752">
      <w:bodyDiv w:val="1"/>
      <w:marLeft w:val="0"/>
      <w:marRight w:val="0"/>
      <w:marTop w:val="0"/>
      <w:marBottom w:val="0"/>
      <w:divBdr>
        <w:top w:val="none" w:sz="0" w:space="0" w:color="auto"/>
        <w:left w:val="none" w:sz="0" w:space="0" w:color="auto"/>
        <w:bottom w:val="none" w:sz="0" w:space="0" w:color="auto"/>
        <w:right w:val="none" w:sz="0" w:space="0" w:color="auto"/>
      </w:divBdr>
    </w:div>
    <w:div w:id="1540047462">
      <w:bodyDiv w:val="1"/>
      <w:marLeft w:val="0"/>
      <w:marRight w:val="0"/>
      <w:marTop w:val="0"/>
      <w:marBottom w:val="0"/>
      <w:divBdr>
        <w:top w:val="none" w:sz="0" w:space="0" w:color="auto"/>
        <w:left w:val="none" w:sz="0" w:space="0" w:color="auto"/>
        <w:bottom w:val="none" w:sz="0" w:space="0" w:color="auto"/>
        <w:right w:val="none" w:sz="0" w:space="0" w:color="auto"/>
      </w:divBdr>
    </w:div>
    <w:div w:id="1562935114">
      <w:bodyDiv w:val="1"/>
      <w:marLeft w:val="0"/>
      <w:marRight w:val="0"/>
      <w:marTop w:val="0"/>
      <w:marBottom w:val="0"/>
      <w:divBdr>
        <w:top w:val="none" w:sz="0" w:space="0" w:color="auto"/>
        <w:left w:val="none" w:sz="0" w:space="0" w:color="auto"/>
        <w:bottom w:val="none" w:sz="0" w:space="0" w:color="auto"/>
        <w:right w:val="none" w:sz="0" w:space="0" w:color="auto"/>
      </w:divBdr>
    </w:div>
    <w:div w:id="1584803049">
      <w:bodyDiv w:val="1"/>
      <w:marLeft w:val="0"/>
      <w:marRight w:val="0"/>
      <w:marTop w:val="0"/>
      <w:marBottom w:val="0"/>
      <w:divBdr>
        <w:top w:val="none" w:sz="0" w:space="0" w:color="auto"/>
        <w:left w:val="none" w:sz="0" w:space="0" w:color="auto"/>
        <w:bottom w:val="none" w:sz="0" w:space="0" w:color="auto"/>
        <w:right w:val="none" w:sz="0" w:space="0" w:color="auto"/>
      </w:divBdr>
    </w:div>
    <w:div w:id="1605654571">
      <w:bodyDiv w:val="1"/>
      <w:marLeft w:val="0"/>
      <w:marRight w:val="0"/>
      <w:marTop w:val="0"/>
      <w:marBottom w:val="0"/>
      <w:divBdr>
        <w:top w:val="none" w:sz="0" w:space="0" w:color="auto"/>
        <w:left w:val="none" w:sz="0" w:space="0" w:color="auto"/>
        <w:bottom w:val="none" w:sz="0" w:space="0" w:color="auto"/>
        <w:right w:val="none" w:sz="0" w:space="0" w:color="auto"/>
      </w:divBdr>
    </w:div>
    <w:div w:id="1630208621">
      <w:bodyDiv w:val="1"/>
      <w:marLeft w:val="0"/>
      <w:marRight w:val="0"/>
      <w:marTop w:val="0"/>
      <w:marBottom w:val="0"/>
      <w:divBdr>
        <w:top w:val="none" w:sz="0" w:space="0" w:color="auto"/>
        <w:left w:val="none" w:sz="0" w:space="0" w:color="auto"/>
        <w:bottom w:val="none" w:sz="0" w:space="0" w:color="auto"/>
        <w:right w:val="none" w:sz="0" w:space="0" w:color="auto"/>
      </w:divBdr>
    </w:div>
    <w:div w:id="1634558126">
      <w:bodyDiv w:val="1"/>
      <w:marLeft w:val="0"/>
      <w:marRight w:val="0"/>
      <w:marTop w:val="0"/>
      <w:marBottom w:val="0"/>
      <w:divBdr>
        <w:top w:val="none" w:sz="0" w:space="0" w:color="auto"/>
        <w:left w:val="none" w:sz="0" w:space="0" w:color="auto"/>
        <w:bottom w:val="none" w:sz="0" w:space="0" w:color="auto"/>
        <w:right w:val="none" w:sz="0" w:space="0" w:color="auto"/>
      </w:divBdr>
    </w:div>
    <w:div w:id="1649017439">
      <w:bodyDiv w:val="1"/>
      <w:marLeft w:val="0"/>
      <w:marRight w:val="0"/>
      <w:marTop w:val="0"/>
      <w:marBottom w:val="0"/>
      <w:divBdr>
        <w:top w:val="none" w:sz="0" w:space="0" w:color="auto"/>
        <w:left w:val="none" w:sz="0" w:space="0" w:color="auto"/>
        <w:bottom w:val="none" w:sz="0" w:space="0" w:color="auto"/>
        <w:right w:val="none" w:sz="0" w:space="0" w:color="auto"/>
      </w:divBdr>
      <w:divsChild>
        <w:div w:id="989552946">
          <w:marLeft w:val="0"/>
          <w:marRight w:val="0"/>
          <w:marTop w:val="0"/>
          <w:marBottom w:val="0"/>
          <w:divBdr>
            <w:top w:val="none" w:sz="0" w:space="0" w:color="auto"/>
            <w:left w:val="none" w:sz="0" w:space="0" w:color="auto"/>
            <w:bottom w:val="none" w:sz="0" w:space="0" w:color="auto"/>
            <w:right w:val="none" w:sz="0" w:space="0" w:color="auto"/>
          </w:divBdr>
        </w:div>
      </w:divsChild>
    </w:div>
    <w:div w:id="1681850381">
      <w:bodyDiv w:val="1"/>
      <w:marLeft w:val="0"/>
      <w:marRight w:val="0"/>
      <w:marTop w:val="0"/>
      <w:marBottom w:val="0"/>
      <w:divBdr>
        <w:top w:val="none" w:sz="0" w:space="0" w:color="auto"/>
        <w:left w:val="none" w:sz="0" w:space="0" w:color="auto"/>
        <w:bottom w:val="none" w:sz="0" w:space="0" w:color="auto"/>
        <w:right w:val="none" w:sz="0" w:space="0" w:color="auto"/>
      </w:divBdr>
    </w:div>
    <w:div w:id="1691489068">
      <w:bodyDiv w:val="1"/>
      <w:marLeft w:val="0"/>
      <w:marRight w:val="0"/>
      <w:marTop w:val="0"/>
      <w:marBottom w:val="0"/>
      <w:divBdr>
        <w:top w:val="none" w:sz="0" w:space="0" w:color="auto"/>
        <w:left w:val="none" w:sz="0" w:space="0" w:color="auto"/>
        <w:bottom w:val="none" w:sz="0" w:space="0" w:color="auto"/>
        <w:right w:val="none" w:sz="0" w:space="0" w:color="auto"/>
      </w:divBdr>
    </w:div>
    <w:div w:id="1703944356">
      <w:bodyDiv w:val="1"/>
      <w:marLeft w:val="0"/>
      <w:marRight w:val="0"/>
      <w:marTop w:val="0"/>
      <w:marBottom w:val="0"/>
      <w:divBdr>
        <w:top w:val="none" w:sz="0" w:space="0" w:color="auto"/>
        <w:left w:val="none" w:sz="0" w:space="0" w:color="auto"/>
        <w:bottom w:val="none" w:sz="0" w:space="0" w:color="auto"/>
        <w:right w:val="none" w:sz="0" w:space="0" w:color="auto"/>
      </w:divBdr>
    </w:div>
    <w:div w:id="1720545967">
      <w:bodyDiv w:val="1"/>
      <w:marLeft w:val="0"/>
      <w:marRight w:val="0"/>
      <w:marTop w:val="0"/>
      <w:marBottom w:val="0"/>
      <w:divBdr>
        <w:top w:val="none" w:sz="0" w:space="0" w:color="auto"/>
        <w:left w:val="none" w:sz="0" w:space="0" w:color="auto"/>
        <w:bottom w:val="none" w:sz="0" w:space="0" w:color="auto"/>
        <w:right w:val="none" w:sz="0" w:space="0" w:color="auto"/>
      </w:divBdr>
    </w:div>
    <w:div w:id="1732120994">
      <w:bodyDiv w:val="1"/>
      <w:marLeft w:val="0"/>
      <w:marRight w:val="0"/>
      <w:marTop w:val="0"/>
      <w:marBottom w:val="0"/>
      <w:divBdr>
        <w:top w:val="none" w:sz="0" w:space="0" w:color="auto"/>
        <w:left w:val="none" w:sz="0" w:space="0" w:color="auto"/>
        <w:bottom w:val="none" w:sz="0" w:space="0" w:color="auto"/>
        <w:right w:val="none" w:sz="0" w:space="0" w:color="auto"/>
      </w:divBdr>
    </w:div>
    <w:div w:id="1765375168">
      <w:bodyDiv w:val="1"/>
      <w:marLeft w:val="0"/>
      <w:marRight w:val="0"/>
      <w:marTop w:val="0"/>
      <w:marBottom w:val="0"/>
      <w:divBdr>
        <w:top w:val="none" w:sz="0" w:space="0" w:color="auto"/>
        <w:left w:val="none" w:sz="0" w:space="0" w:color="auto"/>
        <w:bottom w:val="none" w:sz="0" w:space="0" w:color="auto"/>
        <w:right w:val="none" w:sz="0" w:space="0" w:color="auto"/>
      </w:divBdr>
    </w:div>
    <w:div w:id="1785153137">
      <w:bodyDiv w:val="1"/>
      <w:marLeft w:val="0"/>
      <w:marRight w:val="0"/>
      <w:marTop w:val="0"/>
      <w:marBottom w:val="0"/>
      <w:divBdr>
        <w:top w:val="none" w:sz="0" w:space="0" w:color="auto"/>
        <w:left w:val="none" w:sz="0" w:space="0" w:color="auto"/>
        <w:bottom w:val="none" w:sz="0" w:space="0" w:color="auto"/>
        <w:right w:val="none" w:sz="0" w:space="0" w:color="auto"/>
      </w:divBdr>
    </w:div>
    <w:div w:id="1818112759">
      <w:bodyDiv w:val="1"/>
      <w:marLeft w:val="0"/>
      <w:marRight w:val="0"/>
      <w:marTop w:val="0"/>
      <w:marBottom w:val="0"/>
      <w:divBdr>
        <w:top w:val="none" w:sz="0" w:space="0" w:color="auto"/>
        <w:left w:val="none" w:sz="0" w:space="0" w:color="auto"/>
        <w:bottom w:val="none" w:sz="0" w:space="0" w:color="auto"/>
        <w:right w:val="none" w:sz="0" w:space="0" w:color="auto"/>
      </w:divBdr>
    </w:div>
    <w:div w:id="1875119203">
      <w:bodyDiv w:val="1"/>
      <w:marLeft w:val="0"/>
      <w:marRight w:val="0"/>
      <w:marTop w:val="0"/>
      <w:marBottom w:val="0"/>
      <w:divBdr>
        <w:top w:val="none" w:sz="0" w:space="0" w:color="auto"/>
        <w:left w:val="none" w:sz="0" w:space="0" w:color="auto"/>
        <w:bottom w:val="none" w:sz="0" w:space="0" w:color="auto"/>
        <w:right w:val="none" w:sz="0" w:space="0" w:color="auto"/>
      </w:divBdr>
    </w:div>
    <w:div w:id="1876890606">
      <w:bodyDiv w:val="1"/>
      <w:marLeft w:val="0"/>
      <w:marRight w:val="0"/>
      <w:marTop w:val="0"/>
      <w:marBottom w:val="0"/>
      <w:divBdr>
        <w:top w:val="none" w:sz="0" w:space="0" w:color="auto"/>
        <w:left w:val="none" w:sz="0" w:space="0" w:color="auto"/>
        <w:bottom w:val="none" w:sz="0" w:space="0" w:color="auto"/>
        <w:right w:val="none" w:sz="0" w:space="0" w:color="auto"/>
      </w:divBdr>
    </w:div>
    <w:div w:id="1895853655">
      <w:bodyDiv w:val="1"/>
      <w:marLeft w:val="0"/>
      <w:marRight w:val="0"/>
      <w:marTop w:val="0"/>
      <w:marBottom w:val="0"/>
      <w:divBdr>
        <w:top w:val="none" w:sz="0" w:space="0" w:color="auto"/>
        <w:left w:val="none" w:sz="0" w:space="0" w:color="auto"/>
        <w:bottom w:val="none" w:sz="0" w:space="0" w:color="auto"/>
        <w:right w:val="none" w:sz="0" w:space="0" w:color="auto"/>
      </w:divBdr>
    </w:div>
    <w:div w:id="1897548576">
      <w:bodyDiv w:val="1"/>
      <w:marLeft w:val="0"/>
      <w:marRight w:val="0"/>
      <w:marTop w:val="0"/>
      <w:marBottom w:val="0"/>
      <w:divBdr>
        <w:top w:val="none" w:sz="0" w:space="0" w:color="auto"/>
        <w:left w:val="none" w:sz="0" w:space="0" w:color="auto"/>
        <w:bottom w:val="none" w:sz="0" w:space="0" w:color="auto"/>
        <w:right w:val="none" w:sz="0" w:space="0" w:color="auto"/>
      </w:divBdr>
    </w:div>
    <w:div w:id="1901548736">
      <w:bodyDiv w:val="1"/>
      <w:marLeft w:val="0"/>
      <w:marRight w:val="0"/>
      <w:marTop w:val="0"/>
      <w:marBottom w:val="0"/>
      <w:divBdr>
        <w:top w:val="none" w:sz="0" w:space="0" w:color="auto"/>
        <w:left w:val="none" w:sz="0" w:space="0" w:color="auto"/>
        <w:bottom w:val="none" w:sz="0" w:space="0" w:color="auto"/>
        <w:right w:val="none" w:sz="0" w:space="0" w:color="auto"/>
      </w:divBdr>
    </w:div>
    <w:div w:id="1913932576">
      <w:bodyDiv w:val="1"/>
      <w:marLeft w:val="0"/>
      <w:marRight w:val="0"/>
      <w:marTop w:val="0"/>
      <w:marBottom w:val="0"/>
      <w:divBdr>
        <w:top w:val="none" w:sz="0" w:space="0" w:color="auto"/>
        <w:left w:val="none" w:sz="0" w:space="0" w:color="auto"/>
        <w:bottom w:val="none" w:sz="0" w:space="0" w:color="auto"/>
        <w:right w:val="none" w:sz="0" w:space="0" w:color="auto"/>
      </w:divBdr>
    </w:div>
    <w:div w:id="1922443934">
      <w:bodyDiv w:val="1"/>
      <w:marLeft w:val="0"/>
      <w:marRight w:val="0"/>
      <w:marTop w:val="0"/>
      <w:marBottom w:val="0"/>
      <w:divBdr>
        <w:top w:val="none" w:sz="0" w:space="0" w:color="auto"/>
        <w:left w:val="none" w:sz="0" w:space="0" w:color="auto"/>
        <w:bottom w:val="none" w:sz="0" w:space="0" w:color="auto"/>
        <w:right w:val="none" w:sz="0" w:space="0" w:color="auto"/>
      </w:divBdr>
    </w:div>
    <w:div w:id="1928416264">
      <w:bodyDiv w:val="1"/>
      <w:marLeft w:val="0"/>
      <w:marRight w:val="0"/>
      <w:marTop w:val="0"/>
      <w:marBottom w:val="0"/>
      <w:divBdr>
        <w:top w:val="none" w:sz="0" w:space="0" w:color="auto"/>
        <w:left w:val="none" w:sz="0" w:space="0" w:color="auto"/>
        <w:bottom w:val="none" w:sz="0" w:space="0" w:color="auto"/>
        <w:right w:val="none" w:sz="0" w:space="0" w:color="auto"/>
      </w:divBdr>
    </w:div>
    <w:div w:id="1937326476">
      <w:bodyDiv w:val="1"/>
      <w:marLeft w:val="0"/>
      <w:marRight w:val="0"/>
      <w:marTop w:val="0"/>
      <w:marBottom w:val="0"/>
      <w:divBdr>
        <w:top w:val="none" w:sz="0" w:space="0" w:color="auto"/>
        <w:left w:val="none" w:sz="0" w:space="0" w:color="auto"/>
        <w:bottom w:val="none" w:sz="0" w:space="0" w:color="auto"/>
        <w:right w:val="none" w:sz="0" w:space="0" w:color="auto"/>
      </w:divBdr>
    </w:div>
    <w:div w:id="1942759082">
      <w:bodyDiv w:val="1"/>
      <w:marLeft w:val="0"/>
      <w:marRight w:val="0"/>
      <w:marTop w:val="0"/>
      <w:marBottom w:val="0"/>
      <w:divBdr>
        <w:top w:val="none" w:sz="0" w:space="0" w:color="auto"/>
        <w:left w:val="none" w:sz="0" w:space="0" w:color="auto"/>
        <w:bottom w:val="none" w:sz="0" w:space="0" w:color="auto"/>
        <w:right w:val="none" w:sz="0" w:space="0" w:color="auto"/>
      </w:divBdr>
    </w:div>
    <w:div w:id="1947469664">
      <w:bodyDiv w:val="1"/>
      <w:marLeft w:val="0"/>
      <w:marRight w:val="0"/>
      <w:marTop w:val="0"/>
      <w:marBottom w:val="0"/>
      <w:divBdr>
        <w:top w:val="none" w:sz="0" w:space="0" w:color="auto"/>
        <w:left w:val="none" w:sz="0" w:space="0" w:color="auto"/>
        <w:bottom w:val="none" w:sz="0" w:space="0" w:color="auto"/>
        <w:right w:val="none" w:sz="0" w:space="0" w:color="auto"/>
      </w:divBdr>
    </w:div>
    <w:div w:id="1973512204">
      <w:bodyDiv w:val="1"/>
      <w:marLeft w:val="0"/>
      <w:marRight w:val="0"/>
      <w:marTop w:val="0"/>
      <w:marBottom w:val="0"/>
      <w:divBdr>
        <w:top w:val="none" w:sz="0" w:space="0" w:color="auto"/>
        <w:left w:val="none" w:sz="0" w:space="0" w:color="auto"/>
        <w:bottom w:val="none" w:sz="0" w:space="0" w:color="auto"/>
        <w:right w:val="none" w:sz="0" w:space="0" w:color="auto"/>
      </w:divBdr>
    </w:div>
    <w:div w:id="1975133436">
      <w:bodyDiv w:val="1"/>
      <w:marLeft w:val="0"/>
      <w:marRight w:val="0"/>
      <w:marTop w:val="0"/>
      <w:marBottom w:val="0"/>
      <w:divBdr>
        <w:top w:val="none" w:sz="0" w:space="0" w:color="auto"/>
        <w:left w:val="none" w:sz="0" w:space="0" w:color="auto"/>
        <w:bottom w:val="none" w:sz="0" w:space="0" w:color="auto"/>
        <w:right w:val="none" w:sz="0" w:space="0" w:color="auto"/>
      </w:divBdr>
    </w:div>
    <w:div w:id="1975601949">
      <w:bodyDiv w:val="1"/>
      <w:marLeft w:val="0"/>
      <w:marRight w:val="0"/>
      <w:marTop w:val="0"/>
      <w:marBottom w:val="0"/>
      <w:divBdr>
        <w:top w:val="none" w:sz="0" w:space="0" w:color="auto"/>
        <w:left w:val="none" w:sz="0" w:space="0" w:color="auto"/>
        <w:bottom w:val="none" w:sz="0" w:space="0" w:color="auto"/>
        <w:right w:val="none" w:sz="0" w:space="0" w:color="auto"/>
      </w:divBdr>
    </w:div>
    <w:div w:id="1981422149">
      <w:bodyDiv w:val="1"/>
      <w:marLeft w:val="0"/>
      <w:marRight w:val="0"/>
      <w:marTop w:val="0"/>
      <w:marBottom w:val="0"/>
      <w:divBdr>
        <w:top w:val="none" w:sz="0" w:space="0" w:color="auto"/>
        <w:left w:val="none" w:sz="0" w:space="0" w:color="auto"/>
        <w:bottom w:val="none" w:sz="0" w:space="0" w:color="auto"/>
        <w:right w:val="none" w:sz="0" w:space="0" w:color="auto"/>
      </w:divBdr>
    </w:div>
    <w:div w:id="1990281051">
      <w:bodyDiv w:val="1"/>
      <w:marLeft w:val="0"/>
      <w:marRight w:val="0"/>
      <w:marTop w:val="0"/>
      <w:marBottom w:val="0"/>
      <w:divBdr>
        <w:top w:val="none" w:sz="0" w:space="0" w:color="auto"/>
        <w:left w:val="none" w:sz="0" w:space="0" w:color="auto"/>
        <w:bottom w:val="none" w:sz="0" w:space="0" w:color="auto"/>
        <w:right w:val="none" w:sz="0" w:space="0" w:color="auto"/>
      </w:divBdr>
    </w:div>
    <w:div w:id="2035113732">
      <w:bodyDiv w:val="1"/>
      <w:marLeft w:val="0"/>
      <w:marRight w:val="0"/>
      <w:marTop w:val="0"/>
      <w:marBottom w:val="0"/>
      <w:divBdr>
        <w:top w:val="none" w:sz="0" w:space="0" w:color="auto"/>
        <w:left w:val="none" w:sz="0" w:space="0" w:color="auto"/>
        <w:bottom w:val="none" w:sz="0" w:space="0" w:color="auto"/>
        <w:right w:val="none" w:sz="0" w:space="0" w:color="auto"/>
      </w:divBdr>
    </w:div>
    <w:div w:id="2035765271">
      <w:bodyDiv w:val="1"/>
      <w:marLeft w:val="0"/>
      <w:marRight w:val="0"/>
      <w:marTop w:val="0"/>
      <w:marBottom w:val="0"/>
      <w:divBdr>
        <w:top w:val="none" w:sz="0" w:space="0" w:color="auto"/>
        <w:left w:val="none" w:sz="0" w:space="0" w:color="auto"/>
        <w:bottom w:val="none" w:sz="0" w:space="0" w:color="auto"/>
        <w:right w:val="none" w:sz="0" w:space="0" w:color="auto"/>
      </w:divBdr>
      <w:divsChild>
        <w:div w:id="378240896">
          <w:marLeft w:val="0"/>
          <w:marRight w:val="0"/>
          <w:marTop w:val="0"/>
          <w:marBottom w:val="0"/>
          <w:divBdr>
            <w:top w:val="none" w:sz="0" w:space="0" w:color="auto"/>
            <w:left w:val="none" w:sz="0" w:space="0" w:color="auto"/>
            <w:bottom w:val="none" w:sz="0" w:space="0" w:color="auto"/>
            <w:right w:val="none" w:sz="0" w:space="0" w:color="auto"/>
          </w:divBdr>
        </w:div>
      </w:divsChild>
    </w:div>
    <w:div w:id="2036926449">
      <w:bodyDiv w:val="1"/>
      <w:marLeft w:val="0"/>
      <w:marRight w:val="0"/>
      <w:marTop w:val="0"/>
      <w:marBottom w:val="0"/>
      <w:divBdr>
        <w:top w:val="none" w:sz="0" w:space="0" w:color="auto"/>
        <w:left w:val="none" w:sz="0" w:space="0" w:color="auto"/>
        <w:bottom w:val="none" w:sz="0" w:space="0" w:color="auto"/>
        <w:right w:val="none" w:sz="0" w:space="0" w:color="auto"/>
      </w:divBdr>
    </w:div>
    <w:div w:id="2054846585">
      <w:bodyDiv w:val="1"/>
      <w:marLeft w:val="0"/>
      <w:marRight w:val="0"/>
      <w:marTop w:val="0"/>
      <w:marBottom w:val="0"/>
      <w:divBdr>
        <w:top w:val="none" w:sz="0" w:space="0" w:color="auto"/>
        <w:left w:val="none" w:sz="0" w:space="0" w:color="auto"/>
        <w:bottom w:val="none" w:sz="0" w:space="0" w:color="auto"/>
        <w:right w:val="none" w:sz="0" w:space="0" w:color="auto"/>
      </w:divBdr>
    </w:div>
    <w:div w:id="2082293757">
      <w:bodyDiv w:val="1"/>
      <w:marLeft w:val="0"/>
      <w:marRight w:val="0"/>
      <w:marTop w:val="0"/>
      <w:marBottom w:val="0"/>
      <w:divBdr>
        <w:top w:val="none" w:sz="0" w:space="0" w:color="auto"/>
        <w:left w:val="none" w:sz="0" w:space="0" w:color="auto"/>
        <w:bottom w:val="none" w:sz="0" w:space="0" w:color="auto"/>
        <w:right w:val="none" w:sz="0" w:space="0" w:color="auto"/>
      </w:divBdr>
    </w:div>
    <w:div w:id="2082604262">
      <w:bodyDiv w:val="1"/>
      <w:marLeft w:val="0"/>
      <w:marRight w:val="0"/>
      <w:marTop w:val="0"/>
      <w:marBottom w:val="0"/>
      <w:divBdr>
        <w:top w:val="none" w:sz="0" w:space="0" w:color="auto"/>
        <w:left w:val="none" w:sz="0" w:space="0" w:color="auto"/>
        <w:bottom w:val="none" w:sz="0" w:space="0" w:color="auto"/>
        <w:right w:val="none" w:sz="0" w:space="0" w:color="auto"/>
      </w:divBdr>
      <w:divsChild>
        <w:div w:id="208734322">
          <w:marLeft w:val="0"/>
          <w:marRight w:val="0"/>
          <w:marTop w:val="0"/>
          <w:marBottom w:val="0"/>
          <w:divBdr>
            <w:top w:val="none" w:sz="0" w:space="0" w:color="auto"/>
            <w:left w:val="none" w:sz="0" w:space="0" w:color="auto"/>
            <w:bottom w:val="none" w:sz="0" w:space="0" w:color="auto"/>
            <w:right w:val="none" w:sz="0" w:space="0" w:color="auto"/>
          </w:divBdr>
          <w:divsChild>
            <w:div w:id="1992563681">
              <w:marLeft w:val="0"/>
              <w:marRight w:val="0"/>
              <w:marTop w:val="0"/>
              <w:marBottom w:val="0"/>
              <w:divBdr>
                <w:top w:val="none" w:sz="0" w:space="0" w:color="auto"/>
                <w:left w:val="none" w:sz="0" w:space="0" w:color="auto"/>
                <w:bottom w:val="none" w:sz="0" w:space="0" w:color="auto"/>
                <w:right w:val="none" w:sz="0" w:space="0" w:color="auto"/>
              </w:divBdr>
            </w:div>
            <w:div w:id="1415778178">
              <w:marLeft w:val="0"/>
              <w:marRight w:val="0"/>
              <w:marTop w:val="0"/>
              <w:marBottom w:val="0"/>
              <w:divBdr>
                <w:top w:val="none" w:sz="0" w:space="0" w:color="auto"/>
                <w:left w:val="none" w:sz="0" w:space="0" w:color="auto"/>
                <w:bottom w:val="none" w:sz="0" w:space="0" w:color="auto"/>
                <w:right w:val="none" w:sz="0" w:space="0" w:color="auto"/>
              </w:divBdr>
              <w:divsChild>
                <w:div w:id="49534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38985">
      <w:bodyDiv w:val="1"/>
      <w:marLeft w:val="0"/>
      <w:marRight w:val="0"/>
      <w:marTop w:val="0"/>
      <w:marBottom w:val="0"/>
      <w:divBdr>
        <w:top w:val="none" w:sz="0" w:space="0" w:color="auto"/>
        <w:left w:val="none" w:sz="0" w:space="0" w:color="auto"/>
        <w:bottom w:val="none" w:sz="0" w:space="0" w:color="auto"/>
        <w:right w:val="none" w:sz="0" w:space="0" w:color="auto"/>
      </w:divBdr>
    </w:div>
    <w:div w:id="2092240949">
      <w:bodyDiv w:val="1"/>
      <w:marLeft w:val="0"/>
      <w:marRight w:val="0"/>
      <w:marTop w:val="0"/>
      <w:marBottom w:val="0"/>
      <w:divBdr>
        <w:top w:val="none" w:sz="0" w:space="0" w:color="auto"/>
        <w:left w:val="none" w:sz="0" w:space="0" w:color="auto"/>
        <w:bottom w:val="none" w:sz="0" w:space="0" w:color="auto"/>
        <w:right w:val="none" w:sz="0" w:space="0" w:color="auto"/>
      </w:divBdr>
    </w:div>
    <w:div w:id="2093235768">
      <w:bodyDiv w:val="1"/>
      <w:marLeft w:val="0"/>
      <w:marRight w:val="0"/>
      <w:marTop w:val="0"/>
      <w:marBottom w:val="0"/>
      <w:divBdr>
        <w:top w:val="none" w:sz="0" w:space="0" w:color="auto"/>
        <w:left w:val="none" w:sz="0" w:space="0" w:color="auto"/>
        <w:bottom w:val="none" w:sz="0" w:space="0" w:color="auto"/>
        <w:right w:val="none" w:sz="0" w:space="0" w:color="auto"/>
      </w:divBdr>
    </w:div>
    <w:div w:id="2122725263">
      <w:bodyDiv w:val="1"/>
      <w:marLeft w:val="0"/>
      <w:marRight w:val="0"/>
      <w:marTop w:val="0"/>
      <w:marBottom w:val="0"/>
      <w:divBdr>
        <w:top w:val="none" w:sz="0" w:space="0" w:color="auto"/>
        <w:left w:val="none" w:sz="0" w:space="0" w:color="auto"/>
        <w:bottom w:val="none" w:sz="0" w:space="0" w:color="auto"/>
        <w:right w:val="none" w:sz="0" w:space="0" w:color="auto"/>
      </w:divBdr>
    </w:div>
    <w:div w:id="2123835458">
      <w:bodyDiv w:val="1"/>
      <w:marLeft w:val="0"/>
      <w:marRight w:val="0"/>
      <w:marTop w:val="0"/>
      <w:marBottom w:val="0"/>
      <w:divBdr>
        <w:top w:val="none" w:sz="0" w:space="0" w:color="auto"/>
        <w:left w:val="none" w:sz="0" w:space="0" w:color="auto"/>
        <w:bottom w:val="none" w:sz="0" w:space="0" w:color="auto"/>
        <w:right w:val="none" w:sz="0" w:space="0" w:color="auto"/>
      </w:divBdr>
    </w:div>
    <w:div w:id="212461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EAD3C-48EB-46E7-A3BD-3C087767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6556</Words>
  <Characters>40430</Characters>
  <Application>Microsoft Office Word</Application>
  <DocSecurity>0</DocSecurity>
  <Lines>336</Lines>
  <Paragraphs>93</Paragraphs>
  <ScaleCrop>false</ScaleCrop>
  <HeadingPairs>
    <vt:vector size="2" baseType="variant">
      <vt:variant>
        <vt:lpstr>Tytuł</vt:lpstr>
      </vt:variant>
      <vt:variant>
        <vt:i4>1</vt:i4>
      </vt:variant>
    </vt:vector>
  </HeadingPairs>
  <TitlesOfParts>
    <vt:vector size="1" baseType="lpstr">
      <vt:lpstr>Uzasadnienie</vt:lpstr>
    </vt:vector>
  </TitlesOfParts>
  <Company>Ministerstwo Finansów</Company>
  <LinksUpToDate>false</LinksUpToDate>
  <CharactersWithSpaces>46893</CharactersWithSpaces>
  <SharedDoc>false</SharedDoc>
  <HLinks>
    <vt:vector size="6" baseType="variant">
      <vt:variant>
        <vt:i4>8060976</vt:i4>
      </vt:variant>
      <vt:variant>
        <vt:i4>0</vt:i4>
      </vt:variant>
      <vt:variant>
        <vt:i4>0</vt:i4>
      </vt:variant>
      <vt:variant>
        <vt:i4>5</vt:i4>
      </vt:variant>
      <vt:variant>
        <vt:lpwstr>http://www.rcl.gov.pl/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dc:title>
  <dc:creator>Dariusz Atłas</dc:creator>
  <cp:lastModifiedBy>Wójcik Aleksandra</cp:lastModifiedBy>
  <cp:revision>8</cp:revision>
  <cp:lastPrinted>2023-09-08T13:53:00Z</cp:lastPrinted>
  <dcterms:created xsi:type="dcterms:W3CDTF">2023-11-10T09:54:00Z</dcterms:created>
  <dcterms:modified xsi:type="dcterms:W3CDTF">2023-11-10T10:02:00Z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-1877832093</vt:i4>
  </property>
  <property fmtid="{D5CDD505-2E9C-101B-9397-08002B2CF9AE}" pid="3" name="MFCATEGORY">
    <vt:lpwstr>InformacjePrzeznaczoneWylacznieDoUzytkuWewnetrznego</vt:lpwstr>
  </property>
  <property fmtid="{D5CDD505-2E9C-101B-9397-08002B2CF9AE}" pid="4" name="MFClassifiedBy">
    <vt:lpwstr>UxC4dwLulzfINJ8nQH+xvX5LNGipWa4BRSZhPgxsCvkar0yILlr8N29VGEu+ogmwpA982Yvr/YzpGiB5kvramg==</vt:lpwstr>
  </property>
  <property fmtid="{D5CDD505-2E9C-101B-9397-08002B2CF9AE}" pid="5" name="MFClassificationDate">
    <vt:lpwstr>2022-08-09T10:30:07.9491743+02:00</vt:lpwstr>
  </property>
  <property fmtid="{D5CDD505-2E9C-101B-9397-08002B2CF9AE}" pid="6" name="MFClassifiedBySID">
    <vt:lpwstr>UxC4dwLulzfINJ8nQH+xvX5LNGipWa4BRSZhPgxsCvm42mrIC/DSDv0ggS+FjUN/2v1BBotkLlY5aAiEhoi6uVo7f/CnuqJQD7q2mmJal6bvlyYUNslCLPEP/VatWcNX</vt:lpwstr>
  </property>
  <property fmtid="{D5CDD505-2E9C-101B-9397-08002B2CF9AE}" pid="7" name="MFGRNItemId">
    <vt:lpwstr>GRN-fd9cc718-ff31-4099-9c45-06e091ca075f</vt:lpwstr>
  </property>
  <property fmtid="{D5CDD505-2E9C-101B-9397-08002B2CF9AE}" pid="8" name="MFHash">
    <vt:lpwstr>VB1n64pIUastwSP9HKEsgSpLo7NSpwnUWj1erYVELCY=</vt:lpwstr>
  </property>
  <property fmtid="{D5CDD505-2E9C-101B-9397-08002B2CF9AE}" pid="9" name="DLPManualFileClassification">
    <vt:lpwstr>{5fdfc941-3fcf-4a5b-87be-4848800d39d0}</vt:lpwstr>
  </property>
  <property fmtid="{D5CDD505-2E9C-101B-9397-08002B2CF9AE}" pid="10" name="MFRefresh">
    <vt:lpwstr>False</vt:lpwstr>
  </property>
</Properties>
</file>