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8316" w14:textId="363D9D53" w:rsidR="00516729" w:rsidRPr="00DF3E77" w:rsidRDefault="00516729" w:rsidP="00CA74B0">
      <w:pPr>
        <w:pStyle w:val="TYTDZOZNoznaczenietytuulubdziau"/>
        <w:rPr>
          <w:rFonts w:ascii="Times New Roman" w:hAnsi="Times New Roman" w:cs="Times New Roman"/>
        </w:rPr>
      </w:pPr>
      <w:bookmarkStart w:id="0" w:name="_GoBack"/>
      <w:bookmarkEnd w:id="0"/>
      <w:r w:rsidRPr="00DF3E77">
        <w:rPr>
          <w:rFonts w:ascii="Times New Roman" w:hAnsi="Times New Roman" w:cs="Times New Roman"/>
        </w:rPr>
        <w:t>UZASADNIENIE</w:t>
      </w:r>
    </w:p>
    <w:p w14:paraId="5CBFB14A" w14:textId="380EC964"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Celem projektu ustawy jest ułatwienie łączenia niepublicznych funduszy inwestycyjnych zamkniętych, których organem jest to samo towarzystwo funduszy inwestycyjnych, przez złagodzenie wymogów w zakresie konieczności uzyskiwania zgody zgromadzenia inwestorów na połączenie. Zmiana ta służy kierunkowej eliminacji nadregulacji zidentyfikowanej w ramach projektu „SprawdzamyMY” dotyczącej ułatwienia łączenia niepublicznych funduszy inwestycyjnych zamkniętych, których organem jest to samo towarzystwo funduszy inwestycyjnych, przez uchylenie obowiązku wyrażenia przez zgromadzenie inwestorów zgody na połączenie.</w:t>
      </w:r>
    </w:p>
    <w:p w14:paraId="41015CF8" w14:textId="2A50C8D0"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Zgodnie z art. 208zzi ust. 7 ustawy z dnia 27 maja 2004 r. o funduszach inwestycyjnych i zarządzaniu alternatywnymi funduszami inwestycyjnymi (Dz. U. z 2024 r. poz. 1034, z późn.</w:t>
      </w:r>
      <w:r w:rsidR="00CA74B0">
        <w:rPr>
          <w:rFonts w:ascii="Times New Roman" w:hAnsi="Times New Roman" w:cs="Times New Roman"/>
        </w:rPr>
        <w:t> </w:t>
      </w:r>
      <w:r w:rsidRPr="00DF3E77">
        <w:rPr>
          <w:rFonts w:ascii="Times New Roman" w:hAnsi="Times New Roman" w:cs="Times New Roman"/>
        </w:rPr>
        <w:t>zm.), dalej „ustawa o funduszach inwestycyjnych”, połączenie funduszy inwestycyjnych zamkniętych, zarządzanych przez to samo towarzystwo funduszy inwestycyjnych, wymaga zgody zgromadzenia inwestorów funduszu przejmowanego oraz funduszu przejmującego, a w przypadku połączenia przez utworzenie nowego funduszu inwestycyjnego, zgody zgromadzenia inwestorów funduszu przejmowanego. Uchwała udzielająca zgody wymaga oddania głosów za połączeniem przez uczestników reprezentujących 2/3 ogólnej liczby certyfikatów inwestycyjnych. Rozwiązanie to w istotny sposób utrudnia połączenie funduszy inwestycyjnych zamkniętych, które mają znaczną liczbę uczestników. W praktyce bowiem nie jest możliwe uzyskanie tak wysokiej obecności uczestników łączonych funduszy na zgromadzeniu inwestorów, aby możliwe było podjęcie uchwały większością 2/3 głosów wymaganą przez ustawę. Brak możliwości połączenia funduszy może z kolei powodować konieczność zarządzania przez towarzystwo funduszy inwestycyjnych funduszem o niskiej wartości aktywów, których stałe koszty działalności wpływają w znaczącym stopniu na osiągane wyniki inwestycyjne. Sytuacja ta generuje również zwiększone obciążenia biurokratyczne po stronie towarzystw funduszy inwestycyjnych, np. obciążenia sprawozdawcze dla organu nadzoru.</w:t>
      </w:r>
    </w:p>
    <w:p w14:paraId="6C585DF3" w14:textId="7834A8FA"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 xml:space="preserve">Zauważenia przy tym wymaga, że proponowane w ramach projektu „SprawdzamyMY” całkowite zniesienie wymogu uzyskania zgody zgromadzenia inwestorów mogłoby negatywnie wpłynąć na ochronę interesów uczestników funduszy inwestycyjnych objętych procesem łączenia, gdyż uczestnicy zarówno funduszy przejmowanych, jak i funduszy przejmujących, zostaliby pozbawieni możliwości wyrażenia swojej opinii w przedmiocie planowanego </w:t>
      </w:r>
      <w:r w:rsidRPr="00DF3E77">
        <w:rPr>
          <w:rFonts w:ascii="Times New Roman" w:hAnsi="Times New Roman" w:cs="Times New Roman"/>
        </w:rPr>
        <w:lastRenderedPageBreak/>
        <w:t xml:space="preserve">połączenia. W konsekwencji decyzja w tej sprawie byłaby podejmowana wyłącznie przez towarzystwo funduszy inwestycyjnych zarządzające łączonymi funduszami. Warto zauważyć, że w odniesieniu do procesów połączeniowych funduszy inwestycyjnych otwartych i specjalistycznych funduszy inwestycyjnych otwartych, ustawodawca nie przewidział wymogu uzyskania zgody uczestników na połączenie, jednak w takich przypadkach </w:t>
      </w:r>
      <w:r w:rsidR="00CA74B0" w:rsidRPr="00291729">
        <w:rPr>
          <w:rFonts w:ascii="Times New Roman" w:hAnsi="Times New Roman" w:cs="Times New Roman"/>
        </w:rPr>
        <w:t xml:space="preserve">jest </w:t>
      </w:r>
      <w:r w:rsidRPr="00DF3E77">
        <w:rPr>
          <w:rFonts w:ascii="Times New Roman" w:hAnsi="Times New Roman" w:cs="Times New Roman"/>
        </w:rPr>
        <w:t>niezbędne uzyskanie zgody Komisji Nadzoru Finansowego. Zastosowanie tego rozwiązania nie wydaje się jednak właściwe w przypadku niepublicznych funduszy inwestycyjnych zamkniętych, gdyż fundusze te podlegają niższym wymogom nadzorczym niż fundusze inwestycyjne otwarte.</w:t>
      </w:r>
    </w:p>
    <w:p w14:paraId="1519148A" w14:textId="57ADB654"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Wychodząc naprzeciw oczekiwaniom wnioskodawców</w:t>
      </w:r>
      <w:r w:rsidR="00CA74B0">
        <w:rPr>
          <w:rFonts w:ascii="Times New Roman" w:hAnsi="Times New Roman" w:cs="Times New Roman"/>
        </w:rPr>
        <w:t>,</w:t>
      </w:r>
      <w:r w:rsidRPr="00DF3E77">
        <w:rPr>
          <w:rFonts w:ascii="Times New Roman" w:hAnsi="Times New Roman" w:cs="Times New Roman"/>
        </w:rPr>
        <w:t xml:space="preserve"> w projekcie ustawy przewidziano złagodzenie wymogów w zakresie konieczności uzyskiwania zgody zgromadzenia inwestorów na połączenie niepublicznych funduszy inwestycyjnych zamkniętych, których organem jest to samo towarzystwo funduszy inwestycyjnych. Zmiany w tym zakresie zakładają:</w:t>
      </w:r>
    </w:p>
    <w:p w14:paraId="7E359CEA" w14:textId="13D45646" w:rsidR="00516729" w:rsidRPr="00DF3E77" w:rsidRDefault="00516729" w:rsidP="00DF3E77">
      <w:pPr>
        <w:pStyle w:val="PKTpunkt"/>
        <w:spacing w:before="120"/>
        <w:rPr>
          <w:rFonts w:ascii="Times New Roman" w:hAnsi="Times New Roman" w:cs="Times New Roman"/>
        </w:rPr>
      </w:pPr>
      <w:r w:rsidRPr="00DF3E77">
        <w:rPr>
          <w:rFonts w:ascii="Times New Roman" w:hAnsi="Times New Roman" w:cs="Times New Roman"/>
        </w:rPr>
        <w:t>1)</w:t>
      </w:r>
      <w:r w:rsidRPr="00DF3E77">
        <w:rPr>
          <w:rFonts w:ascii="Times New Roman" w:hAnsi="Times New Roman" w:cs="Times New Roman"/>
        </w:rPr>
        <w:tab/>
        <w:t>obniżenie z 2/3 do więcej niż połowy wymaganego progu głosów ogólnej liczby certyfikatów inwestycyjnych danego funduszu za połączeniem – zmiana art. 208zzi ust.</w:t>
      </w:r>
      <w:r w:rsidR="00CA74B0">
        <w:rPr>
          <w:rFonts w:ascii="Times New Roman" w:hAnsi="Times New Roman" w:cs="Times New Roman"/>
        </w:rPr>
        <w:t> </w:t>
      </w:r>
      <w:r w:rsidRPr="00DF3E77">
        <w:rPr>
          <w:rFonts w:ascii="Times New Roman" w:hAnsi="Times New Roman" w:cs="Times New Roman"/>
        </w:rPr>
        <w:t>8 ustawy o funduszach inwestycyjnych</w:t>
      </w:r>
      <w:r w:rsidR="00CA74B0">
        <w:rPr>
          <w:rFonts w:ascii="Times New Roman" w:hAnsi="Times New Roman" w:cs="Times New Roman"/>
        </w:rPr>
        <w:t>;</w:t>
      </w:r>
    </w:p>
    <w:p w14:paraId="69D1B258" w14:textId="77777777" w:rsidR="00516729" w:rsidRPr="00DF3E77" w:rsidRDefault="00516729" w:rsidP="00DF3E77">
      <w:pPr>
        <w:pStyle w:val="PKTpunkt"/>
        <w:spacing w:before="120"/>
        <w:rPr>
          <w:rFonts w:ascii="Times New Roman" w:hAnsi="Times New Roman" w:cs="Times New Roman"/>
        </w:rPr>
      </w:pPr>
      <w:r w:rsidRPr="00DF3E77">
        <w:rPr>
          <w:rFonts w:ascii="Times New Roman" w:hAnsi="Times New Roman" w:cs="Times New Roman"/>
        </w:rPr>
        <w:t>2)</w:t>
      </w:r>
      <w:r w:rsidRPr="00DF3E77">
        <w:rPr>
          <w:rFonts w:ascii="Times New Roman" w:hAnsi="Times New Roman" w:cs="Times New Roman"/>
        </w:rPr>
        <w:tab/>
        <w:t>umożliwienie zwołania przez towarzystwo kolejnego zgromadzenia inwestorów, w przypadku gdy w głosowaniu głosy oddali uczestnicy reprezentujący nie więcej niż połowę ogólnej liczby certyfikatów inwestycyjnych danego funduszu (dodawany w 208zzi ust. 9) oraz wprowadzenie zasady, zgodnie z którą, w przypadku gdy pomimo dwukrotnie prawidłowo zwołanego zgromadzenia inwestorów w głosowaniu głosy oddali uczestnicy reprezentujący nie więcej niż połowę ogólnej liczby certyfikatów inwestycyjnych danego funduszu, zgoda na połączenie jest udzielana, jeżeli głosy za połączeniem oddała więcej niż połowa uczestników obecnych lub reprezentowanych podczas każdego głosowania (dodawany w 208zzi ust. 11).</w:t>
      </w:r>
    </w:p>
    <w:p w14:paraId="2CB3C531" w14:textId="1DE0B4D8"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W projekcie przewidziano jednocześnie, że zwołanie kolejnego zgromadzenia inwestorów będzie możliwe jedynie, gdy nie będzie to wymagało zmiany planu połączenia, a zatem aktualny pozostanie przewidziany w planie połączenia planowany termin połączenia. Termin ten jest istotny dla ustalenia stosunku certyfikatów inwestycyjnych w funduszu przejmującym do certyfikatów inwestycyjnych w funduszu przejmowanym (patrz art. 208zzm ust. 3 ustawy o funduszach inwestycyjnych). Mając na uwadze, że zgodnie z art. 142 ust.</w:t>
      </w:r>
      <w:r w:rsidR="00CA74B0">
        <w:rPr>
          <w:rFonts w:ascii="Times New Roman" w:hAnsi="Times New Roman" w:cs="Times New Roman"/>
        </w:rPr>
        <w:t> </w:t>
      </w:r>
      <w:r w:rsidRPr="00DF3E77">
        <w:rPr>
          <w:rFonts w:ascii="Times New Roman" w:hAnsi="Times New Roman" w:cs="Times New Roman"/>
        </w:rPr>
        <w:t xml:space="preserve">2 ustawy o funduszach inwestycyjnych towarzystwo jest obowiązane ogłosić o zgromadzeniu inwestorów co najmniej na 21 dni przed terminem zgromadzenia, w projekcie przyjęto, że </w:t>
      </w:r>
      <w:r w:rsidRPr="00DF3E77">
        <w:rPr>
          <w:rFonts w:ascii="Times New Roman" w:hAnsi="Times New Roman" w:cs="Times New Roman"/>
        </w:rPr>
        <w:lastRenderedPageBreak/>
        <w:t xml:space="preserve">ponowne zgromadzenie inwestorów w celu uzyskania zgody zgromadzenia inwestorów na połączenie będzie mogło być zwołane co najmniej na 7 dni przed planowanym terminem ponownego zgromadzenia inwestorów. Skrócenie czasu między terminem zwołania </w:t>
      </w:r>
      <w:r w:rsidR="00CA74B0">
        <w:rPr>
          <w:rFonts w:ascii="Times New Roman" w:hAnsi="Times New Roman" w:cs="Times New Roman"/>
        </w:rPr>
        <w:t>a</w:t>
      </w:r>
      <w:r w:rsidRPr="00DF3E77">
        <w:rPr>
          <w:rFonts w:ascii="Times New Roman" w:hAnsi="Times New Roman" w:cs="Times New Roman"/>
        </w:rPr>
        <w:t xml:space="preserve"> przeprowadzeniem zgromadzenia wyeliminuje problem nadmiernego przeciągania procesu połączenia</w:t>
      </w:r>
      <w:r w:rsidR="00CA74B0">
        <w:rPr>
          <w:rFonts w:ascii="Times New Roman" w:hAnsi="Times New Roman" w:cs="Times New Roman"/>
        </w:rPr>
        <w:t>,</w:t>
      </w:r>
      <w:r w:rsidRPr="00DF3E77">
        <w:rPr>
          <w:rFonts w:ascii="Times New Roman" w:hAnsi="Times New Roman" w:cs="Times New Roman"/>
        </w:rPr>
        <w:t xml:space="preserve"> co ma istotną rolę w kontekście założeń przyjętych w planie połączenia, a jednocześnie zapewni uczestnikom wystraczający czas na decyzję, co do udziału w zgromadzeniu oraz sposobu głosowania. W projekcie przewidziano również, że zwołanie kolejnego zgromadzenia inwestorów nie będzie możliwe, w przypadku gdy uchwała zgromadzenia inwestorów innego z funduszy objętych planem połączenia nie uzyskała wymaganej większości, jeżeli w głosowaniu głosy oddali uczestnicy reprezentujący więcej niż połowę ogólnej liczby certyfikatów inwestycyjnych tego funduszu (dodawany w </w:t>
      </w:r>
      <w:r w:rsidR="00CA74B0">
        <w:rPr>
          <w:rFonts w:ascii="Times New Roman" w:hAnsi="Times New Roman" w:cs="Times New Roman"/>
        </w:rPr>
        <w:t>art. </w:t>
      </w:r>
      <w:r w:rsidRPr="00DF3E77">
        <w:rPr>
          <w:rFonts w:ascii="Times New Roman" w:hAnsi="Times New Roman" w:cs="Times New Roman"/>
        </w:rPr>
        <w:t>208zzi ust.</w:t>
      </w:r>
      <w:r w:rsidR="00CA74B0">
        <w:rPr>
          <w:rFonts w:ascii="Times New Roman" w:hAnsi="Times New Roman" w:cs="Times New Roman"/>
        </w:rPr>
        <w:t> </w:t>
      </w:r>
      <w:r w:rsidRPr="00DF3E77">
        <w:rPr>
          <w:rFonts w:ascii="Times New Roman" w:hAnsi="Times New Roman" w:cs="Times New Roman"/>
        </w:rPr>
        <w:t>10). Przyjęto tutaj, że w sytuacji gdy w choć jednym z łączonych funduszy zgromadzenie inwestorów opowiedziało się, wymaganą większością głosów i przy wymaganej frekwencji, przeciw połączeniu, wszczynanie procedury ponownego głosowania w pozostałych funduszach jest bezzasadne. Znajdzie to również zastosowanie</w:t>
      </w:r>
      <w:r w:rsidR="00CA74B0">
        <w:rPr>
          <w:rFonts w:ascii="Times New Roman" w:hAnsi="Times New Roman" w:cs="Times New Roman"/>
        </w:rPr>
        <w:t>,</w:t>
      </w:r>
      <w:r w:rsidRPr="00DF3E77">
        <w:rPr>
          <w:rFonts w:ascii="Times New Roman" w:hAnsi="Times New Roman" w:cs="Times New Roman"/>
        </w:rPr>
        <w:t xml:space="preserve"> w przypadku gdy plan połączenia przewiduje połączenie więcej niż dwóch funduszy, gdyż parametry połączenia w takiej sytuacji ulegną radykalnej zmianie. Mając na uwadze, że projektowane przepisy przewidując możliwość zwołania kolejnego zgromadz</w:t>
      </w:r>
      <w:r w:rsidR="00BF615F" w:rsidRPr="00DF3E77">
        <w:rPr>
          <w:rFonts w:ascii="Times New Roman" w:hAnsi="Times New Roman" w:cs="Times New Roman"/>
        </w:rPr>
        <w:t>e</w:t>
      </w:r>
      <w:r w:rsidRPr="00DF3E77">
        <w:rPr>
          <w:rFonts w:ascii="Times New Roman" w:hAnsi="Times New Roman" w:cs="Times New Roman"/>
        </w:rPr>
        <w:t>nia inwestorów, bez koniczności zwoływania zgromadz</w:t>
      </w:r>
      <w:r w:rsidR="00BF615F" w:rsidRPr="00DF3E77">
        <w:rPr>
          <w:rFonts w:ascii="Times New Roman" w:hAnsi="Times New Roman" w:cs="Times New Roman"/>
        </w:rPr>
        <w:t>e</w:t>
      </w:r>
      <w:r w:rsidRPr="00DF3E77">
        <w:rPr>
          <w:rFonts w:ascii="Times New Roman" w:hAnsi="Times New Roman" w:cs="Times New Roman"/>
        </w:rPr>
        <w:t xml:space="preserve">nia inwestorów funduszu, w którym została udzielna zgoda na połączenie (decyzja zapadła więcej niż połową głosów przy oddanych głosach reprezentujących więcej niż połowę ogólnej liczby certyfikatów inwestycyjnych funduszu), w dodawanym w </w:t>
      </w:r>
      <w:r w:rsidR="00CA74B0">
        <w:rPr>
          <w:rFonts w:ascii="Times New Roman" w:hAnsi="Times New Roman" w:cs="Times New Roman"/>
        </w:rPr>
        <w:t xml:space="preserve">art. </w:t>
      </w:r>
      <w:r w:rsidRPr="00DF3E77">
        <w:rPr>
          <w:rFonts w:ascii="Times New Roman" w:hAnsi="Times New Roman" w:cs="Times New Roman"/>
        </w:rPr>
        <w:t>208zzi w ust.</w:t>
      </w:r>
      <w:r w:rsidR="00CA74B0">
        <w:rPr>
          <w:rFonts w:ascii="Times New Roman" w:hAnsi="Times New Roman" w:cs="Times New Roman"/>
        </w:rPr>
        <w:t> </w:t>
      </w:r>
      <w:r w:rsidRPr="00DF3E77">
        <w:rPr>
          <w:rFonts w:ascii="Times New Roman" w:hAnsi="Times New Roman" w:cs="Times New Roman"/>
        </w:rPr>
        <w:t>9 zdaniu drugim wprowadzono obowiązek przekazania przez towarzystwo uczestnikom wszystkich z łączonych funduszy informacji o nowym dniu, do którego uczestnicy łączonych funduszy mają prawo zażądać wykupu certyfikatów inwestycyjnych tych funduszy (o ile statut funduszu przewiduje wykup certyfikatów inwestycyjnych</w:t>
      </w:r>
      <w:r w:rsidR="00825410" w:rsidRPr="00DF3E77">
        <w:rPr>
          <w:rFonts w:ascii="Times New Roman" w:hAnsi="Times New Roman" w:cs="Times New Roman"/>
        </w:rPr>
        <w:t>,</w:t>
      </w:r>
      <w:r w:rsidRPr="00DF3E77">
        <w:rPr>
          <w:rFonts w:ascii="Times New Roman" w:hAnsi="Times New Roman" w:cs="Times New Roman"/>
        </w:rPr>
        <w:t>) oraz dniu przydziału certyfikatów inwestycyjnych funduszu przejmującego. W tym przypadku dojdzie bowiem do przesunięcia dnia zgromadzenia decydującego o połączeniu.</w:t>
      </w:r>
    </w:p>
    <w:p w14:paraId="07A0BFDF" w14:textId="11467EEC"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Zmiany przewidziane w art. 208zzk mają charakter wynikowy. Mając na uwadze, jak zostało to wskazane powyżej, że decydujące dla połączenia będzie ponowne zgromadzenie inwestorów w ust. 6 doprecyzowano, że w przypadku zwołania kolejnego zgromadzenia inwestorów dzień</w:t>
      </w:r>
      <w:r w:rsidR="00CA74B0">
        <w:rPr>
          <w:rFonts w:ascii="Times New Roman" w:hAnsi="Times New Roman" w:cs="Times New Roman"/>
        </w:rPr>
        <w:t>,</w:t>
      </w:r>
      <w:r w:rsidRPr="00DF3E77">
        <w:rPr>
          <w:rFonts w:ascii="Times New Roman" w:hAnsi="Times New Roman" w:cs="Times New Roman"/>
        </w:rPr>
        <w:t xml:space="preserve"> do którego uczestnicy mają prawo żądać wykupu certyfikatów inwestycyjnych, należy wyznaczyć nie wcześniej niż 14. dnia po tym ponownym zgromadzeniu inwestorów. Podobnie</w:t>
      </w:r>
      <w:r w:rsidR="00CA74B0">
        <w:rPr>
          <w:rFonts w:ascii="Times New Roman" w:hAnsi="Times New Roman" w:cs="Times New Roman"/>
        </w:rPr>
        <w:t>,</w:t>
      </w:r>
      <w:r w:rsidRPr="00DF3E77">
        <w:rPr>
          <w:rFonts w:ascii="Times New Roman" w:hAnsi="Times New Roman" w:cs="Times New Roman"/>
        </w:rPr>
        <w:t xml:space="preserve"> jeśli chodzi o zmianę ust. 9, gdzie doprecyzowano, że zgłoszenie do </w:t>
      </w:r>
      <w:r w:rsidRPr="00DF3E77">
        <w:rPr>
          <w:rFonts w:ascii="Times New Roman" w:hAnsi="Times New Roman" w:cs="Times New Roman"/>
        </w:rPr>
        <w:lastRenderedPageBreak/>
        <w:t>sądu rejestrowego planowanego połączenia powinno być dokonane po podjęciu przez zgromadzenie inwestorów uchwały o wyrażeniu zgody na połączenie wszystkich funduszy objętych planem połączenia.</w:t>
      </w:r>
    </w:p>
    <w:p w14:paraId="3CED8409" w14:textId="558966FE"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 xml:space="preserve">Obniżenie z 2/3 do więcej niż połowy wymaganego progu głosów ogólnej liczby certyfikatów inwestycyjnych danego funduszu przybliży, w zakresie kworum, regulacje dotyczące łączenia niepublicznych funduszy inwestycyjnych zamkniętych, których organem jest to samo towarzystwo funduszy inwestycyjnych, do przewidzianych w Kodeksie spółek handlowych dla łączenia spółek, gdzie </w:t>
      </w:r>
      <w:r w:rsidR="00CA74B0" w:rsidRPr="00632322">
        <w:rPr>
          <w:rFonts w:ascii="Times New Roman" w:hAnsi="Times New Roman" w:cs="Times New Roman"/>
        </w:rPr>
        <w:t xml:space="preserve">jest </w:t>
      </w:r>
      <w:r w:rsidRPr="00DF3E77">
        <w:rPr>
          <w:rFonts w:ascii="Times New Roman" w:hAnsi="Times New Roman" w:cs="Times New Roman"/>
        </w:rPr>
        <w:t xml:space="preserve">wymagana reprezentacja co najmniej połowy kapitału zakładowego. Z kolei rezygnacja z wymogu kworum, w przypadku gdy dwukrotnie w głosowaniu o wyrażenie zgody na połączenie nie wezmą udziału uczestnicy reprezentujący łącznie więcej niż połowę ogólnej liczby certyfikatów inwestycyjnych danego funduszu, </w:t>
      </w:r>
      <w:r w:rsidR="00CA74B0" w:rsidRPr="00146C3B">
        <w:rPr>
          <w:rFonts w:ascii="Times New Roman" w:hAnsi="Times New Roman" w:cs="Times New Roman"/>
        </w:rPr>
        <w:t>będzie</w:t>
      </w:r>
      <w:r w:rsidR="00CA74B0" w:rsidRPr="00CA74B0">
        <w:rPr>
          <w:rFonts w:ascii="Times New Roman" w:hAnsi="Times New Roman" w:cs="Times New Roman"/>
        </w:rPr>
        <w:t xml:space="preserve"> </w:t>
      </w:r>
      <w:r w:rsidRPr="00DF3E77">
        <w:rPr>
          <w:rFonts w:ascii="Times New Roman" w:hAnsi="Times New Roman" w:cs="Times New Roman"/>
        </w:rPr>
        <w:t>realizować zasadę milczącej zgody, w sytuacji gdy uczestnicy łączonych funduszy nie są zainteresowani sprawami tych funduszy. Jednocześnie wymóg dwukrotnego zwołania zgromadzenia inwestorów w celu wyrażenia zgody na połączenie pozwala na uznanie, że w przypadku uczestników, którzy nie wzięli udziału w głosowaniu</w:t>
      </w:r>
      <w:r w:rsidR="00825410" w:rsidRPr="00DF3E77">
        <w:rPr>
          <w:rFonts w:ascii="Times New Roman" w:hAnsi="Times New Roman" w:cs="Times New Roman"/>
        </w:rPr>
        <w:t>,</w:t>
      </w:r>
      <w:r w:rsidRPr="00DF3E77">
        <w:rPr>
          <w:rFonts w:ascii="Times New Roman" w:hAnsi="Times New Roman" w:cs="Times New Roman"/>
        </w:rPr>
        <w:t xml:space="preserve"> z pełną świadomością pozbawiają się oni prawa uczestnictwa w decyzji dotyczącej ewentualnego połączenia.</w:t>
      </w:r>
    </w:p>
    <w:p w14:paraId="7EEF25AE" w14:textId="77777777"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Mając na uwadze, że w momencie wejścia w życie zmienianych przepisów mogą mieć miejsce procesy połączeniowe niepublicznych funduszy inwestycyjnych zamkniętych, których organem jest to samo towarzystwo funduszy inwestycyjnych, w art. 2 przewidziano przepis przejściowy, który określa moment zastosowania wdrażanych przepisów. Zasadniczym dokumentem, który wpływa na przebieg połączenia jest plan połączenia, dlatego w projekcie przyjęto, że zmienione przepisy będą miały zastosowanie do połączeń niepublicznych funduszy inwestycyjnych zamkniętych, w przypadku których plan połączenia został sporządzony i podpisany po wejściu w życie przepisów niniejszej ustawy (tj. począwszy od tego dnia). Tym samy przepisy te nie będą zmieniały zasad połączenia funduszy na stosunkowo zaawansowanym etapie, gdzie uczestnicy łączonych funduszy zostali już poinformowani o planowanym połączeniu, w tym o zwołanych zgromadzeniach inwestorów łączonych funduszy.</w:t>
      </w:r>
    </w:p>
    <w:p w14:paraId="3785914D" w14:textId="77777777"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W art. 3 projektu przyjęto, że ustawa wejdzie w życie po upływie 14 dni od dnia ogłoszenia.</w:t>
      </w:r>
    </w:p>
    <w:p w14:paraId="1A241203" w14:textId="77777777"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Projekt ustawy jest zgodny z prawem UE.</w:t>
      </w:r>
    </w:p>
    <w:p w14:paraId="74D3CB2A" w14:textId="77777777"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Projekt ustawy pozostaje bez wpływu na sektor mikro-, małych i średnich przedsiębiorstw.</w:t>
      </w:r>
    </w:p>
    <w:p w14:paraId="7C25EE6F" w14:textId="77777777"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lastRenderedPageBreak/>
        <w:t>Projektowana regulacja nie zawiera przepisów technicznych w rozumieniu rozporządzenia Rady Ministrów z dnia 23 grudnia 2002 r. w sprawie sposobu funkcjonowania krajowego systemu notyfikacji norm i aktów prawnych (Dz. U. poz. 2039, z późn. zm.) i nie podlega notyfikacji Komisji Europejskiej.</w:t>
      </w:r>
    </w:p>
    <w:p w14:paraId="563912FB" w14:textId="134109A6" w:rsidR="00516729" w:rsidRPr="00DF3E77" w:rsidRDefault="00516729" w:rsidP="00CA74B0">
      <w:pPr>
        <w:pStyle w:val="ARTartustawynprozporzdzenia"/>
        <w:rPr>
          <w:rFonts w:ascii="Times New Roman" w:hAnsi="Times New Roman" w:cs="Times New Roman"/>
        </w:rPr>
      </w:pPr>
      <w:r w:rsidRPr="00DF3E77">
        <w:rPr>
          <w:rFonts w:ascii="Times New Roman" w:hAnsi="Times New Roman" w:cs="Times New Roman"/>
        </w:rPr>
        <w:t>Projekt ustawy nie wymaga przedstawienia właściwym organom i instytucjom Unii Europejskiej, w tym Europejskiemu Bankowi Centralnemu, w celu uzyskania opinii, dokonania powiadomienia, konsultacji albo uzgodnienia, o którym mowa w § 27 ust. 4 uchwały nr</w:t>
      </w:r>
      <w:r w:rsidR="00CA74B0">
        <w:rPr>
          <w:rFonts w:ascii="Times New Roman" w:hAnsi="Times New Roman" w:cs="Times New Roman"/>
        </w:rPr>
        <w:t> </w:t>
      </w:r>
      <w:r w:rsidRPr="00DF3E77">
        <w:rPr>
          <w:rFonts w:ascii="Times New Roman" w:hAnsi="Times New Roman" w:cs="Times New Roman"/>
        </w:rPr>
        <w:t>190 Rady Ministrów z dnia 29 października 2013 r. – Regulamin pracy Rady Ministrów (M. P. z 2024 r. poz. 806, z późn. zm.).</w:t>
      </w:r>
    </w:p>
    <w:p w14:paraId="1E5DA8E6" w14:textId="66048F0E" w:rsidR="00D669AC" w:rsidRPr="00A00D57" w:rsidRDefault="00516729" w:rsidP="00DF3E77">
      <w:pPr>
        <w:pStyle w:val="ARTartustawynprozporzdzenia"/>
      </w:pPr>
      <w:r w:rsidRPr="00DF3E77">
        <w:rPr>
          <w:rFonts w:ascii="Times New Roman" w:hAnsi="Times New Roman" w:cs="Times New Roman"/>
        </w:rPr>
        <w:t>Stosownie do art. 5 ustawy z dnia 7 lipca 2005 r. o działalności lobbingowej w procesie stanowienia prawa (Dz. U. z 2017 r. poz. 248, z późn. zm.) projekt ustawy będzie po</w:t>
      </w:r>
      <w:r w:rsidR="00A00D57">
        <w:rPr>
          <w:rFonts w:ascii="Times New Roman" w:hAnsi="Times New Roman" w:cs="Times New Roman"/>
        </w:rPr>
        <w:t>d</w:t>
      </w:r>
      <w:r w:rsidRPr="00DF3E77">
        <w:rPr>
          <w:rFonts w:ascii="Times New Roman" w:hAnsi="Times New Roman" w:cs="Times New Roman"/>
        </w:rPr>
        <w:t>legał udostępnieniu w Biuletynie Informacji Publicznej Rządowego Centrum Legislacji.</w:t>
      </w:r>
    </w:p>
    <w:sectPr w:rsidR="00D669AC" w:rsidRPr="00A00D57" w:rsidSect="00DF3E77">
      <w:footerReference w:type="default" r:id="rId9"/>
      <w:footnotePr>
        <w:numRestart w:val="eachSect"/>
      </w:footnotePr>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35EE" w14:textId="77777777" w:rsidR="00B42EE1" w:rsidRDefault="00B42EE1">
      <w:r>
        <w:separator/>
      </w:r>
    </w:p>
  </w:endnote>
  <w:endnote w:type="continuationSeparator" w:id="0">
    <w:p w14:paraId="6EF2FE6B" w14:textId="77777777" w:rsidR="00B42EE1" w:rsidRDefault="00B4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597756"/>
      <w:docPartObj>
        <w:docPartGallery w:val="Page Numbers (Bottom of Page)"/>
        <w:docPartUnique/>
      </w:docPartObj>
    </w:sdtPr>
    <w:sdtEndPr/>
    <w:sdtContent>
      <w:p w14:paraId="5FEFB717" w14:textId="1D0B94EF" w:rsidR="00645757" w:rsidRDefault="00645757" w:rsidP="00645757">
        <w:pPr>
          <w:pStyle w:val="Stopka"/>
          <w:jc w:val="center"/>
        </w:pPr>
        <w:r w:rsidRPr="00645757">
          <w:fldChar w:fldCharType="begin"/>
        </w:r>
        <w:r w:rsidRPr="00645757">
          <w:instrText>PAGE   \* MERGEFORMAT</w:instrText>
        </w:r>
        <w:r w:rsidRPr="00645757">
          <w:fldChar w:fldCharType="separate"/>
        </w:r>
        <w:r w:rsidRPr="00645757">
          <w:t>2</w:t>
        </w:r>
        <w:r w:rsidRPr="0064575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F1E7" w14:textId="77777777" w:rsidR="00B42EE1" w:rsidRDefault="00B42EE1">
      <w:r>
        <w:separator/>
      </w:r>
    </w:p>
  </w:footnote>
  <w:footnote w:type="continuationSeparator" w:id="0">
    <w:p w14:paraId="2749498D" w14:textId="77777777" w:rsidR="00B42EE1" w:rsidRDefault="00B4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22"/>
    <w:rsid w:val="000012DA"/>
    <w:rsid w:val="0000246E"/>
    <w:rsid w:val="0000298F"/>
    <w:rsid w:val="00003862"/>
    <w:rsid w:val="00005070"/>
    <w:rsid w:val="00012A35"/>
    <w:rsid w:val="00016099"/>
    <w:rsid w:val="00017DC2"/>
    <w:rsid w:val="00021522"/>
    <w:rsid w:val="00023471"/>
    <w:rsid w:val="00023F13"/>
    <w:rsid w:val="00024D93"/>
    <w:rsid w:val="00030634"/>
    <w:rsid w:val="000319C1"/>
    <w:rsid w:val="00031A8B"/>
    <w:rsid w:val="00031BCA"/>
    <w:rsid w:val="000330FA"/>
    <w:rsid w:val="0003362F"/>
    <w:rsid w:val="000359A6"/>
    <w:rsid w:val="00036B63"/>
    <w:rsid w:val="0003721B"/>
    <w:rsid w:val="00037E1A"/>
    <w:rsid w:val="00043495"/>
    <w:rsid w:val="00046A75"/>
    <w:rsid w:val="00047312"/>
    <w:rsid w:val="000508BD"/>
    <w:rsid w:val="000517AB"/>
    <w:rsid w:val="0005339C"/>
    <w:rsid w:val="00054650"/>
    <w:rsid w:val="0005571B"/>
    <w:rsid w:val="00057AB3"/>
    <w:rsid w:val="00060076"/>
    <w:rsid w:val="00060432"/>
    <w:rsid w:val="00060A7E"/>
    <w:rsid w:val="00060D87"/>
    <w:rsid w:val="000615A5"/>
    <w:rsid w:val="00064E4C"/>
    <w:rsid w:val="00066502"/>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16CB"/>
    <w:rsid w:val="000B298D"/>
    <w:rsid w:val="000B5B2D"/>
    <w:rsid w:val="000B5DCE"/>
    <w:rsid w:val="000C05BA"/>
    <w:rsid w:val="000C0E8F"/>
    <w:rsid w:val="000C27E3"/>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0715"/>
    <w:rsid w:val="0011245A"/>
    <w:rsid w:val="0011493E"/>
    <w:rsid w:val="00114D40"/>
    <w:rsid w:val="00115B72"/>
    <w:rsid w:val="001209EC"/>
    <w:rsid w:val="00120A9E"/>
    <w:rsid w:val="00125A9C"/>
    <w:rsid w:val="001270A2"/>
    <w:rsid w:val="0013055F"/>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9A0"/>
    <w:rsid w:val="00184B91"/>
    <w:rsid w:val="00184D4A"/>
    <w:rsid w:val="00186EC1"/>
    <w:rsid w:val="00186F86"/>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22D6"/>
    <w:rsid w:val="001D1783"/>
    <w:rsid w:val="001D53CD"/>
    <w:rsid w:val="001D55A3"/>
    <w:rsid w:val="001D5AF5"/>
    <w:rsid w:val="001E0285"/>
    <w:rsid w:val="001E1E73"/>
    <w:rsid w:val="001E4E0C"/>
    <w:rsid w:val="001E526D"/>
    <w:rsid w:val="001E5655"/>
    <w:rsid w:val="001F1832"/>
    <w:rsid w:val="001F220F"/>
    <w:rsid w:val="001F25B3"/>
    <w:rsid w:val="001F6616"/>
    <w:rsid w:val="00202BD4"/>
    <w:rsid w:val="00204A97"/>
    <w:rsid w:val="002114EF"/>
    <w:rsid w:val="002127D9"/>
    <w:rsid w:val="002166AD"/>
    <w:rsid w:val="00217871"/>
    <w:rsid w:val="00221ED8"/>
    <w:rsid w:val="002231EA"/>
    <w:rsid w:val="00223FDF"/>
    <w:rsid w:val="002279C0"/>
    <w:rsid w:val="0023727E"/>
    <w:rsid w:val="00242081"/>
    <w:rsid w:val="00242801"/>
    <w:rsid w:val="00243777"/>
    <w:rsid w:val="002441CD"/>
    <w:rsid w:val="002501A3"/>
    <w:rsid w:val="0025166C"/>
    <w:rsid w:val="002555D4"/>
    <w:rsid w:val="00261A16"/>
    <w:rsid w:val="00263361"/>
    <w:rsid w:val="00263522"/>
    <w:rsid w:val="00264EC6"/>
    <w:rsid w:val="00271013"/>
    <w:rsid w:val="00271594"/>
    <w:rsid w:val="00273FE4"/>
    <w:rsid w:val="002765B4"/>
    <w:rsid w:val="00276A94"/>
    <w:rsid w:val="0029405D"/>
    <w:rsid w:val="00294FA6"/>
    <w:rsid w:val="00295A6F"/>
    <w:rsid w:val="002A1D53"/>
    <w:rsid w:val="002A20C4"/>
    <w:rsid w:val="002A570F"/>
    <w:rsid w:val="002A7292"/>
    <w:rsid w:val="002A7358"/>
    <w:rsid w:val="002A7902"/>
    <w:rsid w:val="002B0F6B"/>
    <w:rsid w:val="002B23B8"/>
    <w:rsid w:val="002B4429"/>
    <w:rsid w:val="002B68A6"/>
    <w:rsid w:val="002B7FAF"/>
    <w:rsid w:val="002C7ED3"/>
    <w:rsid w:val="002D0C4F"/>
    <w:rsid w:val="002D1364"/>
    <w:rsid w:val="002D4D30"/>
    <w:rsid w:val="002D5000"/>
    <w:rsid w:val="002D598D"/>
    <w:rsid w:val="002D7188"/>
    <w:rsid w:val="002E1DE3"/>
    <w:rsid w:val="002E2AB6"/>
    <w:rsid w:val="002E3F34"/>
    <w:rsid w:val="002E5F79"/>
    <w:rsid w:val="002E6385"/>
    <w:rsid w:val="002E64FA"/>
    <w:rsid w:val="002F0A00"/>
    <w:rsid w:val="002F0CFA"/>
    <w:rsid w:val="002F669F"/>
    <w:rsid w:val="00301C97"/>
    <w:rsid w:val="0031004C"/>
    <w:rsid w:val="003105F6"/>
    <w:rsid w:val="00311297"/>
    <w:rsid w:val="003113BE"/>
    <w:rsid w:val="003122CA"/>
    <w:rsid w:val="003148FD"/>
    <w:rsid w:val="00315D43"/>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2347"/>
    <w:rsid w:val="003647D5"/>
    <w:rsid w:val="003674B0"/>
    <w:rsid w:val="0037727C"/>
    <w:rsid w:val="00377E70"/>
    <w:rsid w:val="00380904"/>
    <w:rsid w:val="00380FE6"/>
    <w:rsid w:val="003823EE"/>
    <w:rsid w:val="00382960"/>
    <w:rsid w:val="003846F7"/>
    <w:rsid w:val="003851ED"/>
    <w:rsid w:val="00385B39"/>
    <w:rsid w:val="00386785"/>
    <w:rsid w:val="00390E89"/>
    <w:rsid w:val="00391B1A"/>
    <w:rsid w:val="00394423"/>
    <w:rsid w:val="00396942"/>
    <w:rsid w:val="00396B49"/>
    <w:rsid w:val="00396E3E"/>
    <w:rsid w:val="003A306E"/>
    <w:rsid w:val="003A3C97"/>
    <w:rsid w:val="003A60DC"/>
    <w:rsid w:val="003A6A46"/>
    <w:rsid w:val="003A7A63"/>
    <w:rsid w:val="003B000C"/>
    <w:rsid w:val="003B0F1D"/>
    <w:rsid w:val="003B4A57"/>
    <w:rsid w:val="003C0AD9"/>
    <w:rsid w:val="003C0ED0"/>
    <w:rsid w:val="003C1D49"/>
    <w:rsid w:val="003C35C4"/>
    <w:rsid w:val="003C76A9"/>
    <w:rsid w:val="003D12C2"/>
    <w:rsid w:val="003D31B9"/>
    <w:rsid w:val="003D3867"/>
    <w:rsid w:val="003E0D1A"/>
    <w:rsid w:val="003E2DA3"/>
    <w:rsid w:val="003F020D"/>
    <w:rsid w:val="003F03D9"/>
    <w:rsid w:val="003F2FBE"/>
    <w:rsid w:val="003F318D"/>
    <w:rsid w:val="003F479A"/>
    <w:rsid w:val="003F5BAE"/>
    <w:rsid w:val="003F6ED7"/>
    <w:rsid w:val="00401C84"/>
    <w:rsid w:val="00403210"/>
    <w:rsid w:val="004035BB"/>
    <w:rsid w:val="004035EB"/>
    <w:rsid w:val="00405C52"/>
    <w:rsid w:val="00407332"/>
    <w:rsid w:val="00407828"/>
    <w:rsid w:val="00413D8E"/>
    <w:rsid w:val="004140F2"/>
    <w:rsid w:val="00417B22"/>
    <w:rsid w:val="00421085"/>
    <w:rsid w:val="0042465E"/>
    <w:rsid w:val="00424DF7"/>
    <w:rsid w:val="00432B76"/>
    <w:rsid w:val="00434D01"/>
    <w:rsid w:val="00435D26"/>
    <w:rsid w:val="00440C99"/>
    <w:rsid w:val="0044175C"/>
    <w:rsid w:val="00445913"/>
    <w:rsid w:val="00445F4D"/>
    <w:rsid w:val="004500B5"/>
    <w:rsid w:val="004504C0"/>
    <w:rsid w:val="00452CC0"/>
    <w:rsid w:val="004550FB"/>
    <w:rsid w:val="0046111A"/>
    <w:rsid w:val="00462946"/>
    <w:rsid w:val="00463F43"/>
    <w:rsid w:val="00464B94"/>
    <w:rsid w:val="004653A8"/>
    <w:rsid w:val="00465822"/>
    <w:rsid w:val="00465A0B"/>
    <w:rsid w:val="0047077C"/>
    <w:rsid w:val="00470B05"/>
    <w:rsid w:val="0047207C"/>
    <w:rsid w:val="00472CD6"/>
    <w:rsid w:val="00474E3C"/>
    <w:rsid w:val="00480A58"/>
    <w:rsid w:val="00482151"/>
    <w:rsid w:val="0048306F"/>
    <w:rsid w:val="00485FAD"/>
    <w:rsid w:val="00487AED"/>
    <w:rsid w:val="00487F74"/>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6977"/>
    <w:rsid w:val="004C7EE7"/>
    <w:rsid w:val="004D2DEE"/>
    <w:rsid w:val="004D2E1F"/>
    <w:rsid w:val="004D7FD9"/>
    <w:rsid w:val="004E00D5"/>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16729"/>
    <w:rsid w:val="00526DFC"/>
    <w:rsid w:val="00526F43"/>
    <w:rsid w:val="00527651"/>
    <w:rsid w:val="00533F4C"/>
    <w:rsid w:val="005363AB"/>
    <w:rsid w:val="00544EF4"/>
    <w:rsid w:val="00545E53"/>
    <w:rsid w:val="005479D9"/>
    <w:rsid w:val="00550CE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86CB9"/>
    <w:rsid w:val="00591124"/>
    <w:rsid w:val="005919B1"/>
    <w:rsid w:val="00597024"/>
    <w:rsid w:val="005A0274"/>
    <w:rsid w:val="005A095C"/>
    <w:rsid w:val="005A0CB1"/>
    <w:rsid w:val="005A669D"/>
    <w:rsid w:val="005A75D8"/>
    <w:rsid w:val="005B6AE6"/>
    <w:rsid w:val="005B713E"/>
    <w:rsid w:val="005C03B6"/>
    <w:rsid w:val="005C348E"/>
    <w:rsid w:val="005C68E1"/>
    <w:rsid w:val="005D2124"/>
    <w:rsid w:val="005D3763"/>
    <w:rsid w:val="005D55E1"/>
    <w:rsid w:val="005E19F7"/>
    <w:rsid w:val="005E4F04"/>
    <w:rsid w:val="005E62C2"/>
    <w:rsid w:val="005E6C71"/>
    <w:rsid w:val="005F0963"/>
    <w:rsid w:val="005F2824"/>
    <w:rsid w:val="005F2EBA"/>
    <w:rsid w:val="005F35ED"/>
    <w:rsid w:val="005F60B0"/>
    <w:rsid w:val="005F6DCA"/>
    <w:rsid w:val="005F7812"/>
    <w:rsid w:val="005F7A88"/>
    <w:rsid w:val="00603A1A"/>
    <w:rsid w:val="006046D5"/>
    <w:rsid w:val="00607A93"/>
    <w:rsid w:val="00610C08"/>
    <w:rsid w:val="00611F74"/>
    <w:rsid w:val="0061264D"/>
    <w:rsid w:val="00615772"/>
    <w:rsid w:val="00617070"/>
    <w:rsid w:val="00621256"/>
    <w:rsid w:val="00621FCC"/>
    <w:rsid w:val="00622E4B"/>
    <w:rsid w:val="006333DA"/>
    <w:rsid w:val="00635134"/>
    <w:rsid w:val="006356E2"/>
    <w:rsid w:val="00642A65"/>
    <w:rsid w:val="00645757"/>
    <w:rsid w:val="00645DCE"/>
    <w:rsid w:val="006465AC"/>
    <w:rsid w:val="006465BF"/>
    <w:rsid w:val="00653B22"/>
    <w:rsid w:val="00657BF4"/>
    <w:rsid w:val="006603FB"/>
    <w:rsid w:val="006608DF"/>
    <w:rsid w:val="006623AC"/>
    <w:rsid w:val="006678AF"/>
    <w:rsid w:val="006701AF"/>
    <w:rsid w:val="006701EF"/>
    <w:rsid w:val="00673BA5"/>
    <w:rsid w:val="006768C0"/>
    <w:rsid w:val="00680058"/>
    <w:rsid w:val="006806E1"/>
    <w:rsid w:val="00681F9F"/>
    <w:rsid w:val="006840EA"/>
    <w:rsid w:val="006844E2"/>
    <w:rsid w:val="00685267"/>
    <w:rsid w:val="006872AE"/>
    <w:rsid w:val="006878D8"/>
    <w:rsid w:val="00690082"/>
    <w:rsid w:val="00690252"/>
    <w:rsid w:val="006946BB"/>
    <w:rsid w:val="006969FA"/>
    <w:rsid w:val="006A35D5"/>
    <w:rsid w:val="006A748A"/>
    <w:rsid w:val="006C419E"/>
    <w:rsid w:val="006C4A31"/>
    <w:rsid w:val="006C5AC2"/>
    <w:rsid w:val="006C6AFB"/>
    <w:rsid w:val="006D2735"/>
    <w:rsid w:val="006D45B2"/>
    <w:rsid w:val="006D482B"/>
    <w:rsid w:val="006E0FCC"/>
    <w:rsid w:val="006E1E96"/>
    <w:rsid w:val="006E5E21"/>
    <w:rsid w:val="006F2648"/>
    <w:rsid w:val="006F2F10"/>
    <w:rsid w:val="006F482B"/>
    <w:rsid w:val="006F6311"/>
    <w:rsid w:val="00701492"/>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2397"/>
    <w:rsid w:val="0072457F"/>
    <w:rsid w:val="00725406"/>
    <w:rsid w:val="0072621B"/>
    <w:rsid w:val="00730555"/>
    <w:rsid w:val="007312CC"/>
    <w:rsid w:val="00736A64"/>
    <w:rsid w:val="00737F6A"/>
    <w:rsid w:val="007410B6"/>
    <w:rsid w:val="0074232A"/>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3F00"/>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2D1D"/>
    <w:rsid w:val="007B3821"/>
    <w:rsid w:val="007B75BC"/>
    <w:rsid w:val="007C0BD6"/>
    <w:rsid w:val="007C28B3"/>
    <w:rsid w:val="007C3806"/>
    <w:rsid w:val="007C5BB7"/>
    <w:rsid w:val="007D07D5"/>
    <w:rsid w:val="007D1C64"/>
    <w:rsid w:val="007D32DD"/>
    <w:rsid w:val="007D6DCE"/>
    <w:rsid w:val="007D72C4"/>
    <w:rsid w:val="007E2CFE"/>
    <w:rsid w:val="007E59C9"/>
    <w:rsid w:val="007E609D"/>
    <w:rsid w:val="007F0072"/>
    <w:rsid w:val="007F2EB6"/>
    <w:rsid w:val="007F54C3"/>
    <w:rsid w:val="008021C9"/>
    <w:rsid w:val="00802949"/>
    <w:rsid w:val="0080301E"/>
    <w:rsid w:val="0080365F"/>
    <w:rsid w:val="008115A4"/>
    <w:rsid w:val="00812BE5"/>
    <w:rsid w:val="00817429"/>
    <w:rsid w:val="00821514"/>
    <w:rsid w:val="00821E35"/>
    <w:rsid w:val="00824591"/>
    <w:rsid w:val="00824AED"/>
    <w:rsid w:val="00825410"/>
    <w:rsid w:val="00827820"/>
    <w:rsid w:val="0083015F"/>
    <w:rsid w:val="00831B8B"/>
    <w:rsid w:val="0083405D"/>
    <w:rsid w:val="008352D4"/>
    <w:rsid w:val="00836673"/>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09BE"/>
    <w:rsid w:val="00872257"/>
    <w:rsid w:val="008753E6"/>
    <w:rsid w:val="0087738C"/>
    <w:rsid w:val="008802AF"/>
    <w:rsid w:val="00881926"/>
    <w:rsid w:val="0088318F"/>
    <w:rsid w:val="0088331D"/>
    <w:rsid w:val="008852B0"/>
    <w:rsid w:val="00885AE7"/>
    <w:rsid w:val="00886B60"/>
    <w:rsid w:val="00887889"/>
    <w:rsid w:val="00891BEA"/>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05C0"/>
    <w:rsid w:val="008E171D"/>
    <w:rsid w:val="008E2785"/>
    <w:rsid w:val="008E78A3"/>
    <w:rsid w:val="008F0654"/>
    <w:rsid w:val="008F06CB"/>
    <w:rsid w:val="008F2E83"/>
    <w:rsid w:val="008F612A"/>
    <w:rsid w:val="0090293D"/>
    <w:rsid w:val="009034DE"/>
    <w:rsid w:val="00905396"/>
    <w:rsid w:val="0090605D"/>
    <w:rsid w:val="00906419"/>
    <w:rsid w:val="009117AA"/>
    <w:rsid w:val="00912889"/>
    <w:rsid w:val="00913A42"/>
    <w:rsid w:val="00914167"/>
    <w:rsid w:val="009143DB"/>
    <w:rsid w:val="00915065"/>
    <w:rsid w:val="00917CE5"/>
    <w:rsid w:val="009217C0"/>
    <w:rsid w:val="00925241"/>
    <w:rsid w:val="00925CEC"/>
    <w:rsid w:val="00926A3F"/>
    <w:rsid w:val="0092794E"/>
    <w:rsid w:val="00927EEB"/>
    <w:rsid w:val="00930D30"/>
    <w:rsid w:val="009332A2"/>
    <w:rsid w:val="009362A0"/>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BCE"/>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414B"/>
    <w:rsid w:val="009D55AA"/>
    <w:rsid w:val="009E3E77"/>
    <w:rsid w:val="009E3FAB"/>
    <w:rsid w:val="009E5B3F"/>
    <w:rsid w:val="009E710C"/>
    <w:rsid w:val="009E7D90"/>
    <w:rsid w:val="009F1AB0"/>
    <w:rsid w:val="009F25C0"/>
    <w:rsid w:val="009F501D"/>
    <w:rsid w:val="00A00D57"/>
    <w:rsid w:val="00A039D5"/>
    <w:rsid w:val="00A0452F"/>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39DC"/>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5EF2"/>
    <w:rsid w:val="00B16ACD"/>
    <w:rsid w:val="00B21487"/>
    <w:rsid w:val="00B232D1"/>
    <w:rsid w:val="00B24DB5"/>
    <w:rsid w:val="00B31F9E"/>
    <w:rsid w:val="00B3268F"/>
    <w:rsid w:val="00B32C2C"/>
    <w:rsid w:val="00B33A1A"/>
    <w:rsid w:val="00B33E6C"/>
    <w:rsid w:val="00B371CC"/>
    <w:rsid w:val="00B41CD9"/>
    <w:rsid w:val="00B427E6"/>
    <w:rsid w:val="00B428A6"/>
    <w:rsid w:val="00B42EE1"/>
    <w:rsid w:val="00B43E1F"/>
    <w:rsid w:val="00B45FBC"/>
    <w:rsid w:val="00B51A7D"/>
    <w:rsid w:val="00B535C2"/>
    <w:rsid w:val="00B55544"/>
    <w:rsid w:val="00B642FC"/>
    <w:rsid w:val="00B64D26"/>
    <w:rsid w:val="00B64FBB"/>
    <w:rsid w:val="00B67854"/>
    <w:rsid w:val="00B70E22"/>
    <w:rsid w:val="00B72DDF"/>
    <w:rsid w:val="00B774CB"/>
    <w:rsid w:val="00B80402"/>
    <w:rsid w:val="00B80B9A"/>
    <w:rsid w:val="00B830B7"/>
    <w:rsid w:val="00B848EA"/>
    <w:rsid w:val="00B84B2B"/>
    <w:rsid w:val="00B90500"/>
    <w:rsid w:val="00B9176C"/>
    <w:rsid w:val="00B935A4"/>
    <w:rsid w:val="00B95664"/>
    <w:rsid w:val="00BA11F7"/>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15F"/>
    <w:rsid w:val="00BF6589"/>
    <w:rsid w:val="00BF6F7F"/>
    <w:rsid w:val="00C00647"/>
    <w:rsid w:val="00C02764"/>
    <w:rsid w:val="00C03ED2"/>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74B0"/>
    <w:rsid w:val="00CB18D0"/>
    <w:rsid w:val="00CB1C8A"/>
    <w:rsid w:val="00CB24F5"/>
    <w:rsid w:val="00CB2663"/>
    <w:rsid w:val="00CB3BBE"/>
    <w:rsid w:val="00CB50D5"/>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6703"/>
    <w:rsid w:val="00D07A7B"/>
    <w:rsid w:val="00D10E06"/>
    <w:rsid w:val="00D15197"/>
    <w:rsid w:val="00D16820"/>
    <w:rsid w:val="00D169C8"/>
    <w:rsid w:val="00D1793F"/>
    <w:rsid w:val="00D22AF5"/>
    <w:rsid w:val="00D235EA"/>
    <w:rsid w:val="00D247A9"/>
    <w:rsid w:val="00D31904"/>
    <w:rsid w:val="00D32721"/>
    <w:rsid w:val="00D328DC"/>
    <w:rsid w:val="00D33387"/>
    <w:rsid w:val="00D402FB"/>
    <w:rsid w:val="00D44341"/>
    <w:rsid w:val="00D47D7A"/>
    <w:rsid w:val="00D50ABD"/>
    <w:rsid w:val="00D55290"/>
    <w:rsid w:val="00D57791"/>
    <w:rsid w:val="00D6046A"/>
    <w:rsid w:val="00D62870"/>
    <w:rsid w:val="00D655D9"/>
    <w:rsid w:val="00D65872"/>
    <w:rsid w:val="00D669AC"/>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96B"/>
    <w:rsid w:val="00DE7DC1"/>
    <w:rsid w:val="00DF3E77"/>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68E"/>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98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3700"/>
    <w:rsid w:val="00ED5553"/>
    <w:rsid w:val="00ED5E36"/>
    <w:rsid w:val="00ED6217"/>
    <w:rsid w:val="00ED6961"/>
    <w:rsid w:val="00EF0B96"/>
    <w:rsid w:val="00EF3486"/>
    <w:rsid w:val="00EF47AF"/>
    <w:rsid w:val="00EF53B6"/>
    <w:rsid w:val="00F00B73"/>
    <w:rsid w:val="00F06818"/>
    <w:rsid w:val="00F115CA"/>
    <w:rsid w:val="00F14817"/>
    <w:rsid w:val="00F14EBA"/>
    <w:rsid w:val="00F1510F"/>
    <w:rsid w:val="00F1533A"/>
    <w:rsid w:val="00F15E5A"/>
    <w:rsid w:val="00F17F0A"/>
    <w:rsid w:val="00F2668F"/>
    <w:rsid w:val="00F2742F"/>
    <w:rsid w:val="00F2753B"/>
    <w:rsid w:val="00F33F8B"/>
    <w:rsid w:val="00F340B2"/>
    <w:rsid w:val="00F36C72"/>
    <w:rsid w:val="00F43390"/>
    <w:rsid w:val="00F443B2"/>
    <w:rsid w:val="00F458D8"/>
    <w:rsid w:val="00F50237"/>
    <w:rsid w:val="00F53596"/>
    <w:rsid w:val="00F55BA8"/>
    <w:rsid w:val="00F55DB1"/>
    <w:rsid w:val="00F56ACA"/>
    <w:rsid w:val="00F600FE"/>
    <w:rsid w:val="00F62E4D"/>
    <w:rsid w:val="00F66B34"/>
    <w:rsid w:val="00F675B9"/>
    <w:rsid w:val="00F6774D"/>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C425F"/>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D09EC"/>
  <w15:docId w15:val="{D677E5F7-A333-4A24-810A-BC24822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A74B0"/>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42091">
      <w:bodyDiv w:val="1"/>
      <w:marLeft w:val="0"/>
      <w:marRight w:val="0"/>
      <w:marTop w:val="0"/>
      <w:marBottom w:val="0"/>
      <w:divBdr>
        <w:top w:val="none" w:sz="0" w:space="0" w:color="auto"/>
        <w:left w:val="none" w:sz="0" w:space="0" w:color="auto"/>
        <w:bottom w:val="none" w:sz="0" w:space="0" w:color="auto"/>
        <w:right w:val="none" w:sz="0" w:space="0" w:color="auto"/>
      </w:divBdr>
      <w:divsChild>
        <w:div w:id="1220673863">
          <w:marLeft w:val="0"/>
          <w:marRight w:val="0"/>
          <w:marTop w:val="0"/>
          <w:marBottom w:val="0"/>
          <w:divBdr>
            <w:top w:val="none" w:sz="0" w:space="0" w:color="auto"/>
            <w:left w:val="none" w:sz="0" w:space="0" w:color="auto"/>
            <w:bottom w:val="none" w:sz="0" w:space="0" w:color="auto"/>
            <w:right w:val="none" w:sz="0" w:space="0" w:color="auto"/>
          </w:divBdr>
          <w:divsChild>
            <w:div w:id="1565486983">
              <w:marLeft w:val="0"/>
              <w:marRight w:val="0"/>
              <w:marTop w:val="0"/>
              <w:marBottom w:val="0"/>
              <w:divBdr>
                <w:top w:val="none" w:sz="0" w:space="0" w:color="auto"/>
                <w:left w:val="none" w:sz="0" w:space="0" w:color="auto"/>
                <w:bottom w:val="none" w:sz="0" w:space="0" w:color="auto"/>
                <w:right w:val="none" w:sz="0" w:space="0" w:color="auto"/>
              </w:divBdr>
            </w:div>
          </w:divsChild>
        </w:div>
        <w:div w:id="462041805">
          <w:marLeft w:val="0"/>
          <w:marRight w:val="0"/>
          <w:marTop w:val="0"/>
          <w:marBottom w:val="0"/>
          <w:divBdr>
            <w:top w:val="none" w:sz="0" w:space="0" w:color="auto"/>
            <w:left w:val="none" w:sz="0" w:space="0" w:color="auto"/>
            <w:bottom w:val="none" w:sz="0" w:space="0" w:color="auto"/>
            <w:right w:val="none" w:sz="0" w:space="0" w:color="auto"/>
          </w:divBdr>
          <w:divsChild>
            <w:div w:id="291326104">
              <w:marLeft w:val="0"/>
              <w:marRight w:val="0"/>
              <w:marTop w:val="0"/>
              <w:marBottom w:val="0"/>
              <w:divBdr>
                <w:top w:val="none" w:sz="0" w:space="0" w:color="auto"/>
                <w:left w:val="none" w:sz="0" w:space="0" w:color="auto"/>
                <w:bottom w:val="none" w:sz="0" w:space="0" w:color="auto"/>
                <w:right w:val="none" w:sz="0" w:space="0" w:color="auto"/>
              </w:divBdr>
            </w:div>
            <w:div w:id="1877236227">
              <w:marLeft w:val="0"/>
              <w:marRight w:val="0"/>
              <w:marTop w:val="0"/>
              <w:marBottom w:val="0"/>
              <w:divBdr>
                <w:top w:val="none" w:sz="0" w:space="0" w:color="auto"/>
                <w:left w:val="none" w:sz="0" w:space="0" w:color="auto"/>
                <w:bottom w:val="none" w:sz="0" w:space="0" w:color="auto"/>
                <w:right w:val="none" w:sz="0" w:space="0" w:color="auto"/>
              </w:divBdr>
              <w:divsChild>
                <w:div w:id="492570404">
                  <w:marLeft w:val="0"/>
                  <w:marRight w:val="0"/>
                  <w:marTop w:val="0"/>
                  <w:marBottom w:val="0"/>
                  <w:divBdr>
                    <w:top w:val="none" w:sz="0" w:space="0" w:color="auto"/>
                    <w:left w:val="none" w:sz="0" w:space="0" w:color="auto"/>
                    <w:bottom w:val="none" w:sz="0" w:space="0" w:color="auto"/>
                    <w:right w:val="none" w:sz="0" w:space="0" w:color="auto"/>
                  </w:divBdr>
                  <w:divsChild>
                    <w:div w:id="624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657">
              <w:marLeft w:val="0"/>
              <w:marRight w:val="0"/>
              <w:marTop w:val="0"/>
              <w:marBottom w:val="0"/>
              <w:divBdr>
                <w:top w:val="none" w:sz="0" w:space="0" w:color="auto"/>
                <w:left w:val="none" w:sz="0" w:space="0" w:color="auto"/>
                <w:bottom w:val="none" w:sz="0" w:space="0" w:color="auto"/>
                <w:right w:val="none" w:sz="0" w:space="0" w:color="auto"/>
              </w:divBdr>
              <w:divsChild>
                <w:div w:id="1174497854">
                  <w:marLeft w:val="0"/>
                  <w:marRight w:val="0"/>
                  <w:marTop w:val="0"/>
                  <w:marBottom w:val="0"/>
                  <w:divBdr>
                    <w:top w:val="none" w:sz="0" w:space="0" w:color="auto"/>
                    <w:left w:val="none" w:sz="0" w:space="0" w:color="auto"/>
                    <w:bottom w:val="none" w:sz="0" w:space="0" w:color="auto"/>
                    <w:right w:val="none" w:sz="0" w:space="0" w:color="auto"/>
                  </w:divBdr>
                  <w:divsChild>
                    <w:div w:id="14285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247">
          <w:marLeft w:val="0"/>
          <w:marRight w:val="0"/>
          <w:marTop w:val="0"/>
          <w:marBottom w:val="0"/>
          <w:divBdr>
            <w:top w:val="none" w:sz="0" w:space="0" w:color="auto"/>
            <w:left w:val="none" w:sz="0" w:space="0" w:color="auto"/>
            <w:bottom w:val="none" w:sz="0" w:space="0" w:color="auto"/>
            <w:right w:val="none" w:sz="0" w:space="0" w:color="auto"/>
          </w:divBdr>
          <w:divsChild>
            <w:div w:id="1851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mo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67A77-1646-4A7A-BCAD-98435BA3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1</Pages>
  <Words>1608</Words>
  <Characters>9650</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Manager/>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Jankowska-Słomianko Dorota</dc:creator>
  <cp:lastModifiedBy>Gumowski Rafał</cp:lastModifiedBy>
  <cp:revision>4</cp:revision>
  <cp:lastPrinted>2012-04-23T06:39:00Z</cp:lastPrinted>
  <dcterms:created xsi:type="dcterms:W3CDTF">2025-05-20T09:57:00Z</dcterms:created>
  <dcterms:modified xsi:type="dcterms:W3CDTF">2025-05-20T09:58:00Z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UxC4dwLulzfINJ8nQH+xvX5LNGipWa4BRSZhPgxsCvlw+iMwHp30c7j4Tmh9BS8vkvgLmUtEBOua5lE/jtwWVg==</vt:lpwstr>
  </property>
  <property fmtid="{D5CDD505-2E9C-101B-9397-08002B2CF9AE}" pid="6" name="MFClassificationDate">
    <vt:lpwstr>2025-04-23T14:20:19.3845863+02:00</vt:lpwstr>
  </property>
  <property fmtid="{D5CDD505-2E9C-101B-9397-08002B2CF9AE}" pid="7" name="MFClassifiedBySID">
    <vt:lpwstr>UxC4dwLulzfINJ8nQH+xvX5LNGipWa4BRSZhPgxsCvm42mrIC/DSDv0ggS+FjUN/2v1BBotkLlY5aAiEhoi6uZidQqjqC2ZaLyl+C8V9ZJYtvWuqmDVj7wrwhyyA/dgi</vt:lpwstr>
  </property>
  <property fmtid="{D5CDD505-2E9C-101B-9397-08002B2CF9AE}" pid="8" name="MFGRNItemId">
    <vt:lpwstr>GRN-86a89984-b311-4989-bd7b-a3c18ceb8f54</vt:lpwstr>
  </property>
  <property fmtid="{D5CDD505-2E9C-101B-9397-08002B2CF9AE}" pid="9" name="MFHash">
    <vt:lpwstr>YR0fmAz/8AFVFcwldFObQtwdrsvj06wy0oYNEviAZMc=</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