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40F4" w14:textId="77777777" w:rsidR="00B06A47" w:rsidRPr="00263EB8" w:rsidRDefault="00B06A47" w:rsidP="00263EB8">
      <w:pPr>
        <w:pStyle w:val="DATAAKTUdatauchwalenialubwydaniaaktu"/>
        <w:spacing w:after="0"/>
        <w:rPr>
          <w:rStyle w:val="Ppogrubienie"/>
          <w:rFonts w:ascii="Times New Roman" w:hAnsi="Times New Roman" w:cs="Times New Roman"/>
          <w:b w:val="0"/>
          <w:bCs w:val="0"/>
        </w:rPr>
      </w:pPr>
      <w:r w:rsidRPr="00263EB8">
        <w:rPr>
          <w:rStyle w:val="Ppogrubienie"/>
          <w:rFonts w:ascii="Times New Roman" w:hAnsi="Times New Roman" w:cs="Times New Roman"/>
          <w:b w:val="0"/>
          <w:bCs w:val="0"/>
        </w:rPr>
        <w:t>UZASADNIENIE</w:t>
      </w:r>
    </w:p>
    <w:p w14:paraId="060602CE" w14:textId="511D8D7D" w:rsidR="00184CA4" w:rsidRPr="00263EB8" w:rsidRDefault="00184CA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 xml:space="preserve">Projekt przewiduje wprowadzenie zmian do ustawy z dnia 10 września 1999r. Kodeks karny skarbowy (Dz. U. z </w:t>
      </w:r>
      <w:r w:rsidR="005A0E60" w:rsidRPr="00263EB8">
        <w:rPr>
          <w:rFonts w:cs="Times New Roman"/>
        </w:rPr>
        <w:t>2025r</w:t>
      </w:r>
      <w:r w:rsidRPr="00263EB8">
        <w:rPr>
          <w:rFonts w:cs="Times New Roman"/>
        </w:rPr>
        <w:t xml:space="preserve">. poz. </w:t>
      </w:r>
      <w:r w:rsidR="005A0E60" w:rsidRPr="00263EB8">
        <w:rPr>
          <w:rFonts w:cs="Times New Roman"/>
        </w:rPr>
        <w:t>633</w:t>
      </w:r>
      <w:r w:rsidRPr="00263EB8">
        <w:rPr>
          <w:rFonts w:cs="Times New Roman"/>
        </w:rPr>
        <w:t xml:space="preserve">), zwanej dalej </w:t>
      </w:r>
      <w:proofErr w:type="spellStart"/>
      <w:r w:rsidR="00B742B6" w:rsidRPr="00263EB8">
        <w:rPr>
          <w:rFonts w:cs="Times New Roman"/>
        </w:rPr>
        <w:t>k</w:t>
      </w:r>
      <w:r w:rsidRPr="00263EB8">
        <w:rPr>
          <w:rFonts w:cs="Times New Roman"/>
        </w:rPr>
        <w:t>ks</w:t>
      </w:r>
      <w:proofErr w:type="spellEnd"/>
      <w:r w:rsidR="001B685F">
        <w:rPr>
          <w:rFonts w:cs="Times New Roman"/>
        </w:rPr>
        <w:t>,</w:t>
      </w:r>
      <w:r w:rsidRPr="00263EB8">
        <w:rPr>
          <w:rFonts w:cs="Times New Roman"/>
        </w:rPr>
        <w:t xml:space="preserve"> oraz do ustawy z dnia 29 sierpnia 1997</w:t>
      </w:r>
      <w:r w:rsidR="005A0E60" w:rsidRPr="00263EB8">
        <w:rPr>
          <w:rFonts w:cs="Times New Roman"/>
        </w:rPr>
        <w:t> </w:t>
      </w:r>
      <w:r w:rsidRPr="00263EB8">
        <w:rPr>
          <w:rFonts w:cs="Times New Roman"/>
        </w:rPr>
        <w:t xml:space="preserve">r. </w:t>
      </w:r>
      <w:r w:rsidR="001B685F">
        <w:rPr>
          <w:rFonts w:cs="Times New Roman"/>
        </w:rPr>
        <w:t>–</w:t>
      </w:r>
      <w:r w:rsidRPr="00263EB8">
        <w:rPr>
          <w:rFonts w:cs="Times New Roman"/>
        </w:rPr>
        <w:t xml:space="preserve"> Ordynacja podatkowa (Dz. U. z 2025 r. poz. 111</w:t>
      </w:r>
      <w:r w:rsidR="00DD5F7A" w:rsidRPr="00263EB8">
        <w:rPr>
          <w:rFonts w:cs="Times New Roman"/>
        </w:rPr>
        <w:t>, 497</w:t>
      </w:r>
      <w:r w:rsidR="00897014" w:rsidRPr="00263EB8">
        <w:rPr>
          <w:rFonts w:cs="Times New Roman"/>
        </w:rPr>
        <w:t>, 621 i 622</w:t>
      </w:r>
      <w:r w:rsidRPr="00263EB8">
        <w:rPr>
          <w:rFonts w:cs="Times New Roman"/>
        </w:rPr>
        <w:t>), zwanej dalej Ordynacją podatkową.</w:t>
      </w:r>
    </w:p>
    <w:p w14:paraId="7FD44CAF" w14:textId="5B618EC1" w:rsidR="009A13D4" w:rsidRPr="00263EB8" w:rsidRDefault="00184CA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>Zmiany te stanowią realizację filaru VI: „Wsparcie dla biznesu i deregulacja” planu gospodarczego na 2025 r. „Polska. Rok przełomu”, który zakłada eliminację zbędnych procedur administracyjnych, redukcję kosztów prowadzenia działalności oraz zwiększenie przejrzystości systemu podatkowego.</w:t>
      </w:r>
    </w:p>
    <w:p w14:paraId="1C17B03A" w14:textId="48AE7188" w:rsidR="00184CA4" w:rsidRPr="00263EB8" w:rsidRDefault="00184CA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 xml:space="preserve">Przedmiotowe rozwiązania mają w szczególności na celu złagodzenie odpowiedzialności karnej przewidzianej w Kodeksie karnym skarbowym, co wpisuje się w proces </w:t>
      </w:r>
      <w:proofErr w:type="spellStart"/>
      <w:r w:rsidRPr="00263EB8">
        <w:rPr>
          <w:rFonts w:cs="Times New Roman"/>
        </w:rPr>
        <w:t>deregulacyjny</w:t>
      </w:r>
      <w:proofErr w:type="spellEnd"/>
      <w:r w:rsidRPr="00263EB8">
        <w:rPr>
          <w:rFonts w:cs="Times New Roman"/>
        </w:rPr>
        <w:t>.</w:t>
      </w:r>
    </w:p>
    <w:p w14:paraId="53D05345" w14:textId="67464C11" w:rsidR="00184CA4" w:rsidRPr="00263EB8" w:rsidRDefault="00184CA4" w:rsidP="00263EB8">
      <w:pPr>
        <w:spacing w:before="120"/>
        <w:jc w:val="both"/>
        <w:rPr>
          <w:rFonts w:cs="Times New Roman"/>
          <w:b/>
          <w:bCs/>
        </w:rPr>
      </w:pPr>
      <w:r w:rsidRPr="00263EB8">
        <w:rPr>
          <w:rFonts w:cs="Times New Roman"/>
        </w:rPr>
        <w:t xml:space="preserve">Projektowane zmiany będą miały wpływ na wysokość orzekanych kar, zakładają bowiem obniżenie najwyższej liczby stawek dziennych grzywny wymierzanej za czyny penalizowane </w:t>
      </w:r>
      <w:bookmarkStart w:id="0" w:name="_Hlk198281246"/>
      <w:r w:rsidRPr="00263EB8">
        <w:rPr>
          <w:rFonts w:cs="Times New Roman"/>
        </w:rPr>
        <w:t xml:space="preserve">w art. 56a </w:t>
      </w:r>
      <w:proofErr w:type="spellStart"/>
      <w:r w:rsidRPr="00263EB8">
        <w:rPr>
          <w:rFonts w:cs="Times New Roman"/>
        </w:rPr>
        <w:t>kks</w:t>
      </w:r>
      <w:proofErr w:type="spellEnd"/>
      <w:r w:rsidRPr="00263EB8">
        <w:rPr>
          <w:rFonts w:cs="Times New Roman"/>
        </w:rPr>
        <w:t xml:space="preserve">, </w:t>
      </w:r>
      <w:r w:rsidR="001B685F">
        <w:rPr>
          <w:rFonts w:cs="Times New Roman"/>
        </w:rPr>
        <w:t xml:space="preserve">art. </w:t>
      </w:r>
      <w:r w:rsidRPr="00263EB8">
        <w:rPr>
          <w:rFonts w:cs="Times New Roman"/>
        </w:rPr>
        <w:t xml:space="preserve">56c </w:t>
      </w:r>
      <w:proofErr w:type="spellStart"/>
      <w:r w:rsidRPr="00263EB8">
        <w:rPr>
          <w:rFonts w:cs="Times New Roman"/>
        </w:rPr>
        <w:t>kks</w:t>
      </w:r>
      <w:proofErr w:type="spellEnd"/>
      <w:r w:rsidRPr="00263EB8">
        <w:rPr>
          <w:rFonts w:cs="Times New Roman"/>
        </w:rPr>
        <w:t xml:space="preserve">, art. 56d </w:t>
      </w:r>
      <w:proofErr w:type="spellStart"/>
      <w:r w:rsidRPr="00263EB8">
        <w:rPr>
          <w:rFonts w:cs="Times New Roman"/>
        </w:rPr>
        <w:t>kks</w:t>
      </w:r>
      <w:proofErr w:type="spellEnd"/>
      <w:r w:rsidRPr="00263EB8">
        <w:rPr>
          <w:rFonts w:cs="Times New Roman"/>
        </w:rPr>
        <w:t xml:space="preserve">. art. 56e </w:t>
      </w:r>
      <w:proofErr w:type="spellStart"/>
      <w:r w:rsidRPr="00263EB8">
        <w:rPr>
          <w:rFonts w:cs="Times New Roman"/>
        </w:rPr>
        <w:t>kks</w:t>
      </w:r>
      <w:proofErr w:type="spellEnd"/>
      <w:r w:rsidRPr="00263EB8">
        <w:rPr>
          <w:rFonts w:cs="Times New Roman"/>
        </w:rPr>
        <w:t xml:space="preserve">, art. 56f </w:t>
      </w:r>
      <w:proofErr w:type="spellStart"/>
      <w:r w:rsidRPr="00263EB8">
        <w:rPr>
          <w:rFonts w:cs="Times New Roman"/>
        </w:rPr>
        <w:t>kks</w:t>
      </w:r>
      <w:proofErr w:type="spellEnd"/>
      <w:r w:rsidRPr="00263EB8">
        <w:rPr>
          <w:rFonts w:cs="Times New Roman"/>
        </w:rPr>
        <w:t xml:space="preserve"> i art. 80e </w:t>
      </w:r>
      <w:proofErr w:type="spellStart"/>
      <w:r w:rsidRPr="00263EB8">
        <w:rPr>
          <w:rFonts w:cs="Times New Roman"/>
        </w:rPr>
        <w:t>kks</w:t>
      </w:r>
      <w:proofErr w:type="spellEnd"/>
      <w:r w:rsidRPr="00263EB8">
        <w:rPr>
          <w:rFonts w:cs="Times New Roman"/>
        </w:rPr>
        <w:t xml:space="preserve"> </w:t>
      </w:r>
      <w:bookmarkEnd w:id="0"/>
      <w:r w:rsidRPr="00263EB8">
        <w:rPr>
          <w:rFonts w:cs="Times New Roman"/>
        </w:rPr>
        <w:t>(</w:t>
      </w:r>
      <w:r w:rsidRPr="00263EB8">
        <w:rPr>
          <w:rFonts w:cs="Times New Roman"/>
          <w:b/>
          <w:bCs/>
        </w:rPr>
        <w:t>art. 1 projektu).</w:t>
      </w:r>
    </w:p>
    <w:p w14:paraId="7A1772BA" w14:textId="1CAC6FB6" w:rsidR="00184CA4" w:rsidRPr="00263EB8" w:rsidRDefault="00184CA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>Zmianie ulegną przepisy związane z wymiarem kary za przestępstwa skarbowe mające charakter formalny</w:t>
      </w:r>
      <w:r w:rsidR="00816622" w:rsidRPr="00263EB8">
        <w:rPr>
          <w:rFonts w:cs="Times New Roman"/>
        </w:rPr>
        <w:t>,</w:t>
      </w:r>
      <w:r w:rsidRPr="00263EB8">
        <w:rPr>
          <w:rFonts w:cs="Times New Roman"/>
        </w:rPr>
        <w:t xml:space="preserve"> tj. dotyczące dokumentów w postaci oświadczeń oraz informacji, do</w:t>
      </w:r>
      <w:r w:rsidR="001B685F">
        <w:rPr>
          <w:rFonts w:cs="Times New Roman"/>
        </w:rPr>
        <w:t xml:space="preserve"> </w:t>
      </w:r>
      <w:r w:rsidRPr="00263EB8">
        <w:rPr>
          <w:rFonts w:cs="Times New Roman"/>
        </w:rPr>
        <w:t>złożenia których obligują przepisy podatkowe.</w:t>
      </w:r>
    </w:p>
    <w:p w14:paraId="0DF55982" w14:textId="0FFA8F04" w:rsidR="006942DC" w:rsidRPr="00263EB8" w:rsidRDefault="00184CA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>W przypadku wskazanych przestępstw skarbowych określona ma zostać maksymalna liczba stawek dziennych, którą sąd wymierza za dany czyn zabroniony, poprzez zmianę górnej granicy kary grzywny, którą można nałożyć za poszczególne przestępstwa</w:t>
      </w:r>
      <w:r w:rsidR="00816622" w:rsidRPr="00263EB8">
        <w:rPr>
          <w:rFonts w:cs="Times New Roman"/>
        </w:rPr>
        <w:t>,</w:t>
      </w:r>
      <w:r w:rsidRPr="00263EB8">
        <w:rPr>
          <w:rFonts w:cs="Times New Roman"/>
        </w:rPr>
        <w:t xml:space="preserve"> tj. 720 stawek (44</w:t>
      </w:r>
      <w:r w:rsidR="001B685F">
        <w:rPr>
          <w:rFonts w:cs="Times New Roman"/>
        </w:rPr>
        <w:t> </w:t>
      </w:r>
      <w:r w:rsidRPr="00263EB8">
        <w:rPr>
          <w:rFonts w:cs="Times New Roman"/>
        </w:rPr>
        <w:t>793</w:t>
      </w:r>
      <w:r w:rsidR="001B685F">
        <w:rPr>
          <w:rFonts w:cs="Times New Roman"/>
        </w:rPr>
        <w:t> </w:t>
      </w:r>
      <w:r w:rsidRPr="00263EB8">
        <w:rPr>
          <w:rFonts w:cs="Times New Roman"/>
        </w:rPr>
        <w:t>504</w:t>
      </w:r>
      <w:r w:rsidR="001B685F">
        <w:rPr>
          <w:rFonts w:cs="Times New Roman"/>
        </w:rPr>
        <w:t> </w:t>
      </w:r>
      <w:r w:rsidRPr="00263EB8">
        <w:rPr>
          <w:rFonts w:cs="Times New Roman"/>
        </w:rPr>
        <w:t>zł) na 480 stawek (29 862</w:t>
      </w:r>
      <w:r w:rsidR="001B685F">
        <w:rPr>
          <w:rFonts w:cs="Times New Roman"/>
        </w:rPr>
        <w:t> </w:t>
      </w:r>
      <w:r w:rsidRPr="00263EB8">
        <w:rPr>
          <w:rFonts w:cs="Times New Roman"/>
        </w:rPr>
        <w:t>336</w:t>
      </w:r>
      <w:r w:rsidR="001B685F">
        <w:rPr>
          <w:rFonts w:cs="Times New Roman"/>
        </w:rPr>
        <w:t> </w:t>
      </w:r>
      <w:r w:rsidRPr="00263EB8">
        <w:rPr>
          <w:rFonts w:cs="Times New Roman"/>
        </w:rPr>
        <w:t>zł) lub 240 stawek (14 931</w:t>
      </w:r>
      <w:r w:rsidR="001B685F">
        <w:rPr>
          <w:rFonts w:cs="Times New Roman"/>
        </w:rPr>
        <w:t> </w:t>
      </w:r>
      <w:r w:rsidRPr="00263EB8">
        <w:rPr>
          <w:rFonts w:cs="Times New Roman"/>
        </w:rPr>
        <w:t>168</w:t>
      </w:r>
      <w:r w:rsidR="001B685F">
        <w:rPr>
          <w:rFonts w:cs="Times New Roman"/>
        </w:rPr>
        <w:t> </w:t>
      </w:r>
      <w:r w:rsidRPr="00263EB8">
        <w:rPr>
          <w:rFonts w:cs="Times New Roman"/>
        </w:rPr>
        <w:t>zł) czy z 240 stawek na 120 stawek dziennych (7 465</w:t>
      </w:r>
      <w:r w:rsidR="001B685F">
        <w:rPr>
          <w:rFonts w:cs="Times New Roman"/>
        </w:rPr>
        <w:t> </w:t>
      </w:r>
      <w:r w:rsidRPr="00263EB8">
        <w:rPr>
          <w:rFonts w:cs="Times New Roman"/>
        </w:rPr>
        <w:t>584</w:t>
      </w:r>
      <w:r w:rsidR="001B685F">
        <w:rPr>
          <w:rFonts w:cs="Times New Roman"/>
        </w:rPr>
        <w:t> </w:t>
      </w:r>
      <w:r w:rsidRPr="00263EB8">
        <w:rPr>
          <w:rFonts w:cs="Times New Roman"/>
        </w:rPr>
        <w:t>zł). Obniżeniu ulegnie zarówno</w:t>
      </w:r>
      <w:r w:rsidR="001B685F">
        <w:rPr>
          <w:rFonts w:cs="Times New Roman"/>
        </w:rPr>
        <w:t xml:space="preserve"> </w:t>
      </w:r>
      <w:r w:rsidRPr="00263EB8">
        <w:rPr>
          <w:rFonts w:cs="Times New Roman"/>
        </w:rPr>
        <w:t>górna granica kary grzywny za czyny polegające na niewykonaniu obowiązku</w:t>
      </w:r>
      <w:r w:rsidR="003A0922" w:rsidRPr="00263EB8">
        <w:rPr>
          <w:rFonts w:cs="Times New Roman"/>
        </w:rPr>
        <w:t>, tj.</w:t>
      </w:r>
      <w:r w:rsidR="006A1579" w:rsidRPr="00263EB8">
        <w:rPr>
          <w:rFonts w:cs="Times New Roman"/>
        </w:rPr>
        <w:t xml:space="preserve"> złożenia</w:t>
      </w:r>
      <w:r w:rsidR="006A1579" w:rsidRPr="00263EB8">
        <w:rPr>
          <w:rFonts w:cs="Times New Roman"/>
          <w:color w:val="5B9BD5" w:themeColor="accent5"/>
        </w:rPr>
        <w:t xml:space="preserve"> </w:t>
      </w:r>
      <w:r w:rsidRPr="00263EB8">
        <w:rPr>
          <w:rFonts w:cs="Times New Roman"/>
        </w:rPr>
        <w:t xml:space="preserve">czy </w:t>
      </w:r>
      <w:r w:rsidR="006A1579" w:rsidRPr="00263EB8">
        <w:rPr>
          <w:rFonts w:cs="Times New Roman"/>
        </w:rPr>
        <w:t xml:space="preserve">sporządzenia </w:t>
      </w:r>
      <w:r w:rsidRPr="00263EB8">
        <w:rPr>
          <w:rFonts w:cs="Times New Roman"/>
        </w:rPr>
        <w:t>dokumentów, jak i maksymalna kara za czyny związane z naruszeniem ustawowych terminów.</w:t>
      </w:r>
    </w:p>
    <w:p w14:paraId="4CA49FE6" w14:textId="5D0FE7F3" w:rsidR="00111913" w:rsidRPr="00263EB8" w:rsidRDefault="00111913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 xml:space="preserve">Projektowana zmiana </w:t>
      </w:r>
      <w:r w:rsidRPr="00263EB8">
        <w:rPr>
          <w:rFonts w:cs="Times New Roman"/>
          <w:b/>
          <w:bCs/>
        </w:rPr>
        <w:t>art.</w:t>
      </w:r>
      <w:r w:rsidR="006E207B" w:rsidRPr="00263EB8">
        <w:rPr>
          <w:rFonts w:cs="Times New Roman"/>
          <w:b/>
          <w:bCs/>
        </w:rPr>
        <w:t xml:space="preserve"> </w:t>
      </w:r>
      <w:r w:rsidRPr="00263EB8">
        <w:rPr>
          <w:rFonts w:cs="Times New Roman"/>
          <w:b/>
          <w:bCs/>
        </w:rPr>
        <w:t xml:space="preserve">56a </w:t>
      </w:r>
      <w:proofErr w:type="spellStart"/>
      <w:r w:rsidRPr="00263EB8">
        <w:rPr>
          <w:rFonts w:cs="Times New Roman"/>
          <w:b/>
          <w:bCs/>
        </w:rPr>
        <w:t>kks</w:t>
      </w:r>
      <w:proofErr w:type="spellEnd"/>
      <w:r w:rsidRPr="00263EB8">
        <w:rPr>
          <w:rFonts w:cs="Times New Roman"/>
        </w:rPr>
        <w:t>, który penalizuje naruszenie obowiązków związanych z informacją składaną przez podatnika o pojazdach samochodowych wykorzystywanych wyłącznie do działalności gospodarczej</w:t>
      </w:r>
      <w:r w:rsidR="009A13D4" w:rsidRPr="00263EB8">
        <w:rPr>
          <w:rFonts w:cs="Times New Roman"/>
        </w:rPr>
        <w:t>,</w:t>
      </w:r>
      <w:r w:rsidRPr="00263EB8">
        <w:rPr>
          <w:rFonts w:cs="Times New Roman"/>
        </w:rPr>
        <w:t xml:space="preserve"> zakłada zmniejszenie kary grzywny z 720 stawek dziennych </w:t>
      </w:r>
      <w:r w:rsidR="0032401D" w:rsidRPr="00263EB8">
        <w:rPr>
          <w:rFonts w:cs="Times New Roman"/>
        </w:rPr>
        <w:t xml:space="preserve">do 240 stawek dziennych </w:t>
      </w:r>
      <w:r w:rsidRPr="00263EB8">
        <w:rPr>
          <w:rFonts w:cs="Times New Roman"/>
        </w:rPr>
        <w:t xml:space="preserve">w przypadku nie złożenia tej informacji </w:t>
      </w:r>
      <w:r w:rsidR="0032401D" w:rsidRPr="00263EB8">
        <w:rPr>
          <w:rFonts w:cs="Times New Roman"/>
        </w:rPr>
        <w:t>albo złożenie jej niezgodnie ze stanem rzeczywistym oraz do 120 stawek dziennych w przypadku nieterminowego złożenia tej informacji.</w:t>
      </w:r>
    </w:p>
    <w:p w14:paraId="2CB4C6B0" w14:textId="77777777" w:rsidR="003308FF" w:rsidRPr="00263EB8" w:rsidRDefault="003308FF" w:rsidP="00263EB8">
      <w:pPr>
        <w:spacing w:before="120"/>
        <w:jc w:val="both"/>
        <w:rPr>
          <w:rFonts w:cs="Times New Roman"/>
        </w:rPr>
      </w:pPr>
    </w:p>
    <w:p w14:paraId="12FE25FD" w14:textId="1A4D4759" w:rsidR="003308FF" w:rsidRPr="00263EB8" w:rsidRDefault="006E207B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lastRenderedPageBreak/>
        <w:t xml:space="preserve">W </w:t>
      </w:r>
      <w:r w:rsidRPr="00263EB8">
        <w:rPr>
          <w:rFonts w:cs="Times New Roman"/>
          <w:b/>
          <w:bCs/>
        </w:rPr>
        <w:t xml:space="preserve">art. 56c </w:t>
      </w:r>
      <w:proofErr w:type="spellStart"/>
      <w:r w:rsidRPr="00263EB8">
        <w:rPr>
          <w:rFonts w:cs="Times New Roman"/>
          <w:b/>
          <w:bCs/>
        </w:rPr>
        <w:t>kks</w:t>
      </w:r>
      <w:proofErr w:type="spellEnd"/>
      <w:r w:rsidRPr="00263EB8">
        <w:rPr>
          <w:rFonts w:cs="Times New Roman"/>
        </w:rPr>
        <w:t xml:space="preserve"> dotycząc</w:t>
      </w:r>
      <w:r w:rsidR="006A3587" w:rsidRPr="00263EB8">
        <w:rPr>
          <w:rFonts w:cs="Times New Roman"/>
        </w:rPr>
        <w:t>ym</w:t>
      </w:r>
      <w:r w:rsidRPr="00263EB8">
        <w:rPr>
          <w:rFonts w:cs="Times New Roman"/>
        </w:rPr>
        <w:t xml:space="preserve"> składania oświadczeń o sporządzeniu lokalnej dokumentacji cen transferowych </w:t>
      </w:r>
      <w:r w:rsidR="006A3587" w:rsidRPr="00263EB8">
        <w:rPr>
          <w:rFonts w:cs="Times New Roman"/>
        </w:rPr>
        <w:t xml:space="preserve">proponuje się </w:t>
      </w:r>
      <w:r w:rsidRPr="00263EB8">
        <w:rPr>
          <w:rFonts w:cs="Times New Roman"/>
        </w:rPr>
        <w:t>obniżenie</w:t>
      </w:r>
      <w:r w:rsidR="006A3587" w:rsidRPr="00263EB8">
        <w:rPr>
          <w:rFonts w:cs="Times New Roman"/>
        </w:rPr>
        <w:t xml:space="preserve"> górnej granicy kary grzywny</w:t>
      </w:r>
      <w:r w:rsidRPr="00263EB8">
        <w:rPr>
          <w:rFonts w:cs="Times New Roman"/>
        </w:rPr>
        <w:t xml:space="preserve"> z 720 stawek dziennych na </w:t>
      </w:r>
      <w:r w:rsidR="00DD5F7A" w:rsidRPr="00263EB8">
        <w:rPr>
          <w:rFonts w:cs="Times New Roman"/>
        </w:rPr>
        <w:t>480</w:t>
      </w:r>
      <w:r w:rsidRPr="00263EB8">
        <w:rPr>
          <w:rFonts w:cs="Times New Roman"/>
        </w:rPr>
        <w:t>, jeżeli przedmiotowa dokumentacja nie została złożona bądź też złożono ją niezgodnie ze stanem rzeczywistym oraz z 240 stawek dziennych na 120 stawek dziennych w przypadku sporządzenia jej po terminie ustawowym.</w:t>
      </w:r>
    </w:p>
    <w:p w14:paraId="568180A0" w14:textId="46423735" w:rsidR="00C63E99" w:rsidRPr="00263EB8" w:rsidRDefault="00C63E99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 xml:space="preserve">W zakresie zmiany </w:t>
      </w:r>
      <w:r w:rsidRPr="00263EB8">
        <w:rPr>
          <w:rFonts w:cs="Times New Roman"/>
          <w:b/>
          <w:bCs/>
        </w:rPr>
        <w:t xml:space="preserve">art. 56d </w:t>
      </w:r>
      <w:proofErr w:type="spellStart"/>
      <w:r w:rsidRPr="00263EB8">
        <w:rPr>
          <w:rFonts w:cs="Times New Roman"/>
          <w:b/>
          <w:bCs/>
        </w:rPr>
        <w:t>kks</w:t>
      </w:r>
      <w:proofErr w:type="spellEnd"/>
      <w:r w:rsidRPr="00263EB8">
        <w:rPr>
          <w:rFonts w:cs="Times New Roman"/>
        </w:rPr>
        <w:t xml:space="preserve"> obejmującego podanie nieprawdy lub zatajenie prawdy w </w:t>
      </w:r>
      <w:r w:rsidR="00F3799F" w:rsidRPr="00263EB8">
        <w:rPr>
          <w:rFonts w:cs="Times New Roman"/>
        </w:rPr>
        <w:t xml:space="preserve">wybranych </w:t>
      </w:r>
      <w:r w:rsidRPr="00263EB8">
        <w:rPr>
          <w:rFonts w:cs="Times New Roman"/>
        </w:rPr>
        <w:t>oświadczeni</w:t>
      </w:r>
      <w:r w:rsidR="00F3799F" w:rsidRPr="00263EB8">
        <w:rPr>
          <w:rFonts w:cs="Times New Roman"/>
        </w:rPr>
        <w:t>ach</w:t>
      </w:r>
      <w:r w:rsidRPr="00263EB8">
        <w:rPr>
          <w:rFonts w:cs="Times New Roman"/>
        </w:rPr>
        <w:t xml:space="preserve"> lub informacj</w:t>
      </w:r>
      <w:r w:rsidR="00F3799F" w:rsidRPr="00263EB8">
        <w:rPr>
          <w:rFonts w:cs="Times New Roman"/>
        </w:rPr>
        <w:t>ach związanych z podatkami dochodowymi</w:t>
      </w:r>
      <w:r w:rsidRPr="00263EB8">
        <w:rPr>
          <w:rFonts w:cs="Times New Roman"/>
        </w:rPr>
        <w:t xml:space="preserve"> pr</w:t>
      </w:r>
      <w:r w:rsidR="006A3587" w:rsidRPr="00263EB8">
        <w:rPr>
          <w:rFonts w:cs="Times New Roman"/>
        </w:rPr>
        <w:t>ojektuje</w:t>
      </w:r>
      <w:r w:rsidRPr="00263EB8">
        <w:rPr>
          <w:rFonts w:cs="Times New Roman"/>
        </w:rPr>
        <w:t xml:space="preserve"> się obniżen</w:t>
      </w:r>
      <w:r w:rsidR="006A3587" w:rsidRPr="00263EB8">
        <w:rPr>
          <w:rFonts w:cs="Times New Roman"/>
        </w:rPr>
        <w:t xml:space="preserve">ie </w:t>
      </w:r>
      <w:r w:rsidRPr="00263EB8">
        <w:rPr>
          <w:rFonts w:cs="Times New Roman"/>
        </w:rPr>
        <w:t>kary grzywny z 720 stawek dziennych do 480 stawek dziennych, odnośnie ich niezłożenia z 720 stawek dziennych do 240 stawek dziennych</w:t>
      </w:r>
      <w:r w:rsidR="007E6145" w:rsidRPr="00263EB8">
        <w:rPr>
          <w:rFonts w:cs="Times New Roman"/>
        </w:rPr>
        <w:t>,</w:t>
      </w:r>
      <w:r w:rsidRPr="00263EB8">
        <w:rPr>
          <w:rFonts w:cs="Times New Roman"/>
        </w:rPr>
        <w:t xml:space="preserve"> natomiast </w:t>
      </w:r>
      <w:r w:rsidR="00511CAF" w:rsidRPr="00263EB8">
        <w:rPr>
          <w:rFonts w:cs="Times New Roman"/>
        </w:rPr>
        <w:t>ich nieterminowe złożenie sankcjonowane będzie kar</w:t>
      </w:r>
      <w:r w:rsidR="007E6145" w:rsidRPr="00263EB8">
        <w:rPr>
          <w:rFonts w:cs="Times New Roman"/>
        </w:rPr>
        <w:t>ą</w:t>
      </w:r>
      <w:r w:rsidR="00511CAF" w:rsidRPr="00263EB8">
        <w:rPr>
          <w:rFonts w:cs="Times New Roman"/>
        </w:rPr>
        <w:t xml:space="preserve"> grzywny do 120 stawek dziennych (zamiast 720 stawek dziennych).</w:t>
      </w:r>
    </w:p>
    <w:p w14:paraId="2C34A8FE" w14:textId="21B6F255" w:rsidR="007333F2" w:rsidRPr="00263EB8" w:rsidRDefault="001A2C90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 xml:space="preserve">W </w:t>
      </w:r>
      <w:r w:rsidRPr="00263EB8">
        <w:rPr>
          <w:rFonts w:cs="Times New Roman"/>
          <w:b/>
          <w:bCs/>
        </w:rPr>
        <w:t>art. 56e</w:t>
      </w:r>
      <w:r w:rsidR="002D37B7" w:rsidRPr="00263EB8">
        <w:rPr>
          <w:rFonts w:cs="Times New Roman"/>
          <w:b/>
          <w:bCs/>
        </w:rPr>
        <w:t xml:space="preserve"> </w:t>
      </w:r>
      <w:proofErr w:type="spellStart"/>
      <w:r w:rsidR="002D37B7" w:rsidRPr="00263EB8">
        <w:rPr>
          <w:rFonts w:cs="Times New Roman"/>
          <w:b/>
          <w:bCs/>
        </w:rPr>
        <w:t>kks</w:t>
      </w:r>
      <w:proofErr w:type="spellEnd"/>
      <w:r w:rsidRPr="00263EB8">
        <w:rPr>
          <w:rFonts w:cs="Times New Roman"/>
        </w:rPr>
        <w:t xml:space="preserve"> penalizującym naruszenie przez udziałowca lub akcjonariusza (po zmianach także wspólnika) podatnika opodatkowanego ryczałtem od dochodów spółek obowiązku złożenia oświadczenie</w:t>
      </w:r>
      <w:r w:rsidR="007E6145" w:rsidRPr="00263EB8">
        <w:rPr>
          <w:rFonts w:cs="Times New Roman"/>
        </w:rPr>
        <w:t xml:space="preserve"> obniża się karę grzywny</w:t>
      </w:r>
      <w:r w:rsidRPr="00263EB8">
        <w:rPr>
          <w:rFonts w:cs="Times New Roman"/>
        </w:rPr>
        <w:t xml:space="preserve"> z 720 stawek dziennych do 240 stawek dziennych w przypadku niezłożenia przedmiotowego oświadczenia</w:t>
      </w:r>
      <w:r w:rsidR="002D37B7" w:rsidRPr="00263EB8">
        <w:rPr>
          <w:rFonts w:cs="Times New Roman"/>
        </w:rPr>
        <w:t xml:space="preserve"> oraz do 120 stawek dziennych, jeżeli</w:t>
      </w:r>
      <w:r w:rsidRPr="00263EB8">
        <w:rPr>
          <w:rFonts w:cs="Times New Roman"/>
        </w:rPr>
        <w:t xml:space="preserve"> podan</w:t>
      </w:r>
      <w:r w:rsidR="002D37B7" w:rsidRPr="00263EB8">
        <w:rPr>
          <w:rFonts w:cs="Times New Roman"/>
        </w:rPr>
        <w:t>o</w:t>
      </w:r>
      <w:r w:rsidRPr="00263EB8">
        <w:rPr>
          <w:rFonts w:cs="Times New Roman"/>
        </w:rPr>
        <w:t xml:space="preserve"> w nim dan</w:t>
      </w:r>
      <w:r w:rsidR="002D37B7" w:rsidRPr="00263EB8">
        <w:rPr>
          <w:rFonts w:cs="Times New Roman"/>
        </w:rPr>
        <w:t>e</w:t>
      </w:r>
      <w:r w:rsidRPr="00263EB8">
        <w:rPr>
          <w:rFonts w:cs="Times New Roman"/>
        </w:rPr>
        <w:t xml:space="preserve"> niezgodne ze stanem rzeczywistym</w:t>
      </w:r>
      <w:r w:rsidR="002D37B7" w:rsidRPr="00263EB8">
        <w:rPr>
          <w:rFonts w:cs="Times New Roman"/>
        </w:rPr>
        <w:t>.</w:t>
      </w:r>
    </w:p>
    <w:p w14:paraId="2778C463" w14:textId="0000EAA6" w:rsidR="007E6145" w:rsidRPr="00263EB8" w:rsidRDefault="007E6145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 xml:space="preserve">W zmienianym </w:t>
      </w:r>
      <w:r w:rsidRPr="00263EB8">
        <w:rPr>
          <w:rFonts w:cs="Times New Roman"/>
          <w:b/>
          <w:bCs/>
        </w:rPr>
        <w:t xml:space="preserve">art. 56f </w:t>
      </w:r>
      <w:proofErr w:type="spellStart"/>
      <w:r w:rsidRPr="00263EB8">
        <w:rPr>
          <w:rFonts w:cs="Times New Roman"/>
          <w:b/>
          <w:bCs/>
        </w:rPr>
        <w:t>kks</w:t>
      </w:r>
      <w:proofErr w:type="spellEnd"/>
      <w:r w:rsidRPr="00263EB8">
        <w:rPr>
          <w:rFonts w:cs="Times New Roman"/>
        </w:rPr>
        <w:t xml:space="preserve"> dotyczącym karalności za </w:t>
      </w:r>
      <w:r w:rsidR="004134BA" w:rsidRPr="00263EB8">
        <w:rPr>
          <w:rFonts w:cs="Times New Roman"/>
        </w:rPr>
        <w:t>naruszenie obowiązków związanych z</w:t>
      </w:r>
      <w:r w:rsidR="009A13D4" w:rsidRPr="00263EB8">
        <w:rPr>
          <w:rFonts w:cs="Times New Roman"/>
        </w:rPr>
        <w:t> </w:t>
      </w:r>
      <w:r w:rsidR="004134BA" w:rsidRPr="00263EB8">
        <w:rPr>
          <w:rFonts w:cs="Times New Roman"/>
        </w:rPr>
        <w:t xml:space="preserve">informacją o opodatkowaniu wyrównawczym </w:t>
      </w:r>
      <w:r w:rsidR="00532D4E" w:rsidRPr="00263EB8">
        <w:rPr>
          <w:rFonts w:cs="Times New Roman"/>
        </w:rPr>
        <w:t xml:space="preserve">zmniejsza się karę grzywny z 720 stawek dziennych do 480 stawek dziennych za </w:t>
      </w:r>
      <w:r w:rsidRPr="00263EB8">
        <w:rPr>
          <w:rFonts w:cs="Times New Roman"/>
        </w:rPr>
        <w:t xml:space="preserve">niezłożenie wymaganej informacji </w:t>
      </w:r>
      <w:r w:rsidR="00532D4E" w:rsidRPr="00263EB8">
        <w:rPr>
          <w:rFonts w:cs="Times New Roman"/>
        </w:rPr>
        <w:t xml:space="preserve">lub </w:t>
      </w:r>
      <w:r w:rsidRPr="00263EB8">
        <w:rPr>
          <w:rFonts w:cs="Times New Roman"/>
        </w:rPr>
        <w:t xml:space="preserve">złożenie jej </w:t>
      </w:r>
      <w:r w:rsidR="00532D4E" w:rsidRPr="00263EB8">
        <w:rPr>
          <w:rFonts w:cs="Times New Roman"/>
        </w:rPr>
        <w:t>nie</w:t>
      </w:r>
      <w:r w:rsidRPr="00263EB8">
        <w:rPr>
          <w:rFonts w:cs="Times New Roman"/>
        </w:rPr>
        <w:t>zgodnie z wymaganiami</w:t>
      </w:r>
      <w:r w:rsidR="00532D4E" w:rsidRPr="00263EB8">
        <w:rPr>
          <w:rFonts w:cs="Times New Roman"/>
        </w:rPr>
        <w:t>, z 480 stawek dziennych do 240 stawek dziennych za podanie w niej nieprawdy lub zatajenie prawdy oraz ze 180 stawek dziennych do 120 stawek dziennych, jeżeli nie zostanie złożona właściwemu organowi podatkowemu w terminie.</w:t>
      </w:r>
    </w:p>
    <w:p w14:paraId="4F324FEB" w14:textId="1C3155FA" w:rsidR="00F049D8" w:rsidRPr="00263EB8" w:rsidRDefault="00C45D2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 xml:space="preserve">W </w:t>
      </w:r>
      <w:r w:rsidRPr="00263EB8">
        <w:rPr>
          <w:rFonts w:cs="Times New Roman"/>
          <w:b/>
          <w:bCs/>
        </w:rPr>
        <w:t xml:space="preserve">art. 80e </w:t>
      </w:r>
      <w:proofErr w:type="spellStart"/>
      <w:r w:rsidRPr="00263EB8">
        <w:rPr>
          <w:rFonts w:cs="Times New Roman"/>
          <w:b/>
          <w:bCs/>
        </w:rPr>
        <w:t>kks</w:t>
      </w:r>
      <w:proofErr w:type="spellEnd"/>
      <w:r w:rsidRPr="00263EB8">
        <w:rPr>
          <w:rFonts w:cs="Times New Roman"/>
        </w:rPr>
        <w:t xml:space="preserve"> sankcjonującym naruszenie obowiązku składania informacji o cenach transferowych za niezłożenie przedmiotowej informacji albo podanie w niej danych niezgodnie z lokalną dokumentacją cen transferowych lub ze stanem rzeczywistym proponuje się karę grzywny do 240 stawek dziennych zamiast 720 stawek dziennych i 120 stawek dziennych zamiast 240 stawek dziennych, jeżeli informacja ta została złożona po terminie ustawowym.</w:t>
      </w:r>
    </w:p>
    <w:p w14:paraId="3F45B631" w14:textId="55CB7324" w:rsidR="00184CA4" w:rsidRPr="00263EB8" w:rsidRDefault="00184CA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>Projektowane zmiany mają na celu złagodzenie kar, które w przypadku czynów nie</w:t>
      </w:r>
      <w:r w:rsidR="001B685F">
        <w:rPr>
          <w:rFonts w:cs="Times New Roman"/>
        </w:rPr>
        <w:t xml:space="preserve"> </w:t>
      </w:r>
      <w:r w:rsidRPr="00263EB8">
        <w:rPr>
          <w:rFonts w:cs="Times New Roman"/>
        </w:rPr>
        <w:t xml:space="preserve">mających charakteru </w:t>
      </w:r>
      <w:proofErr w:type="spellStart"/>
      <w:r w:rsidRPr="00263EB8">
        <w:rPr>
          <w:rFonts w:cs="Times New Roman"/>
        </w:rPr>
        <w:t>uszczupleniowego</w:t>
      </w:r>
      <w:proofErr w:type="spellEnd"/>
      <w:r w:rsidRPr="00263EB8">
        <w:rPr>
          <w:rFonts w:cs="Times New Roman"/>
        </w:rPr>
        <w:t xml:space="preserve"> w swoich znamionach</w:t>
      </w:r>
      <w:r w:rsidR="001B685F">
        <w:rPr>
          <w:rFonts w:cs="Times New Roman"/>
        </w:rPr>
        <w:t>,</w:t>
      </w:r>
      <w:r w:rsidRPr="00263EB8">
        <w:rPr>
          <w:rFonts w:cs="Times New Roman"/>
        </w:rPr>
        <w:t xml:space="preserve"> wydają się być wystarczające i spełniające funkcje prewencyjne. Proponowane w projekcie zagrożenie przewidziane w tych przepisach będzie adekwatne do stopnia społecznej szkodliwości tej kategorii </w:t>
      </w:r>
      <w:proofErr w:type="spellStart"/>
      <w:r w:rsidRPr="00263EB8">
        <w:rPr>
          <w:rFonts w:cs="Times New Roman"/>
        </w:rPr>
        <w:t>zachowań</w:t>
      </w:r>
      <w:proofErr w:type="spellEnd"/>
      <w:r w:rsidRPr="00263EB8">
        <w:rPr>
          <w:rFonts w:cs="Times New Roman"/>
        </w:rPr>
        <w:t>.</w:t>
      </w:r>
    </w:p>
    <w:p w14:paraId="138FE10E" w14:textId="77777777" w:rsidR="009A13D4" w:rsidRPr="00263EB8" w:rsidRDefault="009A13D4" w:rsidP="00263EB8">
      <w:pPr>
        <w:spacing w:before="120"/>
        <w:jc w:val="both"/>
        <w:rPr>
          <w:rFonts w:cs="Times New Roman"/>
        </w:rPr>
      </w:pPr>
    </w:p>
    <w:p w14:paraId="706B3D21" w14:textId="03118B8A" w:rsidR="00184CA4" w:rsidRPr="00263EB8" w:rsidDel="006942DC" w:rsidRDefault="00184CA4" w:rsidP="00263EB8">
      <w:pPr>
        <w:spacing w:before="120"/>
        <w:jc w:val="both"/>
        <w:rPr>
          <w:rFonts w:cs="Times New Roman"/>
        </w:rPr>
      </w:pPr>
      <w:r w:rsidRPr="00263EB8" w:rsidDel="006942DC">
        <w:rPr>
          <w:rFonts w:cs="Times New Roman"/>
        </w:rPr>
        <w:lastRenderedPageBreak/>
        <w:t>Ponadto</w:t>
      </w:r>
      <w:r w:rsidR="003A0922" w:rsidRPr="00263EB8" w:rsidDel="006942DC">
        <w:rPr>
          <w:rFonts w:cs="Times New Roman"/>
        </w:rPr>
        <w:t xml:space="preserve"> </w:t>
      </w:r>
      <w:r w:rsidR="001F2099" w:rsidRPr="00263EB8" w:rsidDel="006942DC">
        <w:rPr>
          <w:rFonts w:cs="Times New Roman"/>
        </w:rPr>
        <w:t>założeniem</w:t>
      </w:r>
      <w:r w:rsidR="001F2099" w:rsidRPr="00263EB8" w:rsidDel="006942DC">
        <w:rPr>
          <w:rFonts w:cs="Times New Roman"/>
          <w:color w:val="70AD47" w:themeColor="accent6"/>
        </w:rPr>
        <w:t xml:space="preserve"> </w:t>
      </w:r>
      <w:r w:rsidRPr="00263EB8" w:rsidDel="006942DC">
        <w:rPr>
          <w:rFonts w:cs="Times New Roman"/>
        </w:rPr>
        <w:t>wprowadzanych zmian w ustawie Kodeks karny skarbowy jest usystematyzowanie przepisów tak, aby czyny polegające na niezłożeniu (niesporządzeniu) dokumentów znajdowały się w odrębnym paragrafie danego artykułu niż czyny dotyczące podania nierzetelnych danych bądź czyny naruszające terminowość składanych dokumentów.</w:t>
      </w:r>
    </w:p>
    <w:p w14:paraId="6162D9DF" w14:textId="5322E315" w:rsidR="008D4909" w:rsidRPr="00263EB8" w:rsidRDefault="00344C79" w:rsidP="00263EB8">
      <w:pPr>
        <w:spacing w:before="120"/>
        <w:jc w:val="both"/>
        <w:rPr>
          <w:rFonts w:cs="Times New Roman"/>
        </w:rPr>
      </w:pPr>
      <w:r w:rsidRPr="00263EB8" w:rsidDel="006942DC">
        <w:rPr>
          <w:rFonts w:cs="Times New Roman"/>
        </w:rPr>
        <w:t>Wskazane zmiany mają na celu ujednolice</w:t>
      </w:r>
      <w:r w:rsidR="009624DD" w:rsidRPr="00263EB8" w:rsidDel="006942DC">
        <w:rPr>
          <w:rFonts w:cs="Times New Roman"/>
        </w:rPr>
        <w:t xml:space="preserve">nie </w:t>
      </w:r>
      <w:r w:rsidR="001F2099" w:rsidRPr="00263EB8" w:rsidDel="006942DC">
        <w:rPr>
          <w:rFonts w:cs="Times New Roman"/>
        </w:rPr>
        <w:t xml:space="preserve">przepisów </w:t>
      </w:r>
      <w:r w:rsidR="009624DD" w:rsidRPr="00263EB8" w:rsidDel="006942DC">
        <w:rPr>
          <w:rFonts w:cs="Times New Roman"/>
        </w:rPr>
        <w:t>w</w:t>
      </w:r>
      <w:r w:rsidRPr="00263EB8" w:rsidDel="006942DC">
        <w:rPr>
          <w:rFonts w:cs="Times New Roman"/>
        </w:rPr>
        <w:t xml:space="preserve"> </w:t>
      </w:r>
      <w:proofErr w:type="spellStart"/>
      <w:r w:rsidR="009624DD" w:rsidRPr="00263EB8" w:rsidDel="006942DC">
        <w:rPr>
          <w:rFonts w:cs="Times New Roman"/>
        </w:rPr>
        <w:t>kks</w:t>
      </w:r>
      <w:proofErr w:type="spellEnd"/>
      <w:r w:rsidR="001F2099" w:rsidRPr="00263EB8" w:rsidDel="006942DC">
        <w:rPr>
          <w:rFonts w:cs="Times New Roman"/>
        </w:rPr>
        <w:t xml:space="preserve">, tak aby były bardziej przejrzyste i czytelne. Obecna kumulacja kilku czynów w jednym paragrafie danego </w:t>
      </w:r>
      <w:r w:rsidR="00111913" w:rsidRPr="00263EB8" w:rsidDel="006942DC">
        <w:rPr>
          <w:rFonts w:cs="Times New Roman"/>
        </w:rPr>
        <w:t>artykułu</w:t>
      </w:r>
      <w:r w:rsidR="001F2099" w:rsidRPr="00263EB8" w:rsidDel="006942DC">
        <w:rPr>
          <w:rFonts w:cs="Times New Roman"/>
        </w:rPr>
        <w:t xml:space="preserve"> może </w:t>
      </w:r>
      <w:r w:rsidR="00111913" w:rsidRPr="00263EB8" w:rsidDel="006942DC">
        <w:rPr>
          <w:rFonts w:cs="Times New Roman"/>
        </w:rPr>
        <w:t>być niejasna dla potencjalnego sprawcy</w:t>
      </w:r>
      <w:r w:rsidR="008D4909" w:rsidRPr="00263EB8">
        <w:rPr>
          <w:rFonts w:cs="Times New Roman"/>
        </w:rPr>
        <w:t xml:space="preserve"> – dotyczy to przepisów</w:t>
      </w:r>
      <w:r w:rsidR="004F359C" w:rsidRPr="00263EB8">
        <w:rPr>
          <w:rFonts w:cs="Times New Roman"/>
        </w:rPr>
        <w:t xml:space="preserve"> w </w:t>
      </w:r>
      <w:r w:rsidR="004F359C" w:rsidRPr="00263EB8">
        <w:rPr>
          <w:rFonts w:cs="Times New Roman"/>
          <w:b/>
          <w:bCs/>
        </w:rPr>
        <w:t xml:space="preserve">art. 56a </w:t>
      </w:r>
      <w:proofErr w:type="spellStart"/>
      <w:r w:rsidR="004F359C" w:rsidRPr="00263EB8">
        <w:rPr>
          <w:rFonts w:cs="Times New Roman"/>
          <w:b/>
          <w:bCs/>
        </w:rPr>
        <w:t>kks</w:t>
      </w:r>
      <w:proofErr w:type="spellEnd"/>
      <w:r w:rsidR="004F359C" w:rsidRPr="00263EB8">
        <w:rPr>
          <w:rFonts w:cs="Times New Roman"/>
          <w:b/>
          <w:bCs/>
        </w:rPr>
        <w:t>, art.</w:t>
      </w:r>
      <w:r w:rsidR="001B685F">
        <w:rPr>
          <w:rFonts w:cs="Times New Roman"/>
          <w:b/>
          <w:bCs/>
        </w:rPr>
        <w:t> </w:t>
      </w:r>
      <w:r w:rsidR="004F359C" w:rsidRPr="00263EB8">
        <w:rPr>
          <w:rFonts w:cs="Times New Roman"/>
          <w:b/>
          <w:bCs/>
        </w:rPr>
        <w:t xml:space="preserve">56d </w:t>
      </w:r>
      <w:proofErr w:type="spellStart"/>
      <w:r w:rsidR="004F359C" w:rsidRPr="00263EB8">
        <w:rPr>
          <w:rFonts w:cs="Times New Roman"/>
          <w:b/>
          <w:bCs/>
        </w:rPr>
        <w:t>kks</w:t>
      </w:r>
      <w:proofErr w:type="spellEnd"/>
      <w:r w:rsidR="007D3FD0" w:rsidRPr="00263EB8">
        <w:rPr>
          <w:rFonts w:cs="Times New Roman"/>
          <w:b/>
          <w:bCs/>
        </w:rPr>
        <w:t xml:space="preserve"> i</w:t>
      </w:r>
      <w:r w:rsidR="004F359C" w:rsidRPr="00263EB8">
        <w:rPr>
          <w:rFonts w:cs="Times New Roman"/>
          <w:b/>
          <w:bCs/>
        </w:rPr>
        <w:t xml:space="preserve"> art. 56e </w:t>
      </w:r>
      <w:proofErr w:type="spellStart"/>
      <w:r w:rsidR="004F359C" w:rsidRPr="00263EB8">
        <w:rPr>
          <w:rFonts w:cs="Times New Roman"/>
          <w:b/>
          <w:bCs/>
        </w:rPr>
        <w:t>kks</w:t>
      </w:r>
      <w:proofErr w:type="spellEnd"/>
      <w:r w:rsidR="004F359C" w:rsidRPr="00263EB8">
        <w:rPr>
          <w:rFonts w:cs="Times New Roman"/>
          <w:b/>
          <w:bCs/>
        </w:rPr>
        <w:t>.</w:t>
      </w:r>
    </w:p>
    <w:p w14:paraId="5D151831" w14:textId="754CD59A" w:rsidR="00184CA4" w:rsidRPr="00263EB8" w:rsidRDefault="00184CA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 xml:space="preserve">Dodatkowo proponuje się uchylenie </w:t>
      </w:r>
      <w:r w:rsidRPr="00263EB8">
        <w:rPr>
          <w:rFonts w:cs="Times New Roman"/>
          <w:b/>
          <w:bCs/>
        </w:rPr>
        <w:t xml:space="preserve">art. 79 § 1 </w:t>
      </w:r>
      <w:proofErr w:type="spellStart"/>
      <w:r w:rsidRPr="00263EB8">
        <w:rPr>
          <w:rFonts w:cs="Times New Roman"/>
          <w:b/>
          <w:bCs/>
        </w:rPr>
        <w:t>kks</w:t>
      </w:r>
      <w:proofErr w:type="spellEnd"/>
      <w:r w:rsidRPr="00263EB8">
        <w:rPr>
          <w:rFonts w:cs="Times New Roman"/>
        </w:rPr>
        <w:t xml:space="preserve"> penalizującego naruszenie obowiązku w zakresie niewyznaczenia osoby pobierającej podatki, co jest połączone</w:t>
      </w:r>
      <w:r w:rsidR="006A1579" w:rsidRPr="00263EB8">
        <w:rPr>
          <w:rFonts w:cs="Times New Roman"/>
        </w:rPr>
        <w:t xml:space="preserve"> </w:t>
      </w:r>
      <w:r w:rsidRPr="00263EB8">
        <w:rPr>
          <w:rFonts w:cs="Times New Roman"/>
        </w:rPr>
        <w:t xml:space="preserve">z propozycją wykreślenia </w:t>
      </w:r>
      <w:r w:rsidRPr="00263EB8">
        <w:rPr>
          <w:rFonts w:cs="Times New Roman"/>
          <w:b/>
          <w:bCs/>
        </w:rPr>
        <w:t>art. 31 z Ordynacji podatkowej</w:t>
      </w:r>
      <w:r w:rsidRPr="00263EB8">
        <w:rPr>
          <w:rFonts w:cs="Times New Roman"/>
        </w:rPr>
        <w:t>.</w:t>
      </w:r>
    </w:p>
    <w:p w14:paraId="0D4DFDB9" w14:textId="1B92017B" w:rsidR="00184CA4" w:rsidRPr="00263EB8" w:rsidRDefault="00184CA4" w:rsidP="00263EB8">
      <w:pPr>
        <w:spacing w:before="120"/>
        <w:jc w:val="both"/>
        <w:rPr>
          <w:rFonts w:cs="Times New Roman"/>
          <w:bCs/>
        </w:rPr>
      </w:pPr>
      <w:r w:rsidRPr="00263EB8">
        <w:rPr>
          <w:rFonts w:cs="Times New Roman"/>
        </w:rPr>
        <w:t>Projekt zakłada bowiem rezygnację z obowiązku zgłoszenia osób odpowiedzialnych za obliczanie, pobieranie i wpłacanie podatków</w:t>
      </w:r>
      <w:r w:rsidR="00DD0700" w:rsidRPr="00263EB8">
        <w:rPr>
          <w:rFonts w:cs="Times New Roman"/>
        </w:rPr>
        <w:t>.</w:t>
      </w:r>
      <w:r w:rsidRPr="00263EB8">
        <w:rPr>
          <w:rFonts w:cs="Times New Roman"/>
        </w:rPr>
        <w:t xml:space="preserve"> Obecnie osoby prawne oraz jednostki organizacyjne niemające osobowości prawnej, będące płatnikami lub inkasentami, są obowiązane wyznaczyć osoby, do których obowiązków należy obliczanie i pobieranie podatków oraz terminowe wpłacanie organowi podatkowemu pobranych kwot, a także zgłosić właściwemu miejscowo organowi podatkowemu imiona, nazwiska i adresy tych osób. Zgłoszenia należy dokonać w terminie wyznaczonym do dokonania pierwszej wpłaty, a w razie zmiany osoby wyznaczonej – w terminie 14 dni od dnia, w którym wyznaczono inną osobę.</w:t>
      </w:r>
    </w:p>
    <w:p w14:paraId="040B6798" w14:textId="7C6E6E13" w:rsidR="00184CA4" w:rsidRPr="00263EB8" w:rsidRDefault="00184CA4" w:rsidP="00263EB8">
      <w:pPr>
        <w:spacing w:before="120"/>
        <w:jc w:val="both"/>
        <w:rPr>
          <w:rFonts w:cs="Times New Roman"/>
          <w:b/>
        </w:rPr>
      </w:pPr>
      <w:r w:rsidRPr="00263EB8">
        <w:rPr>
          <w:rFonts w:cs="Times New Roman"/>
          <w:bCs/>
        </w:rPr>
        <w:t>Wymóg ten jest dodatkowym obciążeniem administracyjnym dla podmiotów będących płatnikami lub inkasentami. Likwidacja przedmiotowego obowiązku stanowi korzystną zmianę dla płatnika/inkasenta, która spowoduje zmniejszenie liczby dokumentów przesyłanych do organów podatkowych. Stąd też propozycja uchylenia w ustawie Ordynacja podatkowa art.</w:t>
      </w:r>
      <w:r w:rsidR="00172CE8">
        <w:rPr>
          <w:rFonts w:cs="Times New Roman"/>
          <w:bCs/>
        </w:rPr>
        <w:t> </w:t>
      </w:r>
      <w:r w:rsidRPr="00263EB8">
        <w:rPr>
          <w:rFonts w:cs="Times New Roman"/>
          <w:bCs/>
        </w:rPr>
        <w:t>31 (</w:t>
      </w:r>
      <w:r w:rsidRPr="00263EB8">
        <w:rPr>
          <w:rFonts w:cs="Times New Roman"/>
          <w:b/>
        </w:rPr>
        <w:t>art. 2 projektu).</w:t>
      </w:r>
    </w:p>
    <w:p w14:paraId="149D5E94" w14:textId="3381D0C1" w:rsidR="00E92A66" w:rsidRPr="00263EB8" w:rsidRDefault="009624DD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 xml:space="preserve">Zasada stosowania ustawy karnej w przypadku jej zmiany uregulowana jest w art. 2 § 2 </w:t>
      </w:r>
      <w:proofErr w:type="spellStart"/>
      <w:r w:rsidRPr="00263EB8">
        <w:rPr>
          <w:rFonts w:cs="Times New Roman"/>
        </w:rPr>
        <w:t>kks</w:t>
      </w:r>
      <w:proofErr w:type="spellEnd"/>
      <w:r w:rsidRPr="00263EB8">
        <w:rPr>
          <w:rFonts w:cs="Times New Roman"/>
        </w:rPr>
        <w:t xml:space="preserve">. Zgodnie z </w:t>
      </w:r>
      <w:r w:rsidR="003308FF" w:rsidRPr="00263EB8">
        <w:rPr>
          <w:rFonts w:cs="Times New Roman"/>
        </w:rPr>
        <w:t xml:space="preserve">tym </w:t>
      </w:r>
      <w:r w:rsidRPr="00263EB8">
        <w:rPr>
          <w:rFonts w:cs="Times New Roman"/>
        </w:rPr>
        <w:t>przepisem</w:t>
      </w:r>
      <w:r w:rsidR="001F2099" w:rsidRPr="00263EB8">
        <w:rPr>
          <w:rFonts w:cs="Times New Roman"/>
        </w:rPr>
        <w:t>,</w:t>
      </w:r>
      <w:r w:rsidRPr="00263EB8">
        <w:rPr>
          <w:rFonts w:cs="Times New Roman"/>
        </w:rPr>
        <w:t xml:space="preserve"> jeżeli w czasie orzekania obowiązuje ustawa inna niż w czasie popełnienia przestępstwa skarbowego lub wykroczenia skarbowego, stosuje się ustawę nową, jednakże należy stosować ustawę obowiązująca poprzednio, jeżeli jest wzgl</w:t>
      </w:r>
      <w:r w:rsidR="001F2099" w:rsidRPr="00263EB8">
        <w:rPr>
          <w:rFonts w:cs="Times New Roman"/>
        </w:rPr>
        <w:t>ę</w:t>
      </w:r>
      <w:r w:rsidRPr="00263EB8">
        <w:rPr>
          <w:rFonts w:cs="Times New Roman"/>
        </w:rPr>
        <w:t>dniejsza dla sprawcy.</w:t>
      </w:r>
    </w:p>
    <w:p w14:paraId="04EE8EF4" w14:textId="22DC118A" w:rsidR="002E19F8" w:rsidRPr="00263EB8" w:rsidRDefault="00184CA4" w:rsidP="00263EB8">
      <w:pPr>
        <w:spacing w:before="120"/>
        <w:jc w:val="both"/>
        <w:rPr>
          <w:rFonts w:cs="Times New Roman"/>
          <w:b/>
          <w:bCs/>
        </w:rPr>
      </w:pPr>
      <w:r w:rsidRPr="00263EB8">
        <w:rPr>
          <w:rFonts w:cs="Times New Roman"/>
        </w:rPr>
        <w:t>W projekcie przewidziano, że projektowana ustawa wejdzie w życie z dniem 1 stycznia 2026</w:t>
      </w:r>
      <w:r w:rsidR="008F7C3B">
        <w:rPr>
          <w:rFonts w:cs="Times New Roman"/>
        </w:rPr>
        <w:t> </w:t>
      </w:r>
      <w:r w:rsidRPr="00263EB8">
        <w:rPr>
          <w:rFonts w:cs="Times New Roman"/>
        </w:rPr>
        <w:t xml:space="preserve">r. </w:t>
      </w:r>
      <w:r w:rsidRPr="00263EB8">
        <w:rPr>
          <w:rFonts w:cs="Times New Roman"/>
          <w:b/>
          <w:bCs/>
        </w:rPr>
        <w:t xml:space="preserve">(art. </w:t>
      </w:r>
      <w:r w:rsidR="004F359C" w:rsidRPr="00263EB8">
        <w:rPr>
          <w:rFonts w:cs="Times New Roman"/>
          <w:b/>
          <w:bCs/>
        </w:rPr>
        <w:t>3</w:t>
      </w:r>
      <w:r w:rsidRPr="00263EB8">
        <w:rPr>
          <w:rFonts w:cs="Times New Roman"/>
          <w:b/>
          <w:bCs/>
        </w:rPr>
        <w:t xml:space="preserve"> projektu).</w:t>
      </w:r>
    </w:p>
    <w:p w14:paraId="28FBC140" w14:textId="77777777" w:rsidR="003308FF" w:rsidRPr="00263EB8" w:rsidRDefault="003308FF" w:rsidP="00263EB8">
      <w:pPr>
        <w:spacing w:before="120"/>
        <w:jc w:val="both"/>
        <w:rPr>
          <w:rFonts w:cs="Times New Roman"/>
          <w:b/>
          <w:bCs/>
        </w:rPr>
      </w:pPr>
    </w:p>
    <w:p w14:paraId="323142A8" w14:textId="7ABCB230" w:rsidR="00184CA4" w:rsidRPr="00263EB8" w:rsidRDefault="00184CA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lastRenderedPageBreak/>
        <w:t xml:space="preserve">Projekt ustawy nie jest objęty prawem Unii Europejskiej. Projekt nie wymaga zasięgnięcia opinii, dokonania konsultacji lub uzgodnienia z </w:t>
      </w:r>
      <w:bookmarkStart w:id="1" w:name="_GoBack"/>
      <w:bookmarkEnd w:id="1"/>
      <w:r w:rsidRPr="00263EB8">
        <w:rPr>
          <w:rFonts w:cs="Times New Roman"/>
        </w:rPr>
        <w:t>właściwymi organami i instytucjami Unii Europejskiej, w tym z Europejskim Bankiem Centralnym.</w:t>
      </w:r>
    </w:p>
    <w:p w14:paraId="26D6FB41" w14:textId="77777777" w:rsidR="00184CA4" w:rsidRPr="00263EB8" w:rsidRDefault="00184CA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>Projekt nie zawiera przepisów technicznych, wobec czego nie podlega obowiązkowi notyfikacji zgodnie z trybem przewidzianym w przepisach dotyczących sposobu funkcjonowania krajowego systemu notyfikacji norm i aktów prawnych.</w:t>
      </w:r>
    </w:p>
    <w:p w14:paraId="66DB356C" w14:textId="6F99AD7A" w:rsidR="00CF79EB" w:rsidRPr="00263EB8" w:rsidRDefault="00184CA4" w:rsidP="00263EB8">
      <w:pPr>
        <w:spacing w:before="120"/>
        <w:jc w:val="both"/>
        <w:rPr>
          <w:rFonts w:cs="Times New Roman"/>
        </w:rPr>
      </w:pPr>
      <w:r w:rsidRPr="00263EB8">
        <w:rPr>
          <w:rFonts w:cs="Times New Roman"/>
        </w:rPr>
        <w:t>Stosownie do art. 5 ustawy z dnia 7 lipca 2005 r. o działalności lobbingowej w procesie stanowienia prawa (Dz. U. z 2017 r. poz. 248, z późn. zm.) oraz § 4 i § 52 uchwały nr 190 Rady Ministrów z dnia 29 października 2013 r. – Regulamin pracy Rady Ministrów (M.P. z 2024</w:t>
      </w:r>
      <w:r w:rsidR="00263EB8">
        <w:rPr>
          <w:rFonts w:cs="Times New Roman"/>
        </w:rPr>
        <w:t> </w:t>
      </w:r>
      <w:r w:rsidRPr="00263EB8">
        <w:rPr>
          <w:rFonts w:cs="Times New Roman"/>
        </w:rPr>
        <w:t>r. poz. 806</w:t>
      </w:r>
      <w:r w:rsidR="008F7C3B">
        <w:rPr>
          <w:rFonts w:cs="Times New Roman"/>
        </w:rPr>
        <w:t>, z późn. zm.</w:t>
      </w:r>
      <w:r w:rsidRPr="00263EB8">
        <w:rPr>
          <w:rFonts w:cs="Times New Roman"/>
        </w:rPr>
        <w:t>) projekt ustawy został udostępniony w Biuletynie Informacji Publicznej na stronie podmiotowej Rządowego Centrum Legislacji, w serwisie Rządowy Proces Legislacyjny.</w:t>
      </w:r>
    </w:p>
    <w:sectPr w:rsidR="00CF79EB" w:rsidRPr="00263EB8" w:rsidSect="00263EB8">
      <w:footerReference w:type="default" r:id="rId8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5A6E7" w14:textId="77777777" w:rsidR="00BF002C" w:rsidRDefault="00BF002C">
      <w:pPr>
        <w:spacing w:line="240" w:lineRule="auto"/>
      </w:pPr>
      <w:r>
        <w:separator/>
      </w:r>
    </w:p>
  </w:endnote>
  <w:endnote w:type="continuationSeparator" w:id="0">
    <w:p w14:paraId="549A0206" w14:textId="77777777" w:rsidR="00BF002C" w:rsidRDefault="00BF0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415961"/>
      <w:docPartObj>
        <w:docPartGallery w:val="Page Numbers (Bottom of Page)"/>
        <w:docPartUnique/>
      </w:docPartObj>
    </w:sdtPr>
    <w:sdtEndPr/>
    <w:sdtContent>
      <w:p w14:paraId="1404886C" w14:textId="52F0AA54" w:rsidR="00263EB8" w:rsidRDefault="00263EB8" w:rsidP="00263E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9607" w14:textId="77777777" w:rsidR="00BF002C" w:rsidRDefault="00BF002C">
      <w:pPr>
        <w:spacing w:line="240" w:lineRule="auto"/>
      </w:pPr>
      <w:r>
        <w:separator/>
      </w:r>
    </w:p>
  </w:footnote>
  <w:footnote w:type="continuationSeparator" w:id="0">
    <w:p w14:paraId="1CAFA8A2" w14:textId="77777777" w:rsidR="00BF002C" w:rsidRDefault="00BF00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859"/>
    <w:multiLevelType w:val="hybridMultilevel"/>
    <w:tmpl w:val="91D4097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47"/>
    <w:rsid w:val="000072BC"/>
    <w:rsid w:val="00017CC1"/>
    <w:rsid w:val="00023806"/>
    <w:rsid w:val="00040D8A"/>
    <w:rsid w:val="000A1976"/>
    <w:rsid w:val="000A2E02"/>
    <w:rsid w:val="000A4C37"/>
    <w:rsid w:val="000D41B8"/>
    <w:rsid w:val="000E6D8F"/>
    <w:rsid w:val="000E7D15"/>
    <w:rsid w:val="000F4BEB"/>
    <w:rsid w:val="001049D2"/>
    <w:rsid w:val="00111913"/>
    <w:rsid w:val="001271B5"/>
    <w:rsid w:val="00144BA6"/>
    <w:rsid w:val="001532EC"/>
    <w:rsid w:val="00172CE8"/>
    <w:rsid w:val="00184CA4"/>
    <w:rsid w:val="0019289E"/>
    <w:rsid w:val="001A0184"/>
    <w:rsid w:val="001A0EC3"/>
    <w:rsid w:val="001A2C90"/>
    <w:rsid w:val="001A3CA5"/>
    <w:rsid w:val="001A444D"/>
    <w:rsid w:val="001B23B9"/>
    <w:rsid w:val="001B685F"/>
    <w:rsid w:val="001C1534"/>
    <w:rsid w:val="001C42CA"/>
    <w:rsid w:val="001F2099"/>
    <w:rsid w:val="00211086"/>
    <w:rsid w:val="0021175D"/>
    <w:rsid w:val="00263EB8"/>
    <w:rsid w:val="0029793D"/>
    <w:rsid w:val="002B66F9"/>
    <w:rsid w:val="002C203D"/>
    <w:rsid w:val="002D096F"/>
    <w:rsid w:val="002D37B7"/>
    <w:rsid w:val="002D665D"/>
    <w:rsid w:val="002E19F8"/>
    <w:rsid w:val="00322FE2"/>
    <w:rsid w:val="0032401D"/>
    <w:rsid w:val="003308FF"/>
    <w:rsid w:val="00344C79"/>
    <w:rsid w:val="00367D5F"/>
    <w:rsid w:val="003A0922"/>
    <w:rsid w:val="003A11C6"/>
    <w:rsid w:val="003A4828"/>
    <w:rsid w:val="003A7552"/>
    <w:rsid w:val="003B6F43"/>
    <w:rsid w:val="003C0E83"/>
    <w:rsid w:val="003D1C4A"/>
    <w:rsid w:val="003E018E"/>
    <w:rsid w:val="004134BA"/>
    <w:rsid w:val="004422E9"/>
    <w:rsid w:val="0044512E"/>
    <w:rsid w:val="004629D1"/>
    <w:rsid w:val="0046408E"/>
    <w:rsid w:val="00495225"/>
    <w:rsid w:val="00496AD4"/>
    <w:rsid w:val="004A6C45"/>
    <w:rsid w:val="004B5C99"/>
    <w:rsid w:val="004E227D"/>
    <w:rsid w:val="004E2799"/>
    <w:rsid w:val="004E61EA"/>
    <w:rsid w:val="004E65FF"/>
    <w:rsid w:val="004F359C"/>
    <w:rsid w:val="004F3CDF"/>
    <w:rsid w:val="004F5B44"/>
    <w:rsid w:val="00502903"/>
    <w:rsid w:val="00504329"/>
    <w:rsid w:val="00506F1A"/>
    <w:rsid w:val="00511CAF"/>
    <w:rsid w:val="00515234"/>
    <w:rsid w:val="00516619"/>
    <w:rsid w:val="005319F3"/>
    <w:rsid w:val="005322CF"/>
    <w:rsid w:val="00532C26"/>
    <w:rsid w:val="00532D4E"/>
    <w:rsid w:val="005410C8"/>
    <w:rsid w:val="005546D8"/>
    <w:rsid w:val="00570D93"/>
    <w:rsid w:val="00584C30"/>
    <w:rsid w:val="005870BA"/>
    <w:rsid w:val="005A0E60"/>
    <w:rsid w:val="005E26D1"/>
    <w:rsid w:val="00615101"/>
    <w:rsid w:val="00621D15"/>
    <w:rsid w:val="00623579"/>
    <w:rsid w:val="0064799A"/>
    <w:rsid w:val="00652A7F"/>
    <w:rsid w:val="006550EA"/>
    <w:rsid w:val="0067204F"/>
    <w:rsid w:val="00694242"/>
    <w:rsid w:val="006942DC"/>
    <w:rsid w:val="00695AC5"/>
    <w:rsid w:val="006A1579"/>
    <w:rsid w:val="006A3587"/>
    <w:rsid w:val="006A46AA"/>
    <w:rsid w:val="006E0F1C"/>
    <w:rsid w:val="006E207B"/>
    <w:rsid w:val="007113AC"/>
    <w:rsid w:val="00725A0E"/>
    <w:rsid w:val="00726915"/>
    <w:rsid w:val="007304C8"/>
    <w:rsid w:val="007333F2"/>
    <w:rsid w:val="00734A68"/>
    <w:rsid w:val="0079073E"/>
    <w:rsid w:val="00796BD4"/>
    <w:rsid w:val="007A058D"/>
    <w:rsid w:val="007C7A41"/>
    <w:rsid w:val="007D0AB5"/>
    <w:rsid w:val="007D3FD0"/>
    <w:rsid w:val="007E6145"/>
    <w:rsid w:val="00810E6E"/>
    <w:rsid w:val="00816622"/>
    <w:rsid w:val="00824DAB"/>
    <w:rsid w:val="00846BB4"/>
    <w:rsid w:val="008818DF"/>
    <w:rsid w:val="00883115"/>
    <w:rsid w:val="008914E5"/>
    <w:rsid w:val="00897014"/>
    <w:rsid w:val="008D4909"/>
    <w:rsid w:val="008F459D"/>
    <w:rsid w:val="008F7C3B"/>
    <w:rsid w:val="00903A87"/>
    <w:rsid w:val="00904F55"/>
    <w:rsid w:val="00943F57"/>
    <w:rsid w:val="00944CBC"/>
    <w:rsid w:val="00950565"/>
    <w:rsid w:val="009624DD"/>
    <w:rsid w:val="00980BC1"/>
    <w:rsid w:val="009827CE"/>
    <w:rsid w:val="009911C2"/>
    <w:rsid w:val="009A13D4"/>
    <w:rsid w:val="009B29BD"/>
    <w:rsid w:val="009C27DF"/>
    <w:rsid w:val="009D4253"/>
    <w:rsid w:val="00A07925"/>
    <w:rsid w:val="00A21D42"/>
    <w:rsid w:val="00A23B0C"/>
    <w:rsid w:val="00A33DE7"/>
    <w:rsid w:val="00A43B26"/>
    <w:rsid w:val="00A44D42"/>
    <w:rsid w:val="00A6448B"/>
    <w:rsid w:val="00A64FEE"/>
    <w:rsid w:val="00A77BBE"/>
    <w:rsid w:val="00A93277"/>
    <w:rsid w:val="00AC1DEF"/>
    <w:rsid w:val="00AC3672"/>
    <w:rsid w:val="00B02C1B"/>
    <w:rsid w:val="00B06661"/>
    <w:rsid w:val="00B06A47"/>
    <w:rsid w:val="00B26C8C"/>
    <w:rsid w:val="00B61978"/>
    <w:rsid w:val="00B742B6"/>
    <w:rsid w:val="00B8109E"/>
    <w:rsid w:val="00B8150A"/>
    <w:rsid w:val="00B94851"/>
    <w:rsid w:val="00B962AF"/>
    <w:rsid w:val="00BF002C"/>
    <w:rsid w:val="00BF0880"/>
    <w:rsid w:val="00C001D1"/>
    <w:rsid w:val="00C02648"/>
    <w:rsid w:val="00C07C10"/>
    <w:rsid w:val="00C20449"/>
    <w:rsid w:val="00C348EE"/>
    <w:rsid w:val="00C45D24"/>
    <w:rsid w:val="00C63E99"/>
    <w:rsid w:val="00C81C53"/>
    <w:rsid w:val="00C93DE0"/>
    <w:rsid w:val="00CB641D"/>
    <w:rsid w:val="00CD5C03"/>
    <w:rsid w:val="00CE09D9"/>
    <w:rsid w:val="00CF1B8A"/>
    <w:rsid w:val="00CF79EB"/>
    <w:rsid w:val="00CF7A07"/>
    <w:rsid w:val="00D0032A"/>
    <w:rsid w:val="00D07939"/>
    <w:rsid w:val="00D20D8C"/>
    <w:rsid w:val="00D24A4D"/>
    <w:rsid w:val="00D30857"/>
    <w:rsid w:val="00D4619D"/>
    <w:rsid w:val="00D75BC7"/>
    <w:rsid w:val="00D80485"/>
    <w:rsid w:val="00D871A8"/>
    <w:rsid w:val="00DA1674"/>
    <w:rsid w:val="00DB0379"/>
    <w:rsid w:val="00DD04DF"/>
    <w:rsid w:val="00DD0700"/>
    <w:rsid w:val="00DD5F7A"/>
    <w:rsid w:val="00DF0C07"/>
    <w:rsid w:val="00E2006A"/>
    <w:rsid w:val="00E526DE"/>
    <w:rsid w:val="00E542A6"/>
    <w:rsid w:val="00E542C8"/>
    <w:rsid w:val="00E9146F"/>
    <w:rsid w:val="00E92A66"/>
    <w:rsid w:val="00EC3939"/>
    <w:rsid w:val="00EF3418"/>
    <w:rsid w:val="00F049D8"/>
    <w:rsid w:val="00F06D5C"/>
    <w:rsid w:val="00F12CE5"/>
    <w:rsid w:val="00F23C79"/>
    <w:rsid w:val="00F278D2"/>
    <w:rsid w:val="00F3799F"/>
    <w:rsid w:val="00F55389"/>
    <w:rsid w:val="00F603D8"/>
    <w:rsid w:val="00F64938"/>
    <w:rsid w:val="00F7063F"/>
    <w:rsid w:val="00F76855"/>
    <w:rsid w:val="00F834F9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F6B77"/>
  <w15:chartTrackingRefBased/>
  <w15:docId w15:val="{094BAE8C-4682-4B0D-99CF-2B7E582D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A4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06A4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06A4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B06A4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06A47"/>
    <w:rPr>
      <w:b/>
    </w:rPr>
  </w:style>
  <w:style w:type="paragraph" w:styleId="Akapitzlist">
    <w:name w:val="List Paragraph"/>
    <w:basedOn w:val="Normalny"/>
    <w:uiPriority w:val="34"/>
    <w:qFormat/>
    <w:rsid w:val="00CD5C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F1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F1C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F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B8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B8A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B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C3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C30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C3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E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EB8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1B685F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97BD-4520-43AB-AC85-E9CFDDA7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Bielecki Cezary</dc:creator>
  <cp:keywords/>
  <dc:description/>
  <cp:lastModifiedBy>pracownik</cp:lastModifiedBy>
  <cp:revision>4</cp:revision>
  <dcterms:created xsi:type="dcterms:W3CDTF">2025-05-27T08:57:00Z</dcterms:created>
  <dcterms:modified xsi:type="dcterms:W3CDTF">2025-05-27T11:02:00Z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UxC4dwLulzfINJ8nQH+xvX5LNGipWa4BRSZhPgxsCvmiqZn3KxTQ8ZS3cThMDfIjgo5LhtQbWgG1YoG7LfIx/w==</vt:lpwstr>
  </property>
  <property fmtid="{D5CDD505-2E9C-101B-9397-08002B2CF9AE}" pid="4" name="MFClassificationDate">
    <vt:lpwstr>2025-04-07T12:27:33.3881482+02:00</vt:lpwstr>
  </property>
  <property fmtid="{D5CDD505-2E9C-101B-9397-08002B2CF9AE}" pid="5" name="MFClassifiedBySID">
    <vt:lpwstr>UxC4dwLulzfINJ8nQH+xvX5LNGipWa4BRSZhPgxsCvm42mrIC/DSDv0ggS+FjUN/2v1BBotkLlY5aAiEhoi6ud0KXGd243xo+2C47T6Vap/bbtIdGbVd8bOp2obSMu7j</vt:lpwstr>
  </property>
  <property fmtid="{D5CDD505-2E9C-101B-9397-08002B2CF9AE}" pid="6" name="MFGRNItemId">
    <vt:lpwstr>GRN-fc32712d-a7b7-4143-9fc8-c292375499c5</vt:lpwstr>
  </property>
  <property fmtid="{D5CDD505-2E9C-101B-9397-08002B2CF9AE}" pid="7" name="MFHash">
    <vt:lpwstr>C0LQBo95o+vj4J+xtfiQkCUDYEwRTgRBRudoFh/TI1k=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