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0B29" w14:textId="77777777" w:rsidR="00203B9C" w:rsidRPr="00203B9C" w:rsidRDefault="00203B9C" w:rsidP="00203B9C">
      <w:pPr>
        <w:pStyle w:val="OZNPROJEKTUwskazaniedatylubwersjiprojektu"/>
        <w:keepNext/>
      </w:pPr>
      <w:r w:rsidRPr="00203B9C">
        <w:t>Projekt</w:t>
      </w:r>
    </w:p>
    <w:p w14:paraId="5650FC89" w14:textId="77777777" w:rsidR="00203B9C" w:rsidRPr="00203B9C" w:rsidRDefault="00203B9C" w:rsidP="00203B9C">
      <w:pPr>
        <w:pStyle w:val="OZNRODZAKTUtznustawalubrozporzdzenieiorganwydajcy"/>
      </w:pPr>
      <w:r w:rsidRPr="00203B9C">
        <w:t>USTAWA</w:t>
      </w:r>
    </w:p>
    <w:p w14:paraId="7BF4E909" w14:textId="72311B63" w:rsidR="00203B9C" w:rsidRPr="00203B9C" w:rsidRDefault="00203B9C" w:rsidP="00203B9C">
      <w:pPr>
        <w:pStyle w:val="DATAAKTUdatauchwalenialubwydaniaaktu"/>
      </w:pPr>
      <w:r w:rsidRPr="00203B9C">
        <w:t>z dnia</w:t>
      </w:r>
    </w:p>
    <w:p w14:paraId="7D9CF33B" w14:textId="77777777" w:rsidR="00203B9C" w:rsidRPr="00203B9C" w:rsidRDefault="00203B9C" w:rsidP="00203B9C">
      <w:pPr>
        <w:pStyle w:val="TYTUAKTUprzedmiotregulacjiustawylubrozporzdzenia"/>
      </w:pPr>
      <w:r w:rsidRPr="00203B9C">
        <w:t>o zmianie ustawy o funduszach inwestycyjnych i zarządzaniu alternatywnymi funduszami inwestycyjnymi</w:t>
      </w:r>
    </w:p>
    <w:p w14:paraId="092C0D1B" w14:textId="6B9F51D2" w:rsidR="00203B9C" w:rsidRPr="00203B9C" w:rsidRDefault="00203B9C" w:rsidP="00203B9C">
      <w:pPr>
        <w:pStyle w:val="ARTartustawynprozporzdzenia"/>
        <w:keepNext/>
      </w:pPr>
      <w:r w:rsidRPr="00203B9C">
        <w:rPr>
          <w:rStyle w:val="Ppogrubienie"/>
        </w:rPr>
        <w:t>Art. 1.</w:t>
      </w:r>
      <w:r w:rsidRPr="00203B9C">
        <w:t> W ustawie z dnia 27 maja 2004 r. o funduszach inwestycyjnych i</w:t>
      </w:r>
      <w:r>
        <w:t> </w:t>
      </w:r>
      <w:r w:rsidRPr="00203B9C">
        <w:t>zarządzaniu alternatywnymi funduszami inwestycyjnymi (Dz. U. z 2024 r. poz. 1034 i 1863 oraz z 2025 r. poz. 146) wprowadza się następujące zmiany:</w:t>
      </w:r>
    </w:p>
    <w:p w14:paraId="79FF8338" w14:textId="77777777" w:rsidR="00203B9C" w:rsidRPr="00203B9C" w:rsidRDefault="00203B9C" w:rsidP="00203B9C">
      <w:pPr>
        <w:pStyle w:val="PKTpunkt"/>
        <w:keepNext/>
      </w:pPr>
      <w:r w:rsidRPr="00203B9C">
        <w:t>1)</w:t>
      </w:r>
      <w:r w:rsidRPr="00203B9C">
        <w:tab/>
        <w:t>w art. 208zzi:</w:t>
      </w:r>
    </w:p>
    <w:p w14:paraId="5A5A074F" w14:textId="1B41E296" w:rsidR="00203B9C" w:rsidRPr="00203B9C" w:rsidRDefault="00203B9C" w:rsidP="00203B9C">
      <w:pPr>
        <w:pStyle w:val="LITlitera"/>
      </w:pPr>
      <w:r w:rsidRPr="00203B9C">
        <w:t>a)</w:t>
      </w:r>
      <w:r w:rsidRPr="00203B9C">
        <w:tab/>
        <w:t>w ust. 8 wyrazy „co najmniej 2/3” zastępuje się wyrazami „więcej niż połowę”,</w:t>
      </w:r>
    </w:p>
    <w:p w14:paraId="4AD7473A" w14:textId="77777777" w:rsidR="00203B9C" w:rsidRPr="00203B9C" w:rsidRDefault="00203B9C" w:rsidP="00203B9C">
      <w:pPr>
        <w:pStyle w:val="LITlitera"/>
        <w:keepNext/>
      </w:pPr>
      <w:r w:rsidRPr="00203B9C">
        <w:t>b)</w:t>
      </w:r>
      <w:r w:rsidRPr="00203B9C">
        <w:tab/>
        <w:t>dodaje się ust. 9–11 w brzmieniu:</w:t>
      </w:r>
    </w:p>
    <w:p w14:paraId="3FD45AA1" w14:textId="5A7AACE6" w:rsidR="00203B9C" w:rsidRPr="00203B9C" w:rsidRDefault="00203B9C" w:rsidP="00203B9C">
      <w:pPr>
        <w:pStyle w:val="ZLITUSTzmustliter"/>
      </w:pPr>
      <w:r w:rsidRPr="00203B9C">
        <w:t>„9. Jeżeli w głosowaniu, o którym mowa w ust. 8, głosy oddali uczestnicy reprezentujący nie więcej niż połowę ogólnej liczby certyfikatów inwestycyjnych danego funduszu i nie wymaga to zmiany planu połączenia, towarzystwo może zwołać kolejne zgromadzenie inwestorów tego funduszu w celu uzyskania zgody zgromadzenia inwestorów na połączenie, co najmniej na 7 dni przed planowanym terminem ponownego zgromadzenia inwestorów. Zwołanie kolejnego zgromadzenia inwestorów wymaga przekazania przez towarzystwo zawiadomienia, o którym mowa w art. 208zzk ust. 1 pkt 1, zmienionego w zakresie, o którym mowa w art. 208zzk ust. 3. Do kolejnego zgromadzenia inwestorów stosuje się przepis art. 208zzk ust. 8.</w:t>
      </w:r>
    </w:p>
    <w:p w14:paraId="50A5B52B" w14:textId="26623F05" w:rsidR="00203B9C" w:rsidRPr="00203B9C" w:rsidRDefault="00203B9C" w:rsidP="00203B9C">
      <w:pPr>
        <w:pStyle w:val="ZLITUSTzmustliter"/>
      </w:pPr>
      <w:r w:rsidRPr="00203B9C">
        <w:t>10. Kolejnego zgromadzenia inwestorów w celu wyrażenia zgody zgromadzenia inwestorów na połączenie nie zwołuje się w przypadku</w:t>
      </w:r>
      <w:r w:rsidR="00961226">
        <w:t>,</w:t>
      </w:r>
      <w:r w:rsidRPr="00203B9C">
        <w:t xml:space="preserve"> gdy uchwała zgromadzenia inwestorów innego z funduszy objętych planem połączenia nie uzyskała wymaganej większości </w:t>
      </w:r>
      <w:r w:rsidR="00A2258C">
        <w:t>a</w:t>
      </w:r>
      <w:r w:rsidRPr="00203B9C">
        <w:t xml:space="preserve"> w głosowaniu, o którym mowa w ust. 8, głosy oddali uczestnicy reprezentujący więcej niż połowę ogólnej liczby certyfikatów inwestycyjnych tego funduszu.</w:t>
      </w:r>
    </w:p>
    <w:p w14:paraId="002414EE" w14:textId="73850BFF" w:rsidR="00203B9C" w:rsidRPr="00203B9C" w:rsidRDefault="00203B9C" w:rsidP="00203B9C">
      <w:pPr>
        <w:pStyle w:val="ZLITUSTzmustliter"/>
      </w:pPr>
      <w:r w:rsidRPr="00203B9C">
        <w:t xml:space="preserve">11. W przypadku gdy pomimo dwukrotnie prawidłowo zwołanego zgromadzenia inwestorów w głosowaniu, o którym mowa w ust. 8, głosy oddali uczestnicy reprezentujący nie więcej niż połowę ogólnej liczby </w:t>
      </w:r>
      <w:r w:rsidRPr="00203B9C">
        <w:lastRenderedPageBreak/>
        <w:t>certyfikatów inwestycyjnych danego funduszu, zgoda, o której mowa w ust. 7, jest udzielana, jeżeli głosy za połączeniem oddała więcej niż połowa uczestników obecnych lub reprezentowanych podczas każdego głosowania.”;</w:t>
      </w:r>
    </w:p>
    <w:p w14:paraId="0343ADEE" w14:textId="77777777" w:rsidR="00203B9C" w:rsidRPr="00203B9C" w:rsidRDefault="00203B9C" w:rsidP="00203B9C">
      <w:pPr>
        <w:pStyle w:val="PKTpunkt"/>
        <w:keepNext/>
      </w:pPr>
      <w:r w:rsidRPr="00203B9C">
        <w:t>2)</w:t>
      </w:r>
      <w:r w:rsidRPr="00203B9C">
        <w:tab/>
        <w:t>w art. 208zzk:</w:t>
      </w:r>
    </w:p>
    <w:p w14:paraId="5674312B" w14:textId="6443E22C" w:rsidR="00203B9C" w:rsidRPr="00203B9C" w:rsidRDefault="00203B9C" w:rsidP="00203B9C">
      <w:pPr>
        <w:pStyle w:val="LITlitera"/>
      </w:pPr>
      <w:r w:rsidRPr="00203B9C">
        <w:t>a)</w:t>
      </w:r>
      <w:r w:rsidRPr="00203B9C">
        <w:tab/>
        <w:t>w ust. 6 po wyrazach „w art. 208zzi ust. 7,” dodaje się wyrazy „a w przypadku, o którym mowa w art. 208zzi ust. 9, po zgromadzeniu inwestorów, o którym mowa w tym przepisie”,</w:t>
      </w:r>
    </w:p>
    <w:p w14:paraId="428F1F31" w14:textId="0178B602" w:rsidR="00203B9C" w:rsidRPr="00203B9C" w:rsidRDefault="00203B9C" w:rsidP="00203B9C">
      <w:pPr>
        <w:pStyle w:val="LITlitera"/>
      </w:pPr>
      <w:r w:rsidRPr="00203B9C">
        <w:t>b)</w:t>
      </w:r>
      <w:r w:rsidRPr="00203B9C">
        <w:tab/>
        <w:t>w ust. 9 w zdaniu pierwszym po wyrazach „przez zgromadzenie inwestorów” dodaje się wyrazy „wszystkich funduszy objętych planem połączenia”.</w:t>
      </w:r>
    </w:p>
    <w:p w14:paraId="07AC79E3" w14:textId="69945FEF" w:rsidR="00203B9C" w:rsidRPr="00203B9C" w:rsidRDefault="00203B9C" w:rsidP="00203B9C">
      <w:pPr>
        <w:pStyle w:val="ARTartustawynprozporzdzenia"/>
      </w:pPr>
      <w:r w:rsidRPr="00203B9C">
        <w:rPr>
          <w:rStyle w:val="Ppogrubienie"/>
        </w:rPr>
        <w:t>Art. 2.</w:t>
      </w:r>
      <w:r w:rsidRPr="00203B9C">
        <w:t> Przepisy art. 208zzi ust. 8–11 ustawy zmienianej w art. 1, w brzmieniu nadanym niniejszą ustawą, stosuje się po raz pierwszy do połączeń funduszy inwestycyjnych zamkniętych, o których mowa w art. 15 ust. 1a ustawy zmienianej w</w:t>
      </w:r>
      <w:r>
        <w:t> </w:t>
      </w:r>
      <w:r w:rsidRPr="00203B9C">
        <w:t>art. 1, których organem jest to samo towarzystwo funduszy inwestycyjnych, w</w:t>
      </w:r>
      <w:r>
        <w:t> </w:t>
      </w:r>
      <w:r w:rsidRPr="00203B9C">
        <w:t>przypadku których plan połączenia został sporządzony i podpisany najwcześniej w</w:t>
      </w:r>
      <w:r>
        <w:t> </w:t>
      </w:r>
      <w:r w:rsidRPr="00203B9C">
        <w:t>dniu wejściu w życie niniejszej ustawy.</w:t>
      </w:r>
    </w:p>
    <w:p w14:paraId="7ECCC032" w14:textId="77777777" w:rsidR="00203B9C" w:rsidRPr="00203B9C" w:rsidRDefault="00203B9C" w:rsidP="00203B9C">
      <w:pPr>
        <w:pStyle w:val="ARTartustawynprozporzdzenia"/>
      </w:pPr>
      <w:r w:rsidRPr="00203B9C">
        <w:rPr>
          <w:rStyle w:val="Ppogrubienie"/>
        </w:rPr>
        <w:t>Art. 3.</w:t>
      </w:r>
      <w:r w:rsidRPr="00203B9C">
        <w:t> Ustawa wchodzi w życie po upływie 14 dni od dnia ogłoszenia.</w:t>
      </w:r>
    </w:p>
    <w:p w14:paraId="7A25B3B5" w14:textId="77777777" w:rsidR="005E31CC" w:rsidRPr="00203B9C" w:rsidRDefault="005E31CC" w:rsidP="005315BE">
      <w:pPr>
        <w:rPr>
          <w:rStyle w:val="Ppogrubienie"/>
          <w:b w:val="0"/>
        </w:rPr>
      </w:pPr>
    </w:p>
    <w:sectPr w:rsidR="005E31CC" w:rsidRPr="00203B9C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6122" w14:textId="77777777" w:rsidR="003150D7" w:rsidRDefault="003150D7">
      <w:r>
        <w:separator/>
      </w:r>
    </w:p>
  </w:endnote>
  <w:endnote w:type="continuationSeparator" w:id="0">
    <w:p w14:paraId="5E9DD1BD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8105" w14:textId="77777777" w:rsidR="00A2258C" w:rsidRDefault="00A225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9832" w14:textId="77777777" w:rsidR="00A2258C" w:rsidRDefault="00A225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AF9C" w14:textId="77777777" w:rsidR="00A2258C" w:rsidRDefault="00A225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71CF" w14:textId="77777777" w:rsidR="003150D7" w:rsidRDefault="003150D7">
      <w:r>
        <w:separator/>
      </w:r>
    </w:p>
  </w:footnote>
  <w:footnote w:type="continuationSeparator" w:id="0">
    <w:p w14:paraId="5916AF1E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F79F" w14:textId="77777777" w:rsidR="00A2258C" w:rsidRDefault="00A225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529B" w14:textId="401F22C5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61226">
      <w:rPr>
        <w:rStyle w:val="Ppogrubienie"/>
        <w:noProof/>
      </w:rPr>
      <w:t>2025-06-24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61226">
          <w:rPr>
            <w:rStyle w:val="Ppogrubienie"/>
            <w:noProof/>
          </w:rPr>
          <w:t>V3_528-9.NK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EAEC0DA" w14:textId="6C37BF0F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E4F4A1" wp14:editId="238971A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203B9C">
      <w:rPr>
        <w:rStyle w:val="Ppogrubienie"/>
      </w:rPr>
      <w:t xml:space="preserve"> 1305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9BD2" w14:textId="27FEBA19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61226">
      <w:rPr>
        <w:rStyle w:val="Ppogrubienie"/>
        <w:noProof/>
      </w:rPr>
      <w:t>2025-06-24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3288AA6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DA9B43" wp14:editId="5F8359F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3516031">
    <w:abstractNumId w:val="24"/>
  </w:num>
  <w:num w:numId="2" w16cid:durableId="956830800">
    <w:abstractNumId w:val="24"/>
  </w:num>
  <w:num w:numId="3" w16cid:durableId="1100415766">
    <w:abstractNumId w:val="19"/>
  </w:num>
  <w:num w:numId="4" w16cid:durableId="2077314891">
    <w:abstractNumId w:val="19"/>
  </w:num>
  <w:num w:numId="5" w16cid:durableId="2000424853">
    <w:abstractNumId w:val="38"/>
  </w:num>
  <w:num w:numId="6" w16cid:durableId="211844343">
    <w:abstractNumId w:val="34"/>
  </w:num>
  <w:num w:numId="7" w16cid:durableId="126971563">
    <w:abstractNumId w:val="38"/>
  </w:num>
  <w:num w:numId="8" w16cid:durableId="1130826680">
    <w:abstractNumId w:val="34"/>
  </w:num>
  <w:num w:numId="9" w16cid:durableId="456219983">
    <w:abstractNumId w:val="38"/>
  </w:num>
  <w:num w:numId="10" w16cid:durableId="505362680">
    <w:abstractNumId w:val="34"/>
  </w:num>
  <w:num w:numId="11" w16cid:durableId="2088719781">
    <w:abstractNumId w:val="15"/>
  </w:num>
  <w:num w:numId="12" w16cid:durableId="782723435">
    <w:abstractNumId w:val="10"/>
  </w:num>
  <w:num w:numId="13" w16cid:durableId="2130512066">
    <w:abstractNumId w:val="16"/>
  </w:num>
  <w:num w:numId="14" w16cid:durableId="1691249957">
    <w:abstractNumId w:val="28"/>
  </w:num>
  <w:num w:numId="15" w16cid:durableId="1752775343">
    <w:abstractNumId w:val="15"/>
  </w:num>
  <w:num w:numId="16" w16cid:durableId="1000038580">
    <w:abstractNumId w:val="17"/>
  </w:num>
  <w:num w:numId="17" w16cid:durableId="756485225">
    <w:abstractNumId w:val="8"/>
  </w:num>
  <w:num w:numId="18" w16cid:durableId="1200513570">
    <w:abstractNumId w:val="3"/>
  </w:num>
  <w:num w:numId="19" w16cid:durableId="1713308331">
    <w:abstractNumId w:val="2"/>
  </w:num>
  <w:num w:numId="20" w16cid:durableId="1570655005">
    <w:abstractNumId w:val="1"/>
  </w:num>
  <w:num w:numId="21" w16cid:durableId="995109810">
    <w:abstractNumId w:val="0"/>
  </w:num>
  <w:num w:numId="22" w16cid:durableId="995567809">
    <w:abstractNumId w:val="9"/>
  </w:num>
  <w:num w:numId="23" w16cid:durableId="581646142">
    <w:abstractNumId w:val="7"/>
  </w:num>
  <w:num w:numId="24" w16cid:durableId="1357121175">
    <w:abstractNumId w:val="6"/>
  </w:num>
  <w:num w:numId="25" w16cid:durableId="534273161">
    <w:abstractNumId w:val="5"/>
  </w:num>
  <w:num w:numId="26" w16cid:durableId="1970427585">
    <w:abstractNumId w:val="4"/>
  </w:num>
  <w:num w:numId="27" w16cid:durableId="2011832410">
    <w:abstractNumId w:val="36"/>
  </w:num>
  <w:num w:numId="28" w16cid:durableId="990720187">
    <w:abstractNumId w:val="27"/>
  </w:num>
  <w:num w:numId="29" w16cid:durableId="392243947">
    <w:abstractNumId w:val="39"/>
  </w:num>
  <w:num w:numId="30" w16cid:durableId="1141726194">
    <w:abstractNumId w:val="35"/>
  </w:num>
  <w:num w:numId="31" w16cid:durableId="1358313707">
    <w:abstractNumId w:val="20"/>
  </w:num>
  <w:num w:numId="32" w16cid:durableId="899098234">
    <w:abstractNumId w:val="11"/>
  </w:num>
  <w:num w:numId="33" w16cid:durableId="46757183">
    <w:abstractNumId w:val="33"/>
  </w:num>
  <w:num w:numId="34" w16cid:durableId="1745293985">
    <w:abstractNumId w:val="21"/>
  </w:num>
  <w:num w:numId="35" w16cid:durableId="1514874392">
    <w:abstractNumId w:val="18"/>
  </w:num>
  <w:num w:numId="36" w16cid:durableId="1375425849">
    <w:abstractNumId w:val="23"/>
  </w:num>
  <w:num w:numId="37" w16cid:durableId="1091004006">
    <w:abstractNumId w:val="29"/>
  </w:num>
  <w:num w:numId="38" w16cid:durableId="827944172">
    <w:abstractNumId w:val="26"/>
  </w:num>
  <w:num w:numId="39" w16cid:durableId="488642913">
    <w:abstractNumId w:val="14"/>
  </w:num>
  <w:num w:numId="40" w16cid:durableId="1142961208">
    <w:abstractNumId w:val="32"/>
  </w:num>
  <w:num w:numId="41" w16cid:durableId="301732249">
    <w:abstractNumId w:val="30"/>
  </w:num>
  <w:num w:numId="42" w16cid:durableId="1172180039">
    <w:abstractNumId w:val="22"/>
  </w:num>
  <w:num w:numId="43" w16cid:durableId="865020060">
    <w:abstractNumId w:val="37"/>
  </w:num>
  <w:num w:numId="44" w16cid:durableId="447703546">
    <w:abstractNumId w:val="13"/>
  </w:num>
  <w:num w:numId="45" w16cid:durableId="378211564">
    <w:abstractNumId w:val="40"/>
  </w:num>
  <w:num w:numId="46" w16cid:durableId="887574526">
    <w:abstractNumId w:val="25"/>
  </w:num>
  <w:num w:numId="47" w16cid:durableId="242301206">
    <w:abstractNumId w:val="12"/>
  </w:num>
  <w:num w:numId="48" w16cid:durableId="7583362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69EE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3B9C"/>
    <w:rsid w:val="00204A97"/>
    <w:rsid w:val="00206A99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0440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08C7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1226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258C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BF0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2182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553DE6D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</TotalTime>
  <Pages>2</Pages>
  <Words>423</Words>
  <Characters>2403</Characters>
  <Application>Microsoft Office Word</Application>
  <DocSecurity>0</DocSecurity>
  <Lines>50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Bożena M. Kędziorek</cp:lastModifiedBy>
  <cp:revision>7</cp:revision>
  <cp:lastPrinted>2012-04-23T06:39:00Z</cp:lastPrinted>
  <dcterms:created xsi:type="dcterms:W3CDTF">2021-04-27T10:54:00Z</dcterms:created>
  <dcterms:modified xsi:type="dcterms:W3CDTF">2025-06-24T10:10:00Z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