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2296" w14:textId="4765BBFB" w:rsidR="006E1139" w:rsidRPr="00841397" w:rsidRDefault="00AF741A" w:rsidP="006E11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397">
        <w:rPr>
          <w:rFonts w:ascii="Times New Roman" w:hAnsi="Times New Roman" w:cs="Times New Roman"/>
          <w:sz w:val="24"/>
          <w:szCs w:val="24"/>
        </w:rPr>
        <w:t>UZASADNIENIE</w:t>
      </w:r>
    </w:p>
    <w:p w14:paraId="673B7ADE" w14:textId="745CEFA6" w:rsidR="006E1139" w:rsidRDefault="006E1139" w:rsidP="00841397">
      <w:pPr>
        <w:pStyle w:val="Akapitzlist"/>
        <w:numPr>
          <w:ilvl w:val="0"/>
          <w:numId w:val="3"/>
        </w:numPr>
        <w:spacing w:after="120" w:line="240" w:lineRule="auto"/>
        <w:ind w:left="426" w:firstLine="141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Ref96594910"/>
      <w:r w:rsidRPr="00DA7AF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Cel </w:t>
      </w:r>
      <w:r w:rsidRPr="00DA7AFE">
        <w:rPr>
          <w:rFonts w:ascii="Times New Roman" w:eastAsia="Times New Roman" w:hAnsi="Times New Roman" w:cs="Times New Roman"/>
          <w:b/>
          <w:bCs/>
          <w:sz w:val="24"/>
          <w:szCs w:val="24"/>
        </w:rPr>
        <w:t>regulacji</w:t>
      </w:r>
      <w:bookmarkEnd w:id="0"/>
    </w:p>
    <w:p w14:paraId="68FC3BF1" w14:textId="2C62A4D3" w:rsidR="002150E9" w:rsidRDefault="002150E9" w:rsidP="00841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841397">
        <w:rPr>
          <w:rFonts w:ascii="Times New Roman" w:hAnsi="Times New Roman" w:cs="Times New Roman"/>
          <w:sz w:val="24"/>
          <w:szCs w:val="24"/>
        </w:rPr>
        <w:t>ustawy zmieniającej ustawę</w:t>
      </w:r>
      <w:r w:rsidR="001F54B3" w:rsidRPr="00841397">
        <w:rPr>
          <w:rFonts w:ascii="Times New Roman" w:hAnsi="Times New Roman" w:cs="Times New Roman"/>
          <w:sz w:val="24"/>
          <w:szCs w:val="24"/>
        </w:rPr>
        <w:t xml:space="preserve"> </w:t>
      </w:r>
      <w:r w:rsidRPr="00841397">
        <w:rPr>
          <w:rFonts w:ascii="Times New Roman" w:hAnsi="Times New Roman" w:cs="Times New Roman"/>
          <w:sz w:val="24"/>
          <w:szCs w:val="24"/>
        </w:rPr>
        <w:t>o zmianie ustawy o rachunkowości, ustawy o biegłych rewidentach, firmach audytorskich oraz nadzorze publicznym oraz niektórych innych ustaw</w:t>
      </w:r>
      <w:r w:rsidR="00A256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na celu dost</w:t>
      </w:r>
      <w:r w:rsidR="00C25C83">
        <w:rPr>
          <w:rFonts w:ascii="Times New Roman" w:hAnsi="Times New Roman" w:cs="Times New Roman"/>
          <w:sz w:val="24"/>
          <w:szCs w:val="24"/>
        </w:rPr>
        <w:t>oso</w:t>
      </w:r>
      <w:r>
        <w:rPr>
          <w:rFonts w:ascii="Times New Roman" w:hAnsi="Times New Roman" w:cs="Times New Roman"/>
          <w:sz w:val="24"/>
          <w:szCs w:val="24"/>
        </w:rPr>
        <w:t xml:space="preserve">wanie przepisów krajowych do </w:t>
      </w:r>
      <w:r w:rsidR="001F54B3">
        <w:rPr>
          <w:rFonts w:ascii="Times New Roman" w:hAnsi="Times New Roman" w:cs="Times New Roman"/>
          <w:sz w:val="24"/>
          <w:szCs w:val="24"/>
        </w:rPr>
        <w:t xml:space="preserve">dyrektywy </w:t>
      </w:r>
      <w:r w:rsidR="00A07F01">
        <w:rPr>
          <w:rFonts w:ascii="Times New Roman" w:hAnsi="Times New Roman" w:cs="Times New Roman"/>
          <w:sz w:val="24"/>
          <w:szCs w:val="24"/>
        </w:rPr>
        <w:t>2025/794</w:t>
      </w:r>
      <w:r w:rsidR="00915D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4C10DE" w:rsidRPr="0084139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F54B3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5B1343">
        <w:rPr>
          <w:rFonts w:ascii="Times New Roman" w:hAnsi="Times New Roman" w:cs="Times New Roman"/>
          <w:sz w:val="24"/>
          <w:szCs w:val="24"/>
        </w:rPr>
        <w:t>,</w:t>
      </w:r>
      <w:r w:rsidR="001F54B3">
        <w:rPr>
          <w:rFonts w:ascii="Times New Roman" w:hAnsi="Times New Roman" w:cs="Times New Roman"/>
          <w:sz w:val="24"/>
          <w:szCs w:val="24"/>
        </w:rPr>
        <w:t xml:space="preserve"> w jakim wprowadza ona </w:t>
      </w:r>
      <w:r>
        <w:rPr>
          <w:rFonts w:ascii="Times New Roman" w:hAnsi="Times New Roman" w:cs="Times New Roman"/>
          <w:sz w:val="24"/>
          <w:szCs w:val="24"/>
        </w:rPr>
        <w:t>zmian</w:t>
      </w:r>
      <w:r w:rsidR="001F54B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4B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97">
        <w:rPr>
          <w:rFonts w:ascii="Times New Roman" w:hAnsi="Times New Roman" w:cs="Times New Roman"/>
          <w:sz w:val="24"/>
          <w:szCs w:val="24"/>
        </w:rPr>
        <w:t>dyrektyw</w:t>
      </w:r>
      <w:r w:rsidR="001F54B3" w:rsidRPr="00841397">
        <w:rPr>
          <w:rFonts w:ascii="Times New Roman" w:hAnsi="Times New Roman" w:cs="Times New Roman"/>
          <w:sz w:val="24"/>
          <w:szCs w:val="24"/>
        </w:rPr>
        <w:t>y</w:t>
      </w:r>
      <w:r w:rsidRPr="00841397">
        <w:rPr>
          <w:rFonts w:ascii="Times New Roman" w:hAnsi="Times New Roman" w:cs="Times New Roman"/>
          <w:sz w:val="24"/>
          <w:szCs w:val="24"/>
        </w:rPr>
        <w:t xml:space="preserve"> 2022/2464</w:t>
      </w:r>
      <w:r w:rsidR="00915DDB" w:rsidRPr="0084139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4C10DE" w:rsidRPr="0084139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15DD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717D1" w:rsidRPr="004717D1">
        <w:rPr>
          <w:rFonts w:ascii="Times New Roman" w:hAnsi="Times New Roman" w:cs="Times New Roman"/>
          <w:sz w:val="24"/>
          <w:szCs w:val="24"/>
        </w:rPr>
        <w:t xml:space="preserve"> tzw. CSRD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AD975" w14:textId="107D7C9B" w:rsidR="00771FBC" w:rsidRDefault="004717D1" w:rsidP="00841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CSRD</w:t>
      </w:r>
      <w:r w:rsidR="003E0FDC" w:rsidRPr="003E0FDC">
        <w:rPr>
          <w:rFonts w:ascii="Times New Roman" w:hAnsi="Times New Roman" w:cs="Times New Roman"/>
          <w:sz w:val="24"/>
          <w:szCs w:val="24"/>
        </w:rPr>
        <w:t xml:space="preserve">, </w:t>
      </w:r>
      <w:r w:rsidR="003E0FDC" w:rsidRPr="001C4B5C">
        <w:rPr>
          <w:rFonts w:ascii="Times New Roman" w:hAnsi="Times New Roman"/>
          <w:sz w:val="24"/>
          <w:szCs w:val="24"/>
        </w:rPr>
        <w:t xml:space="preserve">która została wdrożona do przepisów krajowych </w:t>
      </w:r>
      <w:r w:rsidR="003E0FDC" w:rsidRPr="00841397">
        <w:rPr>
          <w:rFonts w:ascii="Times New Roman" w:hAnsi="Times New Roman"/>
          <w:sz w:val="24"/>
          <w:szCs w:val="24"/>
        </w:rPr>
        <w:t>ustawą z dnia 6 grudnia 2024 r. o</w:t>
      </w:r>
      <w:r w:rsidR="00AF741A">
        <w:rPr>
          <w:rFonts w:ascii="Times New Roman" w:hAnsi="Times New Roman"/>
          <w:sz w:val="24"/>
          <w:szCs w:val="24"/>
        </w:rPr>
        <w:t> </w:t>
      </w:r>
      <w:r w:rsidR="003E0FDC" w:rsidRPr="00713439">
        <w:rPr>
          <w:rFonts w:ascii="Times New Roman" w:hAnsi="Times New Roman"/>
          <w:sz w:val="24"/>
          <w:szCs w:val="24"/>
        </w:rPr>
        <w:t xml:space="preserve">zmianie ustawy o rachunkowości, ustawy o biegłych rewidentach, firmach audytorskich oraz nadzorze publicznym oraz </w:t>
      </w:r>
      <w:r w:rsidR="00C25C83" w:rsidRPr="00221391">
        <w:rPr>
          <w:rFonts w:ascii="Times New Roman" w:hAnsi="Times New Roman" w:cs="Times New Roman"/>
          <w:sz w:val="24"/>
          <w:szCs w:val="24"/>
        </w:rPr>
        <w:t>niektórych</w:t>
      </w:r>
      <w:r w:rsidR="00C25C83" w:rsidRPr="00C25C83">
        <w:rPr>
          <w:rFonts w:ascii="Times New Roman" w:hAnsi="Times New Roman"/>
          <w:sz w:val="24"/>
          <w:szCs w:val="24"/>
        </w:rPr>
        <w:t xml:space="preserve"> </w:t>
      </w:r>
      <w:r w:rsidR="003E0FDC" w:rsidRPr="00841397">
        <w:rPr>
          <w:rFonts w:ascii="Times New Roman" w:hAnsi="Times New Roman"/>
          <w:sz w:val="24"/>
          <w:szCs w:val="24"/>
        </w:rPr>
        <w:t xml:space="preserve">innych ustaw </w:t>
      </w:r>
      <w:r w:rsidR="003E0FDC" w:rsidRPr="00D2334F">
        <w:rPr>
          <w:rFonts w:ascii="Times New Roman" w:hAnsi="Times New Roman"/>
          <w:sz w:val="24"/>
          <w:szCs w:val="24"/>
        </w:rPr>
        <w:t>(Dz. U. poz. 1863)</w:t>
      </w:r>
      <w:r w:rsidR="003E0FDC" w:rsidRPr="001C4B5C">
        <w:rPr>
          <w:rFonts w:ascii="Times New Roman" w:hAnsi="Times New Roman"/>
          <w:sz w:val="24"/>
          <w:szCs w:val="24"/>
        </w:rPr>
        <w:t xml:space="preserve">, </w:t>
      </w:r>
      <w:r w:rsidR="00DF56A8">
        <w:rPr>
          <w:rFonts w:ascii="Times New Roman" w:hAnsi="Times New Roman" w:cs="Times New Roman"/>
          <w:sz w:val="24"/>
          <w:szCs w:val="24"/>
        </w:rPr>
        <w:t>wprowadz</w:t>
      </w:r>
      <w:r w:rsidR="003E0FDC">
        <w:rPr>
          <w:rFonts w:ascii="Times New Roman" w:hAnsi="Times New Roman" w:cs="Times New Roman"/>
          <w:sz w:val="24"/>
          <w:szCs w:val="24"/>
        </w:rPr>
        <w:t>ił</w:t>
      </w:r>
      <w:r w:rsidR="00DF56A8">
        <w:rPr>
          <w:rFonts w:ascii="Times New Roman" w:hAnsi="Times New Roman" w:cs="Times New Roman"/>
          <w:sz w:val="24"/>
          <w:szCs w:val="24"/>
        </w:rPr>
        <w:t xml:space="preserve">a obowiązek przedstawiania informacji o wpływie działalności jednostki na obszar środowiskowy, spraw społecznych, w tym praw człowieka, oraz ładu korporacyjnego, a także wpływu tych trzech obszarów na rozwój, wyniki i sytuację jednostki (tzw. sprawozdawczość zrównoważonego rozwoju lub sprawozdawczość ESG). </w:t>
      </w:r>
      <w:r>
        <w:rPr>
          <w:rFonts w:ascii="Times New Roman" w:hAnsi="Times New Roman" w:cs="Times New Roman"/>
          <w:sz w:val="24"/>
          <w:szCs w:val="24"/>
        </w:rPr>
        <w:t xml:space="preserve">Do raportowania </w:t>
      </w:r>
      <w:r w:rsidR="003839E1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obowiązane 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obecnie </w:t>
      </w:r>
      <w:r>
        <w:rPr>
          <w:rFonts w:ascii="Times New Roman" w:hAnsi="Times New Roman" w:cs="Times New Roman"/>
          <w:sz w:val="24"/>
          <w:szCs w:val="24"/>
        </w:rPr>
        <w:t xml:space="preserve">jednostki </w:t>
      </w:r>
      <w:r w:rsidR="00771FBC" w:rsidRPr="00771FBC">
        <w:rPr>
          <w:rFonts w:ascii="Times New Roman" w:hAnsi="Times New Roman" w:cs="Times New Roman"/>
          <w:sz w:val="24"/>
          <w:szCs w:val="24"/>
        </w:rPr>
        <w:t>duż</w:t>
      </w:r>
      <w:r>
        <w:rPr>
          <w:rFonts w:ascii="Times New Roman" w:hAnsi="Times New Roman" w:cs="Times New Roman"/>
          <w:sz w:val="24"/>
          <w:szCs w:val="24"/>
        </w:rPr>
        <w:t xml:space="preserve">e oraz </w:t>
      </w:r>
      <w:r w:rsidR="002569C0" w:rsidRPr="002569C0">
        <w:rPr>
          <w:rFonts w:ascii="Times New Roman" w:hAnsi="Times New Roman" w:cs="Times New Roman"/>
          <w:sz w:val="24"/>
          <w:szCs w:val="24"/>
        </w:rPr>
        <w:t>mał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69C0" w:rsidRPr="002569C0">
        <w:rPr>
          <w:rFonts w:ascii="Times New Roman" w:hAnsi="Times New Roman" w:cs="Times New Roman"/>
          <w:sz w:val="24"/>
          <w:szCs w:val="24"/>
        </w:rPr>
        <w:t xml:space="preserve"> i średni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69C0" w:rsidRPr="002569C0">
        <w:rPr>
          <w:rFonts w:ascii="Times New Roman" w:hAnsi="Times New Roman" w:cs="Times New Roman"/>
          <w:sz w:val="24"/>
          <w:szCs w:val="24"/>
        </w:rPr>
        <w:t xml:space="preserve"> jednostk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69C0" w:rsidRPr="002569C0">
        <w:rPr>
          <w:rFonts w:ascii="Times New Roman" w:hAnsi="Times New Roman" w:cs="Times New Roman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2569C0" w:rsidRPr="002569C0">
        <w:rPr>
          <w:rFonts w:ascii="Times New Roman" w:hAnsi="Times New Roman" w:cs="Times New Roman"/>
          <w:sz w:val="24"/>
          <w:szCs w:val="24"/>
        </w:rPr>
        <w:t xml:space="preserve"> emitentami papierów wartościowych dopuszczonych do obrotu na jednym z rynków regulowanych Europejskiego Obszaru Gospodarczego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6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="00771FBC" w:rsidRPr="00771FBC">
        <w:rPr>
          <w:rFonts w:ascii="Times New Roman" w:hAnsi="Times New Roman" w:cs="Times New Roman"/>
          <w:sz w:val="24"/>
          <w:szCs w:val="24"/>
        </w:rPr>
        <w:t>jednostk</w:t>
      </w:r>
      <w:r>
        <w:rPr>
          <w:rFonts w:ascii="Times New Roman" w:hAnsi="Times New Roman" w:cs="Times New Roman"/>
          <w:sz w:val="24"/>
          <w:szCs w:val="24"/>
        </w:rPr>
        <w:t>i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dominując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dużych grup. </w:t>
      </w:r>
      <w:r>
        <w:rPr>
          <w:rFonts w:ascii="Times New Roman" w:hAnsi="Times New Roman" w:cs="Times New Roman"/>
          <w:sz w:val="24"/>
          <w:szCs w:val="24"/>
        </w:rPr>
        <w:t>Obowiązek raportowania po raz pierwszy zgodnie z</w:t>
      </w:r>
      <w:r w:rsidR="00383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wymogami CSRD został rozłożony na trzy etapy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. W pierwszej </w:t>
      </w:r>
      <w:r>
        <w:rPr>
          <w:rFonts w:ascii="Times New Roman" w:hAnsi="Times New Roman" w:cs="Times New Roman"/>
          <w:sz w:val="24"/>
          <w:szCs w:val="24"/>
        </w:rPr>
        <w:t>kolejności</w:t>
      </w:r>
      <w:r w:rsidR="00986834">
        <w:rPr>
          <w:rFonts w:ascii="Times New Roman" w:hAnsi="Times New Roman" w:cs="Times New Roman"/>
          <w:sz w:val="24"/>
          <w:szCs w:val="24"/>
        </w:rPr>
        <w:t>, w 2025 r. za rok obrotowy 2024, raportują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</w:t>
      </w:r>
      <w:r w:rsidR="002569C0">
        <w:rPr>
          <w:rFonts w:ascii="Times New Roman" w:hAnsi="Times New Roman" w:cs="Times New Roman"/>
          <w:sz w:val="24"/>
          <w:szCs w:val="24"/>
        </w:rPr>
        <w:t>największe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jednostki </w:t>
      </w:r>
      <w:r w:rsidR="00F35B3D">
        <w:rPr>
          <w:rFonts w:ascii="Times New Roman" w:hAnsi="Times New Roman" w:cs="Times New Roman"/>
          <w:sz w:val="24"/>
          <w:szCs w:val="24"/>
        </w:rPr>
        <w:t>zainteresowania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publicznego zatrudniające ponad 500 pracowników</w:t>
      </w:r>
      <w:r w:rsidR="002569C0">
        <w:rPr>
          <w:rFonts w:ascii="Times New Roman" w:hAnsi="Times New Roman" w:cs="Times New Roman"/>
          <w:sz w:val="24"/>
          <w:szCs w:val="24"/>
        </w:rPr>
        <w:t xml:space="preserve"> i przekraczające co najmniej jeden z</w:t>
      </w:r>
      <w:r w:rsidR="005E1735">
        <w:rPr>
          <w:rFonts w:ascii="Times New Roman" w:hAnsi="Times New Roman" w:cs="Times New Roman"/>
          <w:sz w:val="24"/>
          <w:szCs w:val="24"/>
        </w:rPr>
        <w:t> </w:t>
      </w:r>
      <w:r w:rsidR="002569C0">
        <w:rPr>
          <w:rFonts w:ascii="Times New Roman" w:hAnsi="Times New Roman" w:cs="Times New Roman"/>
          <w:sz w:val="24"/>
          <w:szCs w:val="24"/>
        </w:rPr>
        <w:t>progów finansowych dla jednostki dużej</w:t>
      </w:r>
      <w:r w:rsidR="00986834">
        <w:rPr>
          <w:rFonts w:ascii="Times New Roman" w:hAnsi="Times New Roman" w:cs="Times New Roman"/>
          <w:sz w:val="24"/>
          <w:szCs w:val="24"/>
        </w:rPr>
        <w:t>, a także jednostki zainteresowania publicznego stojące na czele grupy, w której zatrudnienie przekracza 500 osób</w:t>
      </w:r>
      <w:r w:rsidR="003E0FDC">
        <w:rPr>
          <w:rFonts w:ascii="Times New Roman" w:hAnsi="Times New Roman" w:cs="Times New Roman"/>
          <w:sz w:val="24"/>
          <w:szCs w:val="24"/>
        </w:rPr>
        <w:t>,</w:t>
      </w:r>
      <w:r w:rsidR="00986834">
        <w:rPr>
          <w:rFonts w:ascii="Times New Roman" w:hAnsi="Times New Roman" w:cs="Times New Roman"/>
          <w:sz w:val="24"/>
          <w:szCs w:val="24"/>
        </w:rPr>
        <w:t xml:space="preserve"> oraz</w:t>
      </w:r>
      <w:r w:rsidR="0088560F">
        <w:rPr>
          <w:rFonts w:ascii="Times New Roman" w:hAnsi="Times New Roman" w:cs="Times New Roman"/>
          <w:sz w:val="24"/>
          <w:szCs w:val="24"/>
        </w:rPr>
        <w:t xml:space="preserve"> która przekracza co najmniej jeden z progów finansowych dla dużej grupy.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</w:t>
      </w:r>
      <w:r w:rsidR="003E0FDC">
        <w:rPr>
          <w:rFonts w:ascii="Times New Roman" w:hAnsi="Times New Roman" w:cs="Times New Roman"/>
          <w:sz w:val="24"/>
          <w:szCs w:val="24"/>
        </w:rPr>
        <w:t>Zgodnie z obecnymi regulacjami w</w:t>
      </w:r>
      <w:r w:rsidR="005E1735">
        <w:rPr>
          <w:rFonts w:ascii="Times New Roman" w:hAnsi="Times New Roman" w:cs="Times New Roman"/>
          <w:sz w:val="24"/>
          <w:szCs w:val="24"/>
        </w:rPr>
        <w:t> 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drugiej </w:t>
      </w:r>
      <w:r w:rsidR="00986834">
        <w:rPr>
          <w:rFonts w:ascii="Times New Roman" w:hAnsi="Times New Roman" w:cs="Times New Roman"/>
          <w:sz w:val="24"/>
          <w:szCs w:val="24"/>
        </w:rPr>
        <w:t>turze, w 2026</w:t>
      </w:r>
      <w:r w:rsidR="00F91A7A">
        <w:rPr>
          <w:rFonts w:ascii="Times New Roman" w:hAnsi="Times New Roman" w:cs="Times New Roman"/>
          <w:sz w:val="24"/>
          <w:szCs w:val="24"/>
        </w:rPr>
        <w:t xml:space="preserve"> </w:t>
      </w:r>
      <w:r w:rsidR="00986834">
        <w:rPr>
          <w:rFonts w:ascii="Times New Roman" w:hAnsi="Times New Roman" w:cs="Times New Roman"/>
          <w:sz w:val="24"/>
          <w:szCs w:val="24"/>
        </w:rPr>
        <w:t xml:space="preserve">r. za rok obrotowy 2025, </w:t>
      </w:r>
      <w:r w:rsidR="003E0FDC">
        <w:rPr>
          <w:rFonts w:ascii="Times New Roman" w:hAnsi="Times New Roman" w:cs="Times New Roman"/>
          <w:sz w:val="24"/>
          <w:szCs w:val="24"/>
        </w:rPr>
        <w:t xml:space="preserve">miałyby </w:t>
      </w:r>
      <w:r w:rsidR="00986834">
        <w:rPr>
          <w:rFonts w:ascii="Times New Roman" w:hAnsi="Times New Roman" w:cs="Times New Roman"/>
          <w:sz w:val="24"/>
          <w:szCs w:val="24"/>
        </w:rPr>
        <w:t>zaraport</w:t>
      </w:r>
      <w:r w:rsidR="003E0FDC">
        <w:rPr>
          <w:rFonts w:ascii="Times New Roman" w:hAnsi="Times New Roman" w:cs="Times New Roman"/>
          <w:sz w:val="24"/>
          <w:szCs w:val="24"/>
        </w:rPr>
        <w:t>ować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pozostałe </w:t>
      </w:r>
      <w:r w:rsidR="0088560F">
        <w:rPr>
          <w:rFonts w:ascii="Times New Roman" w:hAnsi="Times New Roman" w:cs="Times New Roman"/>
          <w:sz w:val="24"/>
          <w:szCs w:val="24"/>
        </w:rPr>
        <w:t xml:space="preserve">jednostki </w:t>
      </w:r>
      <w:r w:rsidR="00771FBC" w:rsidRPr="00771FBC">
        <w:rPr>
          <w:rFonts w:ascii="Times New Roman" w:hAnsi="Times New Roman" w:cs="Times New Roman"/>
          <w:sz w:val="24"/>
          <w:szCs w:val="24"/>
        </w:rPr>
        <w:t>duże</w:t>
      </w:r>
      <w:r w:rsidR="00986834">
        <w:rPr>
          <w:rFonts w:ascii="Times New Roman" w:hAnsi="Times New Roman" w:cs="Times New Roman"/>
          <w:sz w:val="24"/>
          <w:szCs w:val="24"/>
        </w:rPr>
        <w:t xml:space="preserve"> i </w:t>
      </w:r>
      <w:r w:rsidR="0088560F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986834">
        <w:rPr>
          <w:rFonts w:ascii="Times New Roman" w:hAnsi="Times New Roman" w:cs="Times New Roman"/>
          <w:sz w:val="24"/>
          <w:szCs w:val="24"/>
        </w:rPr>
        <w:t>duże grupy, natomiast w</w:t>
      </w:r>
      <w:r w:rsidR="00771FBC" w:rsidRPr="00771FBC">
        <w:rPr>
          <w:rFonts w:ascii="Times New Roman" w:hAnsi="Times New Roman" w:cs="Times New Roman"/>
          <w:sz w:val="24"/>
          <w:szCs w:val="24"/>
        </w:rPr>
        <w:t xml:space="preserve"> trzeciej fali, </w:t>
      </w:r>
      <w:r w:rsidR="00986834">
        <w:rPr>
          <w:rFonts w:ascii="Times New Roman" w:hAnsi="Times New Roman" w:cs="Times New Roman"/>
          <w:sz w:val="24"/>
          <w:szCs w:val="24"/>
        </w:rPr>
        <w:t>w 2027</w:t>
      </w:r>
      <w:r w:rsidR="003839E1">
        <w:rPr>
          <w:rFonts w:ascii="Times New Roman" w:hAnsi="Times New Roman" w:cs="Times New Roman"/>
          <w:sz w:val="24"/>
          <w:szCs w:val="24"/>
        </w:rPr>
        <w:t xml:space="preserve"> </w:t>
      </w:r>
      <w:r w:rsidR="00986834">
        <w:rPr>
          <w:rFonts w:ascii="Times New Roman" w:hAnsi="Times New Roman" w:cs="Times New Roman"/>
          <w:sz w:val="24"/>
          <w:szCs w:val="24"/>
        </w:rPr>
        <w:t>r. za rok obrotowy 2026 – mali i</w:t>
      </w:r>
      <w:r w:rsidR="005E1735">
        <w:rPr>
          <w:rFonts w:ascii="Times New Roman" w:hAnsi="Times New Roman" w:cs="Times New Roman"/>
          <w:sz w:val="24"/>
          <w:szCs w:val="24"/>
        </w:rPr>
        <w:t> </w:t>
      </w:r>
      <w:r w:rsidR="00986834">
        <w:rPr>
          <w:rFonts w:ascii="Times New Roman" w:hAnsi="Times New Roman" w:cs="Times New Roman"/>
          <w:sz w:val="24"/>
          <w:szCs w:val="24"/>
        </w:rPr>
        <w:t>średni emitenci z rynku regulowanego</w:t>
      </w:r>
      <w:r w:rsidR="00771FBC" w:rsidRPr="00771FBC">
        <w:rPr>
          <w:rFonts w:ascii="Times New Roman" w:hAnsi="Times New Roman" w:cs="Times New Roman"/>
          <w:sz w:val="24"/>
          <w:szCs w:val="24"/>
        </w:rPr>
        <w:t>.</w:t>
      </w:r>
    </w:p>
    <w:p w14:paraId="7379C82B" w14:textId="0E68D928" w:rsidR="00B1454E" w:rsidRDefault="003E0FDC" w:rsidP="00841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Jednakże</w:t>
      </w:r>
      <w:r w:rsidR="0088560F">
        <w:rPr>
          <w:rFonts w:ascii="Times New Roman" w:hAnsi="Times New Roman" w:cs="Times New Roman"/>
          <w:sz w:val="24"/>
          <w:szCs w:val="24"/>
        </w:rPr>
        <w:t xml:space="preserve"> w ramach nadrzędnego celu </w:t>
      </w:r>
      <w:r w:rsidR="00E71C56">
        <w:rPr>
          <w:rFonts w:ascii="Times New Roman" w:hAnsi="Times New Roman" w:cs="Times New Roman"/>
          <w:sz w:val="24"/>
          <w:szCs w:val="24"/>
        </w:rPr>
        <w:t>zmniejszenia</w:t>
      </w:r>
      <w:r w:rsidR="0088560F">
        <w:rPr>
          <w:rFonts w:ascii="Times New Roman" w:hAnsi="Times New Roman" w:cs="Times New Roman"/>
          <w:sz w:val="24"/>
          <w:szCs w:val="24"/>
        </w:rPr>
        <w:t xml:space="preserve"> obciążeń dla przedsiębiorców w Unii Europejskiej oraz poprawy ich </w:t>
      </w:r>
      <w:r w:rsidR="0088560F" w:rsidRPr="003E0FDC">
        <w:rPr>
          <w:rFonts w:ascii="Times New Roman" w:hAnsi="Times New Roman" w:cs="Times New Roman"/>
          <w:sz w:val="24"/>
          <w:szCs w:val="24"/>
        </w:rPr>
        <w:t xml:space="preserve">konkurencyjności, </w:t>
      </w:r>
      <w:r w:rsidRPr="001C4B5C">
        <w:rPr>
          <w:rFonts w:ascii="Times New Roman" w:hAnsi="Times New Roman"/>
          <w:sz w:val="24"/>
          <w:szCs w:val="24"/>
        </w:rPr>
        <w:t xml:space="preserve">szczególnie w kontekście rosnącej presji </w:t>
      </w:r>
      <w:r w:rsidRPr="001C4B5C">
        <w:rPr>
          <w:rFonts w:ascii="Times New Roman" w:hAnsi="Times New Roman"/>
          <w:sz w:val="24"/>
          <w:szCs w:val="24"/>
        </w:rPr>
        <w:lastRenderedPageBreak/>
        <w:t>konkurencyjnej ze strony państw spoza UE,</w:t>
      </w:r>
      <w:r w:rsidRPr="003E0FDC">
        <w:rPr>
          <w:rFonts w:ascii="Times New Roman" w:hAnsi="Times New Roman" w:cs="Times New Roman"/>
          <w:sz w:val="24"/>
          <w:szCs w:val="24"/>
        </w:rPr>
        <w:t xml:space="preserve"> </w:t>
      </w:r>
      <w:r w:rsidR="00841397">
        <w:rPr>
          <w:rFonts w:ascii="Times New Roman" w:hAnsi="Times New Roman" w:cs="Times New Roman"/>
          <w:sz w:val="24"/>
          <w:szCs w:val="24"/>
        </w:rPr>
        <w:t xml:space="preserve">w dniu </w:t>
      </w:r>
      <w:r w:rsidR="002150E9" w:rsidRPr="003E0FDC">
        <w:rPr>
          <w:rFonts w:ascii="Times New Roman" w:hAnsi="Times New Roman" w:cs="Times New Roman"/>
          <w:sz w:val="24"/>
          <w:szCs w:val="24"/>
        </w:rPr>
        <w:t>26 lutego 2</w:t>
      </w:r>
      <w:r w:rsidR="002150E9">
        <w:rPr>
          <w:rFonts w:ascii="Times New Roman" w:hAnsi="Times New Roman" w:cs="Times New Roman"/>
          <w:sz w:val="24"/>
          <w:szCs w:val="24"/>
        </w:rPr>
        <w:t>024 r</w:t>
      </w:r>
      <w:r w:rsidR="003839E1">
        <w:rPr>
          <w:rFonts w:ascii="Times New Roman" w:hAnsi="Times New Roman" w:cs="Times New Roman"/>
          <w:sz w:val="24"/>
          <w:szCs w:val="24"/>
        </w:rPr>
        <w:t>.</w:t>
      </w:r>
      <w:r w:rsidR="002150E9">
        <w:rPr>
          <w:rFonts w:ascii="Times New Roman" w:hAnsi="Times New Roman" w:cs="Times New Roman"/>
          <w:sz w:val="24"/>
          <w:szCs w:val="24"/>
        </w:rPr>
        <w:t xml:space="preserve"> Komisja Europejska </w:t>
      </w:r>
      <w:r w:rsidR="00445998" w:rsidRPr="00445998">
        <w:rPr>
          <w:rFonts w:ascii="Times New Roman" w:hAnsi="Times New Roman" w:cs="Times New Roman"/>
          <w:sz w:val="24"/>
          <w:szCs w:val="24"/>
        </w:rPr>
        <w:t>przedstawiła pierwszy pakiet uproszczeń w obszarze zrównoważonego rozwoju, tzw.</w:t>
      </w:r>
      <w:r w:rsidR="003839E1">
        <w:rPr>
          <w:rFonts w:ascii="Times New Roman" w:hAnsi="Times New Roman" w:cs="Times New Roman"/>
          <w:sz w:val="24"/>
          <w:szCs w:val="24"/>
        </w:rPr>
        <w:t xml:space="preserve"> </w:t>
      </w:r>
      <w:r w:rsidR="00445998" w:rsidRPr="00445998">
        <w:rPr>
          <w:rFonts w:ascii="Times New Roman" w:hAnsi="Times New Roman" w:cs="Times New Roman"/>
          <w:sz w:val="24"/>
          <w:szCs w:val="24"/>
        </w:rPr>
        <w:t>Omnibus</w:t>
      </w:r>
      <w:r w:rsidR="003839E1">
        <w:rPr>
          <w:rFonts w:ascii="Times New Roman" w:hAnsi="Times New Roman" w:cs="Times New Roman"/>
          <w:sz w:val="24"/>
          <w:szCs w:val="24"/>
        </w:rPr>
        <w:t xml:space="preserve"> </w:t>
      </w:r>
      <w:r w:rsidR="00445998" w:rsidRPr="00445998">
        <w:rPr>
          <w:rFonts w:ascii="Times New Roman" w:hAnsi="Times New Roman" w:cs="Times New Roman"/>
          <w:sz w:val="24"/>
          <w:szCs w:val="24"/>
        </w:rPr>
        <w:t>I</w:t>
      </w:r>
      <w:r w:rsidR="00445998">
        <w:rPr>
          <w:rFonts w:ascii="Times New Roman" w:hAnsi="Times New Roman" w:cs="Times New Roman"/>
          <w:sz w:val="24"/>
          <w:szCs w:val="24"/>
        </w:rPr>
        <w:t>.</w:t>
      </w:r>
    </w:p>
    <w:p w14:paraId="0203CC8C" w14:textId="675F87FB" w:rsidR="003D681E" w:rsidRDefault="007F0FBB" w:rsidP="00841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0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Uproszczenia w zakresie </w:t>
      </w:r>
      <w:r w:rsidR="003E0FD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CSRD</w:t>
      </w:r>
      <w:r w:rsidRPr="00FD3B0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zawarto w dwóch projektach aktów prawnych. Pierwszy z nich</w:t>
      </w:r>
      <w:r w:rsidR="00DF56A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(tzw.</w:t>
      </w:r>
      <w:r w:rsidR="00D2334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DF56A8" w:rsidRPr="00841397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stop-the-</w:t>
      </w:r>
      <w:proofErr w:type="spellStart"/>
      <w:r w:rsidR="00DF56A8" w:rsidRPr="00841397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clock</w:t>
      </w:r>
      <w:proofErr w:type="spellEnd"/>
      <w:r w:rsidR="00DF56A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)</w:t>
      </w:r>
      <w:r w:rsidRPr="00FD3B0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przewid</w:t>
      </w:r>
      <w:r w:rsidR="00DF56A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ywał</w:t>
      </w:r>
      <w:r w:rsidRPr="00FD3B0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B1454E" w:rsidRPr="00FD3B04">
        <w:rPr>
          <w:rFonts w:ascii="Times New Roman" w:hAnsi="Times New Roman" w:cs="Times New Roman"/>
          <w:sz w:val="24"/>
          <w:szCs w:val="24"/>
        </w:rPr>
        <w:t>odroc</w:t>
      </w:r>
      <w:r w:rsidRPr="00FD3B04">
        <w:rPr>
          <w:rFonts w:ascii="Times New Roman" w:hAnsi="Times New Roman" w:cs="Times New Roman"/>
          <w:sz w:val="24"/>
          <w:szCs w:val="24"/>
        </w:rPr>
        <w:t>zenie</w:t>
      </w:r>
      <w:r w:rsidR="00B1454E" w:rsidRPr="00FD3B04">
        <w:rPr>
          <w:rFonts w:ascii="Times New Roman" w:hAnsi="Times New Roman" w:cs="Times New Roman"/>
          <w:sz w:val="24"/>
          <w:szCs w:val="24"/>
        </w:rPr>
        <w:t xml:space="preserve"> o dwa lata wejści</w:t>
      </w:r>
      <w:r w:rsidR="00194A8A">
        <w:rPr>
          <w:rFonts w:ascii="Times New Roman" w:hAnsi="Times New Roman" w:cs="Times New Roman"/>
          <w:sz w:val="24"/>
          <w:szCs w:val="24"/>
        </w:rPr>
        <w:t>a</w:t>
      </w:r>
      <w:r w:rsidR="00B1454E" w:rsidRPr="00FD3B04">
        <w:rPr>
          <w:rFonts w:ascii="Times New Roman" w:hAnsi="Times New Roman" w:cs="Times New Roman"/>
          <w:sz w:val="24"/>
          <w:szCs w:val="24"/>
        </w:rPr>
        <w:t xml:space="preserve"> w życie wymogów sprawozdawczych dla drugiej i trzeciej fali</w:t>
      </w:r>
      <w:r w:rsidR="006C7661">
        <w:rPr>
          <w:rFonts w:ascii="Times New Roman" w:hAnsi="Times New Roman" w:cs="Times New Roman"/>
          <w:sz w:val="24"/>
          <w:szCs w:val="24"/>
        </w:rPr>
        <w:t xml:space="preserve"> jednostek</w:t>
      </w:r>
      <w:r w:rsidR="00B1454E" w:rsidRPr="00FD3B04">
        <w:rPr>
          <w:rFonts w:ascii="Times New Roman" w:hAnsi="Times New Roman" w:cs="Times New Roman"/>
          <w:sz w:val="24"/>
          <w:szCs w:val="24"/>
        </w:rPr>
        <w:t xml:space="preserve">. </w:t>
      </w:r>
      <w:r w:rsidR="006C7661">
        <w:rPr>
          <w:rFonts w:ascii="Times New Roman" w:hAnsi="Times New Roman" w:cs="Times New Roman"/>
          <w:sz w:val="24"/>
          <w:szCs w:val="24"/>
        </w:rPr>
        <w:t xml:space="preserve">Został on ostatecznie przyjęty przez Parlament Europejski i Radę UE w postaci dyrektywy </w:t>
      </w:r>
      <w:r w:rsidR="003E0FDC">
        <w:rPr>
          <w:rFonts w:ascii="Times New Roman" w:hAnsi="Times New Roman" w:cs="Times New Roman"/>
          <w:sz w:val="24"/>
          <w:szCs w:val="24"/>
        </w:rPr>
        <w:t>2025/794</w:t>
      </w:r>
      <w:r w:rsidR="006C7661">
        <w:rPr>
          <w:rFonts w:ascii="Times New Roman" w:hAnsi="Times New Roman" w:cs="Times New Roman"/>
          <w:sz w:val="24"/>
          <w:szCs w:val="24"/>
        </w:rPr>
        <w:t>, którą państwa członkowskie mają obowiązek wdrożyć do końca 2025 r.</w:t>
      </w:r>
      <w:r w:rsidR="00E71C56">
        <w:rPr>
          <w:rFonts w:ascii="Times New Roman" w:hAnsi="Times New Roman" w:cs="Times New Roman"/>
          <w:sz w:val="24"/>
          <w:szCs w:val="24"/>
        </w:rPr>
        <w:t xml:space="preserve"> </w:t>
      </w:r>
      <w:r w:rsidR="00235F2E">
        <w:rPr>
          <w:rFonts w:ascii="Times New Roman" w:hAnsi="Times New Roman" w:cs="Times New Roman"/>
          <w:sz w:val="24"/>
          <w:szCs w:val="24"/>
        </w:rPr>
        <w:t xml:space="preserve">Tym niemniej konieczne jest jak najszybsze wdrożenie tej dyrektywy ze względu na </w:t>
      </w:r>
      <w:r w:rsidR="00235F2E" w:rsidRPr="00235F2E">
        <w:rPr>
          <w:rFonts w:ascii="Times New Roman" w:hAnsi="Times New Roman" w:cs="Times New Roman"/>
          <w:sz w:val="24"/>
          <w:szCs w:val="24"/>
        </w:rPr>
        <w:t>potrzebę zapewnienia pewności prawnej dla jednostek objętych obowiązkiem raportowania, w szczególności dla drugiej grupy, która zgodnie z</w:t>
      </w:r>
      <w:r w:rsidR="00AF741A">
        <w:rPr>
          <w:rFonts w:ascii="Times New Roman" w:hAnsi="Times New Roman" w:cs="Times New Roman"/>
          <w:sz w:val="24"/>
          <w:szCs w:val="24"/>
        </w:rPr>
        <w:t> </w:t>
      </w:r>
      <w:r w:rsidR="00235F2E" w:rsidRPr="00235F2E">
        <w:rPr>
          <w:rFonts w:ascii="Times New Roman" w:hAnsi="Times New Roman" w:cs="Times New Roman"/>
          <w:sz w:val="24"/>
          <w:szCs w:val="24"/>
        </w:rPr>
        <w:t xml:space="preserve">pierwotnymi przepisami CSRD i wdrażającej ją ustawy z dnia 6 grudnia 2024 r. </w:t>
      </w:r>
      <w:r w:rsidR="00C602D1" w:rsidRPr="00221391">
        <w:rPr>
          <w:rFonts w:ascii="Times New Roman" w:hAnsi="Times New Roman"/>
          <w:sz w:val="24"/>
          <w:szCs w:val="24"/>
        </w:rPr>
        <w:t>o</w:t>
      </w:r>
      <w:r w:rsidR="00C602D1">
        <w:rPr>
          <w:rFonts w:ascii="Times New Roman" w:hAnsi="Times New Roman"/>
          <w:sz w:val="24"/>
          <w:szCs w:val="24"/>
        </w:rPr>
        <w:t xml:space="preserve"> </w:t>
      </w:r>
      <w:r w:rsidR="00C602D1" w:rsidRPr="00221391">
        <w:rPr>
          <w:rFonts w:ascii="Times New Roman" w:hAnsi="Times New Roman"/>
          <w:sz w:val="24"/>
          <w:szCs w:val="24"/>
        </w:rPr>
        <w:t xml:space="preserve">zmianie ustawy o rachunkowości, ustawy o biegłych rewidentach, firmach audytorskich oraz nadzorze publicznym oraz </w:t>
      </w:r>
      <w:r w:rsidR="00C602D1" w:rsidRPr="00221391">
        <w:rPr>
          <w:rFonts w:ascii="Times New Roman" w:hAnsi="Times New Roman" w:cs="Times New Roman"/>
          <w:sz w:val="24"/>
          <w:szCs w:val="24"/>
        </w:rPr>
        <w:t>niektórych</w:t>
      </w:r>
      <w:r w:rsidR="00C602D1" w:rsidRPr="00C25C83">
        <w:rPr>
          <w:rFonts w:ascii="Times New Roman" w:hAnsi="Times New Roman"/>
          <w:sz w:val="24"/>
          <w:szCs w:val="24"/>
        </w:rPr>
        <w:t xml:space="preserve"> </w:t>
      </w:r>
      <w:r w:rsidR="00C602D1" w:rsidRPr="00221391">
        <w:rPr>
          <w:rFonts w:ascii="Times New Roman" w:hAnsi="Times New Roman"/>
          <w:sz w:val="24"/>
          <w:szCs w:val="24"/>
        </w:rPr>
        <w:t xml:space="preserve">innych ustaw </w:t>
      </w:r>
      <w:r w:rsidR="00235F2E" w:rsidRPr="00235F2E">
        <w:rPr>
          <w:rFonts w:ascii="Times New Roman" w:hAnsi="Times New Roman" w:cs="Times New Roman"/>
          <w:sz w:val="24"/>
          <w:szCs w:val="24"/>
        </w:rPr>
        <w:t>ma zaraportować po raz pierwszy za 2025 r.</w:t>
      </w:r>
    </w:p>
    <w:p w14:paraId="5CA1F5BA" w14:textId="64936805" w:rsidR="003E0FDC" w:rsidRPr="001C4B5C" w:rsidRDefault="003E0FDC" w:rsidP="00841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B5C">
        <w:rPr>
          <w:rFonts w:ascii="Times New Roman" w:hAnsi="Times New Roman"/>
          <w:sz w:val="24"/>
          <w:szCs w:val="24"/>
        </w:rPr>
        <w:t>Przyjęte dyrektywą 2025/794 odroczenie terminów pierwszego raportowania dla drugiej i</w:t>
      </w:r>
      <w:r w:rsidR="00AF741A">
        <w:rPr>
          <w:rFonts w:ascii="Times New Roman" w:hAnsi="Times New Roman"/>
          <w:sz w:val="24"/>
          <w:szCs w:val="24"/>
        </w:rPr>
        <w:t> </w:t>
      </w:r>
      <w:r w:rsidRPr="001C4B5C">
        <w:rPr>
          <w:rFonts w:ascii="Times New Roman" w:hAnsi="Times New Roman"/>
          <w:sz w:val="24"/>
          <w:szCs w:val="24"/>
        </w:rPr>
        <w:t xml:space="preserve">trzeciej grupy jednostek należy też rozpatrywać w świetle zmian merytorycznych w zakresie sprawozdawczości zrównoważonego rozwoju zaproponowanych w drugim z projektów aktów prawnych </w:t>
      </w:r>
      <w:r>
        <w:rPr>
          <w:rFonts w:ascii="Times New Roman" w:hAnsi="Times New Roman"/>
          <w:sz w:val="24"/>
          <w:szCs w:val="24"/>
        </w:rPr>
        <w:t xml:space="preserve">Omnibus I </w:t>
      </w:r>
      <w:r w:rsidRPr="001C4B5C">
        <w:rPr>
          <w:rFonts w:ascii="Times New Roman" w:hAnsi="Times New Roman"/>
          <w:sz w:val="24"/>
          <w:szCs w:val="24"/>
        </w:rPr>
        <w:t>(wniosek dotyczący dyrektywy Parlamentu Europejskiego i Rady zmieniającej dyrektywy 2006/43/WE, 2013/34/UE, 2022/2464 i 2024/1760 w odniesieniu do niektórych wymogów dotyczących sprawozdawczości przedsiębiorstw w zakresie zrównoważonego rozwoju i należytej staranności (COM(2025) 81). Projekt ten jest obecnie procedowany na forum UE. KE zaproponowała w nim m.in.:</w:t>
      </w:r>
    </w:p>
    <w:p w14:paraId="4C5CB7B6" w14:textId="77777777" w:rsidR="003E0FDC" w:rsidRPr="001C4B5C" w:rsidRDefault="003E0FDC" w:rsidP="00841397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4B5C">
        <w:rPr>
          <w:rFonts w:ascii="Times New Roman" w:hAnsi="Times New Roman"/>
          <w:sz w:val="24"/>
          <w:szCs w:val="24"/>
        </w:rPr>
        <w:t>znacząco zawęzić zakres jednostek zobowiązanych do sporządzania sprawozdawczości zrównoważonego rozwoju;</w:t>
      </w:r>
    </w:p>
    <w:p w14:paraId="1C00A47A" w14:textId="434879AA" w:rsidR="003E0FDC" w:rsidRPr="001C4B5C" w:rsidRDefault="003E0FDC" w:rsidP="00841397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4B5C">
        <w:rPr>
          <w:rFonts w:ascii="Times New Roman" w:hAnsi="Times New Roman"/>
          <w:sz w:val="24"/>
          <w:szCs w:val="24"/>
        </w:rPr>
        <w:t>wprowadzenie limitu informacji</w:t>
      </w:r>
      <w:r w:rsidR="005B1343">
        <w:rPr>
          <w:rFonts w:ascii="Times New Roman" w:hAnsi="Times New Roman"/>
          <w:sz w:val="24"/>
          <w:szCs w:val="24"/>
        </w:rPr>
        <w:t>,</w:t>
      </w:r>
      <w:r w:rsidRPr="001C4B5C">
        <w:rPr>
          <w:rFonts w:ascii="Times New Roman" w:hAnsi="Times New Roman"/>
          <w:sz w:val="24"/>
          <w:szCs w:val="24"/>
        </w:rPr>
        <w:t xml:space="preserve"> jakie jednostki raportujące mogłyby żądać od jednostek znajdujących się w ich łańcuchu wartości;</w:t>
      </w:r>
    </w:p>
    <w:p w14:paraId="5FB28A40" w14:textId="060A8147" w:rsidR="003E0FDC" w:rsidRPr="001C4B5C" w:rsidRDefault="003E0FDC" w:rsidP="00841397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4B5C">
        <w:rPr>
          <w:rFonts w:ascii="Times New Roman" w:hAnsi="Times New Roman"/>
          <w:sz w:val="24"/>
          <w:szCs w:val="24"/>
        </w:rPr>
        <w:t>usunięcie uprawnienia dla KE do wydania sektorowych standardów sprawozdawczości zrównoważonego rozwoju czy</w:t>
      </w:r>
    </w:p>
    <w:p w14:paraId="5F6EA05A" w14:textId="77777777" w:rsidR="003E0FDC" w:rsidRPr="001C4B5C" w:rsidRDefault="003E0FDC" w:rsidP="00841397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4B5C">
        <w:rPr>
          <w:rFonts w:ascii="Times New Roman" w:hAnsi="Times New Roman"/>
          <w:sz w:val="24"/>
          <w:szCs w:val="24"/>
        </w:rPr>
        <w:t>rezygnację z docelowo przewidzianej w CSRD atestacji sprawozdawczości zrównoważonego rozwoju na poziomie wystarczającego zapewnienia (</w:t>
      </w:r>
      <w:proofErr w:type="spellStart"/>
      <w:r w:rsidRPr="001C4B5C">
        <w:rPr>
          <w:rFonts w:ascii="Times New Roman" w:hAnsi="Times New Roman"/>
          <w:i/>
          <w:iCs/>
          <w:sz w:val="24"/>
          <w:szCs w:val="24"/>
        </w:rPr>
        <w:t>reasonable</w:t>
      </w:r>
      <w:proofErr w:type="spellEnd"/>
      <w:r w:rsidRPr="001C4B5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4B5C">
        <w:rPr>
          <w:rFonts w:ascii="Times New Roman" w:hAnsi="Times New Roman"/>
          <w:i/>
          <w:iCs/>
          <w:sz w:val="24"/>
          <w:szCs w:val="24"/>
        </w:rPr>
        <w:t>assurance</w:t>
      </w:r>
      <w:proofErr w:type="spellEnd"/>
      <w:r w:rsidRPr="001C4B5C">
        <w:rPr>
          <w:rFonts w:ascii="Times New Roman" w:hAnsi="Times New Roman"/>
          <w:sz w:val="24"/>
          <w:szCs w:val="24"/>
        </w:rPr>
        <w:t>) i pozostawienie jej na poziomie ograniczonego zapewnienia (</w:t>
      </w:r>
      <w:proofErr w:type="spellStart"/>
      <w:r w:rsidRPr="001C4B5C">
        <w:rPr>
          <w:rFonts w:ascii="Times New Roman" w:hAnsi="Times New Roman"/>
          <w:i/>
          <w:iCs/>
          <w:sz w:val="24"/>
          <w:szCs w:val="24"/>
        </w:rPr>
        <w:t>limited</w:t>
      </w:r>
      <w:proofErr w:type="spellEnd"/>
      <w:r w:rsidRPr="001C4B5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4B5C">
        <w:rPr>
          <w:rFonts w:ascii="Times New Roman" w:hAnsi="Times New Roman"/>
          <w:i/>
          <w:iCs/>
          <w:sz w:val="24"/>
          <w:szCs w:val="24"/>
        </w:rPr>
        <w:t>assurance</w:t>
      </w:r>
      <w:proofErr w:type="spellEnd"/>
      <w:r w:rsidRPr="001C4B5C">
        <w:rPr>
          <w:rFonts w:ascii="Times New Roman" w:hAnsi="Times New Roman"/>
          <w:sz w:val="24"/>
          <w:szCs w:val="24"/>
        </w:rPr>
        <w:t>).</w:t>
      </w:r>
    </w:p>
    <w:p w14:paraId="3E6DBB6C" w14:textId="5C0E4520" w:rsidR="00FC0EDB" w:rsidRDefault="00B1454E" w:rsidP="0084139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04">
        <w:rPr>
          <w:rFonts w:ascii="Times New Roman" w:hAnsi="Times New Roman" w:cs="Times New Roman"/>
          <w:sz w:val="24"/>
          <w:szCs w:val="24"/>
        </w:rPr>
        <w:t xml:space="preserve">Celem odroczenia </w:t>
      </w:r>
      <w:r w:rsidR="003E0FDC">
        <w:rPr>
          <w:rFonts w:ascii="Times New Roman" w:hAnsi="Times New Roman" w:cs="Times New Roman"/>
          <w:sz w:val="24"/>
          <w:szCs w:val="24"/>
        </w:rPr>
        <w:t xml:space="preserve">terminów pierwszego raportowania przewidzianego w dyrektywie 2025/794 </w:t>
      </w:r>
      <w:r w:rsidRPr="002524FF">
        <w:rPr>
          <w:rFonts w:ascii="Times New Roman" w:hAnsi="Times New Roman" w:cs="Times New Roman"/>
          <w:sz w:val="24"/>
          <w:szCs w:val="24"/>
        </w:rPr>
        <w:t xml:space="preserve">jest </w:t>
      </w:r>
      <w:r w:rsidR="003E0FDC" w:rsidRPr="001C4B5C">
        <w:rPr>
          <w:rFonts w:ascii="Times New Roman" w:hAnsi="Times New Roman"/>
          <w:sz w:val="24"/>
          <w:szCs w:val="24"/>
        </w:rPr>
        <w:t xml:space="preserve">zapewnienie odpowiedniego czasu na rozpatrzenie zaproponowanych zmian </w:t>
      </w:r>
      <w:r w:rsidR="003E0FDC" w:rsidRPr="001C4B5C">
        <w:rPr>
          <w:rFonts w:ascii="Times New Roman" w:hAnsi="Times New Roman"/>
          <w:sz w:val="24"/>
          <w:szCs w:val="24"/>
        </w:rPr>
        <w:lastRenderedPageBreak/>
        <w:t xml:space="preserve">merytorycznych, ich przyjęcie i wdrożenie do krajowego porządku prawnego, </w:t>
      </w:r>
      <w:r w:rsidR="00C602D1">
        <w:rPr>
          <w:rFonts w:ascii="Times New Roman" w:hAnsi="Times New Roman"/>
          <w:sz w:val="24"/>
          <w:szCs w:val="24"/>
        </w:rPr>
        <w:t>a</w:t>
      </w:r>
      <w:r w:rsidR="002524FF" w:rsidRPr="001C4B5C">
        <w:rPr>
          <w:rFonts w:ascii="Times New Roman" w:hAnsi="Times New Roman"/>
          <w:sz w:val="24"/>
          <w:szCs w:val="24"/>
        </w:rPr>
        <w:t>by</w:t>
      </w:r>
      <w:r w:rsidR="003E0FDC" w:rsidRPr="002524FF">
        <w:rPr>
          <w:rFonts w:ascii="Times New Roman" w:hAnsi="Times New Roman" w:cs="Times New Roman"/>
          <w:sz w:val="24"/>
          <w:szCs w:val="24"/>
        </w:rPr>
        <w:t xml:space="preserve"> </w:t>
      </w:r>
      <w:r w:rsidRPr="001C4B5C">
        <w:rPr>
          <w:rFonts w:ascii="Times New Roman" w:hAnsi="Times New Roman" w:cs="Times New Roman"/>
          <w:sz w:val="24"/>
          <w:szCs w:val="24"/>
        </w:rPr>
        <w:t>unikn</w:t>
      </w:r>
      <w:r w:rsidR="002524FF" w:rsidRPr="001C4B5C">
        <w:rPr>
          <w:rFonts w:ascii="Times New Roman" w:hAnsi="Times New Roman" w:cs="Times New Roman"/>
          <w:sz w:val="24"/>
          <w:szCs w:val="24"/>
        </w:rPr>
        <w:t>ąć</w:t>
      </w:r>
      <w:r w:rsidRPr="00FD3B04">
        <w:rPr>
          <w:rFonts w:ascii="Times New Roman" w:hAnsi="Times New Roman" w:cs="Times New Roman"/>
          <w:sz w:val="24"/>
          <w:szCs w:val="24"/>
        </w:rPr>
        <w:t xml:space="preserve"> sytuacji, w której niektóre </w:t>
      </w:r>
      <w:r w:rsidR="005A264E">
        <w:rPr>
          <w:rFonts w:ascii="Times New Roman" w:hAnsi="Times New Roman" w:cs="Times New Roman"/>
          <w:sz w:val="24"/>
          <w:szCs w:val="24"/>
        </w:rPr>
        <w:t>jednostki</w:t>
      </w:r>
      <w:r w:rsidRPr="00FD3B04">
        <w:rPr>
          <w:rFonts w:ascii="Times New Roman" w:hAnsi="Times New Roman" w:cs="Times New Roman"/>
          <w:sz w:val="24"/>
          <w:szCs w:val="24"/>
        </w:rPr>
        <w:t xml:space="preserve"> są zobowiązane do </w:t>
      </w:r>
      <w:r w:rsidR="004A2FCA">
        <w:rPr>
          <w:rFonts w:ascii="Times New Roman" w:hAnsi="Times New Roman" w:cs="Times New Roman"/>
          <w:sz w:val="24"/>
          <w:szCs w:val="24"/>
        </w:rPr>
        <w:t>sporządzania</w:t>
      </w:r>
      <w:r w:rsidRPr="00FD3B04">
        <w:rPr>
          <w:rFonts w:ascii="Times New Roman" w:hAnsi="Times New Roman" w:cs="Times New Roman"/>
          <w:sz w:val="24"/>
          <w:szCs w:val="24"/>
        </w:rPr>
        <w:t xml:space="preserve"> </w:t>
      </w:r>
      <w:r w:rsidR="004A2FCA">
        <w:rPr>
          <w:rFonts w:ascii="Times New Roman" w:hAnsi="Times New Roman" w:cs="Times New Roman"/>
          <w:sz w:val="24"/>
          <w:szCs w:val="24"/>
        </w:rPr>
        <w:t>spr</w:t>
      </w:r>
      <w:r w:rsidR="00D2334F">
        <w:rPr>
          <w:rFonts w:ascii="Times New Roman" w:hAnsi="Times New Roman" w:cs="Times New Roman"/>
          <w:sz w:val="24"/>
          <w:szCs w:val="24"/>
        </w:rPr>
        <w:t>a</w:t>
      </w:r>
      <w:r w:rsidR="004A2FCA">
        <w:rPr>
          <w:rFonts w:ascii="Times New Roman" w:hAnsi="Times New Roman" w:cs="Times New Roman"/>
          <w:sz w:val="24"/>
          <w:szCs w:val="24"/>
        </w:rPr>
        <w:t>wozdawczości</w:t>
      </w:r>
      <w:r w:rsidRPr="00FD3B04">
        <w:rPr>
          <w:rFonts w:ascii="Times New Roman" w:hAnsi="Times New Roman" w:cs="Times New Roman"/>
          <w:sz w:val="24"/>
          <w:szCs w:val="24"/>
        </w:rPr>
        <w:t xml:space="preserve"> </w:t>
      </w:r>
      <w:r w:rsidR="00FD3B04">
        <w:rPr>
          <w:rFonts w:ascii="Times New Roman" w:hAnsi="Times New Roman" w:cs="Times New Roman"/>
          <w:sz w:val="24"/>
          <w:szCs w:val="24"/>
        </w:rPr>
        <w:t xml:space="preserve">zrównoważonego rozwoju </w:t>
      </w:r>
      <w:r w:rsidRPr="00FD3B04">
        <w:rPr>
          <w:rFonts w:ascii="Times New Roman" w:hAnsi="Times New Roman" w:cs="Times New Roman"/>
          <w:sz w:val="24"/>
          <w:szCs w:val="24"/>
        </w:rPr>
        <w:t>za rok obrotowy 2025 (druga fala) lub 2026 (trzecia fala), a</w:t>
      </w:r>
      <w:r w:rsidR="000D4717">
        <w:rPr>
          <w:rFonts w:ascii="Times New Roman" w:hAnsi="Times New Roman" w:cs="Times New Roman"/>
          <w:sz w:val="24"/>
          <w:szCs w:val="24"/>
        </w:rPr>
        <w:t> </w:t>
      </w:r>
      <w:r w:rsidRPr="00FD3B04">
        <w:rPr>
          <w:rFonts w:ascii="Times New Roman" w:hAnsi="Times New Roman" w:cs="Times New Roman"/>
          <w:sz w:val="24"/>
          <w:szCs w:val="24"/>
        </w:rPr>
        <w:t>następnie</w:t>
      </w:r>
      <w:r w:rsidR="00C002E5">
        <w:rPr>
          <w:rFonts w:ascii="Times New Roman" w:hAnsi="Times New Roman" w:cs="Times New Roman"/>
          <w:sz w:val="24"/>
          <w:szCs w:val="24"/>
        </w:rPr>
        <w:t>, po przyjęciu zmian merytorycznych zawartych w drugim projekcie,</w:t>
      </w:r>
      <w:r w:rsidRPr="00FD3B04">
        <w:rPr>
          <w:rFonts w:ascii="Times New Roman" w:hAnsi="Times New Roman" w:cs="Times New Roman"/>
          <w:sz w:val="24"/>
          <w:szCs w:val="24"/>
        </w:rPr>
        <w:t xml:space="preserve"> </w:t>
      </w:r>
      <w:r w:rsidR="005A264E">
        <w:rPr>
          <w:rFonts w:ascii="Times New Roman" w:hAnsi="Times New Roman" w:cs="Times New Roman"/>
          <w:sz w:val="24"/>
          <w:szCs w:val="24"/>
        </w:rPr>
        <w:t>będą</w:t>
      </w:r>
      <w:r w:rsidRPr="00FD3B04">
        <w:rPr>
          <w:rFonts w:ascii="Times New Roman" w:hAnsi="Times New Roman" w:cs="Times New Roman"/>
          <w:sz w:val="24"/>
          <w:szCs w:val="24"/>
        </w:rPr>
        <w:t xml:space="preserve"> zwolnione z tego wymogu. Taka sytuacja oznaczałaby, że dane </w:t>
      </w:r>
      <w:r w:rsidR="005A264E">
        <w:rPr>
          <w:rFonts w:ascii="Times New Roman" w:hAnsi="Times New Roman" w:cs="Times New Roman"/>
          <w:sz w:val="24"/>
          <w:szCs w:val="24"/>
        </w:rPr>
        <w:t>jednostki</w:t>
      </w:r>
      <w:r w:rsidRPr="00FD3B04">
        <w:rPr>
          <w:rFonts w:ascii="Times New Roman" w:hAnsi="Times New Roman" w:cs="Times New Roman"/>
          <w:sz w:val="24"/>
          <w:szCs w:val="24"/>
        </w:rPr>
        <w:t xml:space="preserve"> poniosłyby niepotrzebne i możliwe do uniknięcia koszty.</w:t>
      </w:r>
    </w:p>
    <w:p w14:paraId="53E1B5EA" w14:textId="2EFC212E" w:rsidR="00502B65" w:rsidRDefault="00502B65" w:rsidP="0084139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65">
        <w:rPr>
          <w:rFonts w:ascii="Times New Roman" w:hAnsi="Times New Roman" w:cs="Times New Roman"/>
          <w:sz w:val="24"/>
          <w:szCs w:val="24"/>
        </w:rPr>
        <w:t>Tym niemniej jednostki, dla których sprawozdawczość ESG będzie istotna ze względów na stosowaną strategię biznesową lub potrzebę dostarczenia informacji dla dostawców kapitału</w:t>
      </w:r>
      <w:r w:rsidR="00C602D1">
        <w:rPr>
          <w:rFonts w:ascii="Times New Roman" w:hAnsi="Times New Roman" w:cs="Times New Roman"/>
          <w:sz w:val="24"/>
          <w:szCs w:val="24"/>
        </w:rPr>
        <w:t>,</w:t>
      </w:r>
      <w:r w:rsidRPr="00502B65">
        <w:rPr>
          <w:rFonts w:ascii="Times New Roman" w:hAnsi="Times New Roman" w:cs="Times New Roman"/>
          <w:sz w:val="24"/>
          <w:szCs w:val="24"/>
        </w:rPr>
        <w:t xml:space="preserve"> będą mogły dobrowolnie sporządzić sprawozdawczość zrównoważonego rozwoju.</w:t>
      </w:r>
    </w:p>
    <w:p w14:paraId="148041D3" w14:textId="658C9028" w:rsidR="00FB09A7" w:rsidRPr="00FC0EDB" w:rsidRDefault="006E1139" w:rsidP="00841397">
      <w:pPr>
        <w:pStyle w:val="Akapitzlist"/>
        <w:numPr>
          <w:ilvl w:val="0"/>
          <w:numId w:val="3"/>
        </w:numPr>
        <w:spacing w:before="240" w:after="120" w:line="36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AFE">
        <w:rPr>
          <w:rFonts w:ascii="Times New Roman" w:eastAsia="Times New Roman" w:hAnsi="Times New Roman" w:cs="Times New Roman"/>
          <w:b/>
          <w:bCs/>
          <w:sz w:val="24"/>
          <w:szCs w:val="24"/>
        </w:rPr>
        <w:t>Proponowane</w:t>
      </w:r>
      <w:r w:rsidRPr="00DA7AFE">
        <w:rPr>
          <w:rFonts w:ascii="Times New Roman" w:hAnsi="Times New Roman" w:cs="Times New Roman"/>
          <w:b/>
          <w:bCs/>
          <w:sz w:val="24"/>
          <w:szCs w:val="24"/>
        </w:rPr>
        <w:t xml:space="preserve"> zmiany</w:t>
      </w:r>
    </w:p>
    <w:p w14:paraId="756B6F06" w14:textId="723BA691" w:rsidR="00D843B7" w:rsidRDefault="00F12274" w:rsidP="0084139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ustawy</w:t>
      </w:r>
      <w:r w:rsidR="006C7661">
        <w:rPr>
          <w:rFonts w:ascii="Times New Roman" w:hAnsi="Times New Roman" w:cs="Times New Roman"/>
          <w:sz w:val="24"/>
          <w:szCs w:val="24"/>
        </w:rPr>
        <w:t>, w ślad za dyrektywą</w:t>
      </w:r>
      <w:r w:rsidR="00D2334F">
        <w:rPr>
          <w:rFonts w:ascii="Times New Roman" w:hAnsi="Times New Roman" w:cs="Times New Roman"/>
          <w:sz w:val="24"/>
          <w:szCs w:val="24"/>
        </w:rPr>
        <w:t xml:space="preserve"> 2025/794</w:t>
      </w:r>
      <w:r w:rsidR="006C7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zakłada </w:t>
      </w:r>
      <w:r w:rsidR="00B07D72" w:rsidRPr="00B07D72">
        <w:rPr>
          <w:rFonts w:ascii="Times New Roman" w:hAnsi="Times New Roman" w:cs="Times New Roman"/>
          <w:sz w:val="24"/>
          <w:szCs w:val="24"/>
        </w:rPr>
        <w:t xml:space="preserve">odroczenie o dwa lata obowiązku raportowania informacji o zrównoważonym rozwoju </w:t>
      </w:r>
      <w:r>
        <w:rPr>
          <w:rFonts w:ascii="Times New Roman" w:hAnsi="Times New Roman" w:cs="Times New Roman"/>
          <w:sz w:val="24"/>
          <w:szCs w:val="24"/>
        </w:rPr>
        <w:t>dla dużych jednostek oraz dla małych i</w:t>
      </w:r>
      <w:r w:rsidR="00AF74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średnich jednostek będących emitentami papierów wartościowych dopuszczonych do obrotu na jednym z rynków regulowanych Europejskiego Obszaru Gospodarczego</w:t>
      </w:r>
      <w:r w:rsidR="006C7661">
        <w:rPr>
          <w:rFonts w:ascii="Times New Roman" w:hAnsi="Times New Roman" w:cs="Times New Roman"/>
          <w:sz w:val="24"/>
          <w:szCs w:val="24"/>
        </w:rPr>
        <w:t>, odpowiednio do 2028 r. za rok obrotowy 2027 (druga fala) oraz do 2029 r. za rok obrotowy 2028 (trzecia fala)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3B7">
        <w:rPr>
          <w:rFonts w:ascii="Times New Roman" w:hAnsi="Times New Roman" w:cs="Times New Roman"/>
          <w:sz w:val="24"/>
          <w:szCs w:val="24"/>
        </w:rPr>
        <w:t xml:space="preserve">W związku z tym w art. 14 ust. 5 pkt 2 i 3 ustawy z dnia 6 grudnia 2024 r. </w:t>
      </w:r>
      <w:r w:rsidR="00C602D1" w:rsidRPr="00221391">
        <w:rPr>
          <w:rFonts w:ascii="Times New Roman" w:hAnsi="Times New Roman"/>
          <w:sz w:val="24"/>
          <w:szCs w:val="24"/>
        </w:rPr>
        <w:t>o</w:t>
      </w:r>
      <w:r w:rsidR="00C602D1">
        <w:rPr>
          <w:rFonts w:ascii="Times New Roman" w:hAnsi="Times New Roman"/>
          <w:sz w:val="24"/>
          <w:szCs w:val="24"/>
        </w:rPr>
        <w:t xml:space="preserve"> </w:t>
      </w:r>
      <w:r w:rsidR="00C602D1" w:rsidRPr="00221391">
        <w:rPr>
          <w:rFonts w:ascii="Times New Roman" w:hAnsi="Times New Roman"/>
          <w:sz w:val="24"/>
          <w:szCs w:val="24"/>
        </w:rPr>
        <w:t>zmianie ustawy o</w:t>
      </w:r>
      <w:r w:rsidR="004325DE">
        <w:rPr>
          <w:rFonts w:ascii="Times New Roman" w:hAnsi="Times New Roman"/>
          <w:sz w:val="24"/>
          <w:szCs w:val="24"/>
        </w:rPr>
        <w:t> </w:t>
      </w:r>
      <w:r w:rsidR="00C602D1" w:rsidRPr="00221391">
        <w:rPr>
          <w:rFonts w:ascii="Times New Roman" w:hAnsi="Times New Roman"/>
          <w:sz w:val="24"/>
          <w:szCs w:val="24"/>
        </w:rPr>
        <w:t xml:space="preserve">rachunkowości, ustawy o biegłych rewidentach, firmach audytorskich oraz nadzorze publicznym oraz </w:t>
      </w:r>
      <w:r w:rsidR="00C602D1" w:rsidRPr="00221391">
        <w:rPr>
          <w:rFonts w:ascii="Times New Roman" w:hAnsi="Times New Roman" w:cs="Times New Roman"/>
          <w:sz w:val="24"/>
          <w:szCs w:val="24"/>
        </w:rPr>
        <w:t>niektórych</w:t>
      </w:r>
      <w:r w:rsidR="00C602D1" w:rsidRPr="00C25C83">
        <w:rPr>
          <w:rFonts w:ascii="Times New Roman" w:hAnsi="Times New Roman"/>
          <w:sz w:val="24"/>
          <w:szCs w:val="24"/>
        </w:rPr>
        <w:t xml:space="preserve"> </w:t>
      </w:r>
      <w:r w:rsidR="00C602D1" w:rsidRPr="00221391">
        <w:rPr>
          <w:rFonts w:ascii="Times New Roman" w:hAnsi="Times New Roman"/>
          <w:sz w:val="24"/>
          <w:szCs w:val="24"/>
        </w:rPr>
        <w:t xml:space="preserve">innych ustaw </w:t>
      </w:r>
      <w:r w:rsidR="00D843B7">
        <w:rPr>
          <w:rFonts w:ascii="Times New Roman" w:hAnsi="Times New Roman" w:cs="Times New Roman"/>
          <w:sz w:val="24"/>
          <w:szCs w:val="24"/>
        </w:rPr>
        <w:t xml:space="preserve">terminy „31 grudnia 2024 r.” i </w:t>
      </w:r>
      <w:r w:rsidR="00C602D1">
        <w:rPr>
          <w:rFonts w:ascii="Times New Roman" w:hAnsi="Times New Roman" w:cs="Times New Roman"/>
          <w:sz w:val="24"/>
          <w:szCs w:val="24"/>
        </w:rPr>
        <w:t>„</w:t>
      </w:r>
      <w:r w:rsidR="00D843B7">
        <w:rPr>
          <w:rFonts w:ascii="Times New Roman" w:hAnsi="Times New Roman" w:cs="Times New Roman"/>
          <w:sz w:val="24"/>
          <w:szCs w:val="24"/>
        </w:rPr>
        <w:t>31 grudnia 2025 r.” należy zamienić odpowiednio na „31 grudnia 2026 r.” i</w:t>
      </w:r>
      <w:r w:rsidR="00C602D1">
        <w:rPr>
          <w:rFonts w:ascii="Times New Roman" w:hAnsi="Times New Roman" w:cs="Times New Roman"/>
          <w:sz w:val="24"/>
          <w:szCs w:val="24"/>
        </w:rPr>
        <w:t xml:space="preserve"> </w:t>
      </w:r>
      <w:r w:rsidR="00D843B7">
        <w:rPr>
          <w:rFonts w:ascii="Times New Roman" w:hAnsi="Times New Roman" w:cs="Times New Roman"/>
          <w:sz w:val="24"/>
          <w:szCs w:val="24"/>
        </w:rPr>
        <w:t>„31</w:t>
      </w:r>
      <w:r w:rsidR="00C602D1">
        <w:rPr>
          <w:rFonts w:ascii="Times New Roman" w:hAnsi="Times New Roman" w:cs="Times New Roman"/>
          <w:sz w:val="24"/>
          <w:szCs w:val="24"/>
        </w:rPr>
        <w:t xml:space="preserve"> </w:t>
      </w:r>
      <w:r w:rsidR="00D843B7">
        <w:rPr>
          <w:rFonts w:ascii="Times New Roman" w:hAnsi="Times New Roman" w:cs="Times New Roman"/>
          <w:sz w:val="24"/>
          <w:szCs w:val="24"/>
        </w:rPr>
        <w:t>grudnia 2027 r.”.</w:t>
      </w:r>
    </w:p>
    <w:p w14:paraId="64E7BA6A" w14:textId="32ABD2D5" w:rsidR="00D843B7" w:rsidRDefault="00D843B7" w:rsidP="00841397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0F5C2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związku z wprowadzonym przez dyrektywę 2025/794 dwuletnim odroczeniem pierwszego raportowania</w:t>
      </w:r>
      <w:r w:rsidR="000F5C29">
        <w:rPr>
          <w:rFonts w:ascii="Times New Roman" w:hAnsi="Times New Roman" w:cs="Times New Roman"/>
          <w:sz w:val="24"/>
          <w:szCs w:val="24"/>
        </w:rPr>
        <w:t xml:space="preserve"> trzecia fala jednostek będzie miała obowiązek zaraportować po raz pierwszy za 2028 r. Zatem przewidziana dla tej grupy jednostek w obecnym art. 14 ust. 6 ustawy z dnia 6 grudnia 2024 r. </w:t>
      </w:r>
      <w:r w:rsidR="005E1735" w:rsidRPr="00221391">
        <w:rPr>
          <w:rFonts w:ascii="Times New Roman" w:hAnsi="Times New Roman"/>
          <w:sz w:val="24"/>
          <w:szCs w:val="24"/>
        </w:rPr>
        <w:t>o</w:t>
      </w:r>
      <w:r w:rsidR="005E1735">
        <w:rPr>
          <w:rFonts w:ascii="Times New Roman" w:hAnsi="Times New Roman"/>
          <w:sz w:val="24"/>
          <w:szCs w:val="24"/>
        </w:rPr>
        <w:t xml:space="preserve"> </w:t>
      </w:r>
      <w:r w:rsidR="005E1735" w:rsidRPr="00221391">
        <w:rPr>
          <w:rFonts w:ascii="Times New Roman" w:hAnsi="Times New Roman"/>
          <w:sz w:val="24"/>
          <w:szCs w:val="24"/>
        </w:rPr>
        <w:t xml:space="preserve">zmianie ustawy o rachunkowości, ustawy o biegłych rewidentach, firmach audytorskich oraz nadzorze publicznym oraz </w:t>
      </w:r>
      <w:r w:rsidR="005E1735" w:rsidRPr="00221391">
        <w:rPr>
          <w:rFonts w:ascii="Times New Roman" w:hAnsi="Times New Roman" w:cs="Times New Roman"/>
          <w:sz w:val="24"/>
          <w:szCs w:val="24"/>
        </w:rPr>
        <w:t>niektórych</w:t>
      </w:r>
      <w:r w:rsidR="005E1735" w:rsidRPr="00C25C83">
        <w:rPr>
          <w:rFonts w:ascii="Times New Roman" w:hAnsi="Times New Roman"/>
          <w:sz w:val="24"/>
          <w:szCs w:val="24"/>
        </w:rPr>
        <w:t xml:space="preserve"> </w:t>
      </w:r>
      <w:r w:rsidR="005E1735" w:rsidRPr="00221391">
        <w:rPr>
          <w:rFonts w:ascii="Times New Roman" w:hAnsi="Times New Roman"/>
          <w:sz w:val="24"/>
          <w:szCs w:val="24"/>
        </w:rPr>
        <w:t xml:space="preserve">innych ustaw </w:t>
      </w:r>
      <w:r w:rsidR="000F5C29">
        <w:rPr>
          <w:rFonts w:ascii="Times New Roman" w:hAnsi="Times New Roman" w:cs="Times New Roman"/>
          <w:sz w:val="24"/>
          <w:szCs w:val="24"/>
        </w:rPr>
        <w:t>możliwość dwuletniego odroczenia raportowania traci rację bytu. Stąd zasadne jest wykreślenie art. 14 ust.</w:t>
      </w:r>
      <w:r w:rsidR="005E1735">
        <w:rPr>
          <w:rFonts w:ascii="Times New Roman" w:hAnsi="Times New Roman" w:cs="Times New Roman"/>
          <w:sz w:val="24"/>
          <w:szCs w:val="24"/>
        </w:rPr>
        <w:t> </w:t>
      </w:r>
      <w:r w:rsidR="000F5C29">
        <w:rPr>
          <w:rFonts w:ascii="Times New Roman" w:hAnsi="Times New Roman" w:cs="Times New Roman"/>
          <w:sz w:val="24"/>
          <w:szCs w:val="24"/>
        </w:rPr>
        <w:t>6</w:t>
      </w:r>
      <w:r w:rsidR="00460010">
        <w:rPr>
          <w:rFonts w:ascii="Times New Roman" w:hAnsi="Times New Roman" w:cs="Times New Roman"/>
          <w:sz w:val="24"/>
          <w:szCs w:val="24"/>
        </w:rPr>
        <w:t xml:space="preserve"> tej ustawy</w:t>
      </w:r>
      <w:r w:rsidR="000F5C29">
        <w:rPr>
          <w:rFonts w:ascii="Times New Roman" w:hAnsi="Times New Roman" w:cs="Times New Roman"/>
          <w:sz w:val="24"/>
          <w:szCs w:val="24"/>
        </w:rPr>
        <w:t>.</w:t>
      </w:r>
    </w:p>
    <w:p w14:paraId="7BCB7C94" w14:textId="2AE25F85" w:rsidR="00D34934" w:rsidRDefault="00F12274" w:rsidP="0084139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przepisy pozostają bez zmian. Projekt ma charakter punktowej nowelizacji technicznej, nieingerującej w zakres merytoryczny obowiązków sprawozdawczych, a jedynie </w:t>
      </w:r>
      <w:r w:rsidR="000B376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moment ich </w:t>
      </w:r>
      <w:r w:rsidR="000B3765">
        <w:rPr>
          <w:rFonts w:ascii="Times New Roman" w:hAnsi="Times New Roman" w:cs="Times New Roman"/>
          <w:sz w:val="24"/>
          <w:szCs w:val="24"/>
        </w:rPr>
        <w:t xml:space="preserve">pierwszego </w:t>
      </w:r>
      <w:r>
        <w:rPr>
          <w:rFonts w:ascii="Times New Roman" w:hAnsi="Times New Roman" w:cs="Times New Roman"/>
          <w:sz w:val="24"/>
          <w:szCs w:val="24"/>
        </w:rPr>
        <w:t>stos</w:t>
      </w:r>
      <w:r w:rsidR="00E77E32">
        <w:rPr>
          <w:rFonts w:ascii="Times New Roman" w:hAnsi="Times New Roman" w:cs="Times New Roman"/>
          <w:sz w:val="24"/>
          <w:szCs w:val="24"/>
        </w:rPr>
        <w:t>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519A9" w14:textId="04C415D1" w:rsidR="00445998" w:rsidRPr="00445998" w:rsidRDefault="00445998" w:rsidP="0084139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wchodzi w życie </w:t>
      </w:r>
      <w:r w:rsidR="00D2334F">
        <w:rPr>
          <w:rFonts w:ascii="Times New Roman" w:hAnsi="Times New Roman" w:cs="Times New Roman"/>
          <w:sz w:val="24"/>
          <w:szCs w:val="24"/>
        </w:rPr>
        <w:t xml:space="preserve">z dniem następującym po dniu ogłoszenia. </w:t>
      </w:r>
      <w:r w:rsidR="00E31F6F" w:rsidRPr="00E31F6F">
        <w:rPr>
          <w:rFonts w:ascii="Times New Roman" w:hAnsi="Times New Roman" w:cs="Times New Roman"/>
          <w:sz w:val="24"/>
          <w:szCs w:val="24"/>
        </w:rPr>
        <w:t xml:space="preserve">Projektowane zmiany </w:t>
      </w:r>
      <w:r w:rsidR="00E31F6F">
        <w:rPr>
          <w:rFonts w:ascii="Times New Roman" w:hAnsi="Times New Roman" w:cs="Times New Roman"/>
          <w:sz w:val="24"/>
          <w:szCs w:val="24"/>
        </w:rPr>
        <w:t>odraczające terminy raportowania informacji o zrównoważonym rozwoju</w:t>
      </w:r>
      <w:r w:rsidR="00E31F6F" w:rsidRPr="00E31F6F">
        <w:rPr>
          <w:rFonts w:ascii="Times New Roman" w:hAnsi="Times New Roman" w:cs="Times New Roman"/>
          <w:sz w:val="24"/>
          <w:szCs w:val="24"/>
        </w:rPr>
        <w:t xml:space="preserve"> są korzystne dla </w:t>
      </w:r>
      <w:r w:rsidR="00E31F6F">
        <w:rPr>
          <w:rFonts w:ascii="Times New Roman" w:hAnsi="Times New Roman" w:cs="Times New Roman"/>
          <w:sz w:val="24"/>
          <w:szCs w:val="24"/>
        </w:rPr>
        <w:lastRenderedPageBreak/>
        <w:t>adresatów</w:t>
      </w:r>
      <w:r w:rsidR="005E1735">
        <w:rPr>
          <w:rFonts w:ascii="Times New Roman" w:hAnsi="Times New Roman" w:cs="Times New Roman"/>
          <w:sz w:val="24"/>
          <w:szCs w:val="24"/>
        </w:rPr>
        <w:t>,</w:t>
      </w:r>
      <w:r w:rsidR="00E31F6F" w:rsidRPr="00E31F6F">
        <w:rPr>
          <w:rFonts w:ascii="Times New Roman" w:hAnsi="Times New Roman" w:cs="Times New Roman"/>
          <w:sz w:val="24"/>
          <w:szCs w:val="24"/>
        </w:rPr>
        <w:t xml:space="preserve"> w związku z tym ważny interes państwa wymaga ich natychmiastowe</w:t>
      </w:r>
      <w:r w:rsidR="00E31F6F">
        <w:rPr>
          <w:rFonts w:ascii="Times New Roman" w:hAnsi="Times New Roman" w:cs="Times New Roman"/>
          <w:sz w:val="24"/>
          <w:szCs w:val="24"/>
        </w:rPr>
        <w:t>go</w:t>
      </w:r>
      <w:r w:rsidR="00E31F6F" w:rsidRPr="00E31F6F">
        <w:rPr>
          <w:rFonts w:ascii="Times New Roman" w:hAnsi="Times New Roman" w:cs="Times New Roman"/>
          <w:sz w:val="24"/>
          <w:szCs w:val="24"/>
        </w:rPr>
        <w:t xml:space="preserve"> wejścia w</w:t>
      </w:r>
      <w:r w:rsidR="00AF741A">
        <w:rPr>
          <w:rFonts w:ascii="Times New Roman" w:hAnsi="Times New Roman" w:cs="Times New Roman"/>
          <w:sz w:val="24"/>
          <w:szCs w:val="24"/>
        </w:rPr>
        <w:t> </w:t>
      </w:r>
      <w:r w:rsidR="00E31F6F" w:rsidRPr="00E31F6F">
        <w:rPr>
          <w:rFonts w:ascii="Times New Roman" w:hAnsi="Times New Roman" w:cs="Times New Roman"/>
          <w:sz w:val="24"/>
          <w:szCs w:val="24"/>
        </w:rPr>
        <w:t>życie, a zasady demokratycznego państwa prawnego nie stoją temu na przeszkodzie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A4B1C" w14:textId="71859DA2" w:rsidR="002A5A23" w:rsidRDefault="002A5A23" w:rsidP="00841397">
      <w:pPr>
        <w:pStyle w:val="USTustnpkodeksu"/>
        <w:spacing w:after="120"/>
        <w:ind w:firstLine="0"/>
        <w:rPr>
          <w:rFonts w:ascii="Times New Roman" w:hAnsi="Times New Roman" w:cs="Times New Roman"/>
          <w:szCs w:val="24"/>
        </w:rPr>
      </w:pPr>
      <w:r w:rsidRPr="002A5A23">
        <w:rPr>
          <w:rFonts w:ascii="Times New Roman" w:hAnsi="Times New Roman" w:cs="Times New Roman"/>
          <w:szCs w:val="24"/>
        </w:rPr>
        <w:t>Projektowana regulacja nie wymaga przedłożenia instytucjom i organom Unii Europejskiej, w</w:t>
      </w:r>
      <w:r w:rsidR="00AF741A">
        <w:rPr>
          <w:rFonts w:ascii="Times New Roman" w:hAnsi="Times New Roman" w:cs="Times New Roman"/>
          <w:szCs w:val="24"/>
        </w:rPr>
        <w:t> </w:t>
      </w:r>
      <w:r w:rsidRPr="002A5A23">
        <w:rPr>
          <w:rFonts w:ascii="Times New Roman" w:hAnsi="Times New Roman" w:cs="Times New Roman"/>
          <w:szCs w:val="24"/>
        </w:rPr>
        <w:t>tym Europejskiemu Bankowi Centralnemu</w:t>
      </w:r>
      <w:r w:rsidR="00E31F6F">
        <w:rPr>
          <w:rFonts w:ascii="Times New Roman" w:hAnsi="Times New Roman" w:cs="Times New Roman"/>
          <w:szCs w:val="24"/>
        </w:rPr>
        <w:t>,</w:t>
      </w:r>
      <w:r w:rsidRPr="002A5A23">
        <w:rPr>
          <w:rFonts w:ascii="Times New Roman" w:hAnsi="Times New Roman" w:cs="Times New Roman"/>
          <w:szCs w:val="24"/>
        </w:rPr>
        <w:t xml:space="preserve"> w celu uzyskania opinii, dokonania powiadomienia, konsultacji albo uzgodnienia.</w:t>
      </w:r>
    </w:p>
    <w:p w14:paraId="63D3428E" w14:textId="2DFD3E39" w:rsidR="00F10408" w:rsidRPr="00DA7AFE" w:rsidRDefault="00F10408" w:rsidP="00841397">
      <w:pPr>
        <w:pStyle w:val="USTustnpkodeksu"/>
        <w:spacing w:after="120"/>
        <w:ind w:firstLine="0"/>
        <w:rPr>
          <w:rFonts w:ascii="Times New Roman" w:hAnsi="Times New Roman" w:cs="Times New Roman"/>
          <w:szCs w:val="24"/>
        </w:rPr>
      </w:pPr>
      <w:r w:rsidRPr="00DA7AFE">
        <w:rPr>
          <w:rFonts w:ascii="Times New Roman" w:hAnsi="Times New Roman" w:cs="Times New Roman"/>
          <w:szCs w:val="24"/>
        </w:rPr>
        <w:t xml:space="preserve">Zawarte w projekcie ustawy regulacje nie stanowią przepisów technicznych w rozumieniu </w:t>
      </w:r>
      <w:r w:rsidRPr="00841397">
        <w:rPr>
          <w:rFonts w:ascii="Times New Roman" w:hAnsi="Times New Roman" w:cs="Times New Roman"/>
          <w:szCs w:val="24"/>
        </w:rPr>
        <w:t>rozporządzenia Rady Ministrów z dnia 23 grudnia 2002 r. w sprawie sposobu funkcjonowania krajowego systemu notyfikacji norm i aktów prawnych</w:t>
      </w:r>
      <w:r w:rsidRPr="00DA7AFE">
        <w:rPr>
          <w:rFonts w:ascii="Times New Roman" w:hAnsi="Times New Roman" w:cs="Times New Roman"/>
          <w:szCs w:val="24"/>
        </w:rPr>
        <w:t xml:space="preserve"> (Dz. U. poz.</w:t>
      </w:r>
      <w:r w:rsidR="00AF741A">
        <w:rPr>
          <w:rFonts w:ascii="Times New Roman" w:hAnsi="Times New Roman" w:cs="Times New Roman"/>
          <w:szCs w:val="24"/>
        </w:rPr>
        <w:t xml:space="preserve"> </w:t>
      </w:r>
      <w:r w:rsidRPr="00DA7AFE">
        <w:rPr>
          <w:rFonts w:ascii="Times New Roman" w:hAnsi="Times New Roman" w:cs="Times New Roman"/>
          <w:szCs w:val="24"/>
        </w:rPr>
        <w:t xml:space="preserve">2039, z </w:t>
      </w:r>
      <w:proofErr w:type="spellStart"/>
      <w:r w:rsidRPr="00DA7AFE">
        <w:rPr>
          <w:rFonts w:ascii="Times New Roman" w:hAnsi="Times New Roman" w:cs="Times New Roman"/>
          <w:szCs w:val="24"/>
        </w:rPr>
        <w:t>późn</w:t>
      </w:r>
      <w:proofErr w:type="spellEnd"/>
      <w:r w:rsidRPr="00DA7AFE">
        <w:rPr>
          <w:rFonts w:ascii="Times New Roman" w:hAnsi="Times New Roman" w:cs="Times New Roman"/>
          <w:szCs w:val="24"/>
        </w:rPr>
        <w:t>. zm.), dlatego też projekt ustawy nie podlega procedurze notyfikacji.</w:t>
      </w:r>
    </w:p>
    <w:p w14:paraId="66CB4386" w14:textId="6748D99C" w:rsidR="003C4081" w:rsidRDefault="00F10408" w:rsidP="00841397">
      <w:pPr>
        <w:pStyle w:val="USTustnpkodeksu"/>
        <w:spacing w:after="120"/>
        <w:ind w:firstLine="0"/>
      </w:pPr>
      <w:r w:rsidRPr="00DA7AFE">
        <w:rPr>
          <w:rFonts w:ascii="Times New Roman" w:hAnsi="Times New Roman" w:cs="Times New Roman"/>
          <w:szCs w:val="24"/>
        </w:rPr>
        <w:t>Projekt ustawy jest zgodny z prawem UE.</w:t>
      </w:r>
    </w:p>
    <w:sectPr w:rsidR="003C4081" w:rsidSect="00322C2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AFC9" w14:textId="77777777" w:rsidR="00595271" w:rsidRDefault="00595271" w:rsidP="00ED636C">
      <w:pPr>
        <w:spacing w:after="0" w:line="240" w:lineRule="auto"/>
      </w:pPr>
      <w:r>
        <w:separator/>
      </w:r>
    </w:p>
  </w:endnote>
  <w:endnote w:type="continuationSeparator" w:id="0">
    <w:p w14:paraId="620D9018" w14:textId="77777777" w:rsidR="00595271" w:rsidRDefault="00595271" w:rsidP="00ED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761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C5D1D6" w14:textId="281DB46E" w:rsidR="00322C2C" w:rsidRPr="00322C2C" w:rsidRDefault="00322C2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C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C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C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2C2C">
          <w:rPr>
            <w:rFonts w:ascii="Times New Roman" w:hAnsi="Times New Roman" w:cs="Times New Roman"/>
            <w:sz w:val="24"/>
            <w:szCs w:val="24"/>
          </w:rPr>
          <w:t>2</w:t>
        </w:r>
        <w:r w:rsidRPr="00322C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756B" w14:textId="77777777" w:rsidR="00595271" w:rsidRDefault="00595271" w:rsidP="00ED636C">
      <w:pPr>
        <w:spacing w:after="0" w:line="240" w:lineRule="auto"/>
      </w:pPr>
      <w:r>
        <w:separator/>
      </w:r>
    </w:p>
  </w:footnote>
  <w:footnote w:type="continuationSeparator" w:id="0">
    <w:p w14:paraId="513812D1" w14:textId="77777777" w:rsidR="00595271" w:rsidRDefault="00595271" w:rsidP="00ED636C">
      <w:pPr>
        <w:spacing w:after="0" w:line="240" w:lineRule="auto"/>
      </w:pPr>
      <w:r>
        <w:continuationSeparator/>
      </w:r>
    </w:p>
  </w:footnote>
  <w:footnote w:id="1">
    <w:p w14:paraId="767329A5" w14:textId="034341A7" w:rsidR="00915DDB" w:rsidRPr="00915DDB" w:rsidRDefault="003839E1" w:rsidP="0084139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71343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="00915DDB" w:rsidRPr="00915DDB">
        <w:rPr>
          <w:rFonts w:ascii="Times New Roman" w:hAnsi="Times New Roman" w:cs="Times New Roman"/>
        </w:rPr>
        <w:t>dyrektywa Parlamentu Europejskiego i Rady (UE) 2025/794 z dnia 14 kwietnia 2025 r. w sprawie zmiany dyrektywy (UE) 2022/2464 i (UE) 2024/1760 w odniesieniu do dat, od których państwa członkowskie mają stosować niektóre wymogi dotyczące sprawozdawczości przedsiębiorstw w zakresie zrównoważonego rozwoju i</w:t>
      </w:r>
      <w:r w:rsidR="00A42D45">
        <w:rPr>
          <w:rFonts w:ascii="Times New Roman" w:hAnsi="Times New Roman" w:cs="Times New Roman"/>
        </w:rPr>
        <w:t xml:space="preserve"> </w:t>
      </w:r>
      <w:r w:rsidR="00915DDB" w:rsidRPr="00915DDB">
        <w:rPr>
          <w:rFonts w:ascii="Times New Roman" w:hAnsi="Times New Roman" w:cs="Times New Roman"/>
        </w:rPr>
        <w:t>niektóre wymogi w zakresie należytej staranności przedsiębiorstw w zakresie zrównoważonego rozwoju (Dz.</w:t>
      </w:r>
      <w:r w:rsidR="00A42D45">
        <w:rPr>
          <w:rFonts w:ascii="Times New Roman" w:hAnsi="Times New Roman" w:cs="Times New Roman"/>
        </w:rPr>
        <w:t xml:space="preserve"> </w:t>
      </w:r>
      <w:r w:rsidR="00915DDB" w:rsidRPr="00915DDB">
        <w:rPr>
          <w:rFonts w:ascii="Times New Roman" w:hAnsi="Times New Roman" w:cs="Times New Roman"/>
        </w:rPr>
        <w:t>Urz. UE L 2025/794 z 16.04.2024)</w:t>
      </w:r>
    </w:p>
  </w:footnote>
  <w:footnote w:id="2">
    <w:p w14:paraId="61816F78" w14:textId="2DDBE213" w:rsidR="00915DDB" w:rsidRPr="00915DDB" w:rsidRDefault="003839E1" w:rsidP="0084139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221391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841397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="00915DDB">
        <w:rPr>
          <w:rFonts w:ascii="Times New Roman" w:hAnsi="Times New Roman" w:cs="Times New Roman"/>
        </w:rPr>
        <w:t>d</w:t>
      </w:r>
      <w:r w:rsidR="00915DDB" w:rsidRPr="00915DDB">
        <w:rPr>
          <w:rFonts w:ascii="Times New Roman" w:hAnsi="Times New Roman" w:cs="Times New Roman"/>
        </w:rPr>
        <w:t>yrektywa Parlamentu Europejskiego i Rady (UE) 2022/2464 z dnia 14 grudnia 2022 r. w sprawie zmiany rozporządzenia (UE) nr 537/2014, dyrektywy 2004/109/WE, dyrektywy 2006/43/WE oraz dyrektywy 2013/34/UE w odniesieniu do sprawozdawczości przedsiębiorstw w zakresie zrównoważonego rozwoju, tzw.</w:t>
      </w:r>
      <w:r w:rsidR="005E1735">
        <w:rPr>
          <w:rFonts w:ascii="Times New Roman" w:hAnsi="Times New Roman" w:cs="Times New Roman"/>
        </w:rPr>
        <w:t> </w:t>
      </w:r>
      <w:r w:rsidR="00915DDB" w:rsidRPr="00915DDB">
        <w:rPr>
          <w:rFonts w:ascii="Times New Roman" w:hAnsi="Times New Roman" w:cs="Times New Roman"/>
        </w:rPr>
        <w:t>CSRD (Dz. Urz. UE L 322 z 16.12.2022, str. 15)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3075"/>
    <w:multiLevelType w:val="hybridMultilevel"/>
    <w:tmpl w:val="47782892"/>
    <w:lvl w:ilvl="0" w:tplc="04150013">
      <w:start w:val="1"/>
      <w:numFmt w:val="upperRoman"/>
      <w:lvlText w:val="%1."/>
      <w:lvlJc w:val="righ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E305193"/>
    <w:multiLevelType w:val="hybridMultilevel"/>
    <w:tmpl w:val="9830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719D"/>
    <w:multiLevelType w:val="hybridMultilevel"/>
    <w:tmpl w:val="9F3C4AFA"/>
    <w:lvl w:ilvl="0" w:tplc="3C109D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FE5E23E6">
      <w:start w:val="1"/>
      <w:numFmt w:val="lowerLetter"/>
      <w:lvlText w:val="%2)"/>
      <w:lvlJc w:val="left"/>
      <w:pPr>
        <w:ind w:left="2133" w:hanging="708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FB431F"/>
    <w:multiLevelType w:val="hybridMultilevel"/>
    <w:tmpl w:val="80888126"/>
    <w:lvl w:ilvl="0" w:tplc="B9AED3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D26334"/>
    <w:multiLevelType w:val="hybridMultilevel"/>
    <w:tmpl w:val="9F3C4AFA"/>
    <w:lvl w:ilvl="0" w:tplc="3C109D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FE5E23E6">
      <w:start w:val="1"/>
      <w:numFmt w:val="lowerLetter"/>
      <w:lvlText w:val="%2)"/>
      <w:lvlJc w:val="left"/>
      <w:pPr>
        <w:ind w:left="2133" w:hanging="708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804071">
    <w:abstractNumId w:val="4"/>
  </w:num>
  <w:num w:numId="2" w16cid:durableId="899096584">
    <w:abstractNumId w:val="2"/>
  </w:num>
  <w:num w:numId="3" w16cid:durableId="1770464165">
    <w:abstractNumId w:val="0"/>
  </w:num>
  <w:num w:numId="4" w16cid:durableId="317345569">
    <w:abstractNumId w:val="3"/>
  </w:num>
  <w:num w:numId="5" w16cid:durableId="130858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42"/>
    <w:rsid w:val="000574A8"/>
    <w:rsid w:val="00095D93"/>
    <w:rsid w:val="000B3765"/>
    <w:rsid w:val="000C1193"/>
    <w:rsid w:val="000C547A"/>
    <w:rsid w:val="000D4717"/>
    <w:rsid w:val="000E3EB2"/>
    <w:rsid w:val="000F5C29"/>
    <w:rsid w:val="00142D31"/>
    <w:rsid w:val="0015387F"/>
    <w:rsid w:val="00194A8A"/>
    <w:rsid w:val="00197DDF"/>
    <w:rsid w:val="001C4B5C"/>
    <w:rsid w:val="001D66F7"/>
    <w:rsid w:val="001E0198"/>
    <w:rsid w:val="001F27A4"/>
    <w:rsid w:val="001F54B3"/>
    <w:rsid w:val="002150E9"/>
    <w:rsid w:val="00232EE5"/>
    <w:rsid w:val="00235F2E"/>
    <w:rsid w:val="002369B5"/>
    <w:rsid w:val="00242381"/>
    <w:rsid w:val="002524FF"/>
    <w:rsid w:val="002569C0"/>
    <w:rsid w:val="002652A1"/>
    <w:rsid w:val="002703D7"/>
    <w:rsid w:val="002843FB"/>
    <w:rsid w:val="00284450"/>
    <w:rsid w:val="002A14FF"/>
    <w:rsid w:val="002A5A23"/>
    <w:rsid w:val="002E5979"/>
    <w:rsid w:val="002E682C"/>
    <w:rsid w:val="002F2814"/>
    <w:rsid w:val="00322C2C"/>
    <w:rsid w:val="003234AA"/>
    <w:rsid w:val="003665DC"/>
    <w:rsid w:val="00372990"/>
    <w:rsid w:val="0037722E"/>
    <w:rsid w:val="003839E1"/>
    <w:rsid w:val="00385BE8"/>
    <w:rsid w:val="003B5D90"/>
    <w:rsid w:val="003C4081"/>
    <w:rsid w:val="003D681E"/>
    <w:rsid w:val="003E0FDC"/>
    <w:rsid w:val="0042763D"/>
    <w:rsid w:val="004302E5"/>
    <w:rsid w:val="004325DE"/>
    <w:rsid w:val="00445998"/>
    <w:rsid w:val="00460010"/>
    <w:rsid w:val="004717D1"/>
    <w:rsid w:val="00496613"/>
    <w:rsid w:val="00496AB8"/>
    <w:rsid w:val="004A2FCA"/>
    <w:rsid w:val="004A3D5F"/>
    <w:rsid w:val="004A6C99"/>
    <w:rsid w:val="004C10DE"/>
    <w:rsid w:val="00502B65"/>
    <w:rsid w:val="00557804"/>
    <w:rsid w:val="00582135"/>
    <w:rsid w:val="00595271"/>
    <w:rsid w:val="005A264E"/>
    <w:rsid w:val="005B1343"/>
    <w:rsid w:val="005B1F43"/>
    <w:rsid w:val="005D1E08"/>
    <w:rsid w:val="005E1735"/>
    <w:rsid w:val="0060206D"/>
    <w:rsid w:val="0067009C"/>
    <w:rsid w:val="00697A44"/>
    <w:rsid w:val="006C08BD"/>
    <w:rsid w:val="006C4DE8"/>
    <w:rsid w:val="006C7661"/>
    <w:rsid w:val="006E1139"/>
    <w:rsid w:val="00713439"/>
    <w:rsid w:val="00727A83"/>
    <w:rsid w:val="007560AE"/>
    <w:rsid w:val="00762142"/>
    <w:rsid w:val="00762275"/>
    <w:rsid w:val="00771FBC"/>
    <w:rsid w:val="007C2D69"/>
    <w:rsid w:val="007F0FBB"/>
    <w:rsid w:val="0084085F"/>
    <w:rsid w:val="00841397"/>
    <w:rsid w:val="008657B5"/>
    <w:rsid w:val="0088560F"/>
    <w:rsid w:val="008B1F1F"/>
    <w:rsid w:val="008B6683"/>
    <w:rsid w:val="008C6F62"/>
    <w:rsid w:val="008D094B"/>
    <w:rsid w:val="008D5447"/>
    <w:rsid w:val="008E6C5E"/>
    <w:rsid w:val="00915DDB"/>
    <w:rsid w:val="00932EE2"/>
    <w:rsid w:val="00976EE1"/>
    <w:rsid w:val="00981026"/>
    <w:rsid w:val="00986834"/>
    <w:rsid w:val="009A3DC5"/>
    <w:rsid w:val="009D556C"/>
    <w:rsid w:val="00A07F01"/>
    <w:rsid w:val="00A11264"/>
    <w:rsid w:val="00A25609"/>
    <w:rsid w:val="00A32302"/>
    <w:rsid w:val="00A42D45"/>
    <w:rsid w:val="00A60C53"/>
    <w:rsid w:val="00AE2576"/>
    <w:rsid w:val="00AF2B9F"/>
    <w:rsid w:val="00AF741A"/>
    <w:rsid w:val="00B07D72"/>
    <w:rsid w:val="00B1454E"/>
    <w:rsid w:val="00B50AA6"/>
    <w:rsid w:val="00B50BDB"/>
    <w:rsid w:val="00B55BF6"/>
    <w:rsid w:val="00B70EE6"/>
    <w:rsid w:val="00B72EF0"/>
    <w:rsid w:val="00BD28E8"/>
    <w:rsid w:val="00BD4594"/>
    <w:rsid w:val="00BD7F51"/>
    <w:rsid w:val="00C002E5"/>
    <w:rsid w:val="00C10406"/>
    <w:rsid w:val="00C14053"/>
    <w:rsid w:val="00C25C83"/>
    <w:rsid w:val="00C311C8"/>
    <w:rsid w:val="00C602D1"/>
    <w:rsid w:val="00C76B0C"/>
    <w:rsid w:val="00CB137A"/>
    <w:rsid w:val="00CD109D"/>
    <w:rsid w:val="00D23291"/>
    <w:rsid w:val="00D2334F"/>
    <w:rsid w:val="00D33FE4"/>
    <w:rsid w:val="00D34934"/>
    <w:rsid w:val="00D843B7"/>
    <w:rsid w:val="00DD03C7"/>
    <w:rsid w:val="00DF2C65"/>
    <w:rsid w:val="00DF56A8"/>
    <w:rsid w:val="00E04FB4"/>
    <w:rsid w:val="00E31F6F"/>
    <w:rsid w:val="00E47598"/>
    <w:rsid w:val="00E71C56"/>
    <w:rsid w:val="00E73172"/>
    <w:rsid w:val="00E77E32"/>
    <w:rsid w:val="00EA0B80"/>
    <w:rsid w:val="00EB28B8"/>
    <w:rsid w:val="00EB2D09"/>
    <w:rsid w:val="00ED0D79"/>
    <w:rsid w:val="00ED636C"/>
    <w:rsid w:val="00F10408"/>
    <w:rsid w:val="00F12274"/>
    <w:rsid w:val="00F35B3D"/>
    <w:rsid w:val="00F40EEA"/>
    <w:rsid w:val="00F422BB"/>
    <w:rsid w:val="00F84234"/>
    <w:rsid w:val="00F91A7A"/>
    <w:rsid w:val="00FB09A7"/>
    <w:rsid w:val="00FC0EDB"/>
    <w:rsid w:val="00FD3B04"/>
    <w:rsid w:val="00FE0EF3"/>
    <w:rsid w:val="00FE2CF7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26567"/>
  <w15:chartTrackingRefBased/>
  <w15:docId w15:val="{FAC5B284-3E03-40BE-BE5B-A52826A0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139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3C408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aliases w:val="16 Point,Superscript 6 Point,Footnote Reference Number,Footnote Reference Superscript,BVI fnr,Footnote symbol,SUPERS,(Footnote Reference),Footnote,Voetnootverwijzing,Times 10 Point,Exposant 3 Point,note TESI,FR,ftref,FZ"/>
    <w:uiPriority w:val="99"/>
    <w:unhideWhenUsed/>
    <w:qFormat/>
    <w:rsid w:val="00F104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04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0408"/>
    <w:rPr>
      <w:sz w:val="20"/>
      <w:szCs w:val="20"/>
    </w:rPr>
  </w:style>
  <w:style w:type="paragraph" w:customStyle="1" w:styleId="USTustnpkodeksu">
    <w:name w:val="UST(§) – ust. (§ np. kodeksu)"/>
    <w:basedOn w:val="Normalny"/>
    <w:uiPriority w:val="12"/>
    <w:qFormat/>
    <w:rsid w:val="00F10408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66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C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C29"/>
    <w:rPr>
      <w:vertAlign w:val="superscript"/>
    </w:rPr>
  </w:style>
  <w:style w:type="paragraph" w:styleId="Poprawka">
    <w:name w:val="Revision"/>
    <w:hidden/>
    <w:uiPriority w:val="99"/>
    <w:semiHidden/>
    <w:rsid w:val="00AF74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C2C"/>
  </w:style>
  <w:style w:type="paragraph" w:styleId="Stopka">
    <w:name w:val="footer"/>
    <w:basedOn w:val="Normalny"/>
    <w:link w:val="StopkaZnak"/>
    <w:uiPriority w:val="99"/>
    <w:unhideWhenUsed/>
    <w:rsid w:val="0032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Trzcińska Antonina</dc:creator>
  <cp:keywords/>
  <dc:description/>
  <cp:lastModifiedBy>Wójcik Aleksandra</cp:lastModifiedBy>
  <cp:revision>4</cp:revision>
  <dcterms:created xsi:type="dcterms:W3CDTF">2025-06-17T11:39:00Z</dcterms:created>
  <dcterms:modified xsi:type="dcterms:W3CDTF">2025-06-17T11:44:00Z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UxC4dwLulzfINJ8nQH+xvX5LNGipWa4BRSZhPgxsCvlijWW4MtBVpb/5CwZjaqNwWZsAkPrYXsbNsM8G1tgCqA==</vt:lpwstr>
  </property>
  <property fmtid="{D5CDD505-2E9C-101B-9397-08002B2CF9AE}" pid="4" name="MFClassificationDate">
    <vt:lpwstr>2025-03-03T14:10:38.6251924+01:00</vt:lpwstr>
  </property>
  <property fmtid="{D5CDD505-2E9C-101B-9397-08002B2CF9AE}" pid="5" name="MFClassifiedBySID">
    <vt:lpwstr>UxC4dwLulzfINJ8nQH+xvX5LNGipWa4BRSZhPgxsCvm42mrIC/DSDv0ggS+FjUN/2v1BBotkLlY5aAiEhoi6uTVgZXTc4u5IP9jmkmeuAeXxdHcP+fAclMeZ+gQ4xVW9</vt:lpwstr>
  </property>
  <property fmtid="{D5CDD505-2E9C-101B-9397-08002B2CF9AE}" pid="6" name="MFGRNItemId">
    <vt:lpwstr>GRN-26ce445b-71b3-4cb0-a82b-365ac4638265</vt:lpwstr>
  </property>
  <property fmtid="{D5CDD505-2E9C-101B-9397-08002B2CF9AE}" pid="7" name="MFHash">
    <vt:lpwstr>eBJqCosR9h2icRTWkqKeuEn0qioClLQ+cn/nVi8ONuI=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