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79A57" w14:textId="77777777" w:rsidR="00DD1E1D" w:rsidRPr="0044488B" w:rsidRDefault="00850745" w:rsidP="0044488B">
      <w:pPr>
        <w:spacing w:after="0" w:line="360" w:lineRule="auto"/>
        <w:jc w:val="center"/>
        <w:rPr>
          <w:rFonts w:ascii="Times New Roman" w:hAnsi="Times New Roman" w:cs="Times New Roman"/>
          <w:b/>
          <w:sz w:val="24"/>
          <w:szCs w:val="24"/>
        </w:rPr>
      </w:pPr>
      <w:r w:rsidRPr="0044488B">
        <w:rPr>
          <w:rFonts w:ascii="Times New Roman" w:hAnsi="Times New Roman" w:cs="Times New Roman"/>
          <w:b/>
          <w:sz w:val="24"/>
          <w:szCs w:val="24"/>
        </w:rPr>
        <w:t>UZASADNIENIE</w:t>
      </w:r>
    </w:p>
    <w:p w14:paraId="7138D119" w14:textId="77777777" w:rsidR="00850745" w:rsidRPr="0044488B" w:rsidRDefault="00850745" w:rsidP="0044488B">
      <w:pPr>
        <w:spacing w:after="0" w:line="360" w:lineRule="auto"/>
        <w:rPr>
          <w:rFonts w:ascii="Times New Roman" w:hAnsi="Times New Roman" w:cs="Times New Roman"/>
          <w:b/>
          <w:sz w:val="24"/>
          <w:szCs w:val="24"/>
        </w:rPr>
      </w:pPr>
    </w:p>
    <w:p w14:paraId="2BBA8F97" w14:textId="6AF79C1F" w:rsidR="0077077B" w:rsidRPr="0044488B" w:rsidRDefault="0044488B" w:rsidP="004448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Wniesienie</w:t>
      </w:r>
      <w:r w:rsidR="000E6900" w:rsidRPr="0044488B">
        <w:rPr>
          <w:rFonts w:ascii="Times New Roman" w:hAnsi="Times New Roman" w:cs="Times New Roman"/>
          <w:sz w:val="24"/>
          <w:szCs w:val="24"/>
        </w:rPr>
        <w:t xml:space="preserve"> przez Prezydenta Rzeczypospolitej Polskiej</w:t>
      </w:r>
      <w:r>
        <w:rPr>
          <w:rFonts w:ascii="Times New Roman" w:hAnsi="Times New Roman" w:cs="Times New Roman"/>
          <w:sz w:val="24"/>
          <w:szCs w:val="24"/>
        </w:rPr>
        <w:t xml:space="preserve"> niniejszego</w:t>
      </w:r>
      <w:r w:rsidR="000E6900" w:rsidRPr="0044488B">
        <w:rPr>
          <w:rFonts w:ascii="Times New Roman" w:hAnsi="Times New Roman" w:cs="Times New Roman"/>
          <w:sz w:val="24"/>
          <w:szCs w:val="24"/>
        </w:rPr>
        <w:t xml:space="preserve"> projekt ustawy</w:t>
      </w:r>
      <w:r>
        <w:rPr>
          <w:rFonts w:ascii="Times New Roman" w:hAnsi="Times New Roman" w:cs="Times New Roman"/>
          <w:sz w:val="24"/>
          <w:szCs w:val="24"/>
        </w:rPr>
        <w:t xml:space="preserve"> </w:t>
      </w:r>
      <w:r>
        <w:rPr>
          <w:rFonts w:ascii="Times New Roman" w:hAnsi="Times New Roman" w:cs="Times New Roman"/>
          <w:sz w:val="24"/>
          <w:szCs w:val="24"/>
        </w:rPr>
        <w:br/>
      </w:r>
      <w:r w:rsidRPr="0044488B">
        <w:rPr>
          <w:rFonts w:ascii="Times New Roman" w:hAnsi="Times New Roman" w:cs="Times New Roman"/>
          <w:sz w:val="24"/>
          <w:szCs w:val="24"/>
        </w:rPr>
        <w:t>o szczególnych rozw</w:t>
      </w:r>
      <w:r>
        <w:rPr>
          <w:rFonts w:ascii="Times New Roman" w:hAnsi="Times New Roman" w:cs="Times New Roman"/>
          <w:sz w:val="24"/>
          <w:szCs w:val="24"/>
        </w:rPr>
        <w:t xml:space="preserve">iązaniach służących realizacji </w:t>
      </w:r>
      <w:r w:rsidRPr="0044488B">
        <w:rPr>
          <w:rFonts w:ascii="Times New Roman" w:hAnsi="Times New Roman" w:cs="Times New Roman"/>
          <w:sz w:val="24"/>
          <w:szCs w:val="24"/>
        </w:rPr>
        <w:t>ustawy budżetowej na rok 2024</w:t>
      </w:r>
      <w:r>
        <w:rPr>
          <w:rFonts w:ascii="Times New Roman" w:hAnsi="Times New Roman" w:cs="Times New Roman"/>
          <w:sz w:val="24"/>
          <w:szCs w:val="24"/>
        </w:rPr>
        <w:t xml:space="preserve"> został</w:t>
      </w:r>
      <w:r w:rsidR="004F3F30">
        <w:rPr>
          <w:rFonts w:ascii="Times New Roman" w:hAnsi="Times New Roman" w:cs="Times New Roman"/>
          <w:sz w:val="24"/>
          <w:szCs w:val="24"/>
        </w:rPr>
        <w:t>o</w:t>
      </w:r>
      <w:r>
        <w:rPr>
          <w:rFonts w:ascii="Times New Roman" w:hAnsi="Times New Roman" w:cs="Times New Roman"/>
          <w:sz w:val="24"/>
          <w:szCs w:val="24"/>
        </w:rPr>
        <w:t xml:space="preserve"> zapowiedzian</w:t>
      </w:r>
      <w:r w:rsidR="004F3F30">
        <w:rPr>
          <w:rFonts w:ascii="Times New Roman" w:hAnsi="Times New Roman" w:cs="Times New Roman"/>
          <w:sz w:val="24"/>
          <w:szCs w:val="24"/>
        </w:rPr>
        <w:t>e</w:t>
      </w:r>
      <w:r>
        <w:rPr>
          <w:rFonts w:ascii="Times New Roman" w:hAnsi="Times New Roman" w:cs="Times New Roman"/>
          <w:sz w:val="24"/>
          <w:szCs w:val="24"/>
        </w:rPr>
        <w:t xml:space="preserve"> przy ogłoszeniu decyzji o skorzystaniu</w:t>
      </w:r>
      <w:r w:rsidR="00F47AF4" w:rsidRPr="0044488B">
        <w:rPr>
          <w:rFonts w:ascii="Times New Roman" w:hAnsi="Times New Roman" w:cs="Times New Roman"/>
          <w:sz w:val="24"/>
          <w:szCs w:val="24"/>
        </w:rPr>
        <w:t xml:space="preserve"> przez Prezydenta RP z prerogatywy, </w:t>
      </w:r>
      <w:r>
        <w:rPr>
          <w:rFonts w:ascii="Times New Roman" w:hAnsi="Times New Roman" w:cs="Times New Roman"/>
          <w:sz w:val="24"/>
          <w:szCs w:val="24"/>
        </w:rPr>
        <w:br/>
      </w:r>
      <w:r w:rsidR="00F47AF4" w:rsidRPr="0044488B">
        <w:rPr>
          <w:rFonts w:ascii="Times New Roman" w:hAnsi="Times New Roman" w:cs="Times New Roman"/>
          <w:sz w:val="24"/>
          <w:szCs w:val="24"/>
        </w:rPr>
        <w:t xml:space="preserve">o której mowa w art. 122 ust. 5 Konstytucji, to jest </w:t>
      </w:r>
      <w:r>
        <w:rPr>
          <w:rFonts w:ascii="Times New Roman" w:hAnsi="Times New Roman" w:cs="Times New Roman"/>
          <w:sz w:val="24"/>
          <w:szCs w:val="24"/>
        </w:rPr>
        <w:t xml:space="preserve">o odmowie podpisania ustawy </w:t>
      </w:r>
      <w:r w:rsidR="000E6900" w:rsidRPr="0044488B">
        <w:rPr>
          <w:rFonts w:ascii="Times New Roman" w:hAnsi="Times New Roman" w:cs="Times New Roman"/>
          <w:sz w:val="24"/>
          <w:szCs w:val="24"/>
        </w:rPr>
        <w:t>z dnia 21 grudnia 2023 r. o szczególnych rozwiązaniach służących realizacji ustawy budżetowej na rok 2024</w:t>
      </w:r>
      <w:r>
        <w:rPr>
          <w:rFonts w:ascii="Times New Roman" w:hAnsi="Times New Roman" w:cs="Times New Roman"/>
          <w:sz w:val="24"/>
          <w:szCs w:val="24"/>
        </w:rPr>
        <w:t xml:space="preserve"> i wystąpieniu</w:t>
      </w:r>
      <w:r w:rsidR="000E6900" w:rsidRPr="0044488B">
        <w:rPr>
          <w:rFonts w:ascii="Times New Roman" w:hAnsi="Times New Roman" w:cs="Times New Roman"/>
          <w:sz w:val="24"/>
          <w:szCs w:val="24"/>
        </w:rPr>
        <w:t xml:space="preserve"> przez Prezydenta do Sejmu</w:t>
      </w:r>
      <w:r w:rsidR="0077077B" w:rsidRPr="0044488B">
        <w:rPr>
          <w:rFonts w:ascii="Times New Roman" w:hAnsi="Times New Roman" w:cs="Times New Roman"/>
          <w:sz w:val="24"/>
          <w:szCs w:val="24"/>
        </w:rPr>
        <w:t xml:space="preserve"> w dniu 27 grudnia 2023 r.</w:t>
      </w:r>
      <w:r w:rsidR="000E6900" w:rsidRPr="0044488B">
        <w:rPr>
          <w:rFonts w:ascii="Times New Roman" w:hAnsi="Times New Roman" w:cs="Times New Roman"/>
          <w:sz w:val="24"/>
          <w:szCs w:val="24"/>
        </w:rPr>
        <w:t xml:space="preserve"> z umotywowanym wnioskiem o ponowne rozpatrzeni</w:t>
      </w:r>
      <w:r w:rsidR="0077077B" w:rsidRPr="0044488B">
        <w:rPr>
          <w:rFonts w:ascii="Times New Roman" w:hAnsi="Times New Roman" w:cs="Times New Roman"/>
          <w:sz w:val="24"/>
          <w:szCs w:val="24"/>
        </w:rPr>
        <w:t>e tej ustawy</w:t>
      </w:r>
      <w:r>
        <w:rPr>
          <w:rFonts w:ascii="Times New Roman" w:hAnsi="Times New Roman" w:cs="Times New Roman"/>
          <w:sz w:val="24"/>
          <w:szCs w:val="24"/>
        </w:rPr>
        <w:t xml:space="preserve"> (tzw. weto)</w:t>
      </w:r>
      <w:r w:rsidR="0077077B" w:rsidRPr="0044488B">
        <w:rPr>
          <w:rFonts w:ascii="Times New Roman" w:hAnsi="Times New Roman" w:cs="Times New Roman"/>
          <w:sz w:val="24"/>
          <w:szCs w:val="24"/>
        </w:rPr>
        <w:t xml:space="preserve">. </w:t>
      </w:r>
    </w:p>
    <w:p w14:paraId="2F234FB9" w14:textId="769B15DC" w:rsidR="00113C43" w:rsidRPr="00113C43" w:rsidRDefault="0077077B" w:rsidP="00604835">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sz w:val="24"/>
          <w:szCs w:val="24"/>
        </w:rPr>
        <w:t xml:space="preserve">Projekt ustawy zawiera rozwiązania tożsame </w:t>
      </w:r>
      <w:r w:rsidR="002D2926">
        <w:rPr>
          <w:rFonts w:ascii="Times New Roman" w:hAnsi="Times New Roman" w:cs="Times New Roman"/>
          <w:sz w:val="24"/>
          <w:szCs w:val="24"/>
        </w:rPr>
        <w:t>w zakresie</w:t>
      </w:r>
      <w:r w:rsidRPr="0044488B">
        <w:rPr>
          <w:rFonts w:ascii="Times New Roman" w:hAnsi="Times New Roman" w:cs="Times New Roman"/>
          <w:sz w:val="24"/>
          <w:szCs w:val="24"/>
        </w:rPr>
        <w:t xml:space="preserve"> celu,</w:t>
      </w:r>
      <w:r w:rsidR="009A4E73">
        <w:rPr>
          <w:rFonts w:ascii="Times New Roman" w:hAnsi="Times New Roman" w:cs="Times New Roman"/>
          <w:sz w:val="24"/>
          <w:szCs w:val="24"/>
        </w:rPr>
        <w:t xml:space="preserve"> treści i </w:t>
      </w:r>
      <w:r w:rsidR="00E2333E">
        <w:rPr>
          <w:rFonts w:ascii="Times New Roman" w:hAnsi="Times New Roman" w:cs="Times New Roman"/>
          <w:sz w:val="24"/>
          <w:szCs w:val="24"/>
        </w:rPr>
        <w:t xml:space="preserve">o </w:t>
      </w:r>
      <w:r w:rsidR="009A4E73">
        <w:rPr>
          <w:rFonts w:ascii="Times New Roman" w:hAnsi="Times New Roman" w:cs="Times New Roman"/>
          <w:sz w:val="24"/>
          <w:szCs w:val="24"/>
        </w:rPr>
        <w:t>skutkach</w:t>
      </w:r>
      <w:r w:rsidR="002D2926">
        <w:rPr>
          <w:rFonts w:ascii="Times New Roman" w:hAnsi="Times New Roman" w:cs="Times New Roman"/>
          <w:sz w:val="24"/>
          <w:szCs w:val="24"/>
        </w:rPr>
        <w:t xml:space="preserve"> </w:t>
      </w:r>
      <w:r w:rsidRPr="0044488B">
        <w:rPr>
          <w:rFonts w:ascii="Times New Roman" w:hAnsi="Times New Roman" w:cs="Times New Roman"/>
          <w:sz w:val="24"/>
          <w:szCs w:val="24"/>
        </w:rPr>
        <w:t>finansowych jak ustawa z dnia 21 grudnia 2023 r. o szczególnych rozwiązaniach służących realizacji ustawy budżetowej na rok 2024, z wyłączeniem zakwestionowanych przepisów dotyczących finansowania mediów publicznych</w:t>
      </w:r>
      <w:r w:rsidR="002D2926">
        <w:rPr>
          <w:rFonts w:ascii="Times New Roman" w:hAnsi="Times New Roman" w:cs="Times New Roman"/>
          <w:sz w:val="24"/>
          <w:szCs w:val="24"/>
        </w:rPr>
        <w:t xml:space="preserve"> (art</w:t>
      </w:r>
      <w:r w:rsidRPr="0044488B">
        <w:rPr>
          <w:rFonts w:ascii="Times New Roman" w:hAnsi="Times New Roman" w:cs="Times New Roman"/>
          <w:sz w:val="24"/>
          <w:szCs w:val="24"/>
        </w:rPr>
        <w:t>.</w:t>
      </w:r>
      <w:r w:rsidR="002D2926">
        <w:rPr>
          <w:rFonts w:ascii="Times New Roman" w:hAnsi="Times New Roman" w:cs="Times New Roman"/>
          <w:sz w:val="24"/>
          <w:szCs w:val="24"/>
        </w:rPr>
        <w:t xml:space="preserve"> 14 i 15 ustawy z dnia 21 grudnia 2023 r.). Jak wskazano w uzasadnieniu weta </w:t>
      </w:r>
      <w:r w:rsidR="009A4E73">
        <w:rPr>
          <w:rFonts w:ascii="Times New Roman" w:hAnsi="Times New Roman" w:cs="Times New Roman"/>
          <w:sz w:val="24"/>
          <w:szCs w:val="24"/>
        </w:rPr>
        <w:t>„</w:t>
      </w:r>
      <w:r w:rsidR="002D2926" w:rsidRPr="002D2926">
        <w:rPr>
          <w:rFonts w:ascii="Times New Roman" w:hAnsi="Times New Roman" w:cs="Times New Roman"/>
          <w:i/>
          <w:sz w:val="24"/>
          <w:szCs w:val="24"/>
        </w:rPr>
        <w:t>Uchwaloną przez Parlament ustawę z dnia 21 grudnia 2023 r. o szczególnych rozwiązaniach służących realizacji ustawy budżetowej na rok 2024, kieruję do ponownego rozpatrzenia przez Wysoki Sejm, gdyż nie zgadzam się - wobec próby przejęcia mediów publicznych z naruszeniem fundamentalnych reguł demokratycznego państwa prawnego, w tym zasady praworządności (art. 7 Konstytucji) - na przekazanie im 3 miliardów złotych ze środków publicznych.</w:t>
      </w:r>
      <w:r w:rsidR="002D2926">
        <w:rPr>
          <w:rFonts w:ascii="Times New Roman" w:hAnsi="Times New Roman" w:cs="Times New Roman"/>
          <w:sz w:val="24"/>
          <w:szCs w:val="24"/>
        </w:rPr>
        <w:t xml:space="preserve"> </w:t>
      </w:r>
      <w:r w:rsidR="00604835">
        <w:rPr>
          <w:rFonts w:ascii="Times New Roman" w:hAnsi="Times New Roman" w:cs="Times New Roman"/>
          <w:sz w:val="24"/>
          <w:szCs w:val="24"/>
        </w:rPr>
        <w:t xml:space="preserve">(…) </w:t>
      </w:r>
      <w:r w:rsidR="00604835" w:rsidRPr="00604835">
        <w:rPr>
          <w:rFonts w:ascii="Times New Roman" w:hAnsi="Times New Roman" w:cs="Times New Roman"/>
          <w:i/>
          <w:sz w:val="24"/>
          <w:szCs w:val="24"/>
        </w:rPr>
        <w:t>Chciałabym wyraźnie zaznaczyć, że nie kwestionuję pozostałych zmian wprowadzanych ustawą z dnia 21 grudnia 2023 r., w szczególności regulacji powiązanych z propozycjami zawartymi w projekcie ustawy budżetowej na rok 2024 (druk sejmowy nr 125), dotyczącymi planowanych podwyżek dla nauczycieli. Trzeba bowiem wyraźnie zaznaczyć, że to propozycja zawarta w ustawie budżetowej na rok 2024 określa kwotę bazową dla nauczycieli, zgodnie z wymogami Karty Nauczyciela, w wysokości 5 176,02 zł, a nie kwestionowana ustawa, która odnosi się wyłącznie do wykonania budżetu, nad którym (nad ustawą budżetową) prace trwają obecnie w Sejmie. I właśnie mając na uwadze konieczność obowiązywania w systemie prawnym regulacji służących wykonaniu budżetu, wraz z niniejszym wetem składam projekt ustawy o szczególnych rozwiązaniach służących realizacji ustawy budżetowej na rok 2024. Projekt zawiera analogiczne rozwiązania do tych przyjętych przez Parlament w ustawie z dnia 21 grudnia 2023 r., z wyłączeniem przepisów dotyczących 3 mld złotych dla mediów publicznych</w:t>
      </w:r>
      <w:r w:rsidR="00604835">
        <w:rPr>
          <w:rFonts w:ascii="Times New Roman" w:hAnsi="Times New Roman" w:cs="Times New Roman"/>
          <w:i/>
          <w:sz w:val="24"/>
          <w:szCs w:val="24"/>
        </w:rPr>
        <w:t>.</w:t>
      </w:r>
      <w:r w:rsidR="009A4E73" w:rsidRPr="009A4E73">
        <w:rPr>
          <w:rFonts w:ascii="Times New Roman" w:hAnsi="Times New Roman" w:cs="Times New Roman"/>
          <w:sz w:val="24"/>
          <w:szCs w:val="24"/>
        </w:rPr>
        <w:t>”.</w:t>
      </w:r>
      <w:r w:rsidR="00604835" w:rsidRPr="009A4E73">
        <w:rPr>
          <w:rFonts w:ascii="Times New Roman" w:hAnsi="Times New Roman" w:cs="Times New Roman"/>
          <w:sz w:val="24"/>
          <w:szCs w:val="24"/>
        </w:rPr>
        <w:t xml:space="preserve"> </w:t>
      </w:r>
    </w:p>
    <w:p w14:paraId="78B64B10" w14:textId="71356554" w:rsidR="00F47AF4" w:rsidRPr="0044488B" w:rsidRDefault="00877C2C" w:rsidP="004448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pozostałym</w:t>
      </w:r>
      <w:r w:rsidR="0077077B" w:rsidRPr="0044488B">
        <w:rPr>
          <w:rFonts w:ascii="Times New Roman" w:hAnsi="Times New Roman" w:cs="Times New Roman"/>
          <w:sz w:val="24"/>
          <w:szCs w:val="24"/>
        </w:rPr>
        <w:t xml:space="preserve"> zakresie</w:t>
      </w:r>
      <w:r w:rsidR="004F6818">
        <w:rPr>
          <w:rFonts w:ascii="Times New Roman" w:hAnsi="Times New Roman" w:cs="Times New Roman"/>
          <w:sz w:val="24"/>
          <w:szCs w:val="24"/>
        </w:rPr>
        <w:t xml:space="preserve"> omawiany</w:t>
      </w:r>
      <w:r w:rsidR="0077077B" w:rsidRPr="0044488B">
        <w:rPr>
          <w:rFonts w:ascii="Times New Roman" w:hAnsi="Times New Roman" w:cs="Times New Roman"/>
          <w:sz w:val="24"/>
          <w:szCs w:val="24"/>
        </w:rPr>
        <w:t xml:space="preserve"> projekt </w:t>
      </w:r>
      <w:r w:rsidR="00897B34" w:rsidRPr="0044488B">
        <w:rPr>
          <w:rFonts w:ascii="Times New Roman" w:hAnsi="Times New Roman" w:cs="Times New Roman"/>
          <w:sz w:val="24"/>
          <w:szCs w:val="24"/>
        </w:rPr>
        <w:t xml:space="preserve">ustawy </w:t>
      </w:r>
      <w:r w:rsidR="0077077B" w:rsidRPr="0044488B">
        <w:rPr>
          <w:rFonts w:ascii="Times New Roman" w:hAnsi="Times New Roman" w:cs="Times New Roman"/>
          <w:sz w:val="24"/>
          <w:szCs w:val="24"/>
        </w:rPr>
        <w:t xml:space="preserve">zawiera zatem rozwiązania zgodne z propozycjami Rady Ministrów, odpowiedzialnej za przygotowanie ustawy budżetowej na </w:t>
      </w:r>
      <w:r w:rsidR="00AE2B41">
        <w:rPr>
          <w:rFonts w:ascii="Times New Roman" w:hAnsi="Times New Roman" w:cs="Times New Roman"/>
          <w:sz w:val="24"/>
          <w:szCs w:val="24"/>
        </w:rPr>
        <w:br/>
      </w:r>
      <w:r w:rsidR="0077077B" w:rsidRPr="0044488B">
        <w:rPr>
          <w:rFonts w:ascii="Times New Roman" w:hAnsi="Times New Roman" w:cs="Times New Roman"/>
          <w:sz w:val="24"/>
          <w:szCs w:val="24"/>
        </w:rPr>
        <w:t xml:space="preserve">2024 r., jej wykonanie oraz za stan finansów publicznych w Polsce, a także rozwiązania, które </w:t>
      </w:r>
      <w:r w:rsidR="0077077B" w:rsidRPr="0044488B">
        <w:rPr>
          <w:rFonts w:ascii="Times New Roman" w:hAnsi="Times New Roman" w:cs="Times New Roman"/>
          <w:sz w:val="24"/>
          <w:szCs w:val="24"/>
        </w:rPr>
        <w:lastRenderedPageBreak/>
        <w:t>były przedmiotem debaty parlamentarnej oraz zostały zaakceptowane przez Sejm i Senat</w:t>
      </w:r>
      <w:r w:rsidR="00F47AF4" w:rsidRPr="0044488B">
        <w:rPr>
          <w:rFonts w:ascii="Times New Roman" w:hAnsi="Times New Roman" w:cs="Times New Roman"/>
          <w:sz w:val="24"/>
          <w:szCs w:val="24"/>
        </w:rPr>
        <w:t xml:space="preserve"> pod względem merytorycznym i legislacyjnym</w:t>
      </w:r>
      <w:r w:rsidR="0077077B" w:rsidRPr="0044488B">
        <w:rPr>
          <w:rFonts w:ascii="Times New Roman" w:hAnsi="Times New Roman" w:cs="Times New Roman"/>
          <w:sz w:val="24"/>
          <w:szCs w:val="24"/>
        </w:rPr>
        <w:t xml:space="preserve">. </w:t>
      </w:r>
    </w:p>
    <w:p w14:paraId="046AA35F" w14:textId="77777777" w:rsidR="000E6900" w:rsidRPr="0044488B" w:rsidRDefault="00F47AF4" w:rsidP="0044488B">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sz w:val="24"/>
          <w:szCs w:val="24"/>
        </w:rPr>
        <w:t>P</w:t>
      </w:r>
      <w:r w:rsidR="0077077B" w:rsidRPr="0044488B">
        <w:rPr>
          <w:rFonts w:ascii="Times New Roman" w:hAnsi="Times New Roman" w:cs="Times New Roman"/>
          <w:sz w:val="24"/>
          <w:szCs w:val="24"/>
        </w:rPr>
        <w:t xml:space="preserve">rojekt </w:t>
      </w:r>
      <w:r w:rsidRPr="0044488B">
        <w:rPr>
          <w:rFonts w:ascii="Times New Roman" w:hAnsi="Times New Roman" w:cs="Times New Roman"/>
          <w:sz w:val="24"/>
          <w:szCs w:val="24"/>
        </w:rPr>
        <w:t xml:space="preserve">ustawy </w:t>
      </w:r>
      <w:r w:rsidR="0077077B" w:rsidRPr="0044488B">
        <w:rPr>
          <w:rFonts w:ascii="Times New Roman" w:hAnsi="Times New Roman" w:cs="Times New Roman"/>
          <w:sz w:val="24"/>
          <w:szCs w:val="24"/>
        </w:rPr>
        <w:t xml:space="preserve">utrzymuje termin wejścia w życie ustawy – 1 stycznia 2024 r. </w:t>
      </w:r>
      <w:r w:rsidR="00897B34" w:rsidRPr="0044488B">
        <w:rPr>
          <w:rFonts w:ascii="Times New Roman" w:hAnsi="Times New Roman" w:cs="Times New Roman"/>
          <w:sz w:val="24"/>
          <w:szCs w:val="24"/>
        </w:rPr>
        <w:t>Pełną aktualność</w:t>
      </w:r>
      <w:r w:rsidR="0077077B" w:rsidRPr="0044488B">
        <w:rPr>
          <w:rFonts w:ascii="Times New Roman" w:hAnsi="Times New Roman" w:cs="Times New Roman"/>
          <w:sz w:val="24"/>
          <w:szCs w:val="24"/>
        </w:rPr>
        <w:t xml:space="preserve"> zachowuje publiczny apel Prezydenta RP do Marszałka Sejmu</w:t>
      </w:r>
      <w:r w:rsidR="00AE2B41">
        <w:rPr>
          <w:rFonts w:ascii="Times New Roman" w:hAnsi="Times New Roman" w:cs="Times New Roman"/>
          <w:sz w:val="24"/>
          <w:szCs w:val="24"/>
        </w:rPr>
        <w:t xml:space="preserve"> i Marszałka Senatu</w:t>
      </w:r>
      <w:r w:rsidR="0077077B" w:rsidRPr="0044488B">
        <w:rPr>
          <w:rFonts w:ascii="Times New Roman" w:hAnsi="Times New Roman" w:cs="Times New Roman"/>
          <w:sz w:val="24"/>
          <w:szCs w:val="24"/>
        </w:rPr>
        <w:t xml:space="preserve"> o niezwłoczne zwołanie posie</w:t>
      </w:r>
      <w:r w:rsidR="00897B34" w:rsidRPr="0044488B">
        <w:rPr>
          <w:rFonts w:ascii="Times New Roman" w:hAnsi="Times New Roman" w:cs="Times New Roman"/>
          <w:sz w:val="24"/>
          <w:szCs w:val="24"/>
        </w:rPr>
        <w:t>dzenia Sejmu</w:t>
      </w:r>
      <w:r w:rsidR="00AE2B41">
        <w:rPr>
          <w:rFonts w:ascii="Times New Roman" w:hAnsi="Times New Roman" w:cs="Times New Roman"/>
          <w:sz w:val="24"/>
          <w:szCs w:val="24"/>
        </w:rPr>
        <w:t>, a następnie Senatu</w:t>
      </w:r>
      <w:r w:rsidR="00897B34" w:rsidRPr="0044488B">
        <w:rPr>
          <w:rFonts w:ascii="Times New Roman" w:hAnsi="Times New Roman" w:cs="Times New Roman"/>
          <w:sz w:val="24"/>
          <w:szCs w:val="24"/>
        </w:rPr>
        <w:t xml:space="preserve"> w celu rozpatrzenia oraz przyjęcia ustawy i w terminie umożliwiającym jej wejście w życie </w:t>
      </w:r>
      <w:r w:rsidR="00AE2B41">
        <w:rPr>
          <w:rFonts w:ascii="Times New Roman" w:hAnsi="Times New Roman" w:cs="Times New Roman"/>
          <w:sz w:val="24"/>
          <w:szCs w:val="24"/>
        </w:rPr>
        <w:t xml:space="preserve">w zaproponowanej dacie. </w:t>
      </w:r>
    </w:p>
    <w:p w14:paraId="0A0A1F0C" w14:textId="3918C29A" w:rsidR="000F3C44" w:rsidRPr="0044488B" w:rsidRDefault="000F3C44" w:rsidP="0044488B">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sz w:val="24"/>
          <w:szCs w:val="24"/>
        </w:rPr>
        <w:t>Aktualny pozostaje cel projektu, który został wyrażony przez Radę Ministrów przy projekcie ustawy, zaw</w:t>
      </w:r>
      <w:r w:rsidR="00E51572" w:rsidRPr="0044488B">
        <w:rPr>
          <w:rFonts w:ascii="Times New Roman" w:hAnsi="Times New Roman" w:cs="Times New Roman"/>
          <w:sz w:val="24"/>
          <w:szCs w:val="24"/>
        </w:rPr>
        <w:t>artym</w:t>
      </w:r>
      <w:r w:rsidRPr="0044488B">
        <w:rPr>
          <w:rFonts w:ascii="Times New Roman" w:hAnsi="Times New Roman" w:cs="Times New Roman"/>
          <w:sz w:val="24"/>
          <w:szCs w:val="24"/>
        </w:rPr>
        <w:t xml:space="preserve"> w druku sejmowym nr 128</w:t>
      </w:r>
      <w:r w:rsidR="00E51572" w:rsidRPr="0044488B">
        <w:rPr>
          <w:rFonts w:ascii="Times New Roman" w:hAnsi="Times New Roman" w:cs="Times New Roman"/>
          <w:sz w:val="24"/>
          <w:szCs w:val="24"/>
        </w:rPr>
        <w:t xml:space="preserve"> i skutki finansowe tej ustawy: </w:t>
      </w:r>
      <w:r w:rsidRPr="0044488B">
        <w:rPr>
          <w:rFonts w:ascii="Times New Roman" w:hAnsi="Times New Roman" w:cs="Times New Roman"/>
          <w:color w:val="000000" w:themeColor="text1"/>
          <w:sz w:val="24"/>
          <w:szCs w:val="24"/>
        </w:rPr>
        <w:t>projekt ustawy o szczególnych rozwiązaniach służących realizacji ustawy budżetowej na rok 2024 jest ściśle związany z rządowym projektem ustawy budżetowej na rok 2024. Regulacje projektu ustawy mają charakter</w:t>
      </w:r>
      <w:r w:rsidR="00AE2B41">
        <w:rPr>
          <w:rFonts w:ascii="Times New Roman" w:hAnsi="Times New Roman" w:cs="Times New Roman"/>
          <w:color w:val="000000" w:themeColor="text1"/>
          <w:sz w:val="24"/>
          <w:szCs w:val="24"/>
        </w:rPr>
        <w:t xml:space="preserve"> wykonawczy i</w:t>
      </w:r>
      <w:r w:rsidRPr="0044488B">
        <w:rPr>
          <w:rFonts w:ascii="Times New Roman" w:hAnsi="Times New Roman" w:cs="Times New Roman"/>
          <w:color w:val="000000" w:themeColor="text1"/>
          <w:sz w:val="24"/>
          <w:szCs w:val="24"/>
        </w:rPr>
        <w:t xml:space="preserve"> komplementarny do projektu ustawy budżetowej na rok 2024. Przedłożone rozwiązania, zgodnie z</w:t>
      </w:r>
      <w:r w:rsidR="00E51572" w:rsidRPr="0044488B">
        <w:rPr>
          <w:rFonts w:ascii="Times New Roman" w:hAnsi="Times New Roman" w:cs="Times New Roman"/>
          <w:color w:val="000000" w:themeColor="text1"/>
          <w:sz w:val="24"/>
          <w:szCs w:val="24"/>
        </w:rPr>
        <w:t>e</w:t>
      </w:r>
      <w:r w:rsidRPr="0044488B">
        <w:rPr>
          <w:rFonts w:ascii="Times New Roman" w:hAnsi="Times New Roman" w:cs="Times New Roman"/>
          <w:color w:val="000000" w:themeColor="text1"/>
          <w:sz w:val="24"/>
          <w:szCs w:val="24"/>
        </w:rPr>
        <w:t xml:space="preserve"> </w:t>
      </w:r>
      <w:r w:rsidR="00E51572" w:rsidRPr="0044488B">
        <w:rPr>
          <w:rFonts w:ascii="Times New Roman" w:hAnsi="Times New Roman" w:cs="Times New Roman"/>
          <w:color w:val="000000" w:themeColor="text1"/>
          <w:sz w:val="24"/>
          <w:szCs w:val="24"/>
        </w:rPr>
        <w:t>stanowiskiem Rady Ministrów, przedstawionym</w:t>
      </w:r>
      <w:r w:rsidRPr="0044488B">
        <w:rPr>
          <w:rFonts w:ascii="Times New Roman" w:hAnsi="Times New Roman" w:cs="Times New Roman"/>
          <w:color w:val="000000" w:themeColor="text1"/>
          <w:sz w:val="24"/>
          <w:szCs w:val="24"/>
        </w:rPr>
        <w:t xml:space="preserve"> w toku prac parlamentarnych nad projektem ustawy z druk</w:t>
      </w:r>
      <w:r w:rsidR="009A4E73">
        <w:rPr>
          <w:rFonts w:ascii="Times New Roman" w:hAnsi="Times New Roman" w:cs="Times New Roman"/>
          <w:color w:val="000000" w:themeColor="text1"/>
          <w:sz w:val="24"/>
          <w:szCs w:val="24"/>
        </w:rPr>
        <w:t>u</w:t>
      </w:r>
      <w:r w:rsidRPr="0044488B">
        <w:rPr>
          <w:rFonts w:ascii="Times New Roman" w:hAnsi="Times New Roman" w:cs="Times New Roman"/>
          <w:color w:val="000000" w:themeColor="text1"/>
          <w:sz w:val="24"/>
          <w:szCs w:val="24"/>
        </w:rPr>
        <w:t xml:space="preserve"> 128, znajdują swoje odzwierciedlenie i wymierną korelację w kwotach ujętych w projekcie ustawy budżetowej na rok 2024 i wiążą się z prawidłową realizacją tej ustawy.</w:t>
      </w:r>
    </w:p>
    <w:p w14:paraId="4155D74A" w14:textId="77777777" w:rsidR="000F3C44" w:rsidRPr="0044488B" w:rsidRDefault="000F3C44" w:rsidP="009A4E73">
      <w:pPr>
        <w:spacing w:after="0" w:line="240" w:lineRule="auto"/>
        <w:jc w:val="both"/>
        <w:rPr>
          <w:rFonts w:ascii="Times New Roman" w:hAnsi="Times New Roman" w:cs="Times New Roman"/>
          <w:sz w:val="24"/>
          <w:szCs w:val="24"/>
        </w:rPr>
      </w:pPr>
    </w:p>
    <w:p w14:paraId="15311A1C" w14:textId="77777777" w:rsidR="0077077B" w:rsidRPr="0044488B" w:rsidRDefault="0077077B" w:rsidP="0044488B">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sz w:val="24"/>
          <w:szCs w:val="24"/>
        </w:rPr>
        <w:t>W związku z powyższym w projekcie ustawy proponuje się następujące rozwiązania:</w:t>
      </w:r>
    </w:p>
    <w:p w14:paraId="17C3710D" w14:textId="77777777" w:rsidR="00520F40" w:rsidRPr="0044488B" w:rsidRDefault="007F769B"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1 </w:t>
      </w:r>
      <w:r w:rsidR="00520F40" w:rsidRPr="0044488B">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 xml:space="preserve">przewiduje utrzymanie na poziomie przyjętym w budżecie na rok 2023 podstawy wymiaru (w wysokości przeciętnego miesięcznego wynagrodzenia w sektorze przedsiębiorstw bez wypłat nagród z zysku w czwartym kwartale 2016 r., ogłoszonego przez Prezesa Głównego Urzędu Statystycznego, tj. w wysokości 4 403,78 zł), służącej do ustalania wynagrodzenia dla osób zatrudnionych w podmiotach podlegających przepisom ustawy z dnia 9 czerwca 2016 r. o zasadach kształtowania wynagrodzeń osób kierujących niektórymi spółkami (Dz. U. z 2020 r. poz. 1907), tj. wynagrodzeń członków organów zarządzających i organów nadzorczych, a także wybranych postanowień umów zawieranych z członkami organów zarządzających w spółkach z udziałem Skarbu Państwa, jednostek samorządu terytorialnego i ich związków, a także państwowych i komunalnych osób prawnych. </w:t>
      </w:r>
    </w:p>
    <w:p w14:paraId="3FD4C123" w14:textId="77777777" w:rsidR="007F769B" w:rsidRPr="0044488B" w:rsidRDefault="007F769B"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2 </w:t>
      </w:r>
      <w:r w:rsidR="00520F40" w:rsidRPr="0044488B">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utrzymuje na poziomie przyjętym w budżecie na rok 2023 maksymalnych wynagrodzeń osób wymienionych w art. 2 ustawy z dnia 3 marca 2000 r. o wynagradzaniu osób kierujących niektórymi podmiotami prawnymi (Dz. U. z 2019 r. poz. 2136), tj. ustalanie maksymalnych wysokości wynagrodzenia miesięcznego dla osób wymienionych w powyższym przepisie przez przyjęcie przeciętnego miesięcznego wynagrodzenia w sektorze przedsiębiorstw bez wypłat nagród z zysku w czwartym kwartale 2020 r., ogłaszanego przez Prezesa Głównego Urzędu Statystycznego (tj. 5 655,43 zł).</w:t>
      </w:r>
    </w:p>
    <w:p w14:paraId="60022525" w14:textId="6BA1D472" w:rsidR="00850745" w:rsidRPr="0044488B" w:rsidRDefault="00520F40"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lastRenderedPageBreak/>
        <w:t>Art. 3 projektu ustawy przewiduje analogiczne rozwiązanie jak w ustawie z dnia 21 grudnia 2023 r. o szczególnych rozwiązaniach służących realizacji ustawy budżetowej na rok 2024</w:t>
      </w:r>
      <w:r w:rsidR="009A4E73">
        <w:rPr>
          <w:rFonts w:ascii="Times New Roman" w:hAnsi="Times New Roman" w:cs="Times New Roman"/>
          <w:color w:val="000000" w:themeColor="text1"/>
          <w:sz w:val="24"/>
          <w:szCs w:val="24"/>
        </w:rPr>
        <w:t>, to jest że</w:t>
      </w:r>
      <w:r w:rsidRPr="0044488B">
        <w:rPr>
          <w:rFonts w:ascii="Times New Roman" w:hAnsi="Times New Roman" w:cs="Times New Roman"/>
          <w:color w:val="000000" w:themeColor="text1"/>
          <w:sz w:val="24"/>
          <w:szCs w:val="24"/>
        </w:rPr>
        <w:t xml:space="preserve"> </w:t>
      </w:r>
      <w:r w:rsidRPr="0044488B">
        <w:rPr>
          <w:rFonts w:ascii="Times New Roman" w:hAnsi="Times New Roman" w:cs="Times New Roman"/>
          <w:sz w:val="24"/>
          <w:szCs w:val="24"/>
        </w:rPr>
        <w:t>w roku 2024 średnie wynagrodzenie nauczycieli ustalone w sposób określony w art. 30 ust. 3 pkt 1 ustawy z dnia 26 stycznia 1982 r. – Karta Nauczyciela (Dz. U. z 2023 r. poz. 984, 1234, 1586, 1672 i 2005) zwiększa się o 2,308%.</w:t>
      </w:r>
    </w:p>
    <w:p w14:paraId="4D57D694" w14:textId="77777777" w:rsidR="003F6219" w:rsidRPr="0044488B" w:rsidRDefault="00520F40" w:rsidP="0044488B">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color w:val="000000" w:themeColor="text1"/>
          <w:sz w:val="24"/>
          <w:szCs w:val="24"/>
        </w:rPr>
        <w:t xml:space="preserve">Zgodnie z art. 4 </w:t>
      </w:r>
      <w:r w:rsidR="002D7465" w:rsidRPr="0044488B">
        <w:rPr>
          <w:rFonts w:ascii="Times New Roman" w:hAnsi="Times New Roman" w:cs="Times New Roman"/>
          <w:color w:val="000000" w:themeColor="text1"/>
          <w:sz w:val="24"/>
          <w:szCs w:val="24"/>
        </w:rPr>
        <w:t xml:space="preserve">projektu ustawy </w:t>
      </w:r>
      <w:r w:rsidR="002D7465" w:rsidRPr="0044488B">
        <w:rPr>
          <w:rFonts w:ascii="Times New Roman" w:hAnsi="Times New Roman" w:cs="Times New Roman"/>
          <w:sz w:val="24"/>
          <w:szCs w:val="24"/>
        </w:rPr>
        <w:t>p</w:t>
      </w:r>
      <w:r w:rsidRPr="0044488B">
        <w:rPr>
          <w:rFonts w:ascii="Times New Roman" w:hAnsi="Times New Roman" w:cs="Times New Roman"/>
          <w:sz w:val="24"/>
          <w:szCs w:val="24"/>
        </w:rPr>
        <w:t>rzepisu art. 122 ust. 1 pkt 2 lit. c ustawy z dnia 27 sierpnia 2009 r. o finansach publicznych nie stosuje się do ustawy budżetowej na rok 2024 w odniesieniu do wydatków w ramach wspólnej polityki rolnej.</w:t>
      </w:r>
      <w:r w:rsidR="003F6219" w:rsidRPr="0044488B">
        <w:rPr>
          <w:rFonts w:ascii="Times New Roman" w:hAnsi="Times New Roman" w:cs="Times New Roman"/>
          <w:sz w:val="24"/>
          <w:szCs w:val="24"/>
        </w:rPr>
        <w:t xml:space="preserve"> </w:t>
      </w:r>
      <w:r w:rsidR="003F6219" w:rsidRPr="0044488B">
        <w:rPr>
          <w:rFonts w:ascii="Times New Roman" w:hAnsi="Times New Roman" w:cs="Times New Roman"/>
          <w:color w:val="000000" w:themeColor="text1"/>
          <w:sz w:val="24"/>
          <w:szCs w:val="24"/>
        </w:rPr>
        <w:t>Przewidziane w tym przepisie wyłączenie środków na realizację wspólnej polityki rolnej wynika z faktu, że zasady rozliczania środków w ramach pierwszego filaru wspólnej polityki rolnej są inne niż zasady rozliczania funduszy UE, dla których wydatki można realizować w okresie siedmiu plus trzy lata, a rozliczeniu podlega alokacja dla całego programu. W ramach pierwszego filaru wspólnej polityki rolnej, finansowaniem Europejskiego Funduszu Rolniczego Gwarancji objęte są zarówno płatności bezpośrednie, w ramach kopert finansowych ustalonych na poszczególne lata, jak również działania interwencyjne obejmujące mechanizmy uruchamiane doraźnie, w zależności od sytuacji panującej na rynku, w ramach środków udostępnianych przez Komisję Europejską. Ze względu na specyfikę działań interwencyjnych nie jest możliwa prezentacja alokacji obejmującej wszystkie wydatki ponoszone w ramach pierwszego i drugiego filaru wspólnej polityki rolnej dla całej perspektywy finansowej.</w:t>
      </w:r>
    </w:p>
    <w:p w14:paraId="3DCFD950" w14:textId="26C3FEF1" w:rsidR="003F6219" w:rsidRPr="0044488B" w:rsidRDefault="003F6219"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5 </w:t>
      </w:r>
      <w:r w:rsidR="009A4E73">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ma na celu umożliwienie finansowanie rekompensat składek przekazywanych na rzecz otwartych funduszy emerytalnych (OFE) w ramach wydatków budżetu państwa w roku 2024. Proponowane w art. 5 rozwiązanie spowoduje, że w roku 2024 dotacja przekazywana przez ministra właściwego do spraw finansów publicznych do Funduszu Ubezpieczeń Społecznych będzie przeznaczona także na finansowanie przedmiotowych rekompensat. Rozwiązanie to jest konsekwencją ujęcia w projekcie ustawy budżetowej na rok 2024 środków przeznaczonych na te rekompensaty w wydatkach, które do roku 2018 były ujmowane w rozchodach budżetu państwa. Przyjęte rozwiązanie jest analogiczne jak w latach 2019–2023 i zmierza do wyeliminowania wątpliwości odnośnie do zasad klasyfikowania środków z tytułu przekazania składek do otwartych funduszy emerytalnych. Powyższa zmiana nie ma wpływu na wynik sektora instytucji rządowych i samorządowych w</w:t>
      </w:r>
      <w:r w:rsidR="009A4E73">
        <w:rPr>
          <w:rFonts w:ascii="Times New Roman" w:hAnsi="Times New Roman" w:cs="Times New Roman"/>
          <w:color w:val="000000" w:themeColor="text1"/>
          <w:sz w:val="24"/>
          <w:szCs w:val="24"/>
        </w:rPr>
        <w:t>edług</w:t>
      </w:r>
      <w:r w:rsidRPr="0044488B">
        <w:rPr>
          <w:rFonts w:ascii="Times New Roman" w:hAnsi="Times New Roman" w:cs="Times New Roman"/>
          <w:color w:val="000000" w:themeColor="text1"/>
          <w:sz w:val="24"/>
          <w:szCs w:val="24"/>
        </w:rPr>
        <w:t xml:space="preserve"> metodologii ESA 2010. </w:t>
      </w:r>
      <w:r w:rsidRPr="0044488B">
        <w:rPr>
          <w:rFonts w:ascii="Times New Roman" w:hAnsi="Times New Roman" w:cs="Times New Roman"/>
          <w:sz w:val="24"/>
          <w:szCs w:val="24"/>
        </w:rPr>
        <w:t>Wprowadzenie przedmiotowej regulacji stanowi realizację wniosku pokontrolnego Najwyższej Izby Kontroli w zakresie klasyfikowania jako wydatku budżetu państwa finansowania ubytku składek odprowadzanych przez ZUS do OFE.</w:t>
      </w:r>
    </w:p>
    <w:p w14:paraId="69D09AF7" w14:textId="3D673D72" w:rsidR="003F6219" w:rsidRPr="0044488B" w:rsidRDefault="003F6219" w:rsidP="002B7D56">
      <w:pPr>
        <w:spacing w:after="0" w:line="360" w:lineRule="auto"/>
        <w:ind w:firstLine="709"/>
        <w:jc w:val="both"/>
        <w:rPr>
          <w:rFonts w:ascii="Times New Roman" w:hAnsi="Times New Roman" w:cs="Times New Roman"/>
          <w:bCs/>
          <w:color w:val="000000" w:themeColor="text1"/>
          <w:sz w:val="24"/>
          <w:szCs w:val="24"/>
        </w:rPr>
      </w:pPr>
      <w:r w:rsidRPr="0044488B">
        <w:rPr>
          <w:rFonts w:ascii="Times New Roman" w:hAnsi="Times New Roman" w:cs="Times New Roman"/>
          <w:bCs/>
          <w:color w:val="000000" w:themeColor="text1"/>
          <w:sz w:val="24"/>
          <w:szCs w:val="24"/>
        </w:rPr>
        <w:lastRenderedPageBreak/>
        <w:t xml:space="preserve">Potrzeba dokonania zmian legislacyjnych przez art. 6 </w:t>
      </w:r>
      <w:r w:rsidR="002B7D56">
        <w:rPr>
          <w:rFonts w:ascii="Times New Roman" w:hAnsi="Times New Roman" w:cs="Times New Roman"/>
          <w:bCs/>
          <w:color w:val="000000" w:themeColor="text1"/>
          <w:sz w:val="24"/>
          <w:szCs w:val="24"/>
        </w:rPr>
        <w:t xml:space="preserve">projektu ustawy </w:t>
      </w:r>
      <w:r w:rsidRPr="0044488B">
        <w:rPr>
          <w:rFonts w:ascii="Times New Roman" w:hAnsi="Times New Roman" w:cs="Times New Roman"/>
          <w:bCs/>
          <w:color w:val="000000" w:themeColor="text1"/>
          <w:sz w:val="24"/>
          <w:szCs w:val="24"/>
        </w:rPr>
        <w:t xml:space="preserve">wynika z konieczności zabezpieczenia finansowania w 2024 roku zadań realizowanych z Funduszu rozwoju przewozów autobusowych o charakterze użyteczności publicznej (dalej: FRPA). Proponowane rozwiązanie polega na wyłączeniu w 2024 roku stosowania art. 9 ustawy z dnia 16 maja 2019 r. o Funduszu rozwoju przewozów autobusowych o charakterze użyteczności publicznej (Dz. U. z 2022 r. poz. 2464, z </w:t>
      </w:r>
      <w:proofErr w:type="spellStart"/>
      <w:r w:rsidRPr="0044488B">
        <w:rPr>
          <w:rFonts w:ascii="Times New Roman" w:hAnsi="Times New Roman" w:cs="Times New Roman"/>
          <w:bCs/>
          <w:color w:val="000000" w:themeColor="text1"/>
          <w:sz w:val="24"/>
          <w:szCs w:val="24"/>
        </w:rPr>
        <w:t>późn</w:t>
      </w:r>
      <w:proofErr w:type="spellEnd"/>
      <w:r w:rsidRPr="0044488B">
        <w:rPr>
          <w:rFonts w:ascii="Times New Roman" w:hAnsi="Times New Roman" w:cs="Times New Roman"/>
          <w:bCs/>
          <w:color w:val="000000" w:themeColor="text1"/>
          <w:sz w:val="24"/>
          <w:szCs w:val="24"/>
        </w:rPr>
        <w:t>. zm.)</w:t>
      </w:r>
      <w:r w:rsidR="002B7D56">
        <w:rPr>
          <w:rFonts w:ascii="Times New Roman" w:hAnsi="Times New Roman" w:cs="Times New Roman"/>
          <w:bCs/>
          <w:color w:val="000000" w:themeColor="text1"/>
          <w:sz w:val="24"/>
          <w:szCs w:val="24"/>
        </w:rPr>
        <w:t>.</w:t>
      </w:r>
      <w:r w:rsidRPr="0044488B">
        <w:rPr>
          <w:rFonts w:ascii="Times New Roman" w:hAnsi="Times New Roman" w:cs="Times New Roman"/>
          <w:bCs/>
          <w:color w:val="000000" w:themeColor="text1"/>
          <w:sz w:val="24"/>
          <w:szCs w:val="24"/>
        </w:rPr>
        <w:t xml:space="preserve"> </w:t>
      </w:r>
      <w:r w:rsidR="009A4E73">
        <w:rPr>
          <w:rFonts w:ascii="Times New Roman" w:hAnsi="Times New Roman" w:cs="Times New Roman"/>
          <w:bCs/>
          <w:color w:val="000000" w:themeColor="text1"/>
          <w:sz w:val="24"/>
          <w:szCs w:val="24"/>
        </w:rPr>
        <w:t xml:space="preserve">Zaproponowana </w:t>
      </w:r>
      <w:r w:rsidRPr="0044488B">
        <w:rPr>
          <w:rFonts w:ascii="Times New Roman" w:hAnsi="Times New Roman" w:cs="Times New Roman"/>
          <w:bCs/>
          <w:color w:val="000000" w:themeColor="text1"/>
          <w:sz w:val="24"/>
          <w:szCs w:val="24"/>
        </w:rPr>
        <w:t>regulacja spowoduje, że w roku 2024 środki pozostające na rachunku bankowym FRPA, według stanu na koniec roku 2023, nie będą przekazywane do Rządowego Funduszu Rozwoju Dróg. Z roku na rok wzrasta zainteresowanie organizatorów publicznego transportu zbiorowego, co przekłada się na zwiększenie poziomu wykorzystania środków Funduszu na dofinansowanie przewozów autobusowych o charakterze użyteczności publicznej organizowanych przez jednostki samorządu terytorialnego. Ze względu na powyższe, jak również z uwagi na zwiększenie w roku 2024 poziomu dofinansowania zadań Funduszu (z kwoty 800 mln zł do kwoty 1 000 mln zł) proponuje się w 2024 roku wyłączenie obowiązku określonego w art. 9 ww. ustawy i przeznaczenie pozostawionych dzięki temu na rachunku Funduszu środków na zadania określone w art. 6 tej ustawy.</w:t>
      </w:r>
    </w:p>
    <w:p w14:paraId="02D5EBD2" w14:textId="77777777" w:rsidR="003F6219" w:rsidRPr="0044488B" w:rsidRDefault="003F6219" w:rsidP="0044488B">
      <w:pPr>
        <w:spacing w:after="0" w:line="360" w:lineRule="auto"/>
        <w:ind w:firstLine="709"/>
        <w:jc w:val="both"/>
        <w:rPr>
          <w:rFonts w:ascii="Times New Roman" w:hAnsi="Times New Roman" w:cs="Times New Roman"/>
          <w:bCs/>
          <w:color w:val="000000" w:themeColor="text1"/>
          <w:sz w:val="24"/>
          <w:szCs w:val="24"/>
        </w:rPr>
      </w:pPr>
      <w:r w:rsidRPr="0044488B">
        <w:rPr>
          <w:rFonts w:ascii="Times New Roman" w:hAnsi="Times New Roman" w:cs="Times New Roman"/>
          <w:bCs/>
          <w:color w:val="000000" w:themeColor="text1"/>
          <w:sz w:val="24"/>
          <w:szCs w:val="24"/>
        </w:rPr>
        <w:t>W projekcie ustawy podobnie jak w latach 2020–2023, proponuje się wprowadzenie w art. 7</w:t>
      </w:r>
      <w:r w:rsidRPr="0044488B">
        <w:rPr>
          <w:rFonts w:ascii="Times New Roman" w:hAnsi="Times New Roman" w:cs="Times New Roman"/>
          <w:b/>
          <w:bCs/>
          <w:color w:val="000000" w:themeColor="text1"/>
          <w:sz w:val="24"/>
          <w:szCs w:val="24"/>
        </w:rPr>
        <w:t xml:space="preserve"> </w:t>
      </w:r>
      <w:r w:rsidRPr="0044488B">
        <w:rPr>
          <w:rFonts w:ascii="Times New Roman" w:hAnsi="Times New Roman" w:cs="Times New Roman"/>
          <w:bCs/>
          <w:color w:val="000000" w:themeColor="text1"/>
          <w:sz w:val="24"/>
          <w:szCs w:val="24"/>
        </w:rPr>
        <w:t xml:space="preserve">regulacji, iż w roku 2024 nie będzie stosowany przepis art. 460 ust. 10 ustawy z dnia 20 lipca 2018 r. – Prawo o szkolnictwie wyższym i nauce (Dz. U. z 2023 r. poz. 742, z </w:t>
      </w:r>
      <w:proofErr w:type="spellStart"/>
      <w:r w:rsidRPr="0044488B">
        <w:rPr>
          <w:rFonts w:ascii="Times New Roman" w:hAnsi="Times New Roman" w:cs="Times New Roman"/>
          <w:bCs/>
          <w:color w:val="000000" w:themeColor="text1"/>
          <w:sz w:val="24"/>
          <w:szCs w:val="24"/>
        </w:rPr>
        <w:t>późn</w:t>
      </w:r>
      <w:proofErr w:type="spellEnd"/>
      <w:r w:rsidRPr="0044488B">
        <w:rPr>
          <w:rFonts w:ascii="Times New Roman" w:hAnsi="Times New Roman" w:cs="Times New Roman"/>
          <w:bCs/>
          <w:color w:val="000000" w:themeColor="text1"/>
          <w:sz w:val="24"/>
          <w:szCs w:val="24"/>
        </w:rPr>
        <w:t xml:space="preserve">. zm.), z którego wynika, iż wydatki przeznaczone na kształcenie w uczelniach wojskowych studentów studiów stacjonarnych i doktorantów będących osobami cywilnymi nie są zaliczane do wydatków obronnych, o których mowa w art. 7 ustawy z dnia 25 maja 2001 r. o przebudowie i modernizacji technicznej oraz finansowaniu Sił Zbrojnych Rzeczypospolitej Polskiej (Dz. U. z 2022 r. poz. 161). Należy mieć na uwadze, iż z dniem 23 kwietnia 2022 r. weszła w życie ustawa z dnia 11 marca 2022 r. o obronie Ojczyzny (Dz. U. poz. 2305, z </w:t>
      </w:r>
      <w:proofErr w:type="spellStart"/>
      <w:r w:rsidRPr="0044488B">
        <w:rPr>
          <w:rFonts w:ascii="Times New Roman" w:hAnsi="Times New Roman" w:cs="Times New Roman"/>
          <w:bCs/>
          <w:color w:val="000000" w:themeColor="text1"/>
          <w:sz w:val="24"/>
          <w:szCs w:val="24"/>
        </w:rPr>
        <w:t>późn</w:t>
      </w:r>
      <w:proofErr w:type="spellEnd"/>
      <w:r w:rsidRPr="0044488B">
        <w:rPr>
          <w:rFonts w:ascii="Times New Roman" w:hAnsi="Times New Roman" w:cs="Times New Roman"/>
          <w:bCs/>
          <w:color w:val="000000" w:themeColor="text1"/>
          <w:sz w:val="24"/>
          <w:szCs w:val="24"/>
        </w:rPr>
        <w:t>. zm.). Zgodnie z art. 823 pkt 9 tej ustawy utraciła moc ustawa z dnia 25 maja 2001 r. o przebudowie i modernizacji technicznej oraz finansowaniu Sił Zbrojnych Rzeczypospolitej Polskiej. Zgodnie z art. 40 ust. 3 ustawy z dnia 11 marca 2022 r. o obronie Ojczyzny (analogiczny do uchylonego art. 7 ust. 2 ustawy z dnia 25 maja 2001 r. o przebudowie i modernizacji technicznej oraz finansowaniu Sił Zbrojnych RP) wydatki na finansowanie potrzeb obronnych RP obejmują wydatki budżetowe w części budżetu państwa „obrona narodowa” oraz wydatki budżetowe w dziale „obrona narodowa” w innych częściach budżetu państw</w:t>
      </w:r>
      <w:r w:rsidR="008A4580" w:rsidRPr="0044488B">
        <w:rPr>
          <w:rFonts w:ascii="Times New Roman" w:hAnsi="Times New Roman" w:cs="Times New Roman"/>
          <w:bCs/>
          <w:color w:val="000000" w:themeColor="text1"/>
          <w:sz w:val="24"/>
          <w:szCs w:val="24"/>
        </w:rPr>
        <w:t xml:space="preserve">a. Stosownie do </w:t>
      </w:r>
      <w:r w:rsidRPr="0044488B">
        <w:rPr>
          <w:rFonts w:ascii="Times New Roman" w:hAnsi="Times New Roman" w:cs="Times New Roman"/>
          <w:bCs/>
          <w:color w:val="000000" w:themeColor="text1"/>
          <w:sz w:val="24"/>
          <w:szCs w:val="24"/>
        </w:rPr>
        <w:t xml:space="preserve">art. 460 ust. 8 pkt 2 ustawy z dnia 20 lipca 2018 r. – Prawo o szkolnictwie wyższym i nauce środki na pokrycie ww. wydatków są przyznawane z części budżetowej, której dysponentem jest Minister </w:t>
      </w:r>
      <w:r w:rsidRPr="0044488B">
        <w:rPr>
          <w:rFonts w:ascii="Times New Roman" w:hAnsi="Times New Roman" w:cs="Times New Roman"/>
          <w:bCs/>
          <w:color w:val="000000" w:themeColor="text1"/>
          <w:sz w:val="24"/>
          <w:szCs w:val="24"/>
        </w:rPr>
        <w:lastRenderedPageBreak/>
        <w:t>Obrony Narodowej w ramach działu „szkolnictwo wyższe i nauka”. W związku z tym w roku 2024 ww. wydatki zostaną zaliczone do wydatków obronnych. Planowane wydatki w roku 2024 wyniosą 326 383 tys. zł.</w:t>
      </w:r>
    </w:p>
    <w:p w14:paraId="63C494F4" w14:textId="5C8AB75D" w:rsidR="003F6219" w:rsidRPr="0044488B" w:rsidRDefault="003F6219"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8 </w:t>
      </w:r>
      <w:r w:rsidR="009A4E73">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reguluje kwestie przyznawania w roku 2024 środków finansowych uczelniom w formie skarbowych papierów wartościowych na zasadach i wysokościach w nim wskazanym. Rozwiązanie to jest analogiczne jak w przypadku ustawy z dnia 21 grudnia 2023 r. o szczególnych rozwiązaniach służących realizacji ustawy budżetowej na rok 2024.</w:t>
      </w:r>
      <w:r w:rsidR="009A4E73">
        <w:rPr>
          <w:rFonts w:ascii="Times New Roman" w:hAnsi="Times New Roman" w:cs="Times New Roman"/>
          <w:color w:val="000000" w:themeColor="text1"/>
          <w:sz w:val="24"/>
          <w:szCs w:val="24"/>
        </w:rPr>
        <w:t xml:space="preserve"> Tożsamy jest </w:t>
      </w:r>
      <w:r w:rsidR="003D7E6F" w:rsidRPr="0044488B">
        <w:rPr>
          <w:rFonts w:ascii="Times New Roman" w:hAnsi="Times New Roman" w:cs="Times New Roman"/>
          <w:color w:val="000000" w:themeColor="text1"/>
          <w:sz w:val="24"/>
          <w:szCs w:val="24"/>
        </w:rPr>
        <w:t>zakres stosowania art. 8 do umów, o których mowa w art. 389 ust. 1 ustawy z dnia 20 lipca 2018 r. – Prawo o szkolnictwie wyższym i nauce, zawartych przed dniem wejścia w życie ustawy</w:t>
      </w:r>
      <w:r w:rsidR="00E96636">
        <w:rPr>
          <w:rFonts w:ascii="Times New Roman" w:hAnsi="Times New Roman" w:cs="Times New Roman"/>
          <w:color w:val="000000" w:themeColor="text1"/>
          <w:sz w:val="24"/>
          <w:szCs w:val="24"/>
        </w:rPr>
        <w:t xml:space="preserve"> (art. 9 projektu</w:t>
      </w:r>
      <w:r w:rsidR="009A4E73">
        <w:rPr>
          <w:rFonts w:ascii="Times New Roman" w:hAnsi="Times New Roman" w:cs="Times New Roman"/>
          <w:color w:val="000000" w:themeColor="text1"/>
          <w:sz w:val="24"/>
          <w:szCs w:val="24"/>
        </w:rPr>
        <w:t xml:space="preserve"> ustawy</w:t>
      </w:r>
      <w:r w:rsidR="00E96636">
        <w:rPr>
          <w:rFonts w:ascii="Times New Roman" w:hAnsi="Times New Roman" w:cs="Times New Roman"/>
          <w:color w:val="000000" w:themeColor="text1"/>
          <w:sz w:val="24"/>
          <w:szCs w:val="24"/>
        </w:rPr>
        <w:t>)</w:t>
      </w:r>
      <w:r w:rsidR="003D7E6F" w:rsidRPr="0044488B">
        <w:rPr>
          <w:rFonts w:ascii="Times New Roman" w:hAnsi="Times New Roman" w:cs="Times New Roman"/>
          <w:color w:val="000000" w:themeColor="text1"/>
          <w:sz w:val="24"/>
          <w:szCs w:val="24"/>
        </w:rPr>
        <w:t>.</w:t>
      </w:r>
    </w:p>
    <w:p w14:paraId="0793414B" w14:textId="3CAD1FF9" w:rsidR="003D7E6F" w:rsidRPr="0044488B" w:rsidRDefault="003D7E6F"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W art. 10 </w:t>
      </w:r>
      <w:r w:rsidR="002B7D56">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proponuje się wprowadzenie regulacji umożliwiającej przekazanie w 2024 r. Funduszowi Reprywatyzacji skarbowych papierów wartościowych. Celem jest możliwość zwiększenia zdolności Funduszu Reprywatyzacji do realizacji nabywania lub obejmowania przez Skarb Państwa, reprezentowany przez Prezesa Rady Ministrów, akcji w spółkach, co umożliwi zmiana art. 69h ustawy z dnia 30 sierpnia 1996 r. o komercjalizacji i niektórych uprawnieniach pracowników (Dz. U. z 2023 r. poz. 343), wprowadzana niniejszą ustawą, a także zdolność tego Funduszu do udzielania pożyczek. Wartość nominalna zobowiązań z tytułu wyemitowanych skarbowych papierów wartościowych, przekazanych w 2024 r. Funduszowi Reprywatyzacji nie może przekroczyć kwoty 10 mld zł. Przekazanie przez ministra właściwego do spraw budżetu skarbowych papierów wartościowych Funduszowi Reprywatyzacji wiąże się z koniecznością obsługi tego procesu przez rachunek papierów wartościowych i pokrycia ze środków tego Funduszu kosztów związanych z operacjami na ww. papierach. W związku z czym wprowadza się regulację mającą na celu określenie źródła pokrycia tych kosztów. Do emisji skarbowych papierów wartościowych, o których mowa w ust. 1, nie będzie się stosować przepisów art. 98 i art. 102 ustawy z dnia 27 sierpnia 2009 r. o finansach publicznych oraz przepisów wydanych na podstawie art. 97 tej ustawy.</w:t>
      </w:r>
    </w:p>
    <w:p w14:paraId="373C8CE6" w14:textId="21DC0E56" w:rsidR="00E2513D" w:rsidRPr="0044488B" w:rsidRDefault="003D7E6F"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Projekt ustawy w art. 11 przewiduje, że w roku 2024 minister właściwy do spraw budżetu, na wniosek ministra właściwego do spraw transportu, przekaże </w:t>
      </w:r>
      <w:bookmarkStart w:id="0" w:name="_Hlk149634757"/>
      <w:r w:rsidRPr="0044488B">
        <w:rPr>
          <w:rFonts w:ascii="Times New Roman" w:hAnsi="Times New Roman" w:cs="Times New Roman"/>
          <w:color w:val="000000" w:themeColor="text1"/>
          <w:sz w:val="24"/>
          <w:szCs w:val="24"/>
        </w:rPr>
        <w:t xml:space="preserve">PKP Polskim Liniom Kolejowym SA </w:t>
      </w:r>
      <w:bookmarkEnd w:id="0"/>
      <w:r w:rsidRPr="0044488B">
        <w:rPr>
          <w:rFonts w:ascii="Times New Roman" w:hAnsi="Times New Roman" w:cs="Times New Roman"/>
          <w:color w:val="000000" w:themeColor="text1"/>
          <w:sz w:val="24"/>
          <w:szCs w:val="24"/>
        </w:rPr>
        <w:t xml:space="preserve">skarbowe papiery wartościowe o łącznej wartości nominalnej 1.300 mln zł z przeznaczeniem na podwyższenie kapitału zakładowego PKP Polskich Linii Kolejowych SA. Środki uzyskane z tytułu skarbowych papierów wartościowych będą mogły być przeznaczone wyłącznie na finansowanie inwestycji realizowanych przez PKP Polskie Linie Kolejowe SA w ramach programów wieloletnich, o których mowa w przepisach ustawy z dnia 27 sierpnia 2009 </w:t>
      </w:r>
      <w:r w:rsidRPr="0044488B">
        <w:rPr>
          <w:rFonts w:ascii="Times New Roman" w:hAnsi="Times New Roman" w:cs="Times New Roman"/>
          <w:color w:val="000000" w:themeColor="text1"/>
          <w:sz w:val="24"/>
          <w:szCs w:val="24"/>
        </w:rPr>
        <w:lastRenderedPageBreak/>
        <w:t>r. o finansach publicznych. Przewiduje się wykorzystanie tych środków na projekty określone w uchwale Rady Ministrów zmieniającej uchwałę w sprawie ustanowienia Krajowego Programu Kolejowego do 2030 roku (z perspektywą do roku 2032).</w:t>
      </w:r>
      <w:r w:rsidR="008A4580" w:rsidRPr="0044488B">
        <w:rPr>
          <w:rFonts w:ascii="Times New Roman" w:hAnsi="Times New Roman" w:cs="Times New Roman"/>
          <w:color w:val="000000" w:themeColor="text1"/>
          <w:sz w:val="24"/>
          <w:szCs w:val="24"/>
        </w:rPr>
        <w:t xml:space="preserve"> </w:t>
      </w:r>
    </w:p>
    <w:p w14:paraId="28F6254E" w14:textId="77777777" w:rsidR="00E2513D" w:rsidRPr="0044488B" w:rsidRDefault="00E2513D"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eastAsia="Times New Roman" w:hAnsi="Times New Roman" w:cs="Times New Roman"/>
          <w:color w:val="000000"/>
          <w:sz w:val="24"/>
          <w:szCs w:val="24"/>
          <w:lang w:eastAsia="pl-PL"/>
        </w:rPr>
        <w:t xml:space="preserve">Proponowana zmiana zawarta w art. 12 jest konieczna dla zapewnienia środków publicznych niezbędnych do realizacji </w:t>
      </w:r>
      <w:r w:rsidRPr="0044488B">
        <w:rPr>
          <w:rFonts w:ascii="Times New Roman" w:eastAsia="Times New Roman" w:hAnsi="Times New Roman" w:cs="Times New Roman"/>
          <w:sz w:val="24"/>
          <w:szCs w:val="24"/>
          <w:lang w:eastAsia="pl-PL"/>
        </w:rPr>
        <w:t xml:space="preserve">rządowego programu </w:t>
      </w:r>
      <w:bookmarkStart w:id="1" w:name="_Hlk152313235"/>
      <w:r w:rsidRPr="0044488B">
        <w:rPr>
          <w:rFonts w:ascii="Times New Roman" w:eastAsia="Times New Roman" w:hAnsi="Times New Roman" w:cs="Times New Roman"/>
          <w:sz w:val="24"/>
          <w:szCs w:val="24"/>
          <w:lang w:eastAsia="pl-PL"/>
        </w:rPr>
        <w:t>pod nazwą „Krajowe Ramy Wspierania Strategicznych Inwestycji Półprzewodnikowych</w:t>
      </w:r>
      <w:bookmarkEnd w:id="1"/>
      <w:r w:rsidRPr="0044488B">
        <w:rPr>
          <w:rFonts w:ascii="Times New Roman" w:eastAsia="Times New Roman" w:hAnsi="Times New Roman" w:cs="Times New Roman"/>
          <w:sz w:val="24"/>
          <w:szCs w:val="24"/>
          <w:lang w:eastAsia="pl-PL"/>
        </w:rPr>
        <w:t>”, stanowiącego załącznik do uchwały Rady Ministrów z  dnia 14 listopada 2023 r. Program ten zakłada udzielenie wsparcia dla projektów rozwijających produkcję w sektorze półprzewodników w Polsce, co przyczyni się do zapewnienia bezpieczeństwa dostaw i odporności ekosystemu półprzewodników w Unii Europejskiej.</w:t>
      </w:r>
      <w:r w:rsidRPr="0044488B">
        <w:rPr>
          <w:rFonts w:ascii="Times New Roman" w:hAnsi="Times New Roman" w:cs="Times New Roman"/>
          <w:color w:val="000000" w:themeColor="text1"/>
          <w:sz w:val="24"/>
          <w:szCs w:val="24"/>
        </w:rPr>
        <w:t xml:space="preserve"> </w:t>
      </w:r>
      <w:r w:rsidRPr="0044488B">
        <w:rPr>
          <w:rFonts w:ascii="Times New Roman" w:eastAsia="Times New Roman" w:hAnsi="Times New Roman" w:cs="Times New Roman"/>
          <w:sz w:val="24"/>
          <w:szCs w:val="24"/>
          <w:lang w:eastAsia="pl-PL"/>
        </w:rPr>
        <w:t xml:space="preserve">Przewiduje się przekazanie ministrowi właściwemu do spraw informatyzacji skarbowych papierów wartościowych o wartości nieprzekraczającej 3 500 000 tys. zł. Przekazanie i sprzedaż skarbowych papierów wartościowych pozwolą na sfinansowanie ww. programu w 2024 r. Realizacja wskazanego programu będzie następować na podstawie umów z inwestorami i stanowi pomoc publiczną, która może być udzielona pod warunkiem jej zatwierdzenia przez Komisję Europejską, zgodnie z art. 108 ust. 3 Traktatu o funkcjonowaniu Unii Europejskiej. </w:t>
      </w:r>
    </w:p>
    <w:p w14:paraId="0601DB56" w14:textId="77777777" w:rsidR="00E2513D" w:rsidRPr="0044488B" w:rsidRDefault="00E2513D" w:rsidP="0044488B">
      <w:pPr>
        <w:spacing w:after="0" w:line="360" w:lineRule="auto"/>
        <w:ind w:firstLine="709"/>
        <w:jc w:val="both"/>
        <w:rPr>
          <w:rFonts w:ascii="Times New Roman" w:eastAsia="Times New Roman" w:hAnsi="Times New Roman" w:cs="Times New Roman"/>
          <w:sz w:val="24"/>
          <w:szCs w:val="24"/>
          <w:lang w:eastAsia="pl-PL"/>
        </w:rPr>
      </w:pPr>
      <w:r w:rsidRPr="0044488B">
        <w:rPr>
          <w:rFonts w:ascii="Times New Roman" w:hAnsi="Times New Roman" w:cs="Times New Roman"/>
          <w:color w:val="000000" w:themeColor="text1"/>
          <w:sz w:val="24"/>
          <w:szCs w:val="24"/>
        </w:rPr>
        <w:t xml:space="preserve">Art. 13 projektu ustawy </w:t>
      </w:r>
      <w:r w:rsidRPr="0044488B">
        <w:rPr>
          <w:rFonts w:ascii="Times New Roman" w:eastAsia="Times New Roman" w:hAnsi="Times New Roman" w:cs="Times New Roman"/>
          <w:sz w:val="24"/>
          <w:szCs w:val="24"/>
          <w:lang w:eastAsia="pl-PL"/>
        </w:rPr>
        <w:t>ma natomiast umożliwić wyemitowanie skarbowych papierów wartościowych, w ramach określonego limitu, z przeznaczeniem na podwyższenie kapitału zakładowego przedsiębiorstwa górniczego, o którym mowa w art. 5f ust. 1 ustawy z dnia 7 września 2007 r. o funkcjonowaniu górnictwa węgla kamiennego (Dz. U. z 2022 r. poz. 1309). W projekcie ustawy budżetowej na rok 2024 został określony limit wydatków dla podmiotów górnictwa węgla kamiennego w kategorii dotacje celowe na poziomie 1.974.783 tys. zł, w tym na dopłaty do redukcji zdolności produkcyjnych 904 882,0 tys. zł. Jednakże radykalne spadki zarówno bieżących cen węgla, jak i długoterminowych prognoz cenowych spowodowały znaczny wzrost zapotrzebowania na środki budżetowe w roku 2024, w porównaniu do zakładanych potrzeb. W związku z powyższym zaistniała konieczność pozyskana dodatkowych środków na dopłaty do redukcji zdolności produkcyjnych przedsiębiorstw górniczych poprzez emisje skarbowych papierów wartościowych.</w:t>
      </w:r>
    </w:p>
    <w:p w14:paraId="104815FC" w14:textId="412D79FA" w:rsidR="00914250" w:rsidRPr="0044488B" w:rsidRDefault="00914250"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eastAsia="Times New Roman" w:hAnsi="Times New Roman" w:cs="Times New Roman"/>
          <w:sz w:val="24"/>
          <w:szCs w:val="24"/>
          <w:lang w:eastAsia="pl-PL"/>
        </w:rPr>
        <w:t xml:space="preserve">W art. 14 </w:t>
      </w:r>
      <w:r w:rsidR="00365FDC">
        <w:rPr>
          <w:rFonts w:ascii="Times New Roman" w:eastAsia="Times New Roman" w:hAnsi="Times New Roman" w:cs="Times New Roman"/>
          <w:sz w:val="24"/>
          <w:szCs w:val="24"/>
          <w:lang w:eastAsia="pl-PL"/>
        </w:rPr>
        <w:t xml:space="preserve">projektu ustawy </w:t>
      </w:r>
      <w:r w:rsidRPr="0044488B">
        <w:rPr>
          <w:rFonts w:ascii="Times New Roman" w:eastAsia="Times New Roman" w:hAnsi="Times New Roman" w:cs="Times New Roman"/>
          <w:sz w:val="24"/>
          <w:szCs w:val="24"/>
          <w:lang w:eastAsia="pl-PL"/>
        </w:rPr>
        <w:t xml:space="preserve">proponuje się upoważnienie dla </w:t>
      </w:r>
      <w:bookmarkStart w:id="2" w:name="_Hlk153622163"/>
      <w:r w:rsidRPr="0044488B">
        <w:rPr>
          <w:rFonts w:ascii="Times New Roman" w:hAnsi="Times New Roman" w:cs="Times New Roman"/>
          <w:sz w:val="24"/>
          <w:szCs w:val="24"/>
        </w:rPr>
        <w:t>ministra właściwego do spraw budżetu do przekazywania, na wydane do dnia 30 listopada 2024 r. polecenie Prezesa Rady Ministrów, skarbowych papierów wartościow</w:t>
      </w:r>
      <w:bookmarkEnd w:id="2"/>
      <w:r w:rsidRPr="0044488B">
        <w:rPr>
          <w:rFonts w:ascii="Times New Roman" w:hAnsi="Times New Roman" w:cs="Times New Roman"/>
          <w:sz w:val="24"/>
          <w:szCs w:val="24"/>
        </w:rPr>
        <w:t>ych państwowym osobom prawnym, o których mowa w art. 3 ust. 1–3 ustawy z dnia 16 grudnia 2016 r. o zasadach zarządzania mieniem państwowym, na podwyższenie funduszu lub kapitału w szczególności zakładowego, zasadniczego lub statutowego,</w:t>
      </w:r>
      <w:bookmarkStart w:id="3" w:name="_Hlk153622349"/>
      <w:r w:rsidRPr="0044488B">
        <w:rPr>
          <w:rFonts w:ascii="Times New Roman" w:hAnsi="Times New Roman" w:cs="Times New Roman"/>
          <w:sz w:val="24"/>
          <w:szCs w:val="24"/>
        </w:rPr>
        <w:t xml:space="preserve"> w celu finansowania przez te podmioty ich zadań ustawowych </w:t>
      </w:r>
      <w:r w:rsidRPr="0044488B">
        <w:rPr>
          <w:rFonts w:ascii="Times New Roman" w:hAnsi="Times New Roman" w:cs="Times New Roman"/>
          <w:sz w:val="24"/>
          <w:szCs w:val="24"/>
        </w:rPr>
        <w:lastRenderedPageBreak/>
        <w:t xml:space="preserve">lub statutowych </w:t>
      </w:r>
      <w:bookmarkStart w:id="4" w:name="_Hlk153622419"/>
      <w:bookmarkEnd w:id="3"/>
      <w:r w:rsidRPr="0044488B">
        <w:rPr>
          <w:rFonts w:ascii="Times New Roman" w:hAnsi="Times New Roman" w:cs="Times New Roman"/>
          <w:sz w:val="24"/>
          <w:szCs w:val="24"/>
        </w:rPr>
        <w:t>w ramach limitu na emisję skarbowych papierów wartościowych przeznaczonych na przedterminową spłatę, wykup lub zamianę innych niż skarbowe papiery wartościowe zobowiązań Skarbu Państwa, a także na wykonanie zobowiązań Skarbu Państwa wynikających z ustaw, orzeczeń sądów lub innych tytułów, określonego w ustawie budżetowej na rok 2024, z tym że wartość nominalna wyemitowanych skarbowych papierów wartościowych na ten cel nie może przekroczyć kwoty 12 000 000 tys. zł.</w:t>
      </w:r>
      <w:bookmarkEnd w:id="4"/>
      <w:r w:rsidRPr="0044488B">
        <w:rPr>
          <w:rFonts w:ascii="Times New Roman" w:hAnsi="Times New Roman" w:cs="Times New Roman"/>
          <w:sz w:val="24"/>
          <w:szCs w:val="24"/>
        </w:rPr>
        <w:t xml:space="preserve"> Do emisji skarbowych papierów wartościowych stosować się będzie odpowiednio przepisy ustawy z dnia 27 sierpnia 2009 r. o finansach publicznych, z wyłączeniem przepisów wydanych na podstawie art. 97 tej ustawy.</w:t>
      </w:r>
    </w:p>
    <w:p w14:paraId="388030AD" w14:textId="7EE9F41C" w:rsidR="00914250" w:rsidRPr="0044488B" w:rsidRDefault="00914250"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15 projektu ustawy dotyczy </w:t>
      </w:r>
      <w:r w:rsidR="00365FDC">
        <w:rPr>
          <w:rFonts w:ascii="Times New Roman" w:hAnsi="Times New Roman" w:cs="Times New Roman"/>
          <w:color w:val="000000" w:themeColor="text1"/>
          <w:sz w:val="24"/>
          <w:szCs w:val="24"/>
        </w:rPr>
        <w:t xml:space="preserve">działalności </w:t>
      </w:r>
      <w:r w:rsidRPr="0044488B">
        <w:rPr>
          <w:rFonts w:ascii="Times New Roman" w:hAnsi="Times New Roman" w:cs="Times New Roman"/>
          <w:color w:val="000000" w:themeColor="text1"/>
          <w:sz w:val="24"/>
          <w:szCs w:val="24"/>
        </w:rPr>
        <w:t>Kancelarii Prezydenta Rzeczypospolitej Polskiej.</w:t>
      </w:r>
      <w:r w:rsidR="00576317">
        <w:rPr>
          <w:rFonts w:ascii="Times New Roman" w:hAnsi="Times New Roman" w:cs="Times New Roman"/>
          <w:color w:val="000000" w:themeColor="text1"/>
          <w:sz w:val="24"/>
          <w:szCs w:val="24"/>
        </w:rPr>
        <w:t xml:space="preserve"> W tym przypadku propozycja przepisu jest także powtórzeniem regulacji z zawetowanej ustawy z dnia 21 grudnia 2023 r.</w:t>
      </w:r>
      <w:r w:rsidRPr="0044488B">
        <w:rPr>
          <w:rFonts w:ascii="Times New Roman" w:hAnsi="Times New Roman" w:cs="Times New Roman"/>
          <w:color w:val="000000" w:themeColor="text1"/>
          <w:sz w:val="24"/>
          <w:szCs w:val="24"/>
        </w:rPr>
        <w:t xml:space="preserve"> </w:t>
      </w:r>
      <w:r w:rsidRPr="0044488B">
        <w:rPr>
          <w:rFonts w:ascii="Times New Roman" w:eastAsia="Times New Roman" w:hAnsi="Times New Roman" w:cs="Times New Roman"/>
          <w:color w:val="000000"/>
          <w:sz w:val="24"/>
          <w:szCs w:val="24"/>
          <w:lang w:eastAsia="pl-PL"/>
        </w:rPr>
        <w:t xml:space="preserve">Na rok 2024 zaplanowano zadania inwestycyjno-remontowe związane z realizacją prac w obiektach zabytkowych o najwyższej wadze w państwie – najważniejszych miejscach z punktu widzenia nie tylko historycznego, ale również reprezentacyjnego, tj. Rezydencji Pałac Prezydencki i Rezydencji Belweder. Wykonanie planowanych prac jest procesem wieloetapowym i złożonym, dodatkowo uzależnionym przede wszystkim od wymogów decyzji konserwatorskich, terminów oraz wyników rozstrzygnięć w zakresie zamówień publicznych oraz warunków niepewności dotyczących dostępności materiałów i usług budowlanych, a także ich cenami (w szczególności </w:t>
      </w:r>
      <w:r w:rsidR="00576317">
        <w:rPr>
          <w:rFonts w:ascii="Times New Roman" w:eastAsia="Times New Roman" w:hAnsi="Times New Roman" w:cs="Times New Roman"/>
          <w:color w:val="000000"/>
          <w:sz w:val="24"/>
          <w:szCs w:val="24"/>
          <w:lang w:eastAsia="pl-PL"/>
        </w:rPr>
        <w:t>z uwagi na inflację</w:t>
      </w:r>
      <w:r w:rsidRPr="0044488B">
        <w:rPr>
          <w:rFonts w:ascii="Times New Roman" w:eastAsia="Times New Roman" w:hAnsi="Times New Roman" w:cs="Times New Roman"/>
          <w:color w:val="000000"/>
          <w:sz w:val="24"/>
          <w:szCs w:val="24"/>
          <w:lang w:eastAsia="pl-PL"/>
        </w:rPr>
        <w:t>). W związku z powyższym, niezbędne jest utrzymanie także w roku 2024 podstawy materialnoprawnej do dokonywania przeniesień wydatków między działami klasyfikacji wydatków budżetu państwa, w zdefiniowanym powyżej obszarze, w ramach części 01 – Kancelaria Prezydenta RP. Takie rozwiązanie umożliwi sprawne gospodarowanie środkami zaplanowanymi w ustawie budżetowej oraz efektywną realizację wydatków w zmieniających się warunkach na rynku budowlano</w:t>
      </w:r>
      <w:r w:rsidRPr="0044488B">
        <w:rPr>
          <w:rFonts w:ascii="Times New Roman" w:eastAsia="Times New Roman" w:hAnsi="Times New Roman" w:cs="Times New Roman"/>
          <w:color w:val="000000"/>
          <w:sz w:val="24"/>
          <w:szCs w:val="24"/>
          <w:lang w:eastAsia="pl-PL"/>
        </w:rPr>
        <w:noBreakHyphen/>
        <w:t xml:space="preserve">remontowym, zapewniając dysponentowi części 01 </w:t>
      </w:r>
      <w:r w:rsidRPr="0044488B">
        <w:rPr>
          <w:rFonts w:ascii="Times New Roman" w:eastAsia="Times New Roman" w:hAnsi="Times New Roman" w:cs="Times New Roman"/>
          <w:sz w:val="24"/>
          <w:szCs w:val="24"/>
          <w:lang w:eastAsia="pl-PL"/>
        </w:rPr>
        <w:t xml:space="preserve">– </w:t>
      </w:r>
      <w:r w:rsidRPr="0044488B">
        <w:rPr>
          <w:rFonts w:ascii="Times New Roman" w:eastAsia="Times New Roman" w:hAnsi="Times New Roman" w:cs="Times New Roman"/>
          <w:color w:val="000000"/>
          <w:sz w:val="24"/>
          <w:szCs w:val="24"/>
          <w:lang w:eastAsia="pl-PL"/>
        </w:rPr>
        <w:t>Kancelaria Prezydenta RP przenoszenie zaplanowanych środków w sposób elastyczny, aby finansowanie zadań inwestycyjno-remontowych było jak najbardziej właściwe i sprawne oraz w przypadku zaplanowania środków w różnej klasyfikacji budżetowej uwzględniało potrzebę dokonania bieżących zmian, w krótkim czasie, zdeterminowanym przez wymogi prawno-umowne.</w:t>
      </w:r>
    </w:p>
    <w:p w14:paraId="28D8254E" w14:textId="0CEF39CB" w:rsidR="00914250" w:rsidRDefault="00914250" w:rsidP="0044488B">
      <w:pPr>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 xml:space="preserve">Proponowany art. 16 – zgodnie z art. 24 ust. 1 ustawy z dnia 27 sierpnia 2009 r. o finansach publicznych – ma na celu stworzenie podstawy prawnej umożliwiającej Szefowi Kancelarii Prezesa Rady Ministrów udzielenie dotacji celowej instytucji gospodarki budżetowej KPRM – Centrum Obsługi Administracji Rządowej. Umożliwienie Szefowi </w:t>
      </w:r>
      <w:r w:rsidRPr="0044488B">
        <w:rPr>
          <w:rFonts w:ascii="Times New Roman" w:eastAsia="Times New Roman" w:hAnsi="Times New Roman" w:cs="Times New Roman"/>
          <w:color w:val="000000"/>
          <w:sz w:val="24"/>
          <w:szCs w:val="24"/>
          <w:lang w:eastAsia="pl-PL"/>
        </w:rPr>
        <w:lastRenderedPageBreak/>
        <w:t>Kancelarii Prezesa Rady Ministrów udzielenia dotacji Centrum Obsługi Administracji Rządowej do wysokości 18 195 tys. zł, pozwoli na realizację zadań publicznych, tj. na realizację zadań inwestycyjnych i remontów oraz zakupu wyposażenia w nieruchomościach stanowiących wyposażenie tej instytucji. Działanie to umożliwi Centrum Obsługi Administracji Rządowej realizację niezbędnych prac związanych z remontem, modernizacją oraz wyposażeniem mienia Skarbu Państwa stanowiącego wyposażenie lub przekazanego w użyczenie instytucji gospodarki budżetowej – Centrum Obsługi Administracji Rządowej.</w:t>
      </w:r>
      <w:r w:rsidR="0046161F" w:rsidRPr="0044488B">
        <w:rPr>
          <w:rFonts w:ascii="Times New Roman" w:eastAsia="Times New Roman" w:hAnsi="Times New Roman" w:cs="Times New Roman"/>
          <w:color w:val="000000"/>
          <w:sz w:val="24"/>
          <w:szCs w:val="24"/>
          <w:lang w:eastAsia="pl-PL"/>
        </w:rPr>
        <w:t xml:space="preserve"> D</w:t>
      </w:r>
      <w:r w:rsidRPr="0044488B">
        <w:rPr>
          <w:rFonts w:ascii="Times New Roman" w:eastAsia="Times New Roman" w:hAnsi="Times New Roman" w:cs="Times New Roman"/>
          <w:color w:val="000000"/>
          <w:sz w:val="24"/>
          <w:szCs w:val="24"/>
          <w:lang w:eastAsia="pl-PL"/>
        </w:rPr>
        <w:t>ziałanie</w:t>
      </w:r>
      <w:r w:rsidR="0046161F" w:rsidRPr="0044488B">
        <w:rPr>
          <w:rFonts w:ascii="Times New Roman" w:eastAsia="Times New Roman" w:hAnsi="Times New Roman" w:cs="Times New Roman"/>
          <w:color w:val="000000"/>
          <w:sz w:val="24"/>
          <w:szCs w:val="24"/>
          <w:lang w:eastAsia="pl-PL"/>
        </w:rPr>
        <w:t xml:space="preserve"> to </w:t>
      </w:r>
      <w:r w:rsidR="00576317">
        <w:rPr>
          <w:rFonts w:ascii="Times New Roman" w:eastAsia="Times New Roman" w:hAnsi="Times New Roman" w:cs="Times New Roman"/>
          <w:color w:val="000000"/>
          <w:sz w:val="24"/>
          <w:szCs w:val="24"/>
          <w:lang w:eastAsia="pl-PL"/>
        </w:rPr>
        <w:t xml:space="preserve">ma się </w:t>
      </w:r>
      <w:r w:rsidRPr="0044488B">
        <w:rPr>
          <w:rFonts w:ascii="Times New Roman" w:eastAsia="Times New Roman" w:hAnsi="Times New Roman" w:cs="Times New Roman"/>
          <w:color w:val="000000"/>
          <w:sz w:val="24"/>
          <w:szCs w:val="24"/>
          <w:lang w:eastAsia="pl-PL"/>
        </w:rPr>
        <w:t>przyczyni</w:t>
      </w:r>
      <w:r w:rsidR="00576317">
        <w:rPr>
          <w:rFonts w:ascii="Times New Roman" w:eastAsia="Times New Roman" w:hAnsi="Times New Roman" w:cs="Times New Roman"/>
          <w:color w:val="000000"/>
          <w:sz w:val="24"/>
          <w:szCs w:val="24"/>
          <w:lang w:eastAsia="pl-PL"/>
        </w:rPr>
        <w:t>ć</w:t>
      </w:r>
      <w:r w:rsidRPr="0044488B">
        <w:rPr>
          <w:rFonts w:ascii="Times New Roman" w:eastAsia="Times New Roman" w:hAnsi="Times New Roman" w:cs="Times New Roman"/>
          <w:color w:val="000000"/>
          <w:sz w:val="24"/>
          <w:szCs w:val="24"/>
          <w:lang w:eastAsia="pl-PL"/>
        </w:rPr>
        <w:t xml:space="preserve"> do wzrostu wartości użytkowej majątku stanowiącego własność Skarbu Państwa, zwiększenia bezpieczeństwa użytkowników obiektów, podniesienia bezpieczeństwa technicznego obiektów, a także zmniejszenia kosztów ich użytkowania.</w:t>
      </w:r>
    </w:p>
    <w:p w14:paraId="5088D02D" w14:textId="26823620" w:rsidR="00467082" w:rsidRDefault="00467082" w:rsidP="0044488B">
      <w:pPr>
        <w:spacing w:after="0" w:line="360" w:lineRule="auto"/>
        <w:ind w:firstLine="709"/>
        <w:jc w:val="both"/>
        <w:rPr>
          <w:rFonts w:ascii="Times New Roman" w:eastAsia="Times New Roman" w:hAnsi="Times New Roman" w:cs="Times New Roman"/>
          <w:color w:val="000000"/>
          <w:sz w:val="24"/>
          <w:szCs w:val="24"/>
          <w:lang w:eastAsia="pl-PL"/>
        </w:rPr>
      </w:pPr>
      <w:r w:rsidRPr="00467082">
        <w:rPr>
          <w:rFonts w:ascii="Times New Roman" w:eastAsia="Times New Roman" w:hAnsi="Times New Roman" w:cs="Times New Roman"/>
          <w:color w:val="000000"/>
          <w:sz w:val="24"/>
          <w:szCs w:val="24"/>
          <w:lang w:eastAsia="pl-PL"/>
        </w:rPr>
        <w:t>W art. 17 projektu ustawy proponuje się regulację wprowadzającą mechanizm zachęcający do pozostawania w służbie czynnej żołnierzy zawodowych, funkcjonariuszy i funkcjonariuszy Służby Celno-Skarbowej. Mając na uwadze powyższe proponuje się, aby w roku 2024 wzrost uposażeń obejmował wyłącznie żołnierzy zawodowych i funkcjonariuszy oraz funkcjon</w:t>
      </w:r>
      <w:r>
        <w:rPr>
          <w:rFonts w:ascii="Times New Roman" w:eastAsia="Times New Roman" w:hAnsi="Times New Roman" w:cs="Times New Roman"/>
          <w:color w:val="000000"/>
          <w:sz w:val="24"/>
          <w:szCs w:val="24"/>
          <w:lang w:eastAsia="pl-PL"/>
        </w:rPr>
        <w:t>ariuszy Służby Celno-</w:t>
      </w:r>
      <w:r w:rsidRPr="00467082">
        <w:rPr>
          <w:rFonts w:ascii="Times New Roman" w:eastAsia="Times New Roman" w:hAnsi="Times New Roman" w:cs="Times New Roman"/>
          <w:color w:val="000000"/>
          <w:sz w:val="24"/>
          <w:szCs w:val="24"/>
          <w:lang w:eastAsia="pl-PL"/>
        </w:rPr>
        <w:t>Skarbowej pozostających w służbie na dzień 1 marca 2024 r.</w:t>
      </w:r>
    </w:p>
    <w:p w14:paraId="6C632F02" w14:textId="700E5AA7" w:rsidR="00467082" w:rsidRDefault="00467082" w:rsidP="0044488B">
      <w:pPr>
        <w:spacing w:after="0" w:line="360" w:lineRule="auto"/>
        <w:ind w:firstLine="709"/>
        <w:jc w:val="both"/>
        <w:rPr>
          <w:rFonts w:ascii="Times New Roman" w:eastAsia="Times New Roman" w:hAnsi="Times New Roman" w:cs="Times New Roman"/>
          <w:color w:val="000000"/>
          <w:sz w:val="24"/>
          <w:szCs w:val="24"/>
          <w:lang w:eastAsia="pl-PL"/>
        </w:rPr>
      </w:pPr>
      <w:r w:rsidRPr="00467082">
        <w:rPr>
          <w:rFonts w:ascii="Times New Roman" w:eastAsia="Times New Roman" w:hAnsi="Times New Roman" w:cs="Times New Roman"/>
          <w:color w:val="000000"/>
          <w:sz w:val="24"/>
          <w:szCs w:val="24"/>
          <w:lang w:eastAsia="pl-PL"/>
        </w:rPr>
        <w:t>Proponowany przepis art. 18 umożliwi pełne rozdysponowanie między jednostki samorządu terytorialnego środków przewidzianych w rezerwie subwencji ogólnej na rok 2024. Jeżeli środki rezerwy zaplanowanej na podstawie art. 26 ust. 1 ustawie z dnia 13 listopada 2003 r. o dochodach jednostek samorządu terytorialnego nie zostaną w całości rozdysponowane w terminie do dnia 31 lipca 2024 r., wówczas pozostała kwota zwiększy rezerwę subwencji ogólnej, o której mowa w art. 36 ust. 4 pkt 1 tej ustawy. Środki rezerwy subwencji, które zostały zaplanowane w ustawie budżetowej, z przeznaczeniem dla jednostek samorządu terytorialnego, w całości zasilą budżety samorządowe.</w:t>
      </w:r>
    </w:p>
    <w:p w14:paraId="71B8BC3D" w14:textId="7A2C2674" w:rsidR="00467082" w:rsidRDefault="00467082" w:rsidP="0044488B">
      <w:pPr>
        <w:spacing w:after="0" w:line="360" w:lineRule="auto"/>
        <w:ind w:firstLine="709"/>
        <w:jc w:val="both"/>
        <w:rPr>
          <w:rFonts w:ascii="Times New Roman" w:eastAsia="Times New Roman" w:hAnsi="Times New Roman" w:cs="Times New Roman"/>
          <w:color w:val="000000"/>
          <w:sz w:val="24"/>
          <w:szCs w:val="24"/>
          <w:lang w:eastAsia="pl-PL"/>
        </w:rPr>
      </w:pPr>
      <w:r w:rsidRPr="00467082">
        <w:rPr>
          <w:rFonts w:ascii="Times New Roman" w:eastAsia="Times New Roman" w:hAnsi="Times New Roman" w:cs="Times New Roman"/>
          <w:color w:val="000000"/>
          <w:sz w:val="24"/>
          <w:szCs w:val="24"/>
          <w:lang w:eastAsia="pl-PL"/>
        </w:rPr>
        <w:t>W celu uniknięcia podwójnego finansowania uczniów będących obywatelami Ukrainy z Funduszu Pomocy oraz ze środków pochodzących z dotacji celowej na dofinansowanie zadań w zakresie wychowania przedszkolnego, proponuje się wprowadzenie przepisu (art. 19 projektu ustawy) wyłączającego finansowanie wyżej wymienionej grupy uczniów ze środków pochodzących z dotacji celowej. Natomiast w celu uniknięcia podwójnego finansowania uczniów będących obywatelami Ukrainy z Funduszu Pomocy oraz ze środków pochodzących z części oświatowej subwencji ogólnej w roku 2024, proponuje się wprowadzenie przepisu art. 20, wyłączającego finansowanie wyżej wymienionej grupy uczniów w ramach części oświatowej subwencji ogólnej, podlegającej podziałowi algorytmicznemu.</w:t>
      </w:r>
    </w:p>
    <w:p w14:paraId="0ACC1E5D" w14:textId="3FD931EA" w:rsidR="00467082" w:rsidRPr="0044488B" w:rsidRDefault="00467082" w:rsidP="0044488B">
      <w:pPr>
        <w:spacing w:after="0" w:line="360" w:lineRule="auto"/>
        <w:ind w:firstLine="709"/>
        <w:jc w:val="both"/>
        <w:rPr>
          <w:rFonts w:ascii="Times New Roman" w:eastAsia="Times New Roman" w:hAnsi="Times New Roman" w:cs="Times New Roman"/>
          <w:color w:val="000000"/>
          <w:sz w:val="24"/>
          <w:szCs w:val="24"/>
          <w:lang w:eastAsia="pl-PL"/>
        </w:rPr>
      </w:pPr>
      <w:r w:rsidRPr="00467082">
        <w:rPr>
          <w:rFonts w:ascii="Times New Roman" w:eastAsia="Times New Roman" w:hAnsi="Times New Roman" w:cs="Times New Roman"/>
          <w:color w:val="000000"/>
          <w:sz w:val="24"/>
          <w:szCs w:val="24"/>
          <w:lang w:eastAsia="pl-PL"/>
        </w:rPr>
        <w:lastRenderedPageBreak/>
        <w:t xml:space="preserve">Zgodnie z ustawą z dnia 12 czerwca 2015 r. o systemie handlu uprawnieniami do emisji gazów cieplarnianych (Dz. U. z 2023 r. poz. 589), środki uzyskane ze sprzedaży w drodze aukcji uprawnień do emisji stanowią dochód budżetu państwa (art. 49 ust. 2), jednak 25% środków uzyskanych ze sprzedaży w drodze aukcji uprawnień do emisji, z wyłączeniem środków, o których mowa w ust. 2a, i po wyłączeniu środków pieniężnych przeznaczonych na dodatki osłonowe, o których mowa w art. 16 ustawy z dnia 17 grudnia 2021 r. o dodatku osłonowym (Dz. U. z 2023 r. poz. 169), począwszy od dnia 1 stycznia 2020 r., nie więcej niż 1766,9 mln zł w 2020 r. i nie więcej niż 988,18 mln zł w 2021 r., przekazuje się do Funduszu Rekompensat Pośrednich Kosztów Emisji, o którym mowa w art. 21 ust. 1 ustawy z dnia 19 lipca 2019 r. o systemie rekompensat dla sektorów i podsektorów energochłonnych (Dz. U. z 2022 r. poz. 1312, z </w:t>
      </w:r>
      <w:proofErr w:type="spellStart"/>
      <w:r w:rsidRPr="00467082">
        <w:rPr>
          <w:rFonts w:ascii="Times New Roman" w:eastAsia="Times New Roman" w:hAnsi="Times New Roman" w:cs="Times New Roman"/>
          <w:color w:val="000000"/>
          <w:sz w:val="24"/>
          <w:szCs w:val="24"/>
          <w:lang w:eastAsia="pl-PL"/>
        </w:rPr>
        <w:t>późn</w:t>
      </w:r>
      <w:proofErr w:type="spellEnd"/>
      <w:r w:rsidRPr="00467082">
        <w:rPr>
          <w:rFonts w:ascii="Times New Roman" w:eastAsia="Times New Roman" w:hAnsi="Times New Roman" w:cs="Times New Roman"/>
          <w:color w:val="000000"/>
          <w:sz w:val="24"/>
          <w:szCs w:val="24"/>
          <w:lang w:eastAsia="pl-PL"/>
        </w:rPr>
        <w:t>. zm.) (art. 49 ust. 2c). Środki te stanowią przychód ww. państwowego funduszu celowego i są przeznaczane na realizację zadań, o których mowa w art. 23 ustawy z dnia 19 lipca 2019 r. o systemie rekompensat dla sektorów i podsektorów energochłonnych, w tym wypłaty rekompensat. W latach 2020–2021 ustawa z dnia 12 czerwca 2015 r. o systemie handlu uprawnieniami do emisji gazów cieplarnianych limitowała kwotowo wysokość środków przekazywanych do Funduszu Rekompensat Pośrednich Kosztów Emisji. Podobne ograniczenie planuje się wprowadzić w 2024 r. W art. 21 projektu ustawy proponuje się zatem, aby do Funduszu Rekompensat Pośrednich Kosztów Emisji zostały przekazane środki uzyskane ze sprzedaży w drodze aukcji uprawnień do emisji w kwocie nie wyższej niż 2 265,31 mln zł. Analiza planów finansowych ww. Funduszu (w tym projektu planu na 2024 rok) wskazuje, że pochodząca ze środków uzyskanych ze sprzedaży w drodze aukcji uprawnień do emisji kwota w wysokości 2265,31 mln zł będzie wystarczająca, aby umożliwić pokrycie kosztów ustawowych zadań tego Funduszu, natomiast środki pozostałe po wprowadzeniu ograniczenia dot. art. 49 ust. 2c ustawy o systemie handlu uprawnieniami do emisji gazów cieplarnianych zwiększą dochody budżetu państwa w 2024 r.</w:t>
      </w:r>
    </w:p>
    <w:p w14:paraId="51B844BA" w14:textId="00782FA7" w:rsidR="00365FDC" w:rsidRPr="0044488B" w:rsidRDefault="009B52D9" w:rsidP="00365FDC">
      <w:pPr>
        <w:spacing w:after="0" w:line="360" w:lineRule="auto"/>
        <w:ind w:firstLine="709"/>
        <w:jc w:val="both"/>
        <w:rPr>
          <w:rFonts w:ascii="Times New Roman" w:hAnsi="Times New Roman" w:cs="Times New Roman"/>
          <w:color w:val="000000" w:themeColor="text1"/>
          <w:sz w:val="24"/>
          <w:szCs w:val="24"/>
        </w:rPr>
      </w:pPr>
      <w:bookmarkStart w:id="5" w:name="_GoBack"/>
      <w:bookmarkEnd w:id="5"/>
      <w:r w:rsidRPr="0044488B">
        <w:rPr>
          <w:rFonts w:ascii="Times New Roman" w:hAnsi="Times New Roman" w:cs="Times New Roman"/>
          <w:color w:val="000000" w:themeColor="text1"/>
          <w:sz w:val="24"/>
          <w:szCs w:val="24"/>
        </w:rPr>
        <w:t xml:space="preserve">Art. 22 </w:t>
      </w:r>
      <w:r w:rsidR="002B7D56">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pozwoli na dofinansowanie w roku 2024 zadań kolejowych ze środków Funduszu Kolejowego w miejsce środków, które nie znalazły pokrycia w wydatkach budżetu państwa. Szacowana kwota z Funduszu Kolejowego, jaka może zostać przeznaczona w roku 2024 na dofinansowanie wydatków bieżących zarządcy infrastruktury kolejowej wynosi 470 mln zł.</w:t>
      </w:r>
      <w:r w:rsidR="00365FDC">
        <w:rPr>
          <w:rFonts w:ascii="Times New Roman" w:hAnsi="Times New Roman" w:cs="Times New Roman"/>
          <w:color w:val="000000" w:themeColor="text1"/>
          <w:sz w:val="24"/>
          <w:szCs w:val="24"/>
        </w:rPr>
        <w:t xml:space="preserve"> </w:t>
      </w:r>
      <w:r w:rsidR="00365FDC" w:rsidRPr="0044488B">
        <w:rPr>
          <w:rFonts w:ascii="Times New Roman" w:hAnsi="Times New Roman" w:cs="Times New Roman"/>
          <w:color w:val="000000" w:themeColor="text1"/>
          <w:sz w:val="24"/>
          <w:szCs w:val="24"/>
        </w:rPr>
        <w:t>Zmianą powiązaną w zakresie Funduszu Kolejowego jest art. 33 projektu ustawy.</w:t>
      </w:r>
    </w:p>
    <w:p w14:paraId="74013B99" w14:textId="700DA781" w:rsidR="009B52D9" w:rsidRPr="0044488B" w:rsidRDefault="009B52D9"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Art. 23 i art. 24 </w:t>
      </w:r>
      <w:r w:rsidR="00365FDC">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 xml:space="preserve">dotyczą zmian w </w:t>
      </w:r>
      <w:r w:rsidRPr="0044488B">
        <w:rPr>
          <w:rFonts w:ascii="Times New Roman" w:eastAsia="Times New Roman" w:hAnsi="Times New Roman" w:cs="Times New Roman"/>
          <w:color w:val="000000"/>
          <w:sz w:val="24"/>
          <w:szCs w:val="24"/>
          <w:lang w:eastAsia="pl-PL"/>
        </w:rPr>
        <w:t>zakresie Rządowej Agencji Rezerw Strategicznych.</w:t>
      </w:r>
      <w:r w:rsidRPr="0044488B">
        <w:rPr>
          <w:rFonts w:ascii="Times New Roman" w:hAnsi="Times New Roman" w:cs="Times New Roman"/>
          <w:color w:val="000000" w:themeColor="text1"/>
          <w:sz w:val="24"/>
          <w:szCs w:val="24"/>
        </w:rPr>
        <w:t xml:space="preserve"> </w:t>
      </w:r>
      <w:r w:rsidRPr="0044488B">
        <w:rPr>
          <w:rFonts w:ascii="Times New Roman" w:eastAsia="Times New Roman" w:hAnsi="Times New Roman" w:cs="Times New Roman"/>
          <w:color w:val="000000"/>
          <w:sz w:val="24"/>
          <w:szCs w:val="24"/>
          <w:lang w:eastAsia="pl-PL"/>
        </w:rPr>
        <w:t xml:space="preserve">Proponuje się ujęcie w ustawie okołobudżetowej przepisu wyłączającego w 2024 r. stosowanie art. 21 ust. 6 oraz art. 52 ust. 2 pkt 2 ustawy z dnia 27 sierpnia 2009 r. o finansach publicznych w przypadku zmiany planu finansowego Rządowej Agencji Rezerw </w:t>
      </w:r>
      <w:r w:rsidRPr="0044488B">
        <w:rPr>
          <w:rFonts w:ascii="Times New Roman" w:eastAsia="Times New Roman" w:hAnsi="Times New Roman" w:cs="Times New Roman"/>
          <w:color w:val="000000"/>
          <w:sz w:val="24"/>
          <w:szCs w:val="24"/>
          <w:lang w:eastAsia="pl-PL"/>
        </w:rPr>
        <w:lastRenderedPageBreak/>
        <w:t>Strategicznych (dalej RARS) wynikającej z realizacji zadań związanych z likwidacją rezerw strategicznych, których utworzenie zostało sfinansowane z pożyczki ze środków budżetu państwa, o której mowa w art. 33 ustawy z dnia 15 września 2022 r. o szczególnych rozwiązaniach w zakresie niektórych źródeł ciepła w związku z sytuacją na rynku paliw (Dz. U. z 2023 r. poz. 1772). Wydanie przez Prezesa Rady Ministrów decyzji o likwidacji rezerw strategicznych będzie skutkować koniecznością zmiany planu finansowego RARS. Wykonanie tej decyzji spowoduje, że przy zmianie planu finansowego mogą nie zostać spełnione wymogi wynikające z przepisów art. 21 ust. 6 oraz art. 52 ust. 2 pkt 2 ustawy z dnia 27 sierpnia 2009 r. o finansach publicznych, ponieważ koszty związane z likwidacją rezerw strategicznych mogą przewyższać uzyskane przychody z uwagi na cenę uzyskaną ze sprzedaży rezerw strategicznych oraz ewentualną konieczność poniesienia przez RARS dodatkowych kosztów związanych z likwidacją rezerw np. kosztów logistycznych, w szczególności kosztów transportu, badań jakościowych. Wyłączenie w tym przypadku stosowania art. 21 ust. 6 oraz art. 52 ust. 2 pkt 2 ustawy z dnia 27 sierpnia 2009 r. o finansach publicznych jest uzasadnione i umożliwi realizację zadań związanych z likwidacją ww. rezerw strategicznych.</w:t>
      </w:r>
    </w:p>
    <w:p w14:paraId="6E5843AE" w14:textId="77777777" w:rsidR="009B52D9" w:rsidRPr="0044488B" w:rsidRDefault="009B52D9"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 xml:space="preserve">W planie finansowym RARS na 2024 r. w stanie środków pieniężnych na początek roku wykazano m.in. środki z Rządowego Funduszu Rozwoju Dróg (dalej RFRD) na utworzenie i utrzymywanie rezerw, na wniosek ministra ds. energii, przekazane na podstawie art. 113b ust. 1 i ust. 3 ustawy z dnia 12 marca 2022 r. o pomocy obywatelom Ukrainy w związku z konfliktem zbrojnym na terytorium tego państwa (Dz. U. z 2023 r. </w:t>
      </w:r>
      <w:r w:rsidR="00545ABA">
        <w:rPr>
          <w:rFonts w:ascii="Times New Roman" w:eastAsia="Times New Roman" w:hAnsi="Times New Roman" w:cs="Times New Roman"/>
          <w:color w:val="000000"/>
          <w:sz w:val="24"/>
          <w:szCs w:val="24"/>
          <w:lang w:eastAsia="pl-PL"/>
        </w:rPr>
        <w:t xml:space="preserve">poz. 103, z </w:t>
      </w:r>
      <w:proofErr w:type="spellStart"/>
      <w:r w:rsidR="00545ABA">
        <w:rPr>
          <w:rFonts w:ascii="Times New Roman" w:eastAsia="Times New Roman" w:hAnsi="Times New Roman" w:cs="Times New Roman"/>
          <w:color w:val="000000"/>
          <w:sz w:val="24"/>
          <w:szCs w:val="24"/>
          <w:lang w:eastAsia="pl-PL"/>
        </w:rPr>
        <w:t>późn</w:t>
      </w:r>
      <w:proofErr w:type="spellEnd"/>
      <w:r w:rsidR="00545ABA">
        <w:rPr>
          <w:rFonts w:ascii="Times New Roman" w:eastAsia="Times New Roman" w:hAnsi="Times New Roman" w:cs="Times New Roman"/>
          <w:color w:val="000000"/>
          <w:sz w:val="24"/>
          <w:szCs w:val="24"/>
          <w:lang w:eastAsia="pl-PL"/>
        </w:rPr>
        <w:t xml:space="preserve">. zm.). Zgodnie </w:t>
      </w:r>
      <w:r w:rsidRPr="0044488B">
        <w:rPr>
          <w:rFonts w:ascii="Times New Roman" w:eastAsia="Times New Roman" w:hAnsi="Times New Roman" w:cs="Times New Roman"/>
          <w:color w:val="000000"/>
          <w:sz w:val="24"/>
          <w:szCs w:val="24"/>
          <w:lang w:eastAsia="pl-PL"/>
        </w:rPr>
        <w:t>z przewidywanym wykonaniem na dzień 31 grudnia 2023 r. Rządowa Agencja Rezerw Strategicznych będzie posiadać niewykorzystane środki pochodzące z wpłaty z Rządowego Funduszu Rozwoju Dróg w wysokości ok. 486,7 mln zł (kwota ta może ulec zmianie).</w:t>
      </w:r>
    </w:p>
    <w:p w14:paraId="4B296804" w14:textId="77777777" w:rsidR="009B52D9" w:rsidRPr="0044488B" w:rsidRDefault="009B52D9"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Zgodnie z przepisami, do RFRD powinny być dokonywane przez RARS wpłaty środków pochodzących ze sprzedaży zlikwidowanych rezerw sfinansowanych uprzednio ze środków RFRD, przewidziano także możliwość przekazania środków z budżetu państwa (art. 113b ust. 5–8 ustawy z dnia 12 marca 2022 r. pomocy obywatelom Ukrainy w związku z konfliktem zbrojnym na teryt</w:t>
      </w:r>
      <w:r w:rsidR="00545ABA">
        <w:rPr>
          <w:rFonts w:ascii="Times New Roman" w:eastAsia="Times New Roman" w:hAnsi="Times New Roman" w:cs="Times New Roman"/>
          <w:color w:val="000000"/>
          <w:sz w:val="24"/>
          <w:szCs w:val="24"/>
          <w:lang w:eastAsia="pl-PL"/>
        </w:rPr>
        <w:t xml:space="preserve">orium tego państwa), w sytuacji </w:t>
      </w:r>
      <w:r w:rsidRPr="0044488B">
        <w:rPr>
          <w:rFonts w:ascii="Times New Roman" w:eastAsia="Times New Roman" w:hAnsi="Times New Roman" w:cs="Times New Roman"/>
          <w:color w:val="000000"/>
          <w:sz w:val="24"/>
          <w:szCs w:val="24"/>
          <w:lang w:eastAsia="pl-PL"/>
        </w:rPr>
        <w:t xml:space="preserve">gdy wysokość środków uzyskanych ze sprzedaży byłaby niższa niż wysokość środków RFRD przeznaczonych na utworzenie, utrzymywanie oraz likwidację rezerw strategicznych. </w:t>
      </w:r>
    </w:p>
    <w:p w14:paraId="0E883A65" w14:textId="77777777" w:rsidR="009B52D9" w:rsidRPr="0044488B" w:rsidRDefault="009B52D9"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 xml:space="preserve">Niemniej, biorąc pod uwagę potrzeby realizacji zadań finansowanych ze środków RFRD w 2024 r. oraz zgłoszone przez Ministra Infrastruktury dodatkowe potrzeby na 2024 r. w zakresie finansowania zadań kolejowych, a także ograniczone możliwości zwiększenia </w:t>
      </w:r>
      <w:r w:rsidRPr="0044488B">
        <w:rPr>
          <w:rFonts w:ascii="Times New Roman" w:eastAsia="Times New Roman" w:hAnsi="Times New Roman" w:cs="Times New Roman"/>
          <w:color w:val="000000"/>
          <w:sz w:val="24"/>
          <w:szCs w:val="24"/>
          <w:lang w:eastAsia="pl-PL"/>
        </w:rPr>
        <w:lastRenderedPageBreak/>
        <w:t>wydatków z budżetu państwa, niezbędne jest utworzenie podstawy prawnej zapewniającej, aby niewykorzystane przez RARS środki wróciły w 2024 roku na rachunek RFRD (nie później niż do dnia 15 marca 2024 roku) w postaci wpłaty dokonanej przez RARS. Dokładna wysokość wpłaty byłaby określona we wniosku ministra właściwego do spraw transportu, podlegającym uzgodnieniu z Prezesem Rady Ministrów.</w:t>
      </w:r>
    </w:p>
    <w:p w14:paraId="1B34FF79" w14:textId="77777777" w:rsidR="009B52D9" w:rsidRPr="0044488B" w:rsidRDefault="009B52D9"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Wpłata otrzymana z RARS spowoduje, że w 2024 r. o tę kwotę zostanie pomniejszona planowana z budżetu państwa, z części budżetowej, której dysponentem jest minister właściwy do spraw transportu, wpłata do RFRD. Uwolnione w ten sposób środki z budżetu państwa będą mogły być przesunięte na realizację innych zadań Ministra Infrastruktury – w szczególności z zakresu kolejnictwa – zgodnie ze zgłoszonymi potrzebami.</w:t>
      </w:r>
    </w:p>
    <w:p w14:paraId="5B398312" w14:textId="77777777" w:rsidR="009B52D9" w:rsidRPr="0044488B" w:rsidRDefault="009B52D9"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Kwota dokonanej wpłaty obniżałaby wysokość wpłaty dokonywanej do RFRD przez ministra właściwego do spraw transportu zgodnie z art. 113b ust. 7 ustawy z dnia 12 marca 2022 r. o pomocy obywatelom Ukrainy w związku z konfliktem zbrojnym na terytorium tego państwa, gdyż już nastąpi zwrot tych środków do RFRD na podstawie niniejszej ustawy.</w:t>
      </w:r>
    </w:p>
    <w:p w14:paraId="486639A2" w14:textId="0EC6B052" w:rsidR="009B52D9" w:rsidRPr="0044488B" w:rsidRDefault="009B52D9" w:rsidP="002B7D56">
      <w:pPr>
        <w:pStyle w:val="ARTartustawynprozporzdzenia"/>
        <w:spacing w:before="0"/>
        <w:ind w:firstLine="709"/>
        <w:rPr>
          <w:rFonts w:ascii="Times New Roman" w:hAnsi="Times New Roman" w:cs="Times New Roman"/>
          <w:szCs w:val="24"/>
        </w:rPr>
      </w:pPr>
      <w:r w:rsidRPr="0044488B">
        <w:rPr>
          <w:rStyle w:val="Ppogrubienie"/>
          <w:rFonts w:ascii="Times New Roman" w:hAnsi="Times New Roman" w:cs="Times New Roman"/>
          <w:b w:val="0"/>
          <w:szCs w:val="24"/>
        </w:rPr>
        <w:t>Art. 2</w:t>
      </w:r>
      <w:r w:rsidR="00365FDC">
        <w:rPr>
          <w:rStyle w:val="Ppogrubienie"/>
          <w:rFonts w:ascii="Times New Roman" w:hAnsi="Times New Roman" w:cs="Times New Roman"/>
          <w:b w:val="0"/>
          <w:szCs w:val="24"/>
        </w:rPr>
        <w:t>5 projektu ustawy</w:t>
      </w:r>
      <w:r w:rsidRPr="0044488B">
        <w:rPr>
          <w:rStyle w:val="Ppogrubienie"/>
          <w:rFonts w:ascii="Times New Roman" w:hAnsi="Times New Roman" w:cs="Times New Roman"/>
          <w:b w:val="0"/>
          <w:szCs w:val="24"/>
        </w:rPr>
        <w:t xml:space="preserve"> przewiduje, że</w:t>
      </w:r>
      <w:r w:rsidRPr="0044488B">
        <w:rPr>
          <w:rFonts w:ascii="Times New Roman" w:hAnsi="Times New Roman" w:cs="Times New Roman"/>
          <w:szCs w:val="24"/>
        </w:rPr>
        <w:t> w roku 2024 minister właściwy do spraw członkostwa Rzeczypospolitej Polskiej w Unii Europejskiej może zlecić Krajowej Szkole Administracji Publicznej im. Prezydenta Rzeczypospolitej Polskiej Lecha Kaczyńskiego, zwanej dalej „Szkołą”, realizację szkoleń dla pracowników ministerstw i urzędów centralnych oraz innych osób zaangażowanych w przygotowania do sprawowania przez Rzeczpospolitą Polską prezydencji w Radzie Unii Europejskiej. Zlecenie tych szkoleń nastąpi po wcześniejszym zawarciu porozumienia między ministrem właściwym do spraw członkostwa Rzeczypospolitej Polskiej w Unii Europejskiej a dyrektorem Szkoły, określającego zakres, warunki i tryb ich realizacji. Na realizację szkoleń Szkoła otrzyma dotację celową ze środków będących w dyspozycji ministra właściwego do spraw członkostwa Rzeczypospolitej Polskiej w Unii Europejskiej.</w:t>
      </w:r>
    </w:p>
    <w:p w14:paraId="14BDCB81" w14:textId="413EEBAC" w:rsidR="00D35D7B" w:rsidRPr="0044488B" w:rsidRDefault="00D35D7B" w:rsidP="0044488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Fonts w:ascii="Times New Roman" w:eastAsia="Times New Roman" w:hAnsi="Times New Roman" w:cs="Times New Roman"/>
          <w:color w:val="000000"/>
          <w:sz w:val="24"/>
          <w:szCs w:val="24"/>
          <w:lang w:eastAsia="pl-PL"/>
        </w:rPr>
        <w:t>Proponowany przepis art. 2</w:t>
      </w:r>
      <w:r w:rsidR="00365FDC">
        <w:rPr>
          <w:rFonts w:ascii="Times New Roman" w:eastAsia="Times New Roman" w:hAnsi="Times New Roman" w:cs="Times New Roman"/>
          <w:color w:val="000000"/>
          <w:sz w:val="24"/>
          <w:szCs w:val="24"/>
          <w:lang w:eastAsia="pl-PL"/>
        </w:rPr>
        <w:t>6</w:t>
      </w:r>
      <w:r w:rsidRPr="0044488B">
        <w:rPr>
          <w:rFonts w:ascii="Times New Roman" w:eastAsia="Times New Roman" w:hAnsi="Times New Roman" w:cs="Times New Roman"/>
          <w:color w:val="000000"/>
          <w:sz w:val="24"/>
          <w:szCs w:val="24"/>
          <w:lang w:eastAsia="pl-PL"/>
        </w:rPr>
        <w:t xml:space="preserve"> związany jest z realizacją zadań, które mają przeciwdziałać klęskom żywiołowym, epidemii, zagrożeniom </w:t>
      </w:r>
      <w:proofErr w:type="spellStart"/>
      <w:r w:rsidRPr="0044488B">
        <w:rPr>
          <w:rFonts w:ascii="Times New Roman" w:eastAsia="Times New Roman" w:hAnsi="Times New Roman" w:cs="Times New Roman"/>
          <w:color w:val="000000"/>
          <w:sz w:val="24"/>
          <w:szCs w:val="24"/>
          <w:lang w:eastAsia="pl-PL"/>
        </w:rPr>
        <w:t>społeczno</w:t>
      </w:r>
      <w:proofErr w:type="spellEnd"/>
      <w:r w:rsidRPr="0044488B">
        <w:rPr>
          <w:rFonts w:ascii="Times New Roman" w:eastAsia="Times New Roman" w:hAnsi="Times New Roman" w:cs="Times New Roman"/>
          <w:color w:val="000000"/>
          <w:sz w:val="24"/>
          <w:szCs w:val="24"/>
          <w:lang w:eastAsia="pl-PL"/>
        </w:rPr>
        <w:t xml:space="preserve"> – gospodarczym związanym z inflacją oraz przeciwdziałaniem zdarzeniom bezpośrednio zagrażającym bezpieczeństwu państwa związa</w:t>
      </w:r>
      <w:r w:rsidR="00EC799F" w:rsidRPr="0044488B">
        <w:rPr>
          <w:rFonts w:ascii="Times New Roman" w:eastAsia="Times New Roman" w:hAnsi="Times New Roman" w:cs="Times New Roman"/>
          <w:color w:val="000000"/>
          <w:sz w:val="24"/>
          <w:szCs w:val="24"/>
          <w:lang w:eastAsia="pl-PL"/>
        </w:rPr>
        <w:t xml:space="preserve">nym z sytuacją geopolityczną i </w:t>
      </w:r>
      <w:r w:rsidRPr="0044488B">
        <w:rPr>
          <w:rFonts w:ascii="Times New Roman" w:eastAsia="Times New Roman" w:hAnsi="Times New Roman" w:cs="Times New Roman"/>
          <w:color w:val="000000"/>
          <w:sz w:val="24"/>
          <w:szCs w:val="24"/>
          <w:lang w:eastAsia="pl-PL"/>
        </w:rPr>
        <w:t>usuwać powstałe w ich wyniku skutki. Zaproponowany mechanizm tworzenia rezerwy celowej oraz sposób pozyskiwania środków na ten cel (blokady wolnych środków budżetowych) pozwolą w sposób celowy i szybki przeciwdziałać zagrożeniom.</w:t>
      </w:r>
    </w:p>
    <w:p w14:paraId="144BC0B8" w14:textId="56933912" w:rsidR="003E3DAE" w:rsidRPr="0044488B" w:rsidRDefault="00334D50" w:rsidP="0044488B">
      <w:pPr>
        <w:autoSpaceDE w:val="0"/>
        <w:autoSpaceDN w:val="0"/>
        <w:adjustRightInd w:val="0"/>
        <w:spacing w:after="0" w:line="360" w:lineRule="auto"/>
        <w:ind w:firstLine="709"/>
        <w:jc w:val="both"/>
        <w:rPr>
          <w:rStyle w:val="Ppogrubienie"/>
          <w:rFonts w:ascii="Times New Roman" w:hAnsi="Times New Roman" w:cs="Times New Roman"/>
          <w:b w:val="0"/>
          <w:sz w:val="24"/>
          <w:szCs w:val="24"/>
        </w:rPr>
      </w:pPr>
      <w:r w:rsidRPr="0044488B">
        <w:rPr>
          <w:rFonts w:ascii="Times New Roman" w:eastAsia="Times New Roman" w:hAnsi="Times New Roman" w:cs="Times New Roman"/>
          <w:color w:val="000000"/>
          <w:sz w:val="24"/>
          <w:szCs w:val="24"/>
          <w:lang w:eastAsia="pl-PL"/>
        </w:rPr>
        <w:t xml:space="preserve">Art. 27-29 i art. </w:t>
      </w:r>
      <w:r w:rsidR="008A4580" w:rsidRPr="0044488B">
        <w:rPr>
          <w:rFonts w:ascii="Times New Roman" w:eastAsia="Times New Roman" w:hAnsi="Times New Roman" w:cs="Times New Roman"/>
          <w:color w:val="000000"/>
          <w:sz w:val="24"/>
          <w:szCs w:val="24"/>
          <w:lang w:eastAsia="pl-PL"/>
        </w:rPr>
        <w:t xml:space="preserve">34 </w:t>
      </w:r>
      <w:r w:rsidR="00C17F2B">
        <w:rPr>
          <w:rFonts w:ascii="Times New Roman" w:eastAsia="Times New Roman" w:hAnsi="Times New Roman" w:cs="Times New Roman"/>
          <w:color w:val="000000"/>
          <w:sz w:val="24"/>
          <w:szCs w:val="24"/>
          <w:lang w:eastAsia="pl-PL"/>
        </w:rPr>
        <w:t xml:space="preserve">projektu ustawy </w:t>
      </w:r>
      <w:r w:rsidR="008A4580" w:rsidRPr="0044488B">
        <w:rPr>
          <w:rFonts w:ascii="Times New Roman" w:eastAsia="Times New Roman" w:hAnsi="Times New Roman" w:cs="Times New Roman"/>
          <w:color w:val="000000"/>
          <w:sz w:val="24"/>
          <w:szCs w:val="24"/>
          <w:lang w:eastAsia="pl-PL"/>
        </w:rPr>
        <w:t>dotyczą zmian w zakresie finansowania oświaty</w:t>
      </w:r>
      <w:r w:rsidR="00C17F2B">
        <w:rPr>
          <w:rFonts w:ascii="Times New Roman" w:eastAsia="Times New Roman" w:hAnsi="Times New Roman" w:cs="Times New Roman"/>
          <w:color w:val="000000"/>
          <w:sz w:val="24"/>
          <w:szCs w:val="24"/>
          <w:lang w:eastAsia="pl-PL"/>
        </w:rPr>
        <w:t>.</w:t>
      </w:r>
      <w:r w:rsidR="008A4580" w:rsidRPr="0044488B">
        <w:rPr>
          <w:rFonts w:ascii="Times New Roman" w:eastAsia="Times New Roman" w:hAnsi="Times New Roman" w:cs="Times New Roman"/>
          <w:color w:val="000000"/>
          <w:sz w:val="24"/>
          <w:szCs w:val="24"/>
          <w:lang w:eastAsia="pl-PL"/>
        </w:rPr>
        <w:t xml:space="preserve"> </w:t>
      </w:r>
      <w:r w:rsidR="00C17F2B">
        <w:rPr>
          <w:rFonts w:ascii="Times New Roman" w:eastAsia="Times New Roman" w:hAnsi="Times New Roman" w:cs="Times New Roman"/>
          <w:color w:val="000000"/>
          <w:sz w:val="24"/>
          <w:szCs w:val="24"/>
          <w:lang w:eastAsia="pl-PL"/>
        </w:rPr>
        <w:t xml:space="preserve">Proponowane przepisy </w:t>
      </w:r>
      <w:r w:rsidR="008A4580" w:rsidRPr="0044488B">
        <w:rPr>
          <w:rFonts w:ascii="Times New Roman" w:eastAsia="Times New Roman" w:hAnsi="Times New Roman" w:cs="Times New Roman"/>
          <w:color w:val="000000"/>
          <w:sz w:val="24"/>
          <w:szCs w:val="24"/>
          <w:lang w:eastAsia="pl-PL"/>
        </w:rPr>
        <w:t xml:space="preserve">zawierają </w:t>
      </w:r>
      <w:r w:rsidR="003E3DAE" w:rsidRPr="0044488B">
        <w:rPr>
          <w:rFonts w:ascii="Times New Roman" w:eastAsia="Times New Roman" w:hAnsi="Times New Roman" w:cs="Times New Roman"/>
          <w:color w:val="000000"/>
          <w:sz w:val="24"/>
          <w:szCs w:val="24"/>
          <w:lang w:eastAsia="pl-PL"/>
        </w:rPr>
        <w:t xml:space="preserve">identyczne </w:t>
      </w:r>
      <w:r w:rsidR="008A4580" w:rsidRPr="0044488B">
        <w:rPr>
          <w:rFonts w:ascii="Times New Roman" w:eastAsia="Times New Roman" w:hAnsi="Times New Roman" w:cs="Times New Roman"/>
          <w:color w:val="000000"/>
          <w:sz w:val="24"/>
          <w:szCs w:val="24"/>
          <w:lang w:eastAsia="pl-PL"/>
        </w:rPr>
        <w:t xml:space="preserve">rozwiązania jak w przypadku </w:t>
      </w:r>
      <w:r w:rsidR="008A4580" w:rsidRPr="0044488B">
        <w:rPr>
          <w:rStyle w:val="Ppogrubienie"/>
          <w:rFonts w:ascii="Times New Roman" w:hAnsi="Times New Roman" w:cs="Times New Roman"/>
          <w:b w:val="0"/>
          <w:sz w:val="24"/>
          <w:szCs w:val="24"/>
        </w:rPr>
        <w:t xml:space="preserve">w przypadku </w:t>
      </w:r>
      <w:r w:rsidR="008A4580" w:rsidRPr="0044488B">
        <w:rPr>
          <w:rStyle w:val="Ppogrubienie"/>
          <w:rFonts w:ascii="Times New Roman" w:hAnsi="Times New Roman" w:cs="Times New Roman"/>
          <w:b w:val="0"/>
          <w:sz w:val="24"/>
          <w:szCs w:val="24"/>
        </w:rPr>
        <w:lastRenderedPageBreak/>
        <w:t>uchwalonej przez Sejm i Senat ustawy z dnia 21 grudnia</w:t>
      </w:r>
      <w:r w:rsidR="00545ABA">
        <w:rPr>
          <w:rStyle w:val="Ppogrubienie"/>
          <w:rFonts w:ascii="Times New Roman" w:hAnsi="Times New Roman" w:cs="Times New Roman"/>
          <w:b w:val="0"/>
          <w:sz w:val="24"/>
          <w:szCs w:val="24"/>
        </w:rPr>
        <w:t xml:space="preserve"> 2023 r. o </w:t>
      </w:r>
      <w:r w:rsidR="008A4580" w:rsidRPr="0044488B">
        <w:rPr>
          <w:rStyle w:val="Ppogrubienie"/>
          <w:rFonts w:ascii="Times New Roman" w:hAnsi="Times New Roman" w:cs="Times New Roman"/>
          <w:b w:val="0"/>
          <w:sz w:val="24"/>
          <w:szCs w:val="24"/>
        </w:rPr>
        <w:t>szczególnych rozwiązaniach służących realizacji ustawy budżetowej na rok 2024.</w:t>
      </w:r>
    </w:p>
    <w:p w14:paraId="392D147B" w14:textId="05029A8A" w:rsidR="003E3DAE" w:rsidRPr="0044488B" w:rsidRDefault="003E3DAE" w:rsidP="0044488B">
      <w:pPr>
        <w:autoSpaceDE w:val="0"/>
        <w:autoSpaceDN w:val="0"/>
        <w:adjustRightInd w:val="0"/>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color w:val="000000" w:themeColor="text1"/>
          <w:sz w:val="24"/>
          <w:szCs w:val="24"/>
        </w:rPr>
        <w:t xml:space="preserve">Proponowana w </w:t>
      </w:r>
      <w:r w:rsidRPr="0044488B">
        <w:rPr>
          <w:rFonts w:ascii="Times New Roman" w:hAnsi="Times New Roman" w:cs="Times New Roman"/>
          <w:bCs/>
          <w:color w:val="000000" w:themeColor="text1"/>
          <w:sz w:val="24"/>
          <w:szCs w:val="24"/>
        </w:rPr>
        <w:t xml:space="preserve">art. </w:t>
      </w:r>
      <w:r w:rsidR="00C17F2B">
        <w:rPr>
          <w:rFonts w:ascii="Times New Roman" w:hAnsi="Times New Roman" w:cs="Times New Roman"/>
          <w:bCs/>
          <w:color w:val="000000" w:themeColor="text1"/>
          <w:sz w:val="24"/>
          <w:szCs w:val="24"/>
        </w:rPr>
        <w:t xml:space="preserve">30 </w:t>
      </w:r>
      <w:r w:rsidRPr="0044488B">
        <w:rPr>
          <w:rFonts w:ascii="Times New Roman" w:hAnsi="Times New Roman" w:cs="Times New Roman"/>
          <w:color w:val="000000" w:themeColor="text1"/>
          <w:sz w:val="24"/>
          <w:szCs w:val="24"/>
        </w:rPr>
        <w:t>regulacja przewiduje przedłużenie okresu, w którym środki Funduszu Reprywatyzacji będą mogły być przeznaczane na nabywanie lub obejmowanie przez Skarb Państwa, reprezentowany przez Prezesa Rady Ministrów, akcji w spółkach. Okres ten zostanie wydłużony do końca 2024 r.</w:t>
      </w:r>
    </w:p>
    <w:p w14:paraId="11779105" w14:textId="2A705582" w:rsidR="00A914F0" w:rsidRDefault="00334D50" w:rsidP="0044488B">
      <w:pPr>
        <w:autoSpaceDE w:val="0"/>
        <w:autoSpaceDN w:val="0"/>
        <w:adjustRightInd w:val="0"/>
        <w:spacing w:after="0" w:line="360" w:lineRule="auto"/>
        <w:ind w:firstLine="709"/>
        <w:jc w:val="both"/>
        <w:rPr>
          <w:rFonts w:ascii="Times New Roman" w:hAnsi="Times New Roman" w:cs="Times New Roman"/>
          <w:sz w:val="24"/>
          <w:szCs w:val="24"/>
        </w:rPr>
      </w:pPr>
      <w:r w:rsidRPr="0044488B">
        <w:rPr>
          <w:rFonts w:ascii="Times New Roman" w:eastAsia="Times New Roman" w:hAnsi="Times New Roman" w:cs="Times New Roman"/>
          <w:color w:val="000000"/>
          <w:sz w:val="24"/>
          <w:szCs w:val="24"/>
          <w:lang w:eastAsia="pl-PL"/>
        </w:rPr>
        <w:t>W art. 31</w:t>
      </w:r>
      <w:r w:rsidR="00A914F0" w:rsidRPr="0044488B">
        <w:rPr>
          <w:rFonts w:ascii="Times New Roman" w:eastAsia="Times New Roman" w:hAnsi="Times New Roman" w:cs="Times New Roman"/>
          <w:color w:val="000000"/>
          <w:sz w:val="24"/>
          <w:szCs w:val="24"/>
          <w:lang w:eastAsia="pl-PL"/>
        </w:rPr>
        <w:t xml:space="preserve"> proponuje </w:t>
      </w:r>
      <w:r w:rsidRPr="0044488B">
        <w:rPr>
          <w:rFonts w:ascii="Times New Roman" w:eastAsia="Times New Roman" w:hAnsi="Times New Roman" w:cs="Times New Roman"/>
          <w:color w:val="000000"/>
          <w:sz w:val="24"/>
          <w:szCs w:val="24"/>
          <w:lang w:eastAsia="pl-PL"/>
        </w:rPr>
        <w:t xml:space="preserve">się </w:t>
      </w:r>
      <w:r w:rsidR="00A914F0" w:rsidRPr="0044488B">
        <w:rPr>
          <w:rFonts w:ascii="Times New Roman" w:eastAsia="Times New Roman" w:hAnsi="Times New Roman" w:cs="Times New Roman"/>
          <w:color w:val="000000"/>
          <w:sz w:val="24"/>
          <w:szCs w:val="24"/>
          <w:lang w:eastAsia="pl-PL"/>
        </w:rPr>
        <w:t>zmiany w</w:t>
      </w:r>
      <w:r w:rsidR="00A914F0" w:rsidRPr="0044488B">
        <w:rPr>
          <w:rFonts w:ascii="Times New Roman" w:eastAsia="Times New Roman" w:hAnsi="Times New Roman" w:cs="Times New Roman"/>
          <w:sz w:val="24"/>
          <w:szCs w:val="24"/>
          <w:lang w:eastAsia="pl-PL"/>
        </w:rPr>
        <w:t xml:space="preserve"> ustawie z dnia 23 grudnia 1999 r. o kształtowaniu wynagrodzeń w państwowej sferze budżetowej oraz o zmianie niektórych ustaw (Dz. U. </w:t>
      </w:r>
      <w:r w:rsidR="00F338E9">
        <w:rPr>
          <w:rFonts w:ascii="Times New Roman" w:eastAsia="Times New Roman" w:hAnsi="Times New Roman" w:cs="Times New Roman"/>
          <w:sz w:val="24"/>
          <w:szCs w:val="24"/>
          <w:lang w:eastAsia="pl-PL"/>
        </w:rPr>
        <w:br/>
      </w:r>
      <w:r w:rsidR="00A914F0" w:rsidRPr="0044488B">
        <w:rPr>
          <w:rFonts w:ascii="Times New Roman" w:eastAsia="Times New Roman" w:hAnsi="Times New Roman" w:cs="Times New Roman"/>
          <w:sz w:val="24"/>
          <w:szCs w:val="24"/>
          <w:lang w:eastAsia="pl-PL"/>
        </w:rPr>
        <w:t xml:space="preserve">z 2023 r. poz. 2692) poprzez przyjęcie rozwiązania o niewaloryzowaniu w 2024 r. </w:t>
      </w:r>
      <w:r w:rsidR="00A914F0" w:rsidRPr="0044488B">
        <w:rPr>
          <w:rFonts w:ascii="Times New Roman" w:hAnsi="Times New Roman" w:cs="Times New Roman"/>
          <w:sz w:val="24"/>
          <w:szCs w:val="24"/>
        </w:rPr>
        <w:t>kwoty bazowej dla osób zajmujących kierownicze stanowiska państwowe. Oznacza to, że</w:t>
      </w:r>
      <w:r w:rsidR="00C17F2B" w:rsidRPr="00C17F2B">
        <w:rPr>
          <w:rFonts w:ascii="Times New Roman" w:hAnsi="Times New Roman" w:cs="Times New Roman"/>
          <w:sz w:val="24"/>
          <w:szCs w:val="24"/>
        </w:rPr>
        <w:t xml:space="preserve"> </w:t>
      </w:r>
      <w:r w:rsidR="00C17F2B" w:rsidRPr="0044488B">
        <w:rPr>
          <w:rFonts w:ascii="Times New Roman" w:hAnsi="Times New Roman" w:cs="Times New Roman"/>
          <w:sz w:val="24"/>
          <w:szCs w:val="24"/>
        </w:rPr>
        <w:t>d</w:t>
      </w:r>
      <w:r w:rsidR="00C17F2B">
        <w:rPr>
          <w:rFonts w:ascii="Times New Roman" w:hAnsi="Times New Roman" w:cs="Times New Roman"/>
          <w:sz w:val="24"/>
          <w:szCs w:val="24"/>
        </w:rPr>
        <w:t>la</w:t>
      </w:r>
      <w:r w:rsidR="00A914F0" w:rsidRPr="0044488B">
        <w:rPr>
          <w:rFonts w:ascii="Times New Roman" w:hAnsi="Times New Roman" w:cs="Times New Roman"/>
          <w:sz w:val="24"/>
          <w:szCs w:val="24"/>
        </w:rPr>
        <w:t xml:space="preserve"> </w:t>
      </w:r>
      <w:r w:rsidR="00C17F2B" w:rsidRPr="0044488B">
        <w:rPr>
          <w:rFonts w:ascii="Times New Roman" w:hAnsi="Times New Roman" w:cs="Times New Roman"/>
          <w:sz w:val="24"/>
          <w:szCs w:val="24"/>
        </w:rPr>
        <w:t xml:space="preserve">tych stanowisk </w:t>
      </w:r>
      <w:r w:rsidR="00A914F0" w:rsidRPr="0044488B">
        <w:rPr>
          <w:rFonts w:ascii="Times New Roman" w:hAnsi="Times New Roman" w:cs="Times New Roman"/>
          <w:sz w:val="24"/>
          <w:szCs w:val="24"/>
        </w:rPr>
        <w:t xml:space="preserve">nie nastąpi wzrost wynagrodzeń w 2024 r. </w:t>
      </w:r>
    </w:p>
    <w:p w14:paraId="4FEF4872" w14:textId="08B76693" w:rsidR="00C17F2B" w:rsidRPr="0044488B" w:rsidRDefault="00C17F2B" w:rsidP="00C17F2B">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pl-PL"/>
        </w:rPr>
      </w:pPr>
      <w:r w:rsidRPr="0044488B">
        <w:rPr>
          <w:rStyle w:val="Ppogrubienie"/>
          <w:rFonts w:ascii="Times New Roman" w:hAnsi="Times New Roman" w:cs="Times New Roman"/>
          <w:b w:val="0"/>
          <w:sz w:val="24"/>
          <w:szCs w:val="24"/>
        </w:rPr>
        <w:t>Art. 3</w:t>
      </w:r>
      <w:r>
        <w:rPr>
          <w:rStyle w:val="Ppogrubienie"/>
          <w:rFonts w:ascii="Times New Roman" w:hAnsi="Times New Roman" w:cs="Times New Roman"/>
          <w:b w:val="0"/>
          <w:sz w:val="24"/>
          <w:szCs w:val="24"/>
        </w:rPr>
        <w:t>2</w:t>
      </w:r>
      <w:r w:rsidRPr="0044488B">
        <w:rPr>
          <w:rStyle w:val="Ppogrubienie"/>
          <w:rFonts w:ascii="Times New Roman" w:hAnsi="Times New Roman" w:cs="Times New Roman"/>
          <w:b w:val="0"/>
          <w:sz w:val="24"/>
          <w:szCs w:val="24"/>
        </w:rPr>
        <w:t xml:space="preserve"> </w:t>
      </w:r>
      <w:r>
        <w:rPr>
          <w:rStyle w:val="Ppogrubienie"/>
          <w:rFonts w:ascii="Times New Roman" w:hAnsi="Times New Roman" w:cs="Times New Roman"/>
          <w:b w:val="0"/>
          <w:sz w:val="24"/>
          <w:szCs w:val="24"/>
        </w:rPr>
        <w:t xml:space="preserve">projektu ustawy </w:t>
      </w:r>
      <w:r w:rsidRPr="0044488B">
        <w:rPr>
          <w:rStyle w:val="Ppogrubienie"/>
          <w:rFonts w:ascii="Times New Roman" w:hAnsi="Times New Roman" w:cs="Times New Roman"/>
          <w:b w:val="0"/>
          <w:sz w:val="24"/>
          <w:szCs w:val="24"/>
        </w:rPr>
        <w:t xml:space="preserve">przewiduje zmiany w ustawie z dnia 13 listopada 2023 r. o dochodach jednostek samorządu terytorialnego </w:t>
      </w:r>
      <w:r>
        <w:rPr>
          <w:rStyle w:val="Ppogrubienie"/>
          <w:rFonts w:ascii="Times New Roman" w:hAnsi="Times New Roman" w:cs="Times New Roman"/>
          <w:b w:val="0"/>
          <w:sz w:val="24"/>
          <w:szCs w:val="24"/>
        </w:rPr>
        <w:t xml:space="preserve">o </w:t>
      </w:r>
      <w:r w:rsidRPr="0044488B">
        <w:rPr>
          <w:rStyle w:val="Ppogrubienie"/>
          <w:rFonts w:ascii="Times New Roman" w:hAnsi="Times New Roman" w:cs="Times New Roman"/>
          <w:b w:val="0"/>
          <w:sz w:val="24"/>
          <w:szCs w:val="24"/>
        </w:rPr>
        <w:t xml:space="preserve">tożsamej treści i </w:t>
      </w:r>
      <w:r>
        <w:rPr>
          <w:rStyle w:val="Ppogrubienie"/>
          <w:rFonts w:ascii="Times New Roman" w:hAnsi="Times New Roman" w:cs="Times New Roman"/>
          <w:b w:val="0"/>
          <w:sz w:val="24"/>
          <w:szCs w:val="24"/>
        </w:rPr>
        <w:t xml:space="preserve">na </w:t>
      </w:r>
      <w:r w:rsidRPr="0044488B">
        <w:rPr>
          <w:rStyle w:val="Ppogrubienie"/>
          <w:rFonts w:ascii="Times New Roman" w:hAnsi="Times New Roman" w:cs="Times New Roman"/>
          <w:b w:val="0"/>
          <w:sz w:val="24"/>
          <w:szCs w:val="24"/>
        </w:rPr>
        <w:t>identycznych zasadach jak w przypadku uchwalonej przez Sejm i Senat ustawy z dnia 21 grudnia 2023 r. o  szczególnych rozwiązaniach służących realizacji ustawy budżetowej na rok 2024.</w:t>
      </w:r>
      <w:r>
        <w:rPr>
          <w:rStyle w:val="Ppogrubienie"/>
          <w:rFonts w:ascii="Times New Roman" w:hAnsi="Times New Roman" w:cs="Times New Roman"/>
          <w:b w:val="0"/>
          <w:sz w:val="24"/>
          <w:szCs w:val="24"/>
        </w:rPr>
        <w:t xml:space="preserve"> </w:t>
      </w:r>
    </w:p>
    <w:p w14:paraId="33033A98" w14:textId="4E1C50F7" w:rsidR="008360B0" w:rsidRPr="00C17F2B" w:rsidRDefault="008360B0" w:rsidP="00C17F2B">
      <w:pPr>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lang w:eastAsia="pl-PL"/>
        </w:rPr>
      </w:pPr>
      <w:r w:rsidRPr="0044488B">
        <w:rPr>
          <w:rFonts w:ascii="Times New Roman" w:eastAsia="Times New Roman" w:hAnsi="Times New Roman" w:cs="Times New Roman"/>
          <w:color w:val="000000"/>
          <w:sz w:val="24"/>
          <w:szCs w:val="24"/>
          <w:lang w:eastAsia="pl-PL"/>
        </w:rPr>
        <w:t xml:space="preserve">Art. 35 </w:t>
      </w:r>
      <w:r w:rsidR="00C17F2B">
        <w:rPr>
          <w:rFonts w:ascii="Times New Roman" w:eastAsia="Times New Roman" w:hAnsi="Times New Roman" w:cs="Times New Roman"/>
          <w:color w:val="000000"/>
          <w:sz w:val="24"/>
          <w:szCs w:val="24"/>
          <w:lang w:eastAsia="pl-PL"/>
        </w:rPr>
        <w:t xml:space="preserve">projektu ustawy </w:t>
      </w:r>
      <w:r w:rsidRPr="0044488B">
        <w:rPr>
          <w:rFonts w:ascii="Times New Roman" w:eastAsia="Times New Roman" w:hAnsi="Times New Roman" w:cs="Times New Roman"/>
          <w:color w:val="000000"/>
          <w:sz w:val="24"/>
          <w:szCs w:val="24"/>
          <w:lang w:eastAsia="pl-PL"/>
        </w:rPr>
        <w:t xml:space="preserve">przewiduje </w:t>
      </w:r>
      <w:r w:rsidRPr="0044488B">
        <w:rPr>
          <w:rFonts w:ascii="Times New Roman" w:hAnsi="Times New Roman" w:cs="Times New Roman"/>
          <w:color w:val="000000" w:themeColor="text1"/>
          <w:sz w:val="24"/>
          <w:szCs w:val="24"/>
        </w:rPr>
        <w:t xml:space="preserve">zmiany w ustawie z dnia 20 lipca 2018 r. o przekształceniu prawa użytkowania wieczystego gruntów zabudowanych na cele mieszkaniowe w prawo własności tych gruntów (Dz. U. z 2023 r. poz. 904, z </w:t>
      </w:r>
      <w:proofErr w:type="spellStart"/>
      <w:r w:rsidRPr="0044488B">
        <w:rPr>
          <w:rFonts w:ascii="Times New Roman" w:hAnsi="Times New Roman" w:cs="Times New Roman"/>
          <w:color w:val="000000" w:themeColor="text1"/>
          <w:sz w:val="24"/>
          <w:szCs w:val="24"/>
        </w:rPr>
        <w:t>późn</w:t>
      </w:r>
      <w:proofErr w:type="spellEnd"/>
      <w:r w:rsidRPr="0044488B">
        <w:rPr>
          <w:rFonts w:ascii="Times New Roman" w:hAnsi="Times New Roman" w:cs="Times New Roman"/>
          <w:color w:val="000000" w:themeColor="text1"/>
          <w:sz w:val="24"/>
          <w:szCs w:val="24"/>
        </w:rPr>
        <w:t>. zm.)</w:t>
      </w:r>
      <w:r w:rsidR="002B7D56">
        <w:rPr>
          <w:rFonts w:ascii="Times New Roman" w:hAnsi="Times New Roman" w:cs="Times New Roman"/>
          <w:color w:val="000000" w:themeColor="text1"/>
          <w:sz w:val="24"/>
          <w:szCs w:val="24"/>
        </w:rPr>
        <w:t>.</w:t>
      </w:r>
      <w:r w:rsidR="002B7D56">
        <w:rPr>
          <w:rFonts w:ascii="Times New Roman" w:hAnsi="Times New Roman" w:cs="Times New Roman"/>
          <w:color w:val="000000" w:themeColor="text1"/>
          <w:sz w:val="24"/>
          <w:szCs w:val="24"/>
        </w:rPr>
        <w:br/>
      </w:r>
      <w:r w:rsidRPr="0044488B">
        <w:rPr>
          <w:rFonts w:ascii="Times New Roman" w:eastAsia="Times New Roman" w:hAnsi="Times New Roman" w:cs="Times New Roman"/>
          <w:bCs/>
          <w:color w:val="000000"/>
          <w:sz w:val="24"/>
          <w:szCs w:val="24"/>
          <w:lang w:eastAsia="pl-PL"/>
        </w:rPr>
        <w:t>W ramach ustawy</w:t>
      </w:r>
      <w:r w:rsidRPr="0044488B">
        <w:rPr>
          <w:rFonts w:ascii="Times New Roman" w:eastAsia="Times New Roman" w:hAnsi="Times New Roman" w:cs="Times New Roman"/>
          <w:color w:val="000000"/>
          <w:sz w:val="24"/>
          <w:szCs w:val="24"/>
          <w:lang w:eastAsia="pl-PL"/>
        </w:rPr>
        <w:t xml:space="preserve"> </w:t>
      </w:r>
      <w:r w:rsidR="002B7D56">
        <w:rPr>
          <w:rFonts w:ascii="Times New Roman" w:eastAsia="Times New Roman" w:hAnsi="Times New Roman" w:cs="Times New Roman"/>
          <w:color w:val="000000"/>
          <w:sz w:val="24"/>
          <w:szCs w:val="24"/>
          <w:lang w:eastAsia="pl-PL"/>
        </w:rPr>
        <w:t xml:space="preserve">z </w:t>
      </w:r>
      <w:r w:rsidRPr="0044488B">
        <w:rPr>
          <w:rFonts w:ascii="Times New Roman" w:eastAsia="Times New Roman" w:hAnsi="Times New Roman" w:cs="Times New Roman"/>
          <w:color w:val="000000"/>
          <w:sz w:val="24"/>
          <w:szCs w:val="24"/>
          <w:lang w:eastAsia="pl-PL"/>
        </w:rPr>
        <w:t>dnia 20 lipca 2018 r.</w:t>
      </w:r>
      <w:r w:rsidRPr="0044488B">
        <w:rPr>
          <w:rFonts w:ascii="Times New Roman" w:eastAsia="Times New Roman" w:hAnsi="Times New Roman" w:cs="Times New Roman"/>
          <w:bCs/>
          <w:color w:val="000000"/>
          <w:sz w:val="24"/>
          <w:szCs w:val="24"/>
          <w:lang w:eastAsia="pl-PL"/>
        </w:rPr>
        <w:t xml:space="preserve"> o przekształceniu prawa użytkowania wieczystego gruntów zabudowanych na cele mieszkaniowe w prawo własności (dalej</w:t>
      </w:r>
      <w:r w:rsidR="00F338E9">
        <w:rPr>
          <w:rFonts w:ascii="Times New Roman" w:eastAsia="Times New Roman" w:hAnsi="Times New Roman" w:cs="Times New Roman"/>
          <w:bCs/>
          <w:color w:val="000000"/>
          <w:sz w:val="24"/>
          <w:szCs w:val="24"/>
          <w:lang w:eastAsia="pl-PL"/>
        </w:rPr>
        <w:t>:</w:t>
      </w:r>
      <w:r w:rsidRPr="0044488B">
        <w:rPr>
          <w:rFonts w:ascii="Times New Roman" w:eastAsia="Times New Roman" w:hAnsi="Times New Roman" w:cs="Times New Roman"/>
          <w:bCs/>
          <w:color w:val="000000"/>
          <w:sz w:val="24"/>
          <w:szCs w:val="24"/>
          <w:lang w:eastAsia="pl-PL"/>
        </w:rPr>
        <w:t xml:space="preserve"> </w:t>
      </w:r>
      <w:r w:rsidR="00F338E9">
        <w:rPr>
          <w:rFonts w:ascii="Times New Roman" w:eastAsia="Times New Roman" w:hAnsi="Times New Roman" w:cs="Times New Roman"/>
          <w:bCs/>
          <w:color w:val="000000"/>
          <w:sz w:val="24"/>
          <w:szCs w:val="24"/>
          <w:lang w:eastAsia="pl-PL"/>
        </w:rPr>
        <w:t>„</w:t>
      </w:r>
      <w:r w:rsidRPr="0044488B">
        <w:rPr>
          <w:rFonts w:ascii="Times New Roman" w:eastAsia="Times New Roman" w:hAnsi="Times New Roman" w:cs="Times New Roman"/>
          <w:bCs/>
          <w:color w:val="000000"/>
          <w:sz w:val="24"/>
          <w:szCs w:val="24"/>
          <w:lang w:eastAsia="pl-PL"/>
        </w:rPr>
        <w:t xml:space="preserve">ustawa </w:t>
      </w:r>
      <w:proofErr w:type="spellStart"/>
      <w:r w:rsidRPr="0044488B">
        <w:rPr>
          <w:rFonts w:ascii="Times New Roman" w:eastAsia="Times New Roman" w:hAnsi="Times New Roman" w:cs="Times New Roman"/>
          <w:bCs/>
          <w:color w:val="000000"/>
          <w:sz w:val="24"/>
          <w:szCs w:val="24"/>
          <w:lang w:eastAsia="pl-PL"/>
        </w:rPr>
        <w:t>przekształceniowa</w:t>
      </w:r>
      <w:proofErr w:type="spellEnd"/>
      <w:r w:rsidR="00F338E9">
        <w:rPr>
          <w:rFonts w:ascii="Times New Roman" w:eastAsia="Times New Roman" w:hAnsi="Times New Roman" w:cs="Times New Roman"/>
          <w:bCs/>
          <w:color w:val="000000"/>
          <w:sz w:val="24"/>
          <w:szCs w:val="24"/>
          <w:lang w:eastAsia="pl-PL"/>
        </w:rPr>
        <w:t>”</w:t>
      </w:r>
      <w:r w:rsidRPr="0044488B">
        <w:rPr>
          <w:rFonts w:ascii="Times New Roman" w:eastAsia="Times New Roman" w:hAnsi="Times New Roman" w:cs="Times New Roman"/>
          <w:bCs/>
          <w:color w:val="000000"/>
          <w:sz w:val="24"/>
          <w:szCs w:val="24"/>
          <w:lang w:eastAsia="pl-PL"/>
        </w:rPr>
        <w:t xml:space="preserve">) z przyznanych 1 260 etatów, 429 etatów urzędników sądowych przyznano na czas oznaczony (3 lata), tj. od dnia 1 stycznia 2019 r. do dnia 31 grudnia 2021 r. Następnie zaś ich finansowanie zostało przedłużone decyzją Rady Ministrów na rok budżetowy 2023. Na dzień 31 grudnia 2022 r. do sądów wpłynęło 89,19 % prognozowanego wpływu spraw na podstawie ustawy </w:t>
      </w:r>
      <w:proofErr w:type="spellStart"/>
      <w:r w:rsidRPr="0044488B">
        <w:rPr>
          <w:rFonts w:ascii="Times New Roman" w:eastAsia="Times New Roman" w:hAnsi="Times New Roman" w:cs="Times New Roman"/>
          <w:bCs/>
          <w:color w:val="000000"/>
          <w:sz w:val="24"/>
          <w:szCs w:val="24"/>
          <w:lang w:eastAsia="pl-PL"/>
        </w:rPr>
        <w:t>przekształceniowej</w:t>
      </w:r>
      <w:proofErr w:type="spellEnd"/>
      <w:r w:rsidRPr="0044488B" w:rsidDel="0030461F">
        <w:rPr>
          <w:rFonts w:ascii="Times New Roman" w:eastAsia="Times New Roman" w:hAnsi="Times New Roman" w:cs="Times New Roman"/>
          <w:bCs/>
          <w:color w:val="000000"/>
          <w:sz w:val="24"/>
          <w:szCs w:val="24"/>
          <w:lang w:eastAsia="pl-PL"/>
        </w:rPr>
        <w:t xml:space="preserve"> </w:t>
      </w:r>
      <w:r w:rsidRPr="0044488B">
        <w:rPr>
          <w:rFonts w:ascii="Times New Roman" w:eastAsia="Times New Roman" w:hAnsi="Times New Roman" w:cs="Times New Roman"/>
          <w:bCs/>
          <w:color w:val="000000"/>
          <w:sz w:val="24"/>
          <w:szCs w:val="24"/>
          <w:lang w:eastAsia="pl-PL"/>
        </w:rPr>
        <w:t>(który szacowany jest na ponad 4,6 mln spraw), przy czym nie załatwiono jeszcze prawie</w:t>
      </w:r>
      <w:r w:rsidR="00C17F2B">
        <w:rPr>
          <w:rFonts w:ascii="Times New Roman" w:eastAsia="Times New Roman" w:hAnsi="Times New Roman" w:cs="Times New Roman"/>
          <w:bCs/>
          <w:color w:val="000000"/>
          <w:sz w:val="24"/>
          <w:szCs w:val="24"/>
          <w:lang w:eastAsia="pl-PL"/>
        </w:rPr>
        <w:t xml:space="preserve"> </w:t>
      </w:r>
      <w:r w:rsidRPr="0044488B">
        <w:rPr>
          <w:rFonts w:ascii="Times New Roman" w:eastAsia="Times New Roman" w:hAnsi="Times New Roman" w:cs="Times New Roman"/>
          <w:bCs/>
          <w:color w:val="000000"/>
          <w:sz w:val="24"/>
          <w:szCs w:val="24"/>
          <w:lang w:eastAsia="pl-PL"/>
        </w:rPr>
        <w:t xml:space="preserve">13,4 % prognozowanej liczby spraw. Dodatkowo należy pamiętać, że w związku z wyżek wskazaną ustawą do sądów trafi też taka sama liczba spraw dotyczących wykreślenia roszczenia o uiszczenie opłaty </w:t>
      </w:r>
      <w:proofErr w:type="spellStart"/>
      <w:r w:rsidRPr="0044488B">
        <w:rPr>
          <w:rFonts w:ascii="Times New Roman" w:eastAsia="Times New Roman" w:hAnsi="Times New Roman" w:cs="Times New Roman"/>
          <w:bCs/>
          <w:color w:val="000000"/>
          <w:sz w:val="24"/>
          <w:szCs w:val="24"/>
          <w:lang w:eastAsia="pl-PL"/>
        </w:rPr>
        <w:t>przekształceniowej</w:t>
      </w:r>
      <w:proofErr w:type="spellEnd"/>
      <w:r w:rsidRPr="0044488B">
        <w:rPr>
          <w:rFonts w:ascii="Times New Roman" w:eastAsia="Times New Roman" w:hAnsi="Times New Roman" w:cs="Times New Roman"/>
          <w:bCs/>
          <w:color w:val="000000"/>
          <w:sz w:val="24"/>
          <w:szCs w:val="24"/>
          <w:lang w:eastAsia="pl-PL"/>
        </w:rPr>
        <w:t xml:space="preserve">. Ponadto podkreślenia wymaga stały wzrost wpływu spraw z zakresu ksiąg wieczystych innych niż wynikające z ustawy </w:t>
      </w:r>
      <w:proofErr w:type="spellStart"/>
      <w:r w:rsidRPr="0044488B">
        <w:rPr>
          <w:rFonts w:ascii="Times New Roman" w:eastAsia="Times New Roman" w:hAnsi="Times New Roman" w:cs="Times New Roman"/>
          <w:bCs/>
          <w:color w:val="000000"/>
          <w:sz w:val="24"/>
          <w:szCs w:val="24"/>
          <w:lang w:eastAsia="pl-PL"/>
        </w:rPr>
        <w:t>przekształceniowej</w:t>
      </w:r>
      <w:proofErr w:type="spellEnd"/>
      <w:r w:rsidRPr="0044488B">
        <w:rPr>
          <w:rFonts w:ascii="Times New Roman" w:eastAsia="Times New Roman" w:hAnsi="Times New Roman" w:cs="Times New Roman"/>
          <w:bCs/>
          <w:color w:val="000000"/>
          <w:sz w:val="24"/>
          <w:szCs w:val="24"/>
          <w:lang w:eastAsia="pl-PL"/>
        </w:rPr>
        <w:t>, a wobec licznych inwestycji w kraju w skali globalnej (lotniska, w tym CPK, drogi, koleje) oraz lokalnej (mieszkalnictwo, obrót nieruchomościami, w tym rolnymi) należy spodziewać się utrzymania tego trendu.</w:t>
      </w:r>
      <w:r w:rsidRPr="0044488B">
        <w:rPr>
          <w:rFonts w:ascii="Times New Roman" w:eastAsia="Times New Roman" w:hAnsi="Times New Roman" w:cs="Times New Roman"/>
          <w:color w:val="000000"/>
          <w:sz w:val="24"/>
          <w:szCs w:val="24"/>
          <w:lang w:eastAsia="pl-PL"/>
        </w:rPr>
        <w:t xml:space="preserve"> </w:t>
      </w:r>
      <w:r w:rsidRPr="0044488B">
        <w:rPr>
          <w:rFonts w:ascii="Times New Roman" w:eastAsia="Times New Roman" w:hAnsi="Times New Roman" w:cs="Times New Roman"/>
          <w:bCs/>
          <w:color w:val="000000"/>
          <w:sz w:val="24"/>
          <w:szCs w:val="24"/>
          <w:lang w:eastAsia="pl-PL"/>
        </w:rPr>
        <w:t xml:space="preserve">Dodatkowo, przy obecnej liczbie referendarzy, zmniejszenie liczby urzędników aż o 429 etatów uniemożliwi terminowe i sprawne wykonywanie obowiązków przez referendarzy, tym bardziej, iż wiele z obecnie </w:t>
      </w:r>
      <w:r w:rsidRPr="0044488B">
        <w:rPr>
          <w:rFonts w:ascii="Times New Roman" w:eastAsia="Times New Roman" w:hAnsi="Times New Roman" w:cs="Times New Roman"/>
          <w:bCs/>
          <w:color w:val="000000"/>
          <w:sz w:val="24"/>
          <w:szCs w:val="24"/>
          <w:lang w:eastAsia="pl-PL"/>
        </w:rPr>
        <w:lastRenderedPageBreak/>
        <w:t>projektowanych rozwiązań legislacyjnych będzie skutkowało</w:t>
      </w:r>
      <w:r w:rsidRPr="0044488B">
        <w:rPr>
          <w:rFonts w:ascii="Times New Roman" w:eastAsia="Times New Roman" w:hAnsi="Times New Roman" w:cs="Times New Roman"/>
          <w:color w:val="000000"/>
          <w:sz w:val="24"/>
          <w:szCs w:val="24"/>
          <w:lang w:eastAsia="pl-PL"/>
        </w:rPr>
        <w:t xml:space="preserve"> </w:t>
      </w:r>
      <w:r w:rsidRPr="0044488B">
        <w:rPr>
          <w:rFonts w:ascii="Times New Roman" w:eastAsia="Times New Roman" w:hAnsi="Times New Roman" w:cs="Times New Roman"/>
          <w:bCs/>
          <w:color w:val="000000"/>
          <w:sz w:val="24"/>
          <w:szCs w:val="24"/>
          <w:lang w:eastAsia="pl-PL"/>
        </w:rPr>
        <w:t>większym wpływem spraw do sądów.</w:t>
      </w:r>
      <w:r w:rsidRPr="0044488B">
        <w:rPr>
          <w:rFonts w:ascii="Times New Roman" w:eastAsia="Times New Roman" w:hAnsi="Times New Roman" w:cs="Times New Roman"/>
          <w:color w:val="000000"/>
          <w:sz w:val="24"/>
          <w:szCs w:val="24"/>
          <w:lang w:eastAsia="pl-PL"/>
        </w:rPr>
        <w:t xml:space="preserve"> </w:t>
      </w:r>
      <w:r w:rsidRPr="0044488B">
        <w:rPr>
          <w:rFonts w:ascii="Times New Roman" w:eastAsia="Times New Roman" w:hAnsi="Times New Roman" w:cs="Times New Roman"/>
          <w:bCs/>
          <w:color w:val="000000"/>
          <w:sz w:val="24"/>
          <w:szCs w:val="24"/>
          <w:lang w:eastAsia="pl-PL"/>
        </w:rPr>
        <w:t>Środki na finansowanie wynagrodzeń ww. etatów zostały zaplanowane w projekcie budżetu części 15 – Sądy powszechne na rok 2024.</w:t>
      </w:r>
    </w:p>
    <w:p w14:paraId="1DEBA187" w14:textId="77777777" w:rsidR="00803257" w:rsidRPr="0044488B" w:rsidRDefault="00803257"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W zakresie art. 36</w:t>
      </w:r>
      <w:r w:rsidR="00520F40" w:rsidRPr="0044488B">
        <w:rPr>
          <w:rFonts w:ascii="Times New Roman" w:hAnsi="Times New Roman" w:cs="Times New Roman"/>
          <w:color w:val="000000" w:themeColor="text1"/>
          <w:sz w:val="24"/>
          <w:szCs w:val="24"/>
        </w:rPr>
        <w:t xml:space="preserve"> projektu ustawy</w:t>
      </w:r>
      <w:r w:rsidRPr="0044488B">
        <w:rPr>
          <w:rFonts w:ascii="Times New Roman" w:hAnsi="Times New Roman" w:cs="Times New Roman"/>
          <w:color w:val="000000" w:themeColor="text1"/>
          <w:sz w:val="24"/>
          <w:szCs w:val="24"/>
        </w:rPr>
        <w:t xml:space="preserve"> to z</w:t>
      </w:r>
      <w:r w:rsidR="00D03856" w:rsidRPr="0044488B">
        <w:rPr>
          <w:rFonts w:ascii="Times New Roman" w:hAnsi="Times New Roman" w:cs="Times New Roman"/>
          <w:color w:val="000000" w:themeColor="text1"/>
          <w:sz w:val="24"/>
          <w:szCs w:val="24"/>
        </w:rPr>
        <w:t xml:space="preserve">godnie z art. 22 ust. 2 pkt 13 ustawy z dnia 7 września 1991 r. o systemie oświaty, stawki wynagrodzeń dla egzaminatorów i nauczycieli akademickich, o których mowa w art. 9c ust. 10 ww. ustawy, oraz asystentów technicznych są ustalane przez ministra właściwego do spraw oświaty i wychowania w rozporządzeniu, uwzględniając zasadę, że wysokość wynagrodzenia określa się w relacji do minimalnej stawki wynagrodzenia zasadniczego nauczyciela dyplomowanego posiadającego tytuł zawodowy magistra z przygotowaniem pedagogicznym, ustalonej na podstawie art. 30 ust. 5 pkt 1 ustawy z dnia 26 stycznia 1982 r. – Karta Nauczyciela. Pomiędzy rokiem 2018, kiedy w ustawie z dnia 22 listopada 2018 r. o zmianie ustawy – Prawo oświatowe, ustawy o systemie oświaty oraz niektórych innych ustaw (Dz. U. poz. 2245, z </w:t>
      </w:r>
      <w:proofErr w:type="spellStart"/>
      <w:r w:rsidR="00D03856" w:rsidRPr="0044488B">
        <w:rPr>
          <w:rFonts w:ascii="Times New Roman" w:hAnsi="Times New Roman" w:cs="Times New Roman"/>
          <w:color w:val="000000" w:themeColor="text1"/>
          <w:sz w:val="24"/>
          <w:szCs w:val="24"/>
        </w:rPr>
        <w:t>późn</w:t>
      </w:r>
      <w:proofErr w:type="spellEnd"/>
      <w:r w:rsidR="00D03856" w:rsidRPr="0044488B">
        <w:rPr>
          <w:rFonts w:ascii="Times New Roman" w:hAnsi="Times New Roman" w:cs="Times New Roman"/>
          <w:color w:val="000000" w:themeColor="text1"/>
          <w:sz w:val="24"/>
          <w:szCs w:val="24"/>
        </w:rPr>
        <w:t xml:space="preserve">. zm.) zostały opublikowane limity przeznaczone na system egzaminów zewnętrznych, a planowaną od dnia 1 stycznia 2024 r. podwyżką minimalnej stawki wynagrodzenia zasadniczego nauczyciela dyplomowanego posiadającego tytuł zawodowy magistra z przygotowaniem pedagogicznym stawka ta wzrośnie z 3317 zł brutto do 5915 zł brutto (a więc o 2598 zł brutto; o ponad 78%). Planowany wzrost stawki wynagrodzenia zasadniczego nauczyciela dyplomowanego o 30% spowoduje oczywiście – zgodnie z przywołanym wyżej mechanizmem – wzrost wynagrodzeń egzaminatorów o 30%, jednak zarówno w opinii Centralnej Komisji Egzaminacyjnej, jak i okręgowych komisji egzaminacyjnych – w przypadku większości egzaminatorów to nadal podwyżka niewystarczająca, w szczególności w przypadku egzaminatorów egzaminu ósmoklasisty z wszystkich przedmiotów, egzaminu maturalnego z języka polskiego na poziomie rozszerzonym oraz asystentów technicznych w egzaminie zawodowym oraz egzaminie potwierdzającym kwalifikacje w zawodzie. Dlatego </w:t>
      </w:r>
      <w:r w:rsidRPr="0044488B">
        <w:rPr>
          <w:rFonts w:ascii="Times New Roman" w:hAnsi="Times New Roman" w:cs="Times New Roman"/>
          <w:color w:val="000000" w:themeColor="text1"/>
          <w:sz w:val="24"/>
          <w:szCs w:val="24"/>
        </w:rPr>
        <w:t xml:space="preserve">też </w:t>
      </w:r>
      <w:r w:rsidR="00D03856" w:rsidRPr="0044488B">
        <w:rPr>
          <w:rFonts w:ascii="Times New Roman" w:hAnsi="Times New Roman" w:cs="Times New Roman"/>
          <w:color w:val="000000" w:themeColor="text1"/>
          <w:sz w:val="24"/>
          <w:szCs w:val="24"/>
        </w:rPr>
        <w:t xml:space="preserve">proponuje się zwiększenie limitu na 2024 r. określonego w art. 137 ust. 1 pkt 6 ustawy z dnia 22 listopada 2018 r. o zmianie ustawy – Prawo oświatowe, ustawy o systemie oświaty oraz niektórych innych ustaw z 275 mln do 358 mln zł, tj. o 30,2%. Limity określone w ustawie z dnia 22 listopada 2018 r. o zmianie ustawy – Prawo oświatowe, ustawy o systemie oświaty oraz niektórych innych ustaw </w:t>
      </w:r>
      <w:r w:rsidRPr="0044488B">
        <w:rPr>
          <w:rFonts w:ascii="Times New Roman" w:hAnsi="Times New Roman" w:cs="Times New Roman"/>
          <w:color w:val="000000" w:themeColor="text1"/>
          <w:sz w:val="24"/>
          <w:szCs w:val="24"/>
        </w:rPr>
        <w:t xml:space="preserve">mają być </w:t>
      </w:r>
      <w:r w:rsidR="00D03856" w:rsidRPr="0044488B">
        <w:rPr>
          <w:rFonts w:ascii="Times New Roman" w:hAnsi="Times New Roman" w:cs="Times New Roman"/>
          <w:color w:val="000000" w:themeColor="text1"/>
          <w:sz w:val="24"/>
          <w:szCs w:val="24"/>
        </w:rPr>
        <w:t xml:space="preserve">nieadekwatne, zważywszy, że wynagrodzenia egzaminatorów – w zgodzie z zasadą określoną w przywołanym wyżej art. 22 ust. 2 pkt 13 ustawy z dnia 7 września 1991 r. o systemie oświaty – wzrosną o ponad 78%. </w:t>
      </w:r>
    </w:p>
    <w:p w14:paraId="73A07661" w14:textId="7EE6B804" w:rsidR="00803257" w:rsidRPr="0044488B" w:rsidRDefault="00803257" w:rsidP="0044488B">
      <w:pPr>
        <w:spacing w:after="0" w:line="360" w:lineRule="auto"/>
        <w:ind w:firstLine="709"/>
        <w:jc w:val="both"/>
        <w:rPr>
          <w:rFonts w:ascii="Times New Roman" w:hAnsi="Times New Roman" w:cs="Times New Roman"/>
          <w:bCs/>
          <w:color w:val="000000" w:themeColor="text1"/>
          <w:sz w:val="24"/>
          <w:szCs w:val="24"/>
        </w:rPr>
      </w:pPr>
      <w:r w:rsidRPr="0044488B">
        <w:rPr>
          <w:rFonts w:ascii="Times New Roman" w:hAnsi="Times New Roman" w:cs="Times New Roman"/>
          <w:sz w:val="24"/>
          <w:szCs w:val="24"/>
        </w:rPr>
        <w:t xml:space="preserve">Art. 37 </w:t>
      </w:r>
      <w:r w:rsidR="00C17F2B">
        <w:rPr>
          <w:rFonts w:ascii="Times New Roman" w:hAnsi="Times New Roman" w:cs="Times New Roman"/>
          <w:sz w:val="24"/>
          <w:szCs w:val="24"/>
        </w:rPr>
        <w:t xml:space="preserve">projektu ustawy </w:t>
      </w:r>
      <w:r w:rsidRPr="0044488B">
        <w:rPr>
          <w:rFonts w:ascii="Times New Roman" w:hAnsi="Times New Roman" w:cs="Times New Roman"/>
          <w:sz w:val="24"/>
          <w:szCs w:val="24"/>
        </w:rPr>
        <w:t xml:space="preserve">zawiera zmiany </w:t>
      </w:r>
      <w:r w:rsidRPr="0044488B">
        <w:rPr>
          <w:rFonts w:ascii="Times New Roman" w:hAnsi="Times New Roman" w:cs="Times New Roman"/>
          <w:color w:val="000000" w:themeColor="text1"/>
          <w:sz w:val="24"/>
          <w:szCs w:val="24"/>
        </w:rPr>
        <w:t xml:space="preserve">w ustawie z dnia 11 września 2019 r. o zmianie ustawy – Prawo wodne oraz </w:t>
      </w:r>
      <w:r w:rsidRPr="0044488B">
        <w:rPr>
          <w:rFonts w:ascii="Times New Roman" w:hAnsi="Times New Roman" w:cs="Times New Roman"/>
          <w:bCs/>
          <w:color w:val="000000" w:themeColor="text1"/>
          <w:sz w:val="24"/>
          <w:szCs w:val="24"/>
        </w:rPr>
        <w:t>niektórych innych ustaw (</w:t>
      </w:r>
      <w:r w:rsidRPr="0044488B">
        <w:rPr>
          <w:rFonts w:ascii="Times New Roman" w:hAnsi="Times New Roman" w:cs="Times New Roman"/>
          <w:sz w:val="24"/>
          <w:szCs w:val="24"/>
        </w:rPr>
        <w:t xml:space="preserve">Dz. U. poz. 2170 oraz z 2022 r. poz. </w:t>
      </w:r>
      <w:r w:rsidRPr="0044488B">
        <w:rPr>
          <w:rFonts w:ascii="Times New Roman" w:hAnsi="Times New Roman" w:cs="Times New Roman"/>
          <w:sz w:val="24"/>
          <w:szCs w:val="24"/>
        </w:rPr>
        <w:lastRenderedPageBreak/>
        <w:t>2666).</w:t>
      </w:r>
      <w:r w:rsidR="00F338E9">
        <w:rPr>
          <w:rFonts w:ascii="Times New Roman" w:hAnsi="Times New Roman" w:cs="Times New Roman"/>
          <w:bCs/>
          <w:color w:val="000000" w:themeColor="text1"/>
          <w:sz w:val="24"/>
          <w:szCs w:val="24"/>
        </w:rPr>
        <w:t xml:space="preserve"> </w:t>
      </w:r>
      <w:r w:rsidRPr="0044488B">
        <w:rPr>
          <w:rFonts w:ascii="Times New Roman" w:hAnsi="Times New Roman" w:cs="Times New Roman"/>
          <w:bCs/>
          <w:sz w:val="24"/>
          <w:szCs w:val="24"/>
        </w:rPr>
        <w:t>Wskutek zmian wprowadzonych przepisami ustawy z dnia 16 czerwca 2023 r. o zmianie ustawy – Prawo geologiczne i górnicze oraz niektórych innych ustaw (Dz. U. poz. 2029), zmieniających przepisy regulujące działalność państwowej służby geologicznej poprzez zniesienie państwowej służby hydrogeologicznej i włączenia jej zadań do państwowej służby geologicznej, zaistniała konieczność wyodrębnienia w 2024 roku limitu wydatków budżetu państwa na finansowanie poszczególnych służb państwowych, tj. państwowej służby hydrologiczno-meteorologicznej, państwowej służby do spraw bezpieczeństwa budowli piętrzących, których wydatki będzie monitorował minister właściwy do spraw gospodarki wodnej oraz państwowej służby geologicznej, której wydatki będzie monitorował minister właściwy do spraw środowiska. Wprowadzenie zasad monitorowania wydatków ma zasadnicze znaczenie z punktu widzenia prawidłowości wydatkowania środków publicznych, gdyż nie jest możliwa sytuacja, w której minister właściwy do spraw gospodarki wodnej monitorowałby wydatkowanie środków przez dysponenta części 41 – środowisko.</w:t>
      </w:r>
      <w:r w:rsidRPr="0044488B">
        <w:rPr>
          <w:rFonts w:ascii="Times New Roman" w:hAnsi="Times New Roman" w:cs="Times New Roman"/>
          <w:bCs/>
          <w:color w:val="000000" w:themeColor="text1"/>
          <w:sz w:val="24"/>
          <w:szCs w:val="24"/>
        </w:rPr>
        <w:t xml:space="preserve"> </w:t>
      </w:r>
      <w:r w:rsidRPr="0044488B">
        <w:rPr>
          <w:rFonts w:ascii="Times New Roman" w:hAnsi="Times New Roman" w:cs="Times New Roman"/>
          <w:bCs/>
          <w:sz w:val="24"/>
          <w:szCs w:val="24"/>
        </w:rPr>
        <w:t xml:space="preserve">Równocześnie istotne jest podwyższenie ustalonej w ustawie z dnia 11 września 2019 r. o zmianie ustawy – Prawo wodne oraz niektórych innych ustaw (Dz. U. poz. 2170, z </w:t>
      </w:r>
      <w:proofErr w:type="spellStart"/>
      <w:r w:rsidRPr="0044488B">
        <w:rPr>
          <w:rFonts w:ascii="Times New Roman" w:hAnsi="Times New Roman" w:cs="Times New Roman"/>
          <w:bCs/>
          <w:sz w:val="24"/>
          <w:szCs w:val="24"/>
        </w:rPr>
        <w:t>późn</w:t>
      </w:r>
      <w:proofErr w:type="spellEnd"/>
      <w:r w:rsidRPr="0044488B">
        <w:rPr>
          <w:rFonts w:ascii="Times New Roman" w:hAnsi="Times New Roman" w:cs="Times New Roman"/>
          <w:bCs/>
          <w:sz w:val="24"/>
          <w:szCs w:val="24"/>
        </w:rPr>
        <w:t>. zm.) wysokości limitu na funkcjonowanie wyżej wymienionych służb państwowych. Zwiększenie limitu wydatków na rok 2024 jest niezbędne dla zapewnienia ciągłości wykonywania przez służby państwowe powierzonych zadań ustawowych, p</w:t>
      </w:r>
      <w:r w:rsidR="00F338E9">
        <w:rPr>
          <w:rFonts w:ascii="Times New Roman" w:hAnsi="Times New Roman" w:cs="Times New Roman"/>
          <w:bCs/>
          <w:sz w:val="24"/>
          <w:szCs w:val="24"/>
        </w:rPr>
        <w:t xml:space="preserve">rzy zapewnieniu dotychczasowego poziomu </w:t>
      </w:r>
      <w:r w:rsidRPr="0044488B">
        <w:rPr>
          <w:rFonts w:ascii="Times New Roman" w:hAnsi="Times New Roman" w:cs="Times New Roman"/>
          <w:bCs/>
          <w:sz w:val="24"/>
          <w:szCs w:val="24"/>
        </w:rPr>
        <w:t>jakości i kompletności. Zauważyć należy, iż przepis dotyczący zmian limitów w art. 17 ustawy z dnia 11 września 2019 r. o zmianie ustawy – Prawo wodne oraz niektórych innych ustaw był już uwzględniony w ustawie okołobudżetowej na rok 2023 (w art. 52 – limit został jednorazowo zwiększony). Pozostawienie limitów w obecnie obowiązujących kwotach oznaczałoby finansowanie wyżej wymienionych służb państwowych w roku 2024 na poziomie niższym niż w 2023 roku.</w:t>
      </w:r>
    </w:p>
    <w:p w14:paraId="6DEA6C3C" w14:textId="742E6E81" w:rsidR="00803257" w:rsidRPr="0044488B" w:rsidRDefault="00850745"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sz w:val="24"/>
          <w:szCs w:val="24"/>
        </w:rPr>
        <w:t>Celem art. 38</w:t>
      </w:r>
      <w:r w:rsidR="00C17F2B">
        <w:rPr>
          <w:rFonts w:ascii="Times New Roman" w:hAnsi="Times New Roman" w:cs="Times New Roman"/>
          <w:sz w:val="24"/>
          <w:szCs w:val="24"/>
        </w:rPr>
        <w:t xml:space="preserve"> projektu ustawy</w:t>
      </w:r>
      <w:r w:rsidRPr="0044488B">
        <w:rPr>
          <w:rFonts w:ascii="Times New Roman" w:hAnsi="Times New Roman" w:cs="Times New Roman"/>
          <w:sz w:val="24"/>
          <w:szCs w:val="24"/>
        </w:rPr>
        <w:t xml:space="preserve"> jest utrzymanie w 2024 r. zawieszenia</w:t>
      </w:r>
      <w:r w:rsidRPr="0044488B">
        <w:rPr>
          <w:rFonts w:ascii="Times New Roman" w:hAnsi="Times New Roman" w:cs="Times New Roman"/>
          <w:color w:val="000000" w:themeColor="text1"/>
          <w:sz w:val="24"/>
          <w:szCs w:val="24"/>
        </w:rPr>
        <w:t xml:space="preserve"> wypłat dodatku energetycznego, o którym mowa w art. 5c ustawy z dnia 10 kwietnia 1997 r. – Prawo energetyczne (Dz. U. z 2022 r. poz. 1385, z </w:t>
      </w:r>
      <w:proofErr w:type="spellStart"/>
      <w:r w:rsidRPr="0044488B">
        <w:rPr>
          <w:rFonts w:ascii="Times New Roman" w:hAnsi="Times New Roman" w:cs="Times New Roman"/>
          <w:color w:val="000000" w:themeColor="text1"/>
          <w:sz w:val="24"/>
          <w:szCs w:val="24"/>
        </w:rPr>
        <w:t>późn</w:t>
      </w:r>
      <w:proofErr w:type="spellEnd"/>
      <w:r w:rsidRPr="0044488B">
        <w:rPr>
          <w:rFonts w:ascii="Times New Roman" w:hAnsi="Times New Roman" w:cs="Times New Roman"/>
          <w:color w:val="000000" w:themeColor="text1"/>
          <w:sz w:val="24"/>
          <w:szCs w:val="24"/>
        </w:rPr>
        <w:t>. zm.), w związku z przepisami ustawy z dnia 7 grudnia 2023 r. o zmianie ustaw w celu wsparcia odbiorców energii elektrycznej, paliw gazowych i ciepła, którymi wprowadzono kompleksowe mechanizmy osłonowe w zakresie kosztów energii na 202</w:t>
      </w:r>
      <w:r w:rsidR="008C3F30" w:rsidRPr="0044488B">
        <w:rPr>
          <w:rFonts w:ascii="Times New Roman" w:hAnsi="Times New Roman" w:cs="Times New Roman"/>
          <w:color w:val="000000" w:themeColor="text1"/>
          <w:sz w:val="24"/>
          <w:szCs w:val="24"/>
        </w:rPr>
        <w:t xml:space="preserve">4 r. dla gospodarstw domowych. </w:t>
      </w:r>
    </w:p>
    <w:p w14:paraId="55472385" w14:textId="34525136" w:rsidR="00D03856" w:rsidRPr="0044488B" w:rsidRDefault="00D03856" w:rsidP="0044488B">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 xml:space="preserve">Rozwiązanie przyjęte w art. 39 </w:t>
      </w:r>
      <w:r w:rsidR="00C17F2B">
        <w:rPr>
          <w:rFonts w:ascii="Times New Roman" w:hAnsi="Times New Roman" w:cs="Times New Roman"/>
          <w:color w:val="000000" w:themeColor="text1"/>
          <w:sz w:val="24"/>
          <w:szCs w:val="24"/>
        </w:rPr>
        <w:t xml:space="preserve">projektu ustawy </w:t>
      </w:r>
      <w:r w:rsidRPr="0044488B">
        <w:rPr>
          <w:rFonts w:ascii="Times New Roman" w:hAnsi="Times New Roman" w:cs="Times New Roman"/>
          <w:color w:val="000000" w:themeColor="text1"/>
          <w:sz w:val="24"/>
          <w:szCs w:val="24"/>
        </w:rPr>
        <w:t xml:space="preserve">jest następstwem zwiększenia wynagrodzenia nauczycieli o 30% od dnia 1 stycznia 2024 r. Wymaga to również korekty kwoty, o którą może zostać zwiększona rezerwa części oświatowej subwencji ogólnej ze środków rezerwy celowej budżetu państwa z przeznaczeniem na wypłatę odpraw dla </w:t>
      </w:r>
      <w:r w:rsidRPr="0044488B">
        <w:rPr>
          <w:rFonts w:ascii="Times New Roman" w:hAnsi="Times New Roman" w:cs="Times New Roman"/>
          <w:color w:val="000000" w:themeColor="text1"/>
          <w:sz w:val="24"/>
          <w:szCs w:val="24"/>
        </w:rPr>
        <w:lastRenderedPageBreak/>
        <w:t>nauczycieli, którzy zdecydują się skorzystać z nowych rozwiązań w zakresie emerytury dla nauczycieli, wprowadzonych ustawą z dnia 28 lipca 2023 r. o zmianie ustawy – Karta Nauczyciela oraz niektórych innych ustaw (Dz. U. poz. 1672).</w:t>
      </w:r>
    </w:p>
    <w:p w14:paraId="252A8A8C" w14:textId="77777777" w:rsidR="008C3F30" w:rsidRPr="0044488B" w:rsidRDefault="008C3F30" w:rsidP="00860152">
      <w:pPr>
        <w:spacing w:after="0" w:line="240" w:lineRule="auto"/>
        <w:ind w:firstLine="709"/>
        <w:jc w:val="both"/>
        <w:rPr>
          <w:rFonts w:ascii="Times New Roman" w:hAnsi="Times New Roman" w:cs="Times New Roman"/>
          <w:color w:val="000000" w:themeColor="text1"/>
          <w:sz w:val="24"/>
          <w:szCs w:val="24"/>
        </w:rPr>
      </w:pPr>
    </w:p>
    <w:p w14:paraId="6C11DF8B" w14:textId="776E3954" w:rsidR="00850745" w:rsidRPr="0044488B" w:rsidRDefault="008C3F30" w:rsidP="0044488B">
      <w:pPr>
        <w:spacing w:after="0" w:line="360" w:lineRule="auto"/>
        <w:ind w:firstLine="709"/>
        <w:jc w:val="both"/>
        <w:rPr>
          <w:rFonts w:ascii="Times New Roman" w:hAnsi="Times New Roman" w:cs="Times New Roman"/>
          <w:sz w:val="24"/>
          <w:szCs w:val="24"/>
        </w:rPr>
      </w:pPr>
      <w:r w:rsidRPr="0044488B">
        <w:rPr>
          <w:rFonts w:ascii="Times New Roman" w:hAnsi="Times New Roman" w:cs="Times New Roman"/>
          <w:color w:val="000000" w:themeColor="text1"/>
          <w:sz w:val="24"/>
          <w:szCs w:val="24"/>
        </w:rPr>
        <w:t xml:space="preserve">Ustawa wejdzie w życie z dniem 1 stycznia 2024 r. Mając na uwadze bardzo krótki czas prac parlamentarnych nad ustawą z dnia 21 grudnia 2023 r. </w:t>
      </w:r>
      <w:r w:rsidRPr="0044488B">
        <w:rPr>
          <w:rFonts w:ascii="Times New Roman" w:hAnsi="Times New Roman" w:cs="Times New Roman"/>
          <w:sz w:val="24"/>
          <w:szCs w:val="24"/>
        </w:rPr>
        <w:t xml:space="preserve">o szczególnych rozwiązaniach służących realizacji ustawy budżetowej na rok 2024, tj. od dnia wniesienia przez Radę Ministrów autopoprawki C do projektu ustawy (19 grudnia 2023 r.) do dnia przedstawienia Prezydentowi RP przez Marszałka Sejmu uchwalonej </w:t>
      </w:r>
      <w:r w:rsidR="00EE6045" w:rsidRPr="0044488B">
        <w:rPr>
          <w:rFonts w:ascii="Times New Roman" w:hAnsi="Times New Roman" w:cs="Times New Roman"/>
          <w:sz w:val="24"/>
          <w:szCs w:val="24"/>
        </w:rPr>
        <w:t xml:space="preserve">przez Sejm i Senat tej </w:t>
      </w:r>
      <w:r w:rsidRPr="0044488B">
        <w:rPr>
          <w:rFonts w:ascii="Times New Roman" w:hAnsi="Times New Roman" w:cs="Times New Roman"/>
          <w:sz w:val="24"/>
          <w:szCs w:val="24"/>
        </w:rPr>
        <w:t xml:space="preserve">ustawy (22 grudnia 2023 r.), w przedmiocie której Prezydent RP podjął decyzję </w:t>
      </w:r>
      <w:r w:rsidR="00EE6045" w:rsidRPr="0044488B">
        <w:rPr>
          <w:rFonts w:ascii="Times New Roman" w:hAnsi="Times New Roman" w:cs="Times New Roman"/>
          <w:sz w:val="24"/>
          <w:szCs w:val="24"/>
        </w:rPr>
        <w:t>o</w:t>
      </w:r>
      <w:r w:rsidR="00C17F2B">
        <w:rPr>
          <w:rFonts w:ascii="Times New Roman" w:hAnsi="Times New Roman" w:cs="Times New Roman"/>
          <w:sz w:val="24"/>
          <w:szCs w:val="24"/>
        </w:rPr>
        <w:t xml:space="preserve"> odmowie jej podpisania i </w:t>
      </w:r>
      <w:r w:rsidR="00EE6045" w:rsidRPr="0044488B">
        <w:rPr>
          <w:rFonts w:ascii="Times New Roman" w:hAnsi="Times New Roman" w:cs="Times New Roman"/>
          <w:sz w:val="24"/>
          <w:szCs w:val="24"/>
        </w:rPr>
        <w:t xml:space="preserve"> przekazaniu Sejmowi do ponownego</w:t>
      </w:r>
      <w:r w:rsidR="00D51074">
        <w:rPr>
          <w:rFonts w:ascii="Times New Roman" w:hAnsi="Times New Roman" w:cs="Times New Roman"/>
          <w:sz w:val="24"/>
          <w:szCs w:val="24"/>
        </w:rPr>
        <w:t xml:space="preserve"> rozpatrzenia</w:t>
      </w:r>
      <w:r w:rsidR="00EE6045" w:rsidRPr="0044488B">
        <w:rPr>
          <w:rFonts w:ascii="Times New Roman" w:hAnsi="Times New Roman" w:cs="Times New Roman"/>
          <w:sz w:val="24"/>
          <w:szCs w:val="24"/>
        </w:rPr>
        <w:t>, w ocenie projektodawcy – Prezydenta RP, przyjęcie przez parlament wniesionej inicjatywy jest w pełni możliwe przed dniem 1 stycznia 2024 r. Z uwagi na przyczyny wniesienia przez Prezydenta RP projektu ustawy oraz przedmiot regulacji, przyjęcie terminu wejścia w życie ustawy na dzień 1 stycznia 2024 r.</w:t>
      </w:r>
      <w:r w:rsidR="00F338E9">
        <w:rPr>
          <w:rFonts w:ascii="Times New Roman" w:hAnsi="Times New Roman" w:cs="Times New Roman"/>
          <w:sz w:val="24"/>
          <w:szCs w:val="24"/>
        </w:rPr>
        <w:t xml:space="preserve">, </w:t>
      </w:r>
      <w:r w:rsidR="00F47AF4" w:rsidRPr="0044488B">
        <w:rPr>
          <w:rFonts w:ascii="Times New Roman" w:hAnsi="Times New Roman" w:cs="Times New Roman"/>
          <w:sz w:val="24"/>
          <w:szCs w:val="24"/>
        </w:rPr>
        <w:t>jako terminu innego niż podstawowy termin vacatio legis ustawy</w:t>
      </w:r>
      <w:r w:rsidR="00344F0C">
        <w:rPr>
          <w:rFonts w:ascii="Times New Roman" w:hAnsi="Times New Roman" w:cs="Times New Roman"/>
          <w:sz w:val="24"/>
          <w:szCs w:val="24"/>
        </w:rPr>
        <w:t>,</w:t>
      </w:r>
      <w:r w:rsidR="00F47AF4" w:rsidRPr="0044488B">
        <w:rPr>
          <w:rFonts w:ascii="Times New Roman" w:hAnsi="Times New Roman" w:cs="Times New Roman"/>
          <w:sz w:val="24"/>
          <w:szCs w:val="24"/>
        </w:rPr>
        <w:t xml:space="preserve"> </w:t>
      </w:r>
      <w:r w:rsidR="004D1F4E" w:rsidRPr="0044488B">
        <w:rPr>
          <w:rFonts w:ascii="Times New Roman" w:hAnsi="Times New Roman" w:cs="Times New Roman"/>
          <w:sz w:val="24"/>
          <w:szCs w:val="24"/>
        </w:rPr>
        <w:t>uzasadnione jest ważnym interesem państwa</w:t>
      </w:r>
      <w:r w:rsidR="00344F0C">
        <w:rPr>
          <w:rFonts w:ascii="Times New Roman" w:hAnsi="Times New Roman" w:cs="Times New Roman"/>
          <w:sz w:val="24"/>
          <w:szCs w:val="24"/>
        </w:rPr>
        <w:t>,</w:t>
      </w:r>
      <w:r w:rsidR="004D1F4E" w:rsidRPr="0044488B">
        <w:rPr>
          <w:rFonts w:ascii="Times New Roman" w:hAnsi="Times New Roman" w:cs="Times New Roman"/>
          <w:sz w:val="24"/>
          <w:szCs w:val="24"/>
        </w:rPr>
        <w:t xml:space="preserve"> a zasady demokratycznego państwa prawnego nie stoją temu na przeszkodzie.</w:t>
      </w:r>
      <w:r w:rsidR="00EE6045" w:rsidRPr="0044488B">
        <w:rPr>
          <w:rFonts w:ascii="Times New Roman" w:hAnsi="Times New Roman" w:cs="Times New Roman"/>
          <w:sz w:val="24"/>
          <w:szCs w:val="24"/>
        </w:rPr>
        <w:t xml:space="preserve"> </w:t>
      </w:r>
    </w:p>
    <w:p w14:paraId="04B9CAAA" w14:textId="77777777" w:rsidR="00850745" w:rsidRPr="0044488B" w:rsidRDefault="00850745" w:rsidP="00860152">
      <w:pPr>
        <w:spacing w:after="0" w:line="240" w:lineRule="auto"/>
        <w:jc w:val="both"/>
        <w:rPr>
          <w:rFonts w:ascii="Times New Roman" w:hAnsi="Times New Roman" w:cs="Times New Roman"/>
          <w:color w:val="000000" w:themeColor="text1"/>
          <w:sz w:val="24"/>
          <w:szCs w:val="24"/>
        </w:rPr>
      </w:pPr>
    </w:p>
    <w:p w14:paraId="66A09646" w14:textId="77777777" w:rsidR="00850745" w:rsidRPr="0044488B" w:rsidRDefault="00850745" w:rsidP="009A5DFD">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Projekt ustawy nie jest objęty prawem Unii Europejskiej.</w:t>
      </w:r>
    </w:p>
    <w:p w14:paraId="39B1F650" w14:textId="77777777" w:rsidR="00850745" w:rsidRPr="0044488B" w:rsidRDefault="00850745" w:rsidP="009A5DFD">
      <w:pPr>
        <w:spacing w:after="0" w:line="360" w:lineRule="auto"/>
        <w:ind w:firstLine="709"/>
        <w:jc w:val="both"/>
        <w:rPr>
          <w:rFonts w:ascii="Times New Roman" w:hAnsi="Times New Roman" w:cs="Times New Roman"/>
          <w:color w:val="000000" w:themeColor="text1"/>
          <w:sz w:val="24"/>
          <w:szCs w:val="24"/>
        </w:rPr>
      </w:pPr>
      <w:r w:rsidRPr="0044488B">
        <w:rPr>
          <w:rFonts w:ascii="Times New Roman" w:hAnsi="Times New Roman" w:cs="Times New Roman"/>
          <w:color w:val="000000" w:themeColor="text1"/>
          <w:sz w:val="24"/>
          <w:szCs w:val="24"/>
        </w:rPr>
        <w:t>Projekt ustawy nie wymaga przedstawienia właściwym organom i instytucjom Unii Europejskiej, w tym Europejskiemu Bankowi Centralnemu, w celu uzyskania opinii, dokonania powiadomienia, konsultacji albo uzgodnienia.</w:t>
      </w:r>
    </w:p>
    <w:p w14:paraId="7B4330B4" w14:textId="77777777" w:rsidR="00A13EE5" w:rsidRPr="0044488B" w:rsidRDefault="00A13EE5" w:rsidP="009A5DFD">
      <w:pPr>
        <w:pStyle w:val="NIEARTTEKSTtekstnieartykuowanynppodstprawnarozplubpreambua"/>
        <w:spacing w:before="0"/>
        <w:ind w:firstLine="709"/>
        <w:rPr>
          <w:rFonts w:ascii="Times New Roman" w:eastAsia="Times New Roman" w:hAnsi="Times New Roman" w:cs="Times New Roman"/>
          <w:color w:val="000000" w:themeColor="text1"/>
        </w:rPr>
      </w:pPr>
      <w:r w:rsidRPr="0044488B">
        <w:rPr>
          <w:rFonts w:ascii="Times New Roman" w:eastAsia="Times New Roman" w:hAnsi="Times New Roman" w:cs="Times New Roman"/>
          <w:color w:val="000000" w:themeColor="text1"/>
        </w:rPr>
        <w:t xml:space="preserve">Projekt ustawy nie zawiera przepisów technicznych w rozumieniu rozporządzenia Rady Ministrów z dnia 23 grudnia 2002 r. w sprawie funkcjonowania krajowego systemu notyfikacji norm i aktów prawnych (Dz. U. poz. 2039, z </w:t>
      </w:r>
      <w:proofErr w:type="spellStart"/>
      <w:r w:rsidRPr="0044488B">
        <w:rPr>
          <w:rFonts w:ascii="Times New Roman" w:eastAsia="Times New Roman" w:hAnsi="Times New Roman" w:cs="Times New Roman"/>
          <w:color w:val="000000" w:themeColor="text1"/>
        </w:rPr>
        <w:t>późn</w:t>
      </w:r>
      <w:proofErr w:type="spellEnd"/>
      <w:r w:rsidRPr="0044488B">
        <w:rPr>
          <w:rFonts w:ascii="Times New Roman" w:eastAsia="Times New Roman" w:hAnsi="Times New Roman" w:cs="Times New Roman"/>
          <w:color w:val="000000" w:themeColor="text1"/>
        </w:rPr>
        <w:t>. zm.), w związku z tym nie podlega notyfikacji.</w:t>
      </w:r>
    </w:p>
    <w:p w14:paraId="5BB05AD5" w14:textId="77777777" w:rsidR="000F3C44" w:rsidRPr="0044488B" w:rsidRDefault="000F3C44" w:rsidP="009A5DFD">
      <w:pPr>
        <w:pStyle w:val="NIEARTTEKSTtekstnieartykuowanynppodstprawnarozplubpreambua"/>
        <w:spacing w:before="0"/>
        <w:ind w:firstLine="709"/>
        <w:rPr>
          <w:rFonts w:ascii="Times New Roman" w:eastAsia="Times New Roman" w:hAnsi="Times New Roman" w:cs="Times New Roman"/>
          <w:color w:val="000000" w:themeColor="text1"/>
        </w:rPr>
      </w:pPr>
      <w:r w:rsidRPr="00EB56E0">
        <w:rPr>
          <w:rFonts w:ascii="Times New Roman" w:eastAsia="Times New Roman" w:hAnsi="Times New Roman" w:cs="Times New Roman"/>
          <w:color w:val="000000" w:themeColor="text1"/>
        </w:rPr>
        <w:t>Skutki finansowe ustawy zostały przedstawione na wstępie uzasadnienia oraz w dalszej jej części.</w:t>
      </w:r>
      <w:r w:rsidR="00EB56E0">
        <w:rPr>
          <w:rFonts w:ascii="Times New Roman" w:eastAsia="Times New Roman" w:hAnsi="Times New Roman" w:cs="Times New Roman"/>
          <w:color w:val="000000" w:themeColor="text1"/>
        </w:rPr>
        <w:t xml:space="preserve"> </w:t>
      </w:r>
      <w:r w:rsidR="00EB56E0" w:rsidRPr="00D51074">
        <w:rPr>
          <w:rFonts w:ascii="Times New Roman" w:eastAsia="Times New Roman" w:hAnsi="Times New Roman" w:cs="Times New Roman"/>
          <w:color w:val="000000" w:themeColor="text1"/>
        </w:rPr>
        <w:t>Należy jeszcze raz podkreślić, że są tożsame ze skutkami zawetowanej ustawy z dnia 21 grudnia 2023 r., z wyjątkiem kwoty prawie 3 mld przeznaczonych na media publiczne, a zatem zostały przedstawione przez Radę Ministrów (projekt ustawy wraz z autopoprawkami), a następnie zaakceptowane</w:t>
      </w:r>
      <w:r w:rsidRPr="00D51074">
        <w:rPr>
          <w:rFonts w:ascii="Times New Roman" w:eastAsia="Times New Roman" w:hAnsi="Times New Roman" w:cs="Times New Roman"/>
          <w:color w:val="000000" w:themeColor="text1"/>
        </w:rPr>
        <w:t xml:space="preserve"> </w:t>
      </w:r>
      <w:r w:rsidR="00EB56E0" w:rsidRPr="00D51074">
        <w:rPr>
          <w:rFonts w:ascii="Times New Roman" w:eastAsia="Times New Roman" w:hAnsi="Times New Roman" w:cs="Times New Roman"/>
          <w:color w:val="000000" w:themeColor="text1"/>
        </w:rPr>
        <w:t>przez Sejm i Senat.</w:t>
      </w:r>
    </w:p>
    <w:p w14:paraId="17997785" w14:textId="435BAEFE" w:rsidR="00850745" w:rsidRPr="0044488B" w:rsidRDefault="00850745" w:rsidP="009A5DFD">
      <w:pPr>
        <w:pStyle w:val="NIEARTTEKSTtekstnieartykuowanynppodstprawnarozplubpreambua"/>
        <w:spacing w:before="0"/>
        <w:ind w:firstLine="709"/>
        <w:rPr>
          <w:rFonts w:ascii="Times New Roman" w:eastAsia="Times New Roman" w:hAnsi="Times New Roman" w:cs="Times New Roman"/>
          <w:color w:val="000000" w:themeColor="text1"/>
        </w:rPr>
      </w:pPr>
      <w:r w:rsidRPr="0044488B">
        <w:rPr>
          <w:rFonts w:ascii="Times New Roman" w:eastAsia="Times New Roman" w:hAnsi="Times New Roman" w:cs="Times New Roman"/>
          <w:color w:val="000000" w:themeColor="text1"/>
        </w:rPr>
        <w:t xml:space="preserve">Projekt ustawy nie dotyczy majątkowych praw i obowiązków przedsiębiorców lub praw i obowiązków przedsiębiorców wobec organów administracji publicznej i </w:t>
      </w:r>
      <w:r w:rsidR="000F6016">
        <w:rPr>
          <w:rFonts w:ascii="Times New Roman" w:eastAsia="Times New Roman" w:hAnsi="Times New Roman" w:cs="Times New Roman"/>
          <w:color w:val="000000" w:themeColor="text1"/>
        </w:rPr>
        <w:t xml:space="preserve">nie wpływa na działalność </w:t>
      </w:r>
      <w:proofErr w:type="spellStart"/>
      <w:r w:rsidR="000F6016">
        <w:rPr>
          <w:rFonts w:ascii="Times New Roman" w:eastAsia="Times New Roman" w:hAnsi="Times New Roman" w:cs="Times New Roman"/>
          <w:color w:val="000000" w:themeColor="text1"/>
        </w:rPr>
        <w:t>mikro</w:t>
      </w:r>
      <w:r w:rsidRPr="0044488B">
        <w:rPr>
          <w:rFonts w:ascii="Times New Roman" w:eastAsia="Times New Roman" w:hAnsi="Times New Roman" w:cs="Times New Roman"/>
          <w:color w:val="000000" w:themeColor="text1"/>
        </w:rPr>
        <w:t>przedsiębiorców</w:t>
      </w:r>
      <w:proofErr w:type="spellEnd"/>
      <w:r w:rsidRPr="0044488B">
        <w:rPr>
          <w:rFonts w:ascii="Times New Roman" w:eastAsia="Times New Roman" w:hAnsi="Times New Roman" w:cs="Times New Roman"/>
          <w:color w:val="000000" w:themeColor="text1"/>
        </w:rPr>
        <w:t xml:space="preserve"> oraz małych i średnich przedsiębiorców.</w:t>
      </w:r>
    </w:p>
    <w:p w14:paraId="758AF07F" w14:textId="77777777" w:rsidR="00850745" w:rsidRPr="0044488B" w:rsidRDefault="00850745" w:rsidP="009A5DFD">
      <w:pPr>
        <w:pStyle w:val="NIEARTTEKSTtekstnieartykuowanynppodstprawnarozplubpreambua"/>
        <w:spacing w:before="0"/>
        <w:ind w:firstLine="709"/>
        <w:rPr>
          <w:rFonts w:ascii="Times New Roman" w:eastAsia="Times New Roman" w:hAnsi="Times New Roman" w:cs="Times New Roman"/>
          <w:color w:val="000000" w:themeColor="text1"/>
        </w:rPr>
      </w:pPr>
      <w:r w:rsidRPr="0044488B">
        <w:rPr>
          <w:rFonts w:ascii="Times New Roman" w:eastAsia="Times New Roman" w:hAnsi="Times New Roman" w:cs="Times New Roman"/>
          <w:color w:val="000000" w:themeColor="text1"/>
        </w:rPr>
        <w:lastRenderedPageBreak/>
        <w:t>Z uwagi na przyczyny</w:t>
      </w:r>
      <w:r w:rsidR="00A13EE5" w:rsidRPr="0044488B">
        <w:rPr>
          <w:rFonts w:ascii="Times New Roman" w:eastAsia="Times New Roman" w:hAnsi="Times New Roman" w:cs="Times New Roman"/>
          <w:color w:val="000000" w:themeColor="text1"/>
        </w:rPr>
        <w:t xml:space="preserve"> wniesienia projektu ustawy i jego treść</w:t>
      </w:r>
      <w:r w:rsidRPr="0044488B">
        <w:rPr>
          <w:rFonts w:ascii="Times New Roman" w:eastAsia="Times New Roman" w:hAnsi="Times New Roman" w:cs="Times New Roman"/>
          <w:color w:val="000000" w:themeColor="text1"/>
        </w:rPr>
        <w:t>,</w:t>
      </w:r>
      <w:r w:rsidR="00A13EE5" w:rsidRPr="0044488B">
        <w:rPr>
          <w:rFonts w:ascii="Times New Roman" w:eastAsia="Times New Roman" w:hAnsi="Times New Roman" w:cs="Times New Roman"/>
          <w:color w:val="000000" w:themeColor="text1"/>
        </w:rPr>
        <w:t xml:space="preserve"> będącą już przedmiotem debaty parlamentarnej,</w:t>
      </w:r>
      <w:r w:rsidRPr="0044488B">
        <w:rPr>
          <w:rFonts w:ascii="Times New Roman" w:eastAsia="Times New Roman" w:hAnsi="Times New Roman" w:cs="Times New Roman"/>
          <w:color w:val="000000" w:themeColor="text1"/>
        </w:rPr>
        <w:t xml:space="preserve"> projekt nie był poddany konsultacjom społecznym.</w:t>
      </w:r>
    </w:p>
    <w:p w14:paraId="21A99095" w14:textId="77777777" w:rsidR="00850745" w:rsidRPr="0044488B" w:rsidRDefault="00850745" w:rsidP="0044488B">
      <w:pPr>
        <w:spacing w:after="0" w:line="360" w:lineRule="auto"/>
        <w:rPr>
          <w:rFonts w:ascii="Times New Roman" w:hAnsi="Times New Roman" w:cs="Times New Roman"/>
          <w:b/>
          <w:sz w:val="24"/>
          <w:szCs w:val="24"/>
        </w:rPr>
      </w:pPr>
    </w:p>
    <w:sectPr w:rsidR="00850745" w:rsidRPr="004448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4CB78" w14:textId="77777777" w:rsidR="006A1496" w:rsidRDefault="006A1496" w:rsidP="00520F40">
      <w:pPr>
        <w:spacing w:after="0" w:line="240" w:lineRule="auto"/>
      </w:pPr>
      <w:r>
        <w:separator/>
      </w:r>
    </w:p>
  </w:endnote>
  <w:endnote w:type="continuationSeparator" w:id="0">
    <w:p w14:paraId="7AE6DCC7" w14:textId="77777777" w:rsidR="006A1496" w:rsidRDefault="006A1496" w:rsidP="0052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B9BCB" w14:textId="77777777" w:rsidR="00435029" w:rsidRDefault="004350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28EF" w14:textId="77777777" w:rsidR="005D7827" w:rsidRPr="00435029" w:rsidRDefault="005D7827" w:rsidP="0043502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85FF" w14:textId="77777777" w:rsidR="00435029" w:rsidRDefault="004350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C2C2E" w14:textId="77777777" w:rsidR="006A1496" w:rsidRDefault="006A1496" w:rsidP="00520F40">
      <w:pPr>
        <w:spacing w:after="0" w:line="240" w:lineRule="auto"/>
      </w:pPr>
      <w:r>
        <w:separator/>
      </w:r>
    </w:p>
  </w:footnote>
  <w:footnote w:type="continuationSeparator" w:id="0">
    <w:p w14:paraId="4F94EA58" w14:textId="77777777" w:rsidR="006A1496" w:rsidRDefault="006A1496" w:rsidP="0052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93DB" w14:textId="77777777" w:rsidR="00435029" w:rsidRDefault="004350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06986" w14:textId="77777777" w:rsidR="00435029" w:rsidRDefault="004350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4518" w14:textId="77777777" w:rsidR="00435029" w:rsidRDefault="00435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55AD5"/>
    <w:multiLevelType w:val="hybridMultilevel"/>
    <w:tmpl w:val="40265D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32"/>
    <w:rsid w:val="00081E4A"/>
    <w:rsid w:val="000E6900"/>
    <w:rsid w:val="000F3C44"/>
    <w:rsid w:val="000F6016"/>
    <w:rsid w:val="0010385E"/>
    <w:rsid w:val="00113C43"/>
    <w:rsid w:val="001F33A5"/>
    <w:rsid w:val="002B7D56"/>
    <w:rsid w:val="002D2926"/>
    <w:rsid w:val="002D7465"/>
    <w:rsid w:val="002E4229"/>
    <w:rsid w:val="002F5FE5"/>
    <w:rsid w:val="003319BF"/>
    <w:rsid w:val="00334D50"/>
    <w:rsid w:val="00344F0C"/>
    <w:rsid w:val="00365FDC"/>
    <w:rsid w:val="003D7E6F"/>
    <w:rsid w:val="003E3DAE"/>
    <w:rsid w:val="003F6219"/>
    <w:rsid w:val="00435029"/>
    <w:rsid w:val="0044488B"/>
    <w:rsid w:val="0046161F"/>
    <w:rsid w:val="00467082"/>
    <w:rsid w:val="004857C9"/>
    <w:rsid w:val="004D1F4E"/>
    <w:rsid w:val="004F3F30"/>
    <w:rsid w:val="004F6818"/>
    <w:rsid w:val="005027A3"/>
    <w:rsid w:val="00520F40"/>
    <w:rsid w:val="00545ABA"/>
    <w:rsid w:val="00576317"/>
    <w:rsid w:val="005868FA"/>
    <w:rsid w:val="005D7827"/>
    <w:rsid w:val="005E3081"/>
    <w:rsid w:val="00604835"/>
    <w:rsid w:val="00615F82"/>
    <w:rsid w:val="0066387E"/>
    <w:rsid w:val="006A1496"/>
    <w:rsid w:val="0075278D"/>
    <w:rsid w:val="0077077B"/>
    <w:rsid w:val="007C4CDD"/>
    <w:rsid w:val="007F769B"/>
    <w:rsid w:val="00803257"/>
    <w:rsid w:val="00826FE2"/>
    <w:rsid w:val="008360B0"/>
    <w:rsid w:val="00850745"/>
    <w:rsid w:val="00860152"/>
    <w:rsid w:val="008655A8"/>
    <w:rsid w:val="00877C2C"/>
    <w:rsid w:val="008855F5"/>
    <w:rsid w:val="00897B34"/>
    <w:rsid w:val="008A4580"/>
    <w:rsid w:val="008C3F30"/>
    <w:rsid w:val="00914250"/>
    <w:rsid w:val="009810BB"/>
    <w:rsid w:val="00983D9D"/>
    <w:rsid w:val="009A4E73"/>
    <w:rsid w:val="009A5DFD"/>
    <w:rsid w:val="009B0CE6"/>
    <w:rsid w:val="009B52D9"/>
    <w:rsid w:val="00A13EE5"/>
    <w:rsid w:val="00A914F0"/>
    <w:rsid w:val="00AE15A8"/>
    <w:rsid w:val="00AE2B41"/>
    <w:rsid w:val="00B023B5"/>
    <w:rsid w:val="00B73F02"/>
    <w:rsid w:val="00B80C6B"/>
    <w:rsid w:val="00C17F2B"/>
    <w:rsid w:val="00D03856"/>
    <w:rsid w:val="00D35D7B"/>
    <w:rsid w:val="00D51074"/>
    <w:rsid w:val="00DD1E1D"/>
    <w:rsid w:val="00E2333E"/>
    <w:rsid w:val="00E2513D"/>
    <w:rsid w:val="00E51572"/>
    <w:rsid w:val="00E96636"/>
    <w:rsid w:val="00EB56E0"/>
    <w:rsid w:val="00EC799F"/>
    <w:rsid w:val="00EE6045"/>
    <w:rsid w:val="00F338E9"/>
    <w:rsid w:val="00F47AF4"/>
    <w:rsid w:val="00FA04C8"/>
    <w:rsid w:val="00FD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B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IEARTTEKSTtekstnieartykuowanynppodstprawnarozplubpreambua">
    <w:name w:val="NIEART_TEKST – tekst nieartykułowany (np. podst. prawna rozp. lub preambuła)"/>
    <w:basedOn w:val="Normalny"/>
    <w:uiPriority w:val="7"/>
    <w:qFormat/>
    <w:rsid w:val="00850745"/>
    <w:pPr>
      <w:autoSpaceDE w:val="0"/>
      <w:autoSpaceDN w:val="0"/>
      <w:spacing w:before="120" w:after="0" w:line="360" w:lineRule="auto"/>
      <w:ind w:firstLine="510"/>
      <w:jc w:val="both"/>
    </w:pPr>
    <w:rPr>
      <w:rFonts w:ascii="Times" w:hAnsi="Times" w:cs="Times"/>
      <w:sz w:val="24"/>
      <w:szCs w:val="24"/>
      <w:lang w:eastAsia="pl-PL"/>
    </w:rPr>
  </w:style>
  <w:style w:type="paragraph" w:styleId="Akapitzlist">
    <w:name w:val="List Paragraph"/>
    <w:basedOn w:val="Normalny"/>
    <w:uiPriority w:val="34"/>
    <w:qFormat/>
    <w:rsid w:val="00D03856"/>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rsid w:val="00520F40"/>
    <w:rPr>
      <w:rFonts w:cs="Times New Roman"/>
      <w:vertAlign w:val="superscript"/>
    </w:rPr>
  </w:style>
  <w:style w:type="paragraph" w:customStyle="1" w:styleId="ODNONIKtreodnonika">
    <w:name w:val="ODNOŚNIK – treść odnośnika"/>
    <w:rsid w:val="00520F40"/>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rsid w:val="00520F40"/>
    <w:rPr>
      <w:b w:val="0"/>
      <w:i w:val="0"/>
      <w:vanish w:val="0"/>
      <w:spacing w:val="0"/>
      <w:vertAlign w:val="superscript"/>
    </w:rPr>
  </w:style>
  <w:style w:type="character" w:customStyle="1" w:styleId="Ppogrubienie">
    <w:name w:val="_P_ – pogrubienie"/>
    <w:rsid w:val="00520F40"/>
    <w:rPr>
      <w:b/>
    </w:rPr>
  </w:style>
  <w:style w:type="paragraph" w:styleId="Tekstpodstawowy">
    <w:name w:val="Body Text"/>
    <w:basedOn w:val="Normalny"/>
    <w:link w:val="TekstpodstawowyZnak"/>
    <w:unhideWhenUsed/>
    <w:rsid w:val="003F6219"/>
    <w:pPr>
      <w:spacing w:after="12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3F6219"/>
    <w:rPr>
      <w:rFonts w:ascii="Times New Roman" w:eastAsia="Times New Roman" w:hAnsi="Times New Roman" w:cs="Times New Roman"/>
      <w:sz w:val="24"/>
      <w:szCs w:val="24"/>
      <w:lang w:eastAsia="pl-PL"/>
    </w:rPr>
  </w:style>
  <w:style w:type="paragraph" w:customStyle="1" w:styleId="ARTartustawynprozporzdzenia">
    <w:name w:val="ART(§) – art. ustawy (§ np. rozporządzenia)"/>
    <w:rsid w:val="00914250"/>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rsid w:val="00914250"/>
    <w:pPr>
      <w:spacing w:before="0"/>
    </w:pPr>
    <w:rPr>
      <w:bCs/>
    </w:rPr>
  </w:style>
  <w:style w:type="character" w:styleId="Odwoaniedokomentarza">
    <w:name w:val="annotation reference"/>
    <w:basedOn w:val="Domylnaczcionkaakapitu"/>
    <w:uiPriority w:val="99"/>
    <w:semiHidden/>
    <w:unhideWhenUsed/>
    <w:rsid w:val="00EB56E0"/>
    <w:rPr>
      <w:sz w:val="16"/>
      <w:szCs w:val="16"/>
    </w:rPr>
  </w:style>
  <w:style w:type="paragraph" w:styleId="Tekstkomentarza">
    <w:name w:val="annotation text"/>
    <w:basedOn w:val="Normalny"/>
    <w:link w:val="TekstkomentarzaZnak"/>
    <w:uiPriority w:val="99"/>
    <w:semiHidden/>
    <w:unhideWhenUsed/>
    <w:rsid w:val="00EB56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6E0"/>
    <w:rPr>
      <w:sz w:val="20"/>
      <w:szCs w:val="20"/>
    </w:rPr>
  </w:style>
  <w:style w:type="paragraph" w:styleId="Tematkomentarza">
    <w:name w:val="annotation subject"/>
    <w:basedOn w:val="Tekstkomentarza"/>
    <w:next w:val="Tekstkomentarza"/>
    <w:link w:val="TematkomentarzaZnak"/>
    <w:uiPriority w:val="99"/>
    <w:semiHidden/>
    <w:unhideWhenUsed/>
    <w:rsid w:val="00EB56E0"/>
    <w:rPr>
      <w:b/>
      <w:bCs/>
    </w:rPr>
  </w:style>
  <w:style w:type="character" w:customStyle="1" w:styleId="TematkomentarzaZnak">
    <w:name w:val="Temat komentarza Znak"/>
    <w:basedOn w:val="TekstkomentarzaZnak"/>
    <w:link w:val="Tematkomentarza"/>
    <w:uiPriority w:val="99"/>
    <w:semiHidden/>
    <w:rsid w:val="00EB56E0"/>
    <w:rPr>
      <w:b/>
      <w:bCs/>
      <w:sz w:val="20"/>
      <w:szCs w:val="20"/>
    </w:rPr>
  </w:style>
  <w:style w:type="paragraph" w:styleId="Tekstdymka">
    <w:name w:val="Balloon Text"/>
    <w:basedOn w:val="Normalny"/>
    <w:link w:val="TekstdymkaZnak"/>
    <w:uiPriority w:val="99"/>
    <w:semiHidden/>
    <w:unhideWhenUsed/>
    <w:rsid w:val="00EB56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6E0"/>
    <w:rPr>
      <w:rFonts w:ascii="Segoe UI" w:hAnsi="Segoe UI" w:cs="Segoe UI"/>
      <w:sz w:val="18"/>
      <w:szCs w:val="18"/>
    </w:rPr>
  </w:style>
  <w:style w:type="paragraph" w:styleId="Nagwek">
    <w:name w:val="header"/>
    <w:basedOn w:val="Normalny"/>
    <w:link w:val="NagwekZnak"/>
    <w:uiPriority w:val="99"/>
    <w:unhideWhenUsed/>
    <w:rsid w:val="005D78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827"/>
  </w:style>
  <w:style w:type="paragraph" w:styleId="Stopka">
    <w:name w:val="footer"/>
    <w:basedOn w:val="Normalny"/>
    <w:link w:val="StopkaZnak"/>
    <w:uiPriority w:val="99"/>
    <w:unhideWhenUsed/>
    <w:rsid w:val="005D78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0835">
      <w:bodyDiv w:val="1"/>
      <w:marLeft w:val="0"/>
      <w:marRight w:val="0"/>
      <w:marTop w:val="0"/>
      <w:marBottom w:val="0"/>
      <w:divBdr>
        <w:top w:val="none" w:sz="0" w:space="0" w:color="auto"/>
        <w:left w:val="none" w:sz="0" w:space="0" w:color="auto"/>
        <w:bottom w:val="none" w:sz="0" w:space="0" w:color="auto"/>
        <w:right w:val="none" w:sz="0" w:space="0" w:color="auto"/>
      </w:divBdr>
    </w:div>
    <w:div w:id="187791102">
      <w:bodyDiv w:val="1"/>
      <w:marLeft w:val="0"/>
      <w:marRight w:val="0"/>
      <w:marTop w:val="0"/>
      <w:marBottom w:val="0"/>
      <w:divBdr>
        <w:top w:val="none" w:sz="0" w:space="0" w:color="auto"/>
        <w:left w:val="none" w:sz="0" w:space="0" w:color="auto"/>
        <w:bottom w:val="none" w:sz="0" w:space="0" w:color="auto"/>
        <w:right w:val="none" w:sz="0" w:space="0" w:color="auto"/>
      </w:divBdr>
    </w:div>
    <w:div w:id="295718483">
      <w:bodyDiv w:val="1"/>
      <w:marLeft w:val="0"/>
      <w:marRight w:val="0"/>
      <w:marTop w:val="0"/>
      <w:marBottom w:val="0"/>
      <w:divBdr>
        <w:top w:val="none" w:sz="0" w:space="0" w:color="auto"/>
        <w:left w:val="none" w:sz="0" w:space="0" w:color="auto"/>
        <w:bottom w:val="none" w:sz="0" w:space="0" w:color="auto"/>
        <w:right w:val="none" w:sz="0" w:space="0" w:color="auto"/>
      </w:divBdr>
    </w:div>
    <w:div w:id="708452145">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92090565">
      <w:bodyDiv w:val="1"/>
      <w:marLeft w:val="0"/>
      <w:marRight w:val="0"/>
      <w:marTop w:val="0"/>
      <w:marBottom w:val="0"/>
      <w:divBdr>
        <w:top w:val="none" w:sz="0" w:space="0" w:color="auto"/>
        <w:left w:val="none" w:sz="0" w:space="0" w:color="auto"/>
        <w:bottom w:val="none" w:sz="0" w:space="0" w:color="auto"/>
        <w:right w:val="none" w:sz="0" w:space="0" w:color="auto"/>
      </w:divBdr>
    </w:div>
    <w:div w:id="925530091">
      <w:bodyDiv w:val="1"/>
      <w:marLeft w:val="0"/>
      <w:marRight w:val="0"/>
      <w:marTop w:val="0"/>
      <w:marBottom w:val="0"/>
      <w:divBdr>
        <w:top w:val="none" w:sz="0" w:space="0" w:color="auto"/>
        <w:left w:val="none" w:sz="0" w:space="0" w:color="auto"/>
        <w:bottom w:val="none" w:sz="0" w:space="0" w:color="auto"/>
        <w:right w:val="none" w:sz="0" w:space="0" w:color="auto"/>
      </w:divBdr>
    </w:div>
    <w:div w:id="975329589">
      <w:bodyDiv w:val="1"/>
      <w:marLeft w:val="0"/>
      <w:marRight w:val="0"/>
      <w:marTop w:val="0"/>
      <w:marBottom w:val="0"/>
      <w:divBdr>
        <w:top w:val="none" w:sz="0" w:space="0" w:color="auto"/>
        <w:left w:val="none" w:sz="0" w:space="0" w:color="auto"/>
        <w:bottom w:val="none" w:sz="0" w:space="0" w:color="auto"/>
        <w:right w:val="none" w:sz="0" w:space="0" w:color="auto"/>
      </w:divBdr>
    </w:div>
    <w:div w:id="1117677804">
      <w:bodyDiv w:val="1"/>
      <w:marLeft w:val="0"/>
      <w:marRight w:val="0"/>
      <w:marTop w:val="0"/>
      <w:marBottom w:val="0"/>
      <w:divBdr>
        <w:top w:val="none" w:sz="0" w:space="0" w:color="auto"/>
        <w:left w:val="none" w:sz="0" w:space="0" w:color="auto"/>
        <w:bottom w:val="none" w:sz="0" w:space="0" w:color="auto"/>
        <w:right w:val="none" w:sz="0" w:space="0" w:color="auto"/>
      </w:divBdr>
    </w:div>
    <w:div w:id="1171794697">
      <w:bodyDiv w:val="1"/>
      <w:marLeft w:val="0"/>
      <w:marRight w:val="0"/>
      <w:marTop w:val="0"/>
      <w:marBottom w:val="0"/>
      <w:divBdr>
        <w:top w:val="none" w:sz="0" w:space="0" w:color="auto"/>
        <w:left w:val="none" w:sz="0" w:space="0" w:color="auto"/>
        <w:bottom w:val="none" w:sz="0" w:space="0" w:color="auto"/>
        <w:right w:val="none" w:sz="0" w:space="0" w:color="auto"/>
      </w:divBdr>
    </w:div>
    <w:div w:id="1212115560">
      <w:bodyDiv w:val="1"/>
      <w:marLeft w:val="0"/>
      <w:marRight w:val="0"/>
      <w:marTop w:val="0"/>
      <w:marBottom w:val="0"/>
      <w:divBdr>
        <w:top w:val="none" w:sz="0" w:space="0" w:color="auto"/>
        <w:left w:val="none" w:sz="0" w:space="0" w:color="auto"/>
        <w:bottom w:val="none" w:sz="0" w:space="0" w:color="auto"/>
        <w:right w:val="none" w:sz="0" w:space="0" w:color="auto"/>
      </w:divBdr>
    </w:div>
    <w:div w:id="1288049871">
      <w:bodyDiv w:val="1"/>
      <w:marLeft w:val="0"/>
      <w:marRight w:val="0"/>
      <w:marTop w:val="0"/>
      <w:marBottom w:val="0"/>
      <w:divBdr>
        <w:top w:val="none" w:sz="0" w:space="0" w:color="auto"/>
        <w:left w:val="none" w:sz="0" w:space="0" w:color="auto"/>
        <w:bottom w:val="none" w:sz="0" w:space="0" w:color="auto"/>
        <w:right w:val="none" w:sz="0" w:space="0" w:color="auto"/>
      </w:divBdr>
    </w:div>
    <w:div w:id="1439908526">
      <w:bodyDiv w:val="1"/>
      <w:marLeft w:val="0"/>
      <w:marRight w:val="0"/>
      <w:marTop w:val="0"/>
      <w:marBottom w:val="0"/>
      <w:divBdr>
        <w:top w:val="none" w:sz="0" w:space="0" w:color="auto"/>
        <w:left w:val="none" w:sz="0" w:space="0" w:color="auto"/>
        <w:bottom w:val="none" w:sz="0" w:space="0" w:color="auto"/>
        <w:right w:val="none" w:sz="0" w:space="0" w:color="auto"/>
      </w:divBdr>
    </w:div>
    <w:div w:id="19965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5951</Words>
  <Characters>35712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2023-12-27T07:56:00Z</dcterms:created>
  <dcterms:modified xsi:type="dcterms:W3CDTF">2023-12-27T07:56:00Z</dcterms:modified>
</cp:coreProperties>
</file>