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F553" w14:textId="77777777" w:rsidR="00AF797D" w:rsidRPr="009147AE" w:rsidRDefault="00AF797D" w:rsidP="009147AE">
      <w:pPr>
        <w:pStyle w:val="TYTDZOZNoznaczenietytuulubdziau"/>
        <w:spacing w:before="0" w:after="240"/>
        <w:rPr>
          <w:rStyle w:val="Ppogrubienie"/>
          <w:b w:val="0"/>
        </w:rPr>
      </w:pPr>
      <w:r w:rsidRPr="009147AE">
        <w:rPr>
          <w:rStyle w:val="Ppogrubienie"/>
          <w:b w:val="0"/>
        </w:rPr>
        <w:t>UZASADNIENIE</w:t>
      </w:r>
    </w:p>
    <w:p w14:paraId="6EC3362F" w14:textId="3EEDC78F" w:rsidR="00AF797D" w:rsidRDefault="00AF797D" w:rsidP="009147AE">
      <w:pPr>
        <w:pStyle w:val="NIEARTTEKSTtekstnieartykuowanynppodstprawnarozplubpreambua"/>
        <w:ind w:firstLine="0"/>
      </w:pPr>
      <w:r w:rsidRPr="005A3064">
        <w:t>Projekt zmiany ustawy z dnia 12 maja 2011 r. o refundacji leków, środków spożywczych specjalnego przeznaczenia żywieniowego oraz wyrobów medycznych (Dz. U. z 2024 r. poz.</w:t>
      </w:r>
      <w:r>
        <w:t> </w:t>
      </w:r>
      <w:r w:rsidRPr="005A3064">
        <w:t>930</w:t>
      </w:r>
      <w:r>
        <w:t xml:space="preserve"> oraz z 2025 r. poz. 129</w:t>
      </w:r>
      <w:r w:rsidRPr="005A3064">
        <w:t>), zwanej dalej „ustawą o refundacji”, oraz ustawy z dnia 27</w:t>
      </w:r>
      <w:r w:rsidR="008561C7">
        <w:t> </w:t>
      </w:r>
      <w:r w:rsidRPr="005A3064">
        <w:t>sierpnia 2004 r. o</w:t>
      </w:r>
      <w:r>
        <w:t> </w:t>
      </w:r>
      <w:r w:rsidRPr="005A3064">
        <w:t>świadczeniach opieki zdrowotnej finansowanych ze środków publicznych (Dz.</w:t>
      </w:r>
      <w:r w:rsidR="004C71EC">
        <w:t xml:space="preserve"> </w:t>
      </w:r>
      <w:r w:rsidRPr="005A3064">
        <w:t>U. z 2024 r. poz. 14</w:t>
      </w:r>
      <w:r>
        <w:t xml:space="preserve">6, </w:t>
      </w:r>
      <w:r w:rsidR="00AB1BB6">
        <w:t>z późn. zm.</w:t>
      </w:r>
      <w:r w:rsidRPr="005A3064">
        <w:t>), zwanej dalej „ustawą o świadczeniach opieki zdrowotnej”, wynika z</w:t>
      </w:r>
      <w:r>
        <w:t> </w:t>
      </w:r>
      <w:r w:rsidRPr="005A3064">
        <w:t xml:space="preserve">konieczności dostosowania przepisów ww. ustaw do rozporządzenia Parlamentu Europejskiego i Rady (UE) 2021/2282 z dnia 15 grudnia 2021 r. w sprawie oceny technologii medycznych i zmiany dyrektywy 2011/24/UE </w:t>
      </w:r>
      <w:r w:rsidRPr="00D45587">
        <w:t>(Dz. Urz. UE L 458 z 22.12.2021</w:t>
      </w:r>
      <w:r>
        <w:t>,</w:t>
      </w:r>
      <w:r w:rsidRPr="00D45587">
        <w:t xml:space="preserve"> str. 1)</w:t>
      </w:r>
      <w:r w:rsidRPr="005A3064">
        <w:t xml:space="preserve">, zwanego dalej „rozporządzeniem o wspólnym HTA”, którego termin wejścia w życie </w:t>
      </w:r>
      <w:r w:rsidR="00E23C6C" w:rsidRPr="005A3064">
        <w:t xml:space="preserve">został </w:t>
      </w:r>
      <w:r w:rsidRPr="005A3064">
        <w:t>określony na dzień 12 stycznia 2025 r.</w:t>
      </w:r>
    </w:p>
    <w:p w14:paraId="52028B4E" w14:textId="793F253D" w:rsidR="00AF797D" w:rsidRPr="00BA4457" w:rsidRDefault="00AF797D" w:rsidP="009147AE">
      <w:pPr>
        <w:pStyle w:val="ARTartustawynprozporzdzenia"/>
        <w:ind w:firstLine="0"/>
      </w:pPr>
      <w:r>
        <w:t xml:space="preserve">W art. 2 ustawy o refundacji dodano definicję pojęcia </w:t>
      </w:r>
      <w:r w:rsidR="00E23C6C">
        <w:t>„</w:t>
      </w:r>
      <w:r>
        <w:t>technologii opcjonalnej</w:t>
      </w:r>
      <w:r w:rsidR="00E23C6C">
        <w:t>”</w:t>
      </w:r>
      <w:r>
        <w:t xml:space="preserve">, wskazując, </w:t>
      </w:r>
      <w:r w:rsidR="00174FA8">
        <w:t xml:space="preserve">że </w:t>
      </w:r>
      <w:r>
        <w:t xml:space="preserve">jest to </w:t>
      </w:r>
      <w:r w:rsidRPr="00BA4457">
        <w:t>procedur</w:t>
      </w:r>
      <w:r>
        <w:t>a</w:t>
      </w:r>
      <w:r w:rsidRPr="00BA4457">
        <w:t xml:space="preserve"> medyczn</w:t>
      </w:r>
      <w:r>
        <w:t>a</w:t>
      </w:r>
      <w:r w:rsidRPr="00BA4457">
        <w:t xml:space="preserve"> w rozumieniu art.</w:t>
      </w:r>
      <w:r>
        <w:t xml:space="preserve"> </w:t>
      </w:r>
      <w:r w:rsidRPr="00BA4457">
        <w:t>5 pkt 42 ustawy</w:t>
      </w:r>
      <w:r>
        <w:t xml:space="preserve"> </w:t>
      </w:r>
      <w:r w:rsidRPr="00BA4457">
        <w:t>z dnia 27 sierpnia 2004 r. o świadczeniach opieki zdrowotnej finansowanych ze środków publicznych możliw</w:t>
      </w:r>
      <w:r>
        <w:t>a</w:t>
      </w:r>
      <w:r w:rsidRPr="00BA4457">
        <w:t xml:space="preserve"> do zastosowania w danym stanie klinicznym, we wnioskowanym wskazaniu, dostępn</w:t>
      </w:r>
      <w:r>
        <w:t>a</w:t>
      </w:r>
      <w:r w:rsidRPr="00BA4457">
        <w:t xml:space="preserve"> na terytorium Rzeczypospolitej Polskiej, zgodnie ze stanem faktycznym w dniu złożenia wniosku, o którym mowa w art. 24 ust. 1 pkt 1, 1a lub 2</w:t>
      </w:r>
      <w:r>
        <w:t>.</w:t>
      </w:r>
    </w:p>
    <w:p w14:paraId="46A70E45" w14:textId="430D9051" w:rsidR="00AF797D" w:rsidRDefault="00AF797D" w:rsidP="009147AE">
      <w:pPr>
        <w:pStyle w:val="NIEARTTEKSTtekstnieartykuowanynppodstprawnarozplubpreambua"/>
        <w:ind w:firstLine="0"/>
      </w:pPr>
      <w:r w:rsidRPr="005A3064">
        <w:t>Proponowane w art. 25 pkt 14 lit. c tiret pierwsze oraz art. 26 pkt 2 lit. h</w:t>
      </w:r>
      <w:r>
        <w:t xml:space="preserve"> </w:t>
      </w:r>
      <w:r w:rsidRPr="005A3064">
        <w:t>ustawy o</w:t>
      </w:r>
      <w:r>
        <w:t> </w:t>
      </w:r>
      <w:r w:rsidRPr="005A3064">
        <w:t xml:space="preserve">refundacji zmiany </w:t>
      </w:r>
      <w:r>
        <w:t>w</w:t>
      </w:r>
      <w:r w:rsidRPr="005A3064">
        <w:t>ynikają z konieczności dostosowania ich brzmienia do art. 10 ust. 3 oraz art. 13 ust.</w:t>
      </w:r>
      <w:r w:rsidR="008561C7">
        <w:t> </w:t>
      </w:r>
      <w:r w:rsidRPr="005A3064">
        <w:t>1 lit. d rozporządzeni</w:t>
      </w:r>
      <w:r>
        <w:t>a</w:t>
      </w:r>
      <w:r w:rsidRPr="005A3064">
        <w:t xml:space="preserve"> o wspólnym HTA.</w:t>
      </w:r>
    </w:p>
    <w:p w14:paraId="11DB4C3A" w14:textId="7A664552" w:rsidR="00AF797D" w:rsidRDefault="00AF797D" w:rsidP="009147AE">
      <w:pPr>
        <w:pStyle w:val="NIEARTTEKSTtekstnieartykuowanynppodstprawnarozplubpreambua"/>
        <w:ind w:firstLine="0"/>
      </w:pPr>
      <w:r w:rsidRPr="005A3064">
        <w:t>Według art. 10 ust. 3 zdanie pierwsze rozporządzenia o wspólnym HTA podmiot opracowujący technologię medyczną nie przedkłada na szczeblu krajowym informacji, danych, analiz ani innych dowodów, które zostały już przedłożone na szczeblu Unii Europejskiej.</w:t>
      </w:r>
    </w:p>
    <w:p w14:paraId="25081AC6" w14:textId="407E4915" w:rsidR="00AF797D" w:rsidRDefault="00AF797D" w:rsidP="009147AE">
      <w:pPr>
        <w:pStyle w:val="NIEARTTEKSTtekstnieartykuowanynppodstprawnarozplubpreambua"/>
        <w:ind w:firstLine="0"/>
      </w:pPr>
      <w:r w:rsidRPr="005A3064">
        <w:t>Z kolei zgodnie z art. 13 ust. 1 lit. d rozporządzenia o wspólnym HTA przy przeprowadzaniu krajowej HTA dotyczącej technologii medycznej, na temat której opublikowano raporty ze wspólnych ocen klinicznych, lub w odniesieniu do której rozpoczęto wspólną ocenę kliniczną, państwa członkowskie</w:t>
      </w:r>
      <w:r>
        <w:t xml:space="preserve"> Unii Europejskiej</w:t>
      </w:r>
      <w:r w:rsidRPr="005A3064">
        <w:t xml:space="preserve"> nie żądają na szczeblu krajowym informacji, danych, analiz ani innych dowodów przedłożonych przez podmiot opracowujący technologię medyczną na szczeblu Unii Europejskiej</w:t>
      </w:r>
      <w:r>
        <w:t xml:space="preserve"> </w:t>
      </w:r>
      <w:r>
        <w:softHyphen/>
      </w:r>
      <w:r w:rsidRPr="005A3064">
        <w:t>zgodnie z art. 10 ust. 1 lub 5 rozporządzenia o</w:t>
      </w:r>
      <w:r>
        <w:t> </w:t>
      </w:r>
      <w:r w:rsidRPr="005A3064">
        <w:t>wspólnym HTA.</w:t>
      </w:r>
    </w:p>
    <w:p w14:paraId="42F7DF44" w14:textId="5500DA7D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t>Biorąc pod uwagę ww. przepisy rozporządzenia o wspólnym HTA</w:t>
      </w:r>
      <w:r w:rsidR="00E23C6C">
        <w:t>,</w:t>
      </w:r>
      <w:r w:rsidRPr="005A3064">
        <w:t xml:space="preserve"> nie jest możliwe wymaganie na szczeblu prawa krajowego od wnioskodawcy składającego wniosek o</w:t>
      </w:r>
      <w:r>
        <w:t>:</w:t>
      </w:r>
    </w:p>
    <w:p w14:paraId="3A3D1C87" w14:textId="38688814" w:rsidR="00AF797D" w:rsidRPr="005A3064" w:rsidRDefault="00AF797D" w:rsidP="00AF797D">
      <w:pPr>
        <w:pStyle w:val="PKTpunkt"/>
      </w:pPr>
      <w:r>
        <w:lastRenderedPageBreak/>
        <w:t>1)</w:t>
      </w:r>
      <w:r>
        <w:tab/>
      </w:r>
      <w:r w:rsidRPr="005A3064">
        <w:t>objęcie refundacją i ustalenie ceny zbytu netto leku, środka spożywczego specjalnego przeznaczenia żywieniowego, wyrobu medycznego</w:t>
      </w:r>
      <w:r>
        <w:t>,</w:t>
      </w:r>
      <w:r w:rsidRPr="005A3064">
        <w:t xml:space="preserve"> objętego refundacją</w:t>
      </w:r>
      <w:r w:rsidR="00AB1BB6">
        <w:t>,</w:t>
      </w:r>
    </w:p>
    <w:p w14:paraId="557C454D" w14:textId="77777777" w:rsidR="00AF797D" w:rsidRPr="005A3064" w:rsidRDefault="00AF797D" w:rsidP="00AF797D">
      <w:pPr>
        <w:pStyle w:val="PKTpunkt"/>
      </w:pPr>
      <w:r>
        <w:t>2)</w:t>
      </w:r>
      <w:r>
        <w:tab/>
      </w:r>
      <w:r w:rsidRPr="005A3064">
        <w:t>podwyższenie ceny zbytu netto leku, środka spożywczego specjalnego przeznaczenia żywieniowego, wyrobu medycznego</w:t>
      </w:r>
      <w:r>
        <w:t>,</w:t>
      </w:r>
      <w:r w:rsidRPr="005A3064">
        <w:t xml:space="preserve"> objętego refundacją </w:t>
      </w:r>
    </w:p>
    <w:p w14:paraId="1B7B8825" w14:textId="77777777" w:rsidR="00AF797D" w:rsidRDefault="00AF797D" w:rsidP="00AF797D">
      <w:pPr>
        <w:pStyle w:val="CZWSPPKTczwsplnapunktw"/>
      </w:pPr>
      <w:r>
        <w:t>–</w:t>
      </w:r>
      <w:r w:rsidRPr="005A3064">
        <w:t xml:space="preserve"> przedłożenia analizy klinicznej dotyczącej technologii medycznej, na temat której informacje, dane, analizy lub inne dowody zostały już przedłożone przez podmiot opracowujący technologię medyczną na szczeblu </w:t>
      </w:r>
      <w:bookmarkStart w:id="0" w:name="_Hlk173911634"/>
      <w:r w:rsidRPr="005A3064">
        <w:t xml:space="preserve">Unii Europejskiej </w:t>
      </w:r>
      <w:bookmarkEnd w:id="0"/>
      <w:r w:rsidRPr="005A3064">
        <w:t>zgodnie z art. 10 ust. 1 lub 5 rozporządzenia o wspólnym HTA.</w:t>
      </w:r>
    </w:p>
    <w:p w14:paraId="6D22BFDE" w14:textId="77777777" w:rsidR="00AF797D" w:rsidRDefault="00AF797D" w:rsidP="009147AE">
      <w:pPr>
        <w:pStyle w:val="NIEARTTEKSTtekstnieartykuowanynppodstprawnarozplubpreambua"/>
        <w:ind w:firstLine="0"/>
      </w:pPr>
      <w:r w:rsidRPr="005A3064">
        <w:t>Tym niemniej państwa członkowskie Unii Europejskiej mają prawo do domagania się na</w:t>
      </w:r>
      <w:r>
        <w:t> </w:t>
      </w:r>
      <w:r w:rsidRPr="005A3064">
        <w:t>szczeblu prawa krajowego informacji, danych, analiz oraz innych dowodów, które nie zostały przedłożone przez podmiot opracowujący technologię medyczną na szczeblu Unii Europejskiej zgodnie z art. 10 ust. 1 lub 5 rozporządzenia o wspólnym HTA.</w:t>
      </w:r>
    </w:p>
    <w:p w14:paraId="69278BFA" w14:textId="47C692DB" w:rsidR="00AF797D" w:rsidRDefault="00AF797D" w:rsidP="009147AE">
      <w:pPr>
        <w:pStyle w:val="NIEARTTEKSTtekstnieartykuowanynppodstprawnarozplubpreambua"/>
        <w:ind w:firstLine="0"/>
      </w:pPr>
      <w:r w:rsidRPr="005A3064">
        <w:t>Biorąc powyższe pod uwagę</w:t>
      </w:r>
      <w:r w:rsidR="00E23C6C">
        <w:t>,</w:t>
      </w:r>
      <w:r w:rsidRPr="005A3064">
        <w:t xml:space="preserve"> jest konieczna zmiana art. 25 pkt 14 lit. c tiret pierwsze oraz</w:t>
      </w:r>
      <w:r>
        <w:t> </w:t>
      </w:r>
      <w:r w:rsidRPr="005A3064">
        <w:t>art.</w:t>
      </w:r>
      <w:r w:rsidR="008561C7">
        <w:t> </w:t>
      </w:r>
      <w:r w:rsidRPr="005A3064">
        <w:t xml:space="preserve">26 pkt 2 lit. h ustawy o refundacji przez dodanie w nich, że wnioskodawca może nie przedkładać analizy klinicznej, w przypadku gdy dane, analizy, informacje oraz inne dowody zostały złożone przez podmiot opracowujący tę technologię medyczną na szczeblu Unii Europejskiej zgodnie z art. 10 ust. 1 lub 5 rozporządzenia </w:t>
      </w:r>
      <w:r w:rsidR="00E77C80">
        <w:t xml:space="preserve">o wspólnym HTA </w:t>
      </w:r>
      <w:r w:rsidRPr="005A3064">
        <w:t>i dotyczą one technologii medycznej w tym samym wskazaniu i w tej samej populacji docelowej</w:t>
      </w:r>
      <w:r w:rsidR="00E23C6C">
        <w:t>,</w:t>
      </w:r>
      <w:r w:rsidRPr="005A3064">
        <w:t xml:space="preserve"> jak określone we</w:t>
      </w:r>
      <w:r>
        <w:t> </w:t>
      </w:r>
      <w:r w:rsidRPr="005A3064">
        <w:t>wniosku, o którym mowa w art. 24 ust. 1 pkt 1 ustawy o refundacji oraz spełniają one</w:t>
      </w:r>
      <w:r>
        <w:t> </w:t>
      </w:r>
      <w:r w:rsidRPr="005A3064">
        <w:t>wymagania dla analiz klinicznych określone w przepisach wydanych na podstawie art. 24 ust. 7 pkt 2 ustawy o refundacji w</w:t>
      </w:r>
      <w:r>
        <w:t> </w:t>
      </w:r>
      <w:r w:rsidRPr="005A3064">
        <w:t>zakresie technologii opcjonalnych w rozumieniu tych przepisów.</w:t>
      </w:r>
    </w:p>
    <w:p w14:paraId="2D31D80E" w14:textId="3DAE42CE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W zmienianym art. 35 ust. 1 ustawy o refundacji </w:t>
      </w:r>
      <w:r w:rsidR="00E23C6C" w:rsidRPr="005A3064">
        <w:t>został</w:t>
      </w:r>
      <w:r w:rsidR="00E23C6C">
        <w:t>y</w:t>
      </w:r>
      <w:r w:rsidR="00E23C6C" w:rsidRPr="005A3064">
        <w:t xml:space="preserve"> </w:t>
      </w:r>
      <w:r w:rsidRPr="005A3064">
        <w:t>dodan</w:t>
      </w:r>
      <w:r>
        <w:t>e</w:t>
      </w:r>
      <w:r w:rsidRPr="005A3064">
        <w:t xml:space="preserve"> ust. 1a i 1b. Dodanie ust. 1a wynika z konieczności dostosowania ustawy o refundacji do art. 13 ust. 1 lit. a rozporządzenia o wspólnym HTA, zgodnie z którym przy przeprowadzaniu krajowej HTA dotyczącej technologii medycznej, na temat której opublikowano raporty ze wspólnych ocen klinicznych</w:t>
      </w:r>
      <w:r>
        <w:t>,</w:t>
      </w:r>
      <w:r w:rsidRPr="005A3064">
        <w:t xml:space="preserve"> lub w odniesieniu do której rozpoczęto wspólną ocenę kliniczną, państwa członkowskie Unii Europejskiej w swoich HTA na szczeblu krajowym należycie uwzględniają opublikowane raporty ze wspólnych ocen klinicznych i wszelkie inne informacje dostępne na</w:t>
      </w:r>
      <w:r>
        <w:t> </w:t>
      </w:r>
      <w:r w:rsidRPr="005A3064">
        <w:t>platformie informatycznej, o której mowa w art. 30 ustawy o refundacji, w tym oświadczenie o zaprzestaniu</w:t>
      </w:r>
      <w:r>
        <w:t xml:space="preserve">, </w:t>
      </w:r>
      <w:r w:rsidRPr="005A3064">
        <w:t xml:space="preserve">na podstawie art. 10 ust. 6, dotyczące tej wspólnej oceny klinicznej. Nie wpływa to na kompetencje państw członkowskich Unii Europejskiej w zakresie podsumowania wniosków na temat ogólnej klinicznej wartości dodanej danej technologii medycznej </w:t>
      </w:r>
      <w:r w:rsidRPr="005A3064">
        <w:lastRenderedPageBreak/>
        <w:t>w</w:t>
      </w:r>
      <w:r>
        <w:t> </w:t>
      </w:r>
      <w:r w:rsidRPr="005A3064">
        <w:t>kontekście ich konkretnego systemu opieki zdrowotnej oraz w zakresie uwzględniania tych części raportów, które mają znaczenie w tym kontekście.</w:t>
      </w:r>
    </w:p>
    <w:p w14:paraId="6C3A4994" w14:textId="27FCA870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Tym samym powyższy przepis rozporządzenia o wspólnym HTA zobowiązuje państwa członkowskie Unii Europejskiej do należytego uwzględnienia opublikowanych </w:t>
      </w:r>
      <w:r w:rsidR="00E77C80" w:rsidRPr="00E77C80">
        <w:t>na platformie informatycznej, o której mowa w art. 30 rozporządzenia o wspólnym HTA</w:t>
      </w:r>
      <w:r w:rsidR="00E23C6C">
        <w:t>,</w:t>
      </w:r>
      <w:r w:rsidR="00E77C80" w:rsidRPr="00E77C80">
        <w:t xml:space="preserve"> </w:t>
      </w:r>
      <w:r w:rsidRPr="005A3064">
        <w:t>raportów ze</w:t>
      </w:r>
      <w:r>
        <w:t> </w:t>
      </w:r>
      <w:r w:rsidRPr="005A3064">
        <w:t>wspólnych ocen klinicznych i wszelkich innych informacji dostępnych na</w:t>
      </w:r>
      <w:r w:rsidR="00E77C80">
        <w:t xml:space="preserve"> tej</w:t>
      </w:r>
      <w:r w:rsidRPr="005A3064">
        <w:t xml:space="preserve"> platformie informatycznej przy przeprowadzaniu krajowej HTA dotyczącej technologii medycznej, na</w:t>
      </w:r>
      <w:r>
        <w:t> </w:t>
      </w:r>
      <w:r w:rsidRPr="005A3064">
        <w:t>temat której opublikowano raporty ze wspólnych ocen klinicznych lub w odniesieniu do</w:t>
      </w:r>
      <w:r>
        <w:t> </w:t>
      </w:r>
      <w:r w:rsidRPr="005A3064">
        <w:t>której rozpoczęto wspólną ocenę kliniczną. Zatem dokumenty te powinny być uwzględnione przy przygotowywaniu analizy weryfikacyjnej Agencji Oceny Technologii Medycznych i Taryfikacji, zwanej dalej „Agencją”, stanowiska Rady Przejrzystości oraz rekomendacji Prezesa Agencji, o których mowa w art. 35 ust. 1 ustawy o refundacji.</w:t>
      </w:r>
    </w:p>
    <w:p w14:paraId="1325B153" w14:textId="1CAFB8E1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Z kolei </w:t>
      </w:r>
      <w:r w:rsidR="00DF028C">
        <w:t xml:space="preserve">dodanie ust. 1b </w:t>
      </w:r>
      <w:r w:rsidRPr="005A3064">
        <w:t>do art. 35 ustawy o refundacji wynika z konieczności dostosowania ustawy o refundacji do art. 13 ust. 1 lit. b rozporządzenia o wspólnym HTA, zgodnie z którym przy przeprowadzaniu krajowej HTA dotyczącej technologii medycznej, na temat której opublikowano raporty ze wspólnych ocen klinicznych lub w odniesieniu do której rozpoczęto wspólną ocenę kliniczną, państwa członkowskie</w:t>
      </w:r>
      <w:r>
        <w:t xml:space="preserve"> Unii Europejskiej</w:t>
      </w:r>
      <w:r w:rsidRPr="005A3064">
        <w:t xml:space="preserve"> dołączają dokumentację przedłożoną przez podmiot opracowujący technologię medyczną zgodnie z art. 10 ust. 2 do dokumentacji HTA na szczeblu państwa członkowskiego.</w:t>
      </w:r>
    </w:p>
    <w:p w14:paraId="281068B0" w14:textId="1C544384" w:rsidR="00AF797D" w:rsidRDefault="00AF797D" w:rsidP="009147AE">
      <w:pPr>
        <w:pStyle w:val="NIEARTTEKSTtekstnieartykuowanynppodstprawnarozplubpreambua"/>
        <w:ind w:firstLine="0"/>
      </w:pPr>
      <w:r w:rsidRPr="005A3064">
        <w:t>Zmiana art. 35 ust. 5 pkt 1 ustawy o refundacji wynika z konieczności uwzględnienia faktu, że w przypadku, gdy dane, analizy i informacje oraz inne dowody przedłożone przez podmiot opracowujący technologię medyczną na szczeblu Unii Europejskiej, zgodnie z art. 10 ust. 1 lub 5 rozporządzenia o wspólnym HTA</w:t>
      </w:r>
      <w:r w:rsidR="00401194">
        <w:t>,</w:t>
      </w:r>
      <w:r w:rsidRPr="005A3064">
        <w:t xml:space="preserve"> </w:t>
      </w:r>
      <w:r w:rsidR="00E23C6C" w:rsidRPr="005A3064">
        <w:t xml:space="preserve">będą </w:t>
      </w:r>
      <w:r w:rsidRPr="005A3064">
        <w:t>dotyczyć technologii medycznej w tym samym wskazaniu i w tej samej populacji docelowej, jak określone we wniosku, o którym mowa w art.</w:t>
      </w:r>
      <w:r w:rsidR="008561C7">
        <w:t> </w:t>
      </w:r>
      <w:r w:rsidRPr="005A3064">
        <w:t xml:space="preserve">24 ust. 1 pkt 1 albo 2 ustawy o refundacji, oraz </w:t>
      </w:r>
      <w:r w:rsidR="00E23C6C" w:rsidRPr="005A3064">
        <w:t xml:space="preserve">będą </w:t>
      </w:r>
      <w:r w:rsidRPr="005A3064">
        <w:t>spełniać one wymagania dla</w:t>
      </w:r>
      <w:r>
        <w:t> </w:t>
      </w:r>
      <w:r w:rsidRPr="005A3064">
        <w:t>analiz klinicznych określone w przepisach wydanych na podstawie art. 24 ust. 7 pkt 2 ustawy o refundacji</w:t>
      </w:r>
      <w:r w:rsidRPr="005A3064">
        <w:rPr>
          <w:rStyle w:val="Ppogrubienie"/>
        </w:rPr>
        <w:t xml:space="preserve"> </w:t>
      </w:r>
      <w:r w:rsidRPr="00EC5424">
        <w:rPr>
          <w:rStyle w:val="Ppogrubienie"/>
          <w:b w:val="0"/>
          <w:bCs w:val="0"/>
        </w:rPr>
        <w:t>w zakresie technologii opcjonalnych w rozumieniu tych przepisów, to </w:t>
      </w:r>
      <w:r w:rsidRPr="005A3064">
        <w:t>wnioskodawca nie będzie musiał przekazywać analizy klinicznej. Tym samym w przypadku gdy analiza kliniczna nie będzie przekazana przez wnioskodawcę, nie będzie możliwa ocena tej analizy klinicznej przez Agencję w ramach przygotowania analizy weryfikacyjnej Agencji.</w:t>
      </w:r>
    </w:p>
    <w:p w14:paraId="188CEFDF" w14:textId="6B8C4ECC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Zatem </w:t>
      </w:r>
      <w:r w:rsidR="00E23C6C" w:rsidRPr="005A3064">
        <w:t xml:space="preserve">jest </w:t>
      </w:r>
      <w:r w:rsidRPr="005A3064">
        <w:t xml:space="preserve">zasadne dopisanie do dotychczasowego przepisu sformułowania „jeżeli dotyczy”. </w:t>
      </w:r>
    </w:p>
    <w:p w14:paraId="71DAFFDF" w14:textId="77777777" w:rsidR="00AF797D" w:rsidRDefault="00AF797D" w:rsidP="009147AE">
      <w:pPr>
        <w:pStyle w:val="NIEARTTEKSTtekstnieartykuowanynppodstprawnarozplubpreambua"/>
        <w:ind w:firstLine="0"/>
      </w:pPr>
      <w:r w:rsidRPr="005A3064">
        <w:lastRenderedPageBreak/>
        <w:t>W zmienianym art. 35 ust. 5 ustawy o refundacji został dodany pkt 1a. Dodanie tego punktu wynika z konieczności dostosowania ustawy o refundacji do art. 13 ust. 1 lit. c</w:t>
      </w:r>
      <w:r>
        <w:t xml:space="preserve"> </w:t>
      </w:r>
      <w:r w:rsidRPr="005A3064">
        <w:t>rozporządzenia o wspólnym HTA, zgodnie z którym przy przeprowadzaniu krajowej HTA dotyczącej technologii medycznej, na temat której opublikowano raporty ze wspólnych ocen klinicznych, lub w odniesieniu do której rozpoczęto wspólną ocenę kliniczną, państwa członkowskie Unii Europejskiej dołączają raporty ze wspólnej oceny klinicznej do raportu z</w:t>
      </w:r>
      <w:r>
        <w:t> </w:t>
      </w:r>
      <w:r w:rsidRPr="005A3064">
        <w:t>HTA prowadzonej na szczeblu danego państwa członkowskiego.</w:t>
      </w:r>
    </w:p>
    <w:p w14:paraId="79970140" w14:textId="4E90B9D9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Biorąc pod uwagę powyższe przepisy rozporządzenia o wspólnym HTA, jest konieczne dołączanie ww. dokumentu do analizy weryfikacyjnej Agencji, a tym samym jego wymienienie w art. 35 ust. 4 ustawy o refundacji określającym elementy analizy weryfikacyjnej Agencji. </w:t>
      </w:r>
    </w:p>
    <w:p w14:paraId="3117DC2D" w14:textId="27447A3F" w:rsidR="00AF797D" w:rsidRDefault="00AF797D" w:rsidP="009147AE">
      <w:pPr>
        <w:pStyle w:val="NIEARTTEKSTtekstnieartykuowanynppodstprawnarozplubpreambua"/>
        <w:ind w:firstLine="0"/>
      </w:pPr>
      <w:r w:rsidRPr="005A3064">
        <w:t>Z kolei dodanie w art. 35 ust. 5 ustawy o refundacji pkt 1b wynika z konieczności podsumowania w analizie weryfikacyjnej Agencji najważniejszych informacji zawartych w</w:t>
      </w:r>
      <w:r>
        <w:t> </w:t>
      </w:r>
      <w:r w:rsidRPr="005A3064">
        <w:t>raporcie ze wspólnej oceny klinicznej, o którym mowa w art. 13 ust. 1 lit. a oraz c rozporządzenia o wspólnym HTA, dotyczącym ocenianej technologii medycznej. Ponadto w</w:t>
      </w:r>
      <w:r>
        <w:t> </w:t>
      </w:r>
      <w:r w:rsidRPr="005A3064">
        <w:t>przypadku gdy w przekazanych danych, analizach, informacjach oraz innych dowodach dotyczących ocenianej technologii medycznej, przedłożonych przez podmiot opracowujący tę</w:t>
      </w:r>
      <w:r>
        <w:t> </w:t>
      </w:r>
      <w:r w:rsidRPr="005A3064">
        <w:t xml:space="preserve">technologię medyczną na szczeblu Unii Europejskiej oraz w raporcie ze wspólnej oceny klinicznej nie zostaną zawarte istotne informacje niezbędne do rozpatrzenia wniosku, Agencja uzupełni te dane w analizie zawierającej podsumowanie raportu ze wspólnej oceny klinicznej stanowiącej część analizy weryfikacyjnej Agencji, </w:t>
      </w:r>
      <w:r w:rsidR="00E23C6C">
        <w:t>jeżeli</w:t>
      </w:r>
      <w:r w:rsidR="00E23C6C" w:rsidRPr="005A3064">
        <w:t xml:space="preserve"> </w:t>
      </w:r>
      <w:r w:rsidRPr="005A3064">
        <w:t>będzie je posiadała.</w:t>
      </w:r>
    </w:p>
    <w:p w14:paraId="7B6681C9" w14:textId="09128D85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Zmiana art. 40a ust. 2 ustawy o refundacji ma na celu pogłębienie źródeł wiedzy, z jakich korzysta Agencja przy przygotowywaniu wykazu technologii lekowych o wysokim poziomie innowacyjności. Wyniki raportu ze wspólnej oceny klinicznej, o którym mowa w art. 13 ust. 1 lit. a oraz c rozporządzenia o wspólnym HTA, dotyczącego ocenianej technologii medycznej, </w:t>
      </w:r>
      <w:r w:rsidR="00E23C6C" w:rsidRPr="005A3064">
        <w:t xml:space="preserve">będą </w:t>
      </w:r>
      <w:r w:rsidRPr="005A3064">
        <w:t>stanowić uzupełnienie i ułatwienie dla procedury tworzenia wykazu technologii lekowych o wysokim poziomie innowacyjności.</w:t>
      </w:r>
    </w:p>
    <w:p w14:paraId="268DFB40" w14:textId="4E1014D3" w:rsidR="00AF797D" w:rsidRDefault="00AF797D" w:rsidP="009147AE">
      <w:pPr>
        <w:pStyle w:val="NIEARTTEKSTtekstnieartykuowanynppodstprawnarozplubpreambua"/>
        <w:ind w:firstLine="0"/>
      </w:pPr>
      <w:r w:rsidRPr="005A3064">
        <w:t xml:space="preserve">W zmienianym art. 31n ustawy o świadczeniach opieki zdrowotnej </w:t>
      </w:r>
      <w:r w:rsidR="00E23C6C" w:rsidRPr="005A3064">
        <w:t xml:space="preserve">zostaje </w:t>
      </w:r>
      <w:r w:rsidRPr="005A3064">
        <w:t>dodany pkt 2j, a</w:t>
      </w:r>
      <w:r>
        <w:t> </w:t>
      </w:r>
      <w:r w:rsidRPr="005A3064">
        <w:t>w</w:t>
      </w:r>
      <w:r>
        <w:t> </w:t>
      </w:r>
      <w:r w:rsidRPr="005A3064">
        <w:t xml:space="preserve">art. 31o ust. 2 pkt 1k. Zmiana ta </w:t>
      </w:r>
      <w:r>
        <w:t>sprowadza się</w:t>
      </w:r>
      <w:r w:rsidRPr="005A3064">
        <w:t xml:space="preserve"> </w:t>
      </w:r>
      <w:r w:rsidR="00401194">
        <w:t xml:space="preserve">do </w:t>
      </w:r>
      <w:r w:rsidRPr="005A3064">
        <w:t>dodania nowych zadań ustawowych Agencji w</w:t>
      </w:r>
      <w:r>
        <w:t> </w:t>
      </w:r>
      <w:r w:rsidRPr="005A3064">
        <w:t>art. 31n ustawy o świadczeniach opieki zdrowotnej oraz nowych zadań ustawowych Prezesa Agencji w art. 31o ust. 2 ustawy o świadczeniach opieki zdrowotnej. Zadania te dotyczą</w:t>
      </w:r>
      <w:r>
        <w:t xml:space="preserve"> </w:t>
      </w:r>
      <w:r w:rsidRPr="005A3064">
        <w:t>wykonywania obowiązków wynikających z art. 13 ust. 1 lit. e oraz ust. 2 rozporządzenia o</w:t>
      </w:r>
      <w:r>
        <w:t> </w:t>
      </w:r>
      <w:r w:rsidRPr="005A3064">
        <w:t xml:space="preserve">wspólnym HTA. </w:t>
      </w:r>
    </w:p>
    <w:p w14:paraId="2FEC8A36" w14:textId="77777777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lastRenderedPageBreak/>
        <w:t>Przedmiotowe obowiązki dotyczą:</w:t>
      </w:r>
    </w:p>
    <w:p w14:paraId="207F09CB" w14:textId="67AEE622" w:rsidR="00AF797D" w:rsidRPr="005A3064" w:rsidRDefault="00AF797D" w:rsidP="00AF797D">
      <w:pPr>
        <w:pStyle w:val="PKTpunkt"/>
      </w:pPr>
      <w:r w:rsidRPr="005A3064">
        <w:t>1)</w:t>
      </w:r>
      <w:r w:rsidRPr="005A3064">
        <w:tab/>
        <w:t>niezwłocznego udostępniania grupie koordynacyjnej</w:t>
      </w:r>
      <w:r>
        <w:t>,</w:t>
      </w:r>
      <w:r w:rsidRPr="005A3064">
        <w:t xml:space="preserve"> za pośrednictwem platformy informatycznej, wszelkich informacji, danych, analiz i innych dowodów, które państwa członkowskie</w:t>
      </w:r>
      <w:r>
        <w:t xml:space="preserve"> Unii Europejskiej</w:t>
      </w:r>
      <w:r w:rsidRPr="005A3064">
        <w:t xml:space="preserve"> otrzymują od podmiotu opracowującego technologię medyczną na szczeblu państwa członkowskiego i które </w:t>
      </w:r>
      <w:r w:rsidR="00E23C6C" w:rsidRPr="005A3064">
        <w:t xml:space="preserve">były </w:t>
      </w:r>
      <w:r w:rsidRPr="005A3064">
        <w:t>objęte wezwaniem na podstawie art. 10 ust. 1 rozporządzenia o wspólnym HTA;</w:t>
      </w:r>
    </w:p>
    <w:p w14:paraId="44A771DC" w14:textId="77777777" w:rsidR="00AF797D" w:rsidRPr="005A3064" w:rsidRDefault="00AF797D" w:rsidP="00AF797D">
      <w:pPr>
        <w:pStyle w:val="PKTpunkt"/>
      </w:pPr>
      <w:r w:rsidRPr="005A3064">
        <w:t>2)</w:t>
      </w:r>
      <w:r w:rsidRPr="005A3064">
        <w:tab/>
        <w:t>przekazywania grupie koordynacyjnej</w:t>
      </w:r>
      <w:r>
        <w:t>,</w:t>
      </w:r>
      <w:r w:rsidRPr="005A3064">
        <w:t xml:space="preserve"> za pośrednictwem platformy informatycznej</w:t>
      </w:r>
      <w:r>
        <w:t>,</w:t>
      </w:r>
      <w:r w:rsidRPr="005A3064">
        <w:t xml:space="preserve"> informacji na temat krajowej HTA dotyczącej technologii medycznej, która została poddana wspólnej ocenie klinicznej, w terminie 30 dni od daty jej ukończenia, w</w:t>
      </w:r>
      <w:r>
        <w:t> </w:t>
      </w:r>
      <w:r w:rsidRPr="005A3064">
        <w:t>szczególności podawanie informacji na temat sposobu, w jaki raporty ze wspólnej oceny klinicznej zostały uwzględnione przy przeprowadzaniu krajowej HTA.</w:t>
      </w:r>
    </w:p>
    <w:p w14:paraId="66C7D8D7" w14:textId="74FE8049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t>W art. 3 projektu ustawy przewidziano, że postępowania w sprawie rozpatrzenia wniosku, o którym mowa w art. 24 ust. 1 pkt 1 albo 2 ustawy o refundacji, wszczęte i niezakończone przed dniem wejścia w życie projektowanej ustawy będą rozpatrywane na podstawie przepisów dotychczasowych.</w:t>
      </w:r>
    </w:p>
    <w:p w14:paraId="1BD69ABB" w14:textId="77777777" w:rsidR="00AF797D" w:rsidRPr="005A3064" w:rsidRDefault="00AF797D" w:rsidP="009147AE">
      <w:pPr>
        <w:pStyle w:val="NIEARTTEKSTtekstnieartykuowanynppodstprawnarozplubpreambua"/>
        <w:ind w:firstLine="0"/>
      </w:pPr>
      <w:r>
        <w:t>Termin wejścia w życie przepisów projektowanej ustawy został ustalony na 14 dni od dnia ogłoszenia</w:t>
      </w:r>
      <w:r w:rsidRPr="005A3064">
        <w:t>.</w:t>
      </w:r>
      <w:r>
        <w:t xml:space="preserve"> </w:t>
      </w:r>
    </w:p>
    <w:p w14:paraId="12FABD9F" w14:textId="3BBF959F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t xml:space="preserve">Projektowane regulacje będą miały wpływ na sektor przedsiębiorstw </w:t>
      </w:r>
      <w:r w:rsidR="00511A51">
        <w:t>z branży farmaceutycznej będących wnioskodawcami w postępowaniach refundacyjnych</w:t>
      </w:r>
      <w:r w:rsidRPr="005A3064">
        <w:t xml:space="preserve">, </w:t>
      </w:r>
      <w:r w:rsidR="00511A51">
        <w:t>po</w:t>
      </w:r>
      <w:r w:rsidRPr="005A3064">
        <w:t>przez ograniczenia obowiązków w zakresie przedkładania analiz klinicznych do wniosków o objęcie refundacją i ustalenie ceny zbytu netto oraz wniosków o podwyższenie ceny zbytu netto.</w:t>
      </w:r>
    </w:p>
    <w:p w14:paraId="38492D64" w14:textId="77777777" w:rsidR="00AF797D" w:rsidRPr="005A3064" w:rsidRDefault="00AF797D" w:rsidP="009147AE">
      <w:pPr>
        <w:pStyle w:val="ARTartustawynprozporzdzenia"/>
        <w:ind w:firstLine="0"/>
      </w:pPr>
      <w:r w:rsidRPr="005A3064">
        <w:t xml:space="preserve">W ocenie projektodawcy projekt ustawy jest zgodny z prawem Unii Europejskiej. </w:t>
      </w:r>
    </w:p>
    <w:p w14:paraId="6A5F2ABE" w14:textId="06FDAF17" w:rsidR="00AF797D" w:rsidRPr="005A3064" w:rsidRDefault="00AF797D" w:rsidP="009147AE">
      <w:pPr>
        <w:pStyle w:val="ARTartustawynprozporzdzenia"/>
        <w:ind w:firstLine="0"/>
      </w:pPr>
      <w:r w:rsidRPr="005A3064">
        <w:t>Projekt ustawy nie zawiera przepisów technicznych, a zatem nie podlega notyfikacji, zgodnie z trybem przewidzianym w przepisach rozporządzenia Rady Ministrów z dnia 23 grudnia 2002 r. w sprawie sposobu funkcjonowania krajowego systemu notyfikacji norm i aktów prawnych (Dz. U. poz. 2039</w:t>
      </w:r>
      <w:r w:rsidR="00E23C6C">
        <w:t xml:space="preserve"> oraz z 2004 r. poz. 597</w:t>
      </w:r>
      <w:r w:rsidRPr="005A3064">
        <w:t>).</w:t>
      </w:r>
    </w:p>
    <w:p w14:paraId="5FF7BDEC" w14:textId="77777777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t>Projekt ustawy nie wymaga przedłożenia właściwym instytucjom i organom Unii Europejskiej, w tym Europejskiemu Bankowi Centralnemu, w celu uzyskania opinii, dokonania powiadomienia, konsultacji albo uzgodnienia.</w:t>
      </w:r>
    </w:p>
    <w:p w14:paraId="3E3DED16" w14:textId="3FDBC47C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t xml:space="preserve">Projekt ustawy nie zawiera wymogów nakładanych na usługodawców podlegających notyfikacji, o której mowa w art. 15 ust. 7 lub art. 39 ust. 4 dyrektywy 2006/123/WE Parlamentu </w:t>
      </w:r>
      <w:r w:rsidRPr="005A3064">
        <w:lastRenderedPageBreak/>
        <w:t>Europejskiego i Rady z dnia 12 grudnia 2006 r. dotyczącej usług na rynku wewnętrznym (Dz.</w:t>
      </w:r>
      <w:r w:rsidR="008561C7">
        <w:t> </w:t>
      </w:r>
      <w:r w:rsidRPr="005A3064">
        <w:t>Urz. UE L 376 z 27.12.2006, str. 36).</w:t>
      </w:r>
    </w:p>
    <w:p w14:paraId="68BD4379" w14:textId="77777777" w:rsidR="00AF797D" w:rsidRPr="005A3064" w:rsidRDefault="00AF797D" w:rsidP="009147AE">
      <w:pPr>
        <w:pStyle w:val="NIEARTTEKSTtekstnieartykuowanynppodstprawnarozplubpreambua"/>
        <w:ind w:firstLine="0"/>
      </w:pPr>
      <w:r w:rsidRPr="005A3064">
        <w:t>Projekt ustawy nie wywiera wpływu na obszar danych osobowych. W związku z tym nie przeprowadzono oceny skutków ochrony danych osobowych, o której mowa w art. 35 ust. 1 rozporządzenia Parlamentu Europejskiego i Rady (UE) 2016/679 z dnia 27 kwietnia 2016 r. w</w:t>
      </w:r>
      <w:r>
        <w:t> </w:t>
      </w:r>
      <w:r w:rsidRPr="005A3064">
        <w:t>sprawie ochrony osób fizycznych w związku z przetwarzaniem danych osobowych i</w:t>
      </w:r>
      <w:r>
        <w:t> </w:t>
      </w:r>
      <w:r w:rsidRPr="005A3064">
        <w:t>w</w:t>
      </w:r>
      <w:r>
        <w:t> </w:t>
      </w:r>
      <w:r w:rsidRPr="005A3064">
        <w:t>sprawie swobodnego przepływu takich danych oraz uchylenia dyrektywy 95/46/WE (ogólne rozporządzenie o ochronie danych) (Dz. Urz. UE L 119 z 04.05.2016, str. 1, z</w:t>
      </w:r>
      <w:r>
        <w:t> </w:t>
      </w:r>
      <w:r w:rsidRPr="005A3064">
        <w:t>późn.</w:t>
      </w:r>
      <w:r>
        <w:t> </w:t>
      </w:r>
      <w:r w:rsidRPr="005A3064">
        <w:t>zm.).</w:t>
      </w:r>
    </w:p>
    <w:p w14:paraId="7D35F1F0" w14:textId="6D0DAD13" w:rsidR="005D3148" w:rsidRDefault="00AF797D" w:rsidP="009147AE">
      <w:pPr>
        <w:pStyle w:val="NIEARTTEKSTtekstnieartykuowanynppodstprawnarozplubpreambua"/>
        <w:ind w:firstLine="0"/>
      </w:pPr>
      <w:r w:rsidRPr="005A3064">
        <w:t>Jednocześnie należy wskazać, że nie ma możliwości podjęcia alternatywnych w stosunku do projektowanej ustawy środków umożliwiających osiągnięcie zamierzonego celu.</w:t>
      </w:r>
    </w:p>
    <w:sectPr w:rsidR="005D3148" w:rsidSect="009147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13EE" w14:textId="77777777" w:rsidR="00C4738F" w:rsidRDefault="00C4738F" w:rsidP="009C61ED">
      <w:pPr>
        <w:spacing w:line="240" w:lineRule="auto"/>
      </w:pPr>
      <w:r>
        <w:separator/>
      </w:r>
    </w:p>
  </w:endnote>
  <w:endnote w:type="continuationSeparator" w:id="0">
    <w:p w14:paraId="20F505B6" w14:textId="77777777" w:rsidR="00C4738F" w:rsidRDefault="00C4738F" w:rsidP="009C61ED">
      <w:pPr>
        <w:spacing w:line="240" w:lineRule="auto"/>
      </w:pPr>
      <w:r>
        <w:continuationSeparator/>
      </w:r>
    </w:p>
  </w:endnote>
  <w:endnote w:type="continuationNotice" w:id="1">
    <w:p w14:paraId="6C0F2895" w14:textId="77777777" w:rsidR="00C4738F" w:rsidRDefault="00C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5139043"/>
      <w:docPartObj>
        <w:docPartGallery w:val="Page Numbers (Bottom of Page)"/>
        <w:docPartUnique/>
      </w:docPartObj>
    </w:sdtPr>
    <w:sdtEndPr/>
    <w:sdtContent>
      <w:p w14:paraId="37643174" w14:textId="2F18DB46" w:rsidR="009C61ED" w:rsidRDefault="009C61ED" w:rsidP="009147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82E5E" w14:textId="77777777" w:rsidR="00C4738F" w:rsidRDefault="00C4738F" w:rsidP="009C61ED">
      <w:pPr>
        <w:spacing w:line="240" w:lineRule="auto"/>
      </w:pPr>
      <w:r>
        <w:separator/>
      </w:r>
    </w:p>
  </w:footnote>
  <w:footnote w:type="continuationSeparator" w:id="0">
    <w:p w14:paraId="5FDA75D2" w14:textId="77777777" w:rsidR="00C4738F" w:rsidRDefault="00C4738F" w:rsidP="009C61ED">
      <w:pPr>
        <w:spacing w:line="240" w:lineRule="auto"/>
      </w:pPr>
      <w:r>
        <w:continuationSeparator/>
      </w:r>
    </w:p>
  </w:footnote>
  <w:footnote w:type="continuationNotice" w:id="1">
    <w:p w14:paraId="67D36167" w14:textId="77777777" w:rsidR="00C4738F" w:rsidRDefault="00C473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F5AE" w14:textId="77777777" w:rsidR="00326CF5" w:rsidRDefault="00326C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7D"/>
    <w:rsid w:val="00054A12"/>
    <w:rsid w:val="00063A29"/>
    <w:rsid w:val="00092DA4"/>
    <w:rsid w:val="000C7A96"/>
    <w:rsid w:val="001140D1"/>
    <w:rsid w:val="00174FA8"/>
    <w:rsid w:val="001C058B"/>
    <w:rsid w:val="001C33B2"/>
    <w:rsid w:val="001E3E81"/>
    <w:rsid w:val="00322680"/>
    <w:rsid w:val="00326CF5"/>
    <w:rsid w:val="003B125D"/>
    <w:rsid w:val="00401194"/>
    <w:rsid w:val="00470074"/>
    <w:rsid w:val="004C71EC"/>
    <w:rsid w:val="004D1E4F"/>
    <w:rsid w:val="004F5DED"/>
    <w:rsid w:val="00511A51"/>
    <w:rsid w:val="00580156"/>
    <w:rsid w:val="005D3148"/>
    <w:rsid w:val="00672EF5"/>
    <w:rsid w:val="00825F1E"/>
    <w:rsid w:val="008561C7"/>
    <w:rsid w:val="008D32E9"/>
    <w:rsid w:val="008D4574"/>
    <w:rsid w:val="008D7C49"/>
    <w:rsid w:val="009147AE"/>
    <w:rsid w:val="009355D4"/>
    <w:rsid w:val="009C61ED"/>
    <w:rsid w:val="00A01C01"/>
    <w:rsid w:val="00A12B7D"/>
    <w:rsid w:val="00AB1BB6"/>
    <w:rsid w:val="00AF797D"/>
    <w:rsid w:val="00AF7B35"/>
    <w:rsid w:val="00B604EC"/>
    <w:rsid w:val="00B924F9"/>
    <w:rsid w:val="00C4738F"/>
    <w:rsid w:val="00C63D7C"/>
    <w:rsid w:val="00D15CEA"/>
    <w:rsid w:val="00DB78C4"/>
    <w:rsid w:val="00DF028C"/>
    <w:rsid w:val="00E23C6C"/>
    <w:rsid w:val="00E349AE"/>
    <w:rsid w:val="00E77C80"/>
    <w:rsid w:val="00EC5424"/>
    <w:rsid w:val="00EC570F"/>
    <w:rsid w:val="00EE607A"/>
    <w:rsid w:val="00F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1352"/>
  <w15:chartTrackingRefBased/>
  <w15:docId w15:val="{C9FCB7C7-66E1-40D3-A35C-3037DD0F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7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97D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97D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9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9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9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9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9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9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97D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97D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7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97D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79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97D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79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97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9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97D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AF797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F797D"/>
    <w:rPr>
      <w:bCs/>
    </w:rPr>
  </w:style>
  <w:style w:type="paragraph" w:customStyle="1" w:styleId="PKTpunkt">
    <w:name w:val="PKT – punkt"/>
    <w:uiPriority w:val="13"/>
    <w:qFormat/>
    <w:rsid w:val="00AF797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AF797D"/>
    <w:pPr>
      <w:ind w:left="0" w:firstLine="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AF797D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lang w:eastAsia="pl-PL"/>
      <w14:ligatures w14:val="none"/>
    </w:rPr>
  </w:style>
  <w:style w:type="character" w:customStyle="1" w:styleId="Ppogrubienie">
    <w:name w:val="_P_ – pogrubienie"/>
    <w:basedOn w:val="Domylnaczcionkaakapitu"/>
    <w:qFormat/>
    <w:rsid w:val="00AF797D"/>
    <w:rPr>
      <w:b/>
    </w:rPr>
  </w:style>
  <w:style w:type="paragraph" w:styleId="Poprawka">
    <w:name w:val="Revision"/>
    <w:hidden/>
    <w:uiPriority w:val="99"/>
    <w:semiHidden/>
    <w:rsid w:val="00AB1BB6"/>
    <w:pPr>
      <w:spacing w:after="0" w:line="24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4F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4FA8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FA8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C61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1ED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61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1ED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Borowicz Konrad</dc:creator>
  <cp:keywords/>
  <dc:description/>
  <cp:lastModifiedBy>Pietrzak Ewa</cp:lastModifiedBy>
  <cp:revision>2</cp:revision>
  <cp:lastPrinted>2025-05-19T08:11:00Z</cp:lastPrinted>
  <dcterms:created xsi:type="dcterms:W3CDTF">2025-06-24T13:55:00Z</dcterms:created>
  <dcterms:modified xsi:type="dcterms:W3CDTF">2025-06-24T13:55:00Z</dcterms:modified>
</cp:coreProperties>
</file>