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B858" w14:textId="77777777" w:rsidR="00726DB6" w:rsidRPr="00FC6E1A" w:rsidRDefault="00726DB6" w:rsidP="00726DB6">
      <w:pPr>
        <w:tabs>
          <w:tab w:val="left" w:pos="13467"/>
        </w:tabs>
        <w:spacing w:after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E1A">
        <w:rPr>
          <w:rFonts w:ascii="Times New Roman" w:eastAsia="Calibri" w:hAnsi="Times New Roman" w:cs="Times New Roman"/>
          <w:sz w:val="24"/>
          <w:szCs w:val="24"/>
        </w:rPr>
        <w:t>UZASADNIENIE</w:t>
      </w:r>
    </w:p>
    <w:p w14:paraId="4E6021D8" w14:textId="645B22DA" w:rsidR="00FA0F48" w:rsidRPr="00FA0F48" w:rsidRDefault="00060272" w:rsidP="00D83EDE">
      <w:pPr>
        <w:pStyle w:val="ARTartustawynprozporzdzenia"/>
      </w:pPr>
      <w:r>
        <w:t xml:space="preserve">Celem projektu ustawy jest </w:t>
      </w:r>
      <w:r w:rsidR="00FA0F48">
        <w:t>wprowadzeni</w:t>
      </w:r>
      <w:r w:rsidR="00FD5A7C">
        <w:t>e</w:t>
      </w:r>
      <w:r w:rsidR="00FA0F48">
        <w:t xml:space="preserve"> zmian w ustawie z</w:t>
      </w:r>
      <w:r w:rsidR="00FD5A7C">
        <w:t xml:space="preserve"> </w:t>
      </w:r>
      <w:r w:rsidR="00FA0F48">
        <w:t xml:space="preserve">dnia </w:t>
      </w:r>
      <w:r w:rsidR="00FA0F48" w:rsidRPr="00FA0F48">
        <w:t>3</w:t>
      </w:r>
      <w:r w:rsidR="00FA0F48">
        <w:t xml:space="preserve">0 </w:t>
      </w:r>
      <w:r w:rsidR="00FA0F48" w:rsidRPr="00FA0F48">
        <w:t>sierpnia 2002</w:t>
      </w:r>
      <w:r w:rsidR="00FA0F48">
        <w:t xml:space="preserve"> </w:t>
      </w:r>
      <w:r w:rsidR="00FA0F48" w:rsidRPr="00FA0F48">
        <w:t>r. – Prawo o</w:t>
      </w:r>
      <w:r w:rsidR="00FA0F48">
        <w:t xml:space="preserve"> </w:t>
      </w:r>
      <w:r w:rsidR="00FA0F48" w:rsidRPr="00FA0F48">
        <w:t>postępowaniu przed sądami administracyjnymi (Dz.</w:t>
      </w:r>
      <w:r w:rsidR="00FA0F48">
        <w:t xml:space="preserve"> </w:t>
      </w:r>
      <w:r w:rsidR="00FA0F48" w:rsidRPr="00FA0F48">
        <w:t>U. z</w:t>
      </w:r>
      <w:r w:rsidR="00351CA8">
        <w:t xml:space="preserve"> </w:t>
      </w:r>
      <w:r w:rsidR="00FA0F48" w:rsidRPr="00FA0F48">
        <w:t>2024</w:t>
      </w:r>
      <w:r w:rsidR="00FA0F48">
        <w:t xml:space="preserve"> </w:t>
      </w:r>
      <w:r w:rsidR="00FA0F48" w:rsidRPr="00FA0F48">
        <w:t>r. poz.</w:t>
      </w:r>
      <w:r w:rsidR="00FA0F48">
        <w:t xml:space="preserve"> </w:t>
      </w:r>
      <w:r w:rsidR="00FA0F48" w:rsidRPr="00FA0F48">
        <w:t>935 i</w:t>
      </w:r>
      <w:r w:rsidR="00FA0F48">
        <w:t xml:space="preserve"> </w:t>
      </w:r>
      <w:r w:rsidR="00FA0F48" w:rsidRPr="00FA0F48">
        <w:t>1685</w:t>
      </w:r>
      <w:r w:rsidR="0052400B">
        <w:t xml:space="preserve"> oraz z 2025 r. poz. 769</w:t>
      </w:r>
      <w:r w:rsidR="00FA0F48" w:rsidRPr="00FA0F48">
        <w:t>)</w:t>
      </w:r>
      <w:r w:rsidR="00FA0F48">
        <w:t xml:space="preserve">, zwanej dalej </w:t>
      </w:r>
      <w:r w:rsidR="00FA0F48">
        <w:rPr>
          <w:rFonts w:cs="Times"/>
        </w:rPr>
        <w:t>„</w:t>
      </w:r>
      <w:r w:rsidR="00FA0F48">
        <w:t>ustawą</w:t>
      </w:r>
      <w:r w:rsidR="00FA0F48">
        <w:rPr>
          <w:rFonts w:cs="Times"/>
        </w:rPr>
        <w:t>”</w:t>
      </w:r>
      <w:r w:rsidR="00FA0F48">
        <w:t>.</w:t>
      </w:r>
      <w:r w:rsidR="00D83EDE">
        <w:t xml:space="preserve"> </w:t>
      </w:r>
      <w:r>
        <w:t>Projektowana n</w:t>
      </w:r>
      <w:r w:rsidR="00882E2C">
        <w:t>owelizacja ustawy przewiduje rozwiązania, które w</w:t>
      </w:r>
      <w:r>
        <w:t> </w:t>
      </w:r>
      <w:r w:rsidR="00882E2C">
        <w:t xml:space="preserve">ocenie projektodawcy umożliwią przyspieszenie i zwiększenie efektywności </w:t>
      </w:r>
      <w:r w:rsidR="00351CA8">
        <w:t>postępowań prowadzonych przed sądami administracyjnymi.</w:t>
      </w:r>
      <w:r w:rsidR="00D83EDE">
        <w:t xml:space="preserve"> </w:t>
      </w:r>
      <w:r w:rsidR="00882E2C">
        <w:t xml:space="preserve">W </w:t>
      </w:r>
      <w:r w:rsidR="00351CA8">
        <w:t>tym celu</w:t>
      </w:r>
      <w:r w:rsidR="00882E2C">
        <w:t xml:space="preserve"> w </w:t>
      </w:r>
      <w:r w:rsidR="00351CA8">
        <w:t>art.</w:t>
      </w:r>
      <w:r w:rsidR="0052400B">
        <w:t> </w:t>
      </w:r>
      <w:r w:rsidR="00351CA8">
        <w:t xml:space="preserve">1 </w:t>
      </w:r>
      <w:r w:rsidR="00882E2C">
        <w:t>projek</w:t>
      </w:r>
      <w:r w:rsidR="00351CA8">
        <w:t>tu</w:t>
      </w:r>
      <w:r w:rsidR="00882E2C">
        <w:t xml:space="preserve"> </w:t>
      </w:r>
      <w:r w:rsidR="00351CA8">
        <w:t xml:space="preserve">proponuje się </w:t>
      </w:r>
      <w:r w:rsidR="00882E2C">
        <w:t>wprowadzenie w</w:t>
      </w:r>
      <w:r w:rsidR="00C907BA">
        <w:t xml:space="preserve"> </w:t>
      </w:r>
      <w:r w:rsidR="00882E2C">
        <w:t>ustawie następujących zmian:</w:t>
      </w:r>
    </w:p>
    <w:p w14:paraId="013F482F" w14:textId="0398C569" w:rsidR="0081438F" w:rsidRDefault="00060272" w:rsidP="00D83EDE">
      <w:pPr>
        <w:pStyle w:val="PKTpunkt"/>
      </w:pPr>
      <w:r>
        <w:t>1.</w:t>
      </w:r>
      <w:r>
        <w:tab/>
      </w:r>
      <w:r w:rsidR="0081438F">
        <w:t>Zmian</w:t>
      </w:r>
      <w:r w:rsidR="00B51D46">
        <w:t>y</w:t>
      </w:r>
      <w:r w:rsidR="0081438F">
        <w:t xml:space="preserve"> </w:t>
      </w:r>
      <w:r w:rsidR="00D83EDE">
        <w:t xml:space="preserve">w </w:t>
      </w:r>
      <w:r w:rsidR="0081438F" w:rsidRPr="0081438F">
        <w:t xml:space="preserve">art. </w:t>
      </w:r>
      <w:r w:rsidR="00D369B1">
        <w:t xml:space="preserve">29, art. </w:t>
      </w:r>
      <w:r w:rsidR="0081438F" w:rsidRPr="0081438F">
        <w:t>37 § 1</w:t>
      </w:r>
      <w:r w:rsidR="009022D8">
        <w:t xml:space="preserve"> oraz </w:t>
      </w:r>
      <w:r w:rsidR="00D83EDE">
        <w:t xml:space="preserve">art. </w:t>
      </w:r>
      <w:r w:rsidR="009022D8">
        <w:t xml:space="preserve">46 </w:t>
      </w:r>
      <w:r w:rsidR="009022D8" w:rsidRPr="009022D8">
        <w:t>§</w:t>
      </w:r>
      <w:r w:rsidR="009022D8">
        <w:t xml:space="preserve"> 3</w:t>
      </w:r>
      <w:r w:rsidR="00B51D46">
        <w:t xml:space="preserve"> </w:t>
      </w:r>
      <w:r w:rsidR="00D83EDE">
        <w:t>ustawy</w:t>
      </w:r>
      <w:r w:rsidR="0081438F">
        <w:t xml:space="preserve"> ma</w:t>
      </w:r>
      <w:r w:rsidR="00B51D46">
        <w:t>ją</w:t>
      </w:r>
      <w:r w:rsidR="0081438F">
        <w:t xml:space="preserve"> związek z </w:t>
      </w:r>
      <w:r w:rsidR="00D90042">
        <w:t xml:space="preserve">prowadzonymi pracami w zakresie działań </w:t>
      </w:r>
      <w:proofErr w:type="spellStart"/>
      <w:r w:rsidR="0081438F">
        <w:t>deregulac</w:t>
      </w:r>
      <w:r w:rsidR="00D90042">
        <w:t>yjnych</w:t>
      </w:r>
      <w:proofErr w:type="spellEnd"/>
      <w:r w:rsidR="0081438F">
        <w:t xml:space="preserve"> </w:t>
      </w:r>
      <w:r w:rsidR="00D90042">
        <w:t xml:space="preserve">w obszarze wymiaru sprawiedliwości </w:t>
      </w:r>
      <w:r w:rsidR="0081438F">
        <w:t>i</w:t>
      </w:r>
      <w:r w:rsidR="00C006AE">
        <w:t> </w:t>
      </w:r>
      <w:r w:rsidR="0081438F">
        <w:t>został</w:t>
      </w:r>
      <w:r w:rsidR="00B51D46">
        <w:t>y</w:t>
      </w:r>
      <w:r w:rsidR="0081438F">
        <w:t xml:space="preserve"> wprowadzon</w:t>
      </w:r>
      <w:r w:rsidR="00B51D46">
        <w:t>e</w:t>
      </w:r>
      <w:r w:rsidR="0081438F">
        <w:t xml:space="preserve"> na wzór rozwiązań funkcjonujących </w:t>
      </w:r>
      <w:r w:rsidR="00D369B1">
        <w:t xml:space="preserve">obecnie </w:t>
      </w:r>
      <w:r w:rsidR="0081438F">
        <w:t>w Kodeksie post</w:t>
      </w:r>
      <w:r w:rsidR="00B51D46">
        <w:t>ę</w:t>
      </w:r>
      <w:r w:rsidR="0081438F">
        <w:t xml:space="preserve">powania </w:t>
      </w:r>
      <w:r w:rsidR="0081438F" w:rsidRPr="00ED4436">
        <w:t>cywilnego</w:t>
      </w:r>
      <w:r w:rsidR="0081438F">
        <w:t xml:space="preserve">. </w:t>
      </w:r>
      <w:r w:rsidR="00D369B1">
        <w:t>Przewidują one</w:t>
      </w:r>
      <w:r w:rsidR="00C006AE">
        <w:t xml:space="preserve"> zniesienie </w:t>
      </w:r>
      <w:r w:rsidR="00D369B1">
        <w:t xml:space="preserve">konieczności złożenia przed sądem dokumentu potwierdzającego umocowanie </w:t>
      </w:r>
      <w:r w:rsidR="00C006AE">
        <w:t>(</w:t>
      </w:r>
      <w:r w:rsidR="00D369B1">
        <w:t>lub jego uwierzytelnionego odpisu</w:t>
      </w:r>
      <w:r w:rsidR="00C006AE">
        <w:t>)</w:t>
      </w:r>
      <w:r w:rsidR="006C4A4B">
        <w:t>,</w:t>
      </w:r>
      <w:r w:rsidR="00D369B1">
        <w:t xml:space="preserve"> </w:t>
      </w:r>
      <w:r w:rsidR="00C006AE">
        <w:t xml:space="preserve">w sytuacji gdy stwierdzenie przez sąd </w:t>
      </w:r>
      <w:r w:rsidR="00D369B1" w:rsidRPr="00D369B1">
        <w:t>umocowania jest możliwe na podstawie wykazu lub innego rejestru, do którego sąd ma dostęp drogą elektroniczną</w:t>
      </w:r>
      <w:r w:rsidR="00C006AE">
        <w:t>.</w:t>
      </w:r>
      <w:r w:rsidR="00D369B1" w:rsidRPr="00D369B1">
        <w:t xml:space="preserve"> </w:t>
      </w:r>
      <w:r w:rsidR="004D4400" w:rsidRPr="004D4400">
        <w:t>Proponowane rozwiązanie wyelimin</w:t>
      </w:r>
      <w:r w:rsidR="00C006AE">
        <w:t>uje</w:t>
      </w:r>
      <w:r w:rsidR="004D4400" w:rsidRPr="004D4400">
        <w:t xml:space="preserve"> zbędną biurokrację polegającą na potwierdzeniu przez stronę umocowania do działania w jej imieniu, jeżeli takie umocowanie wynika z treści rejestru dostępnego publicznie</w:t>
      </w:r>
      <w:r w:rsidR="00C006AE">
        <w:t>.</w:t>
      </w:r>
    </w:p>
    <w:p w14:paraId="7C3851E8" w14:textId="17E128C6" w:rsidR="009B40BE" w:rsidRDefault="001E3C67" w:rsidP="00DB2491">
      <w:pPr>
        <w:pStyle w:val="PKTpunkt"/>
      </w:pPr>
      <w:r>
        <w:t>2</w:t>
      </w:r>
      <w:r w:rsidR="009B40BE">
        <w:t>.</w:t>
      </w:r>
      <w:r w:rsidR="00DB2491">
        <w:tab/>
      </w:r>
      <w:r w:rsidR="0081438F">
        <w:t>Z</w:t>
      </w:r>
      <w:r w:rsidR="009B40BE">
        <w:t xml:space="preserve">miana </w:t>
      </w:r>
      <w:r w:rsidR="00DB2491">
        <w:t xml:space="preserve">w </w:t>
      </w:r>
      <w:r w:rsidR="009B40BE" w:rsidRPr="009B40BE">
        <w:t>art. 106</w:t>
      </w:r>
      <w:r w:rsidR="00A34997">
        <w:t xml:space="preserve"> </w:t>
      </w:r>
      <w:r w:rsidR="00DB2491">
        <w:t>ustawy polegająca na</w:t>
      </w:r>
      <w:r w:rsidR="00A34997">
        <w:t xml:space="preserve"> dodani</w:t>
      </w:r>
      <w:r w:rsidR="00DB2491">
        <w:t>u</w:t>
      </w:r>
      <w:r w:rsidR="009B40BE" w:rsidRPr="009B40BE">
        <w:t xml:space="preserve"> § 3</w:t>
      </w:r>
      <w:r w:rsidR="00A34997">
        <w:t>a</w:t>
      </w:r>
      <w:r w:rsidR="009B40BE">
        <w:t xml:space="preserve"> </w:t>
      </w:r>
      <w:r w:rsidR="005415B2" w:rsidRPr="00ED4436">
        <w:t>przewiduje</w:t>
      </w:r>
      <w:r w:rsidR="005415B2">
        <w:t xml:space="preserve"> wprowadzenie do post</w:t>
      </w:r>
      <w:r w:rsidR="00DB2491">
        <w:t>ę</w:t>
      </w:r>
      <w:r w:rsidR="005415B2">
        <w:t>powania przed s</w:t>
      </w:r>
      <w:r w:rsidR="00B51D46">
        <w:t>ą</w:t>
      </w:r>
      <w:r w:rsidR="005415B2">
        <w:t xml:space="preserve">dami administracyjnymi </w:t>
      </w:r>
      <w:r w:rsidR="005415B2" w:rsidRPr="005415B2">
        <w:t xml:space="preserve">instytucji </w:t>
      </w:r>
      <w:r w:rsidR="00DB2491">
        <w:t xml:space="preserve">tzw. </w:t>
      </w:r>
      <w:r w:rsidR="005415B2" w:rsidRPr="005415B2">
        <w:t>„przyjaciela sądu”</w:t>
      </w:r>
      <w:r w:rsidR="005415B2">
        <w:t xml:space="preserve">. Wprowadzenie tej instytucji umożliwi sądowi uzyskanie </w:t>
      </w:r>
      <w:r w:rsidR="005415B2" w:rsidRPr="005415B2">
        <w:t>istotnego dla sprawy poglądu</w:t>
      </w:r>
      <w:r w:rsidR="005415B2">
        <w:t xml:space="preserve"> </w:t>
      </w:r>
      <w:r w:rsidR="005415B2" w:rsidRPr="005415B2">
        <w:t>w</w:t>
      </w:r>
      <w:r w:rsidR="00DB2491">
        <w:t> </w:t>
      </w:r>
      <w:r w:rsidR="005415B2" w:rsidRPr="005415B2">
        <w:t>sprawach o precedensowym i skomplikowanym charakterze, których rozstrzygnięcie jest istotne dla debaty publicznej lub może rzutować na sytuację prawną wielu osób</w:t>
      </w:r>
      <w:r w:rsidR="005415B2">
        <w:t>.</w:t>
      </w:r>
    </w:p>
    <w:p w14:paraId="126E5788" w14:textId="5BD82FD0" w:rsidR="00520721" w:rsidRDefault="001E3C67" w:rsidP="0052400B">
      <w:pPr>
        <w:pStyle w:val="PKTpunkt"/>
      </w:pPr>
      <w:r>
        <w:t>3</w:t>
      </w:r>
      <w:r w:rsidR="005415B2">
        <w:t>.</w:t>
      </w:r>
      <w:r w:rsidR="00DB2491">
        <w:tab/>
      </w:r>
      <w:r w:rsidR="0081438F">
        <w:t>Z</w:t>
      </w:r>
      <w:r w:rsidR="00776C34">
        <w:t>miana</w:t>
      </w:r>
      <w:r w:rsidR="005415B2">
        <w:t xml:space="preserve"> </w:t>
      </w:r>
      <w:r w:rsidR="00776C34" w:rsidRPr="00776C34">
        <w:t>art. 111 § 1</w:t>
      </w:r>
      <w:r w:rsidR="00776C34">
        <w:t xml:space="preserve"> </w:t>
      </w:r>
      <w:r w:rsidR="00DB2491">
        <w:t xml:space="preserve">ustawy </w:t>
      </w:r>
      <w:r w:rsidR="00776C34" w:rsidRPr="00776C34">
        <w:t>wynika z analizy wydanego przez Trybunał Sprawiedliwości U</w:t>
      </w:r>
      <w:r w:rsidR="00DB2491">
        <w:t xml:space="preserve">nii </w:t>
      </w:r>
      <w:r w:rsidR="00776C34" w:rsidRPr="00776C34">
        <w:t>E</w:t>
      </w:r>
      <w:r w:rsidR="00DB2491">
        <w:t>uropejskiej</w:t>
      </w:r>
      <w:r w:rsidR="00776C34" w:rsidRPr="00776C34">
        <w:t xml:space="preserve"> w dniu</w:t>
      </w:r>
      <w:r w:rsidR="00776C34">
        <w:t xml:space="preserve"> </w:t>
      </w:r>
      <w:r w:rsidR="00776C34" w:rsidRPr="00776C34">
        <w:t>12 grudnia 2024 r. wyroku w sprawie C-118/23 i udzielony</w:t>
      </w:r>
      <w:r w:rsidR="00C60A26">
        <w:t>ch</w:t>
      </w:r>
      <w:r w:rsidR="00776C34" w:rsidRPr="00776C34">
        <w:t xml:space="preserve"> w tym wyroku</w:t>
      </w:r>
      <w:r w:rsidR="00776C34">
        <w:t xml:space="preserve"> </w:t>
      </w:r>
      <w:r w:rsidR="00776C34" w:rsidRPr="00776C34">
        <w:t>odpowiedzi na pytania prejudycjalne polskiego sądu</w:t>
      </w:r>
      <w:r w:rsidR="00776C34">
        <w:t xml:space="preserve">. </w:t>
      </w:r>
      <w:r w:rsidR="00776C34" w:rsidRPr="00776C34">
        <w:t>Zmiana ta m</w:t>
      </w:r>
      <w:r w:rsidR="00C51DF9">
        <w:t>a</w:t>
      </w:r>
      <w:r w:rsidR="00776C34" w:rsidRPr="00776C34">
        <w:t xml:space="preserve"> na celu</w:t>
      </w:r>
      <w:r w:rsidR="00776C34">
        <w:t xml:space="preserve"> </w:t>
      </w:r>
      <w:r w:rsidR="00776C34" w:rsidRPr="00776C34">
        <w:t>usprawnienie postępowań toczących się przed sądami administracyjnymi w</w:t>
      </w:r>
      <w:r w:rsidR="00C60A26">
        <w:t xml:space="preserve"> </w:t>
      </w:r>
      <w:r w:rsidR="00776C34" w:rsidRPr="00776C34">
        <w:t>szczególnie</w:t>
      </w:r>
      <w:r w:rsidR="00776C34">
        <w:t xml:space="preserve"> </w:t>
      </w:r>
      <w:r w:rsidR="00776C34" w:rsidRPr="00776C34">
        <w:t>skomplikowanych sprawach, w których do sądu administracyjnego wpłynęło wiele skarg</w:t>
      </w:r>
      <w:r w:rsidR="00776C34">
        <w:t xml:space="preserve"> </w:t>
      </w:r>
      <w:r w:rsidR="00776C34" w:rsidRPr="00776C34">
        <w:t>na tę samą decyzję.</w:t>
      </w:r>
      <w:r w:rsidR="00C91005">
        <w:t xml:space="preserve"> Przepis ten</w:t>
      </w:r>
      <w:r w:rsidR="006B1B7F">
        <w:t xml:space="preserve"> wprowadza wyjątek od zasady łącznego rozpoznawania spraw w </w:t>
      </w:r>
      <w:r w:rsidR="00C91005">
        <w:t xml:space="preserve">sytuacji, w których </w:t>
      </w:r>
      <w:r w:rsidR="00C91005" w:rsidRPr="00C91005">
        <w:t>połączenie</w:t>
      </w:r>
      <w:r w:rsidR="00C91005">
        <w:t xml:space="preserve"> </w:t>
      </w:r>
      <w:r w:rsidR="00C91005" w:rsidRPr="00C91005">
        <w:t>wszystkich spraw ze skarg na decyzję</w:t>
      </w:r>
      <w:r w:rsidR="00C91005">
        <w:t xml:space="preserve"> </w:t>
      </w:r>
      <w:r w:rsidR="00C91005" w:rsidRPr="00C91005">
        <w:t>sprawiłoby, że wydanie orzeczenia w rozsądnym terminie byłoby nadmiernie utrudnione,</w:t>
      </w:r>
      <w:r w:rsidR="00C91005">
        <w:t xml:space="preserve"> </w:t>
      </w:r>
      <w:r w:rsidR="00C91005" w:rsidRPr="00C91005">
        <w:t>a nawet niemożliwe</w:t>
      </w:r>
      <w:r w:rsidR="00C91005">
        <w:t>.</w:t>
      </w:r>
    </w:p>
    <w:p w14:paraId="4BBD1CA3" w14:textId="68BACC21" w:rsidR="00A00A66" w:rsidRDefault="00E91589" w:rsidP="00DB2491">
      <w:pPr>
        <w:pStyle w:val="PKTpunkt"/>
      </w:pPr>
      <w:r>
        <w:t>4</w:t>
      </w:r>
      <w:r w:rsidR="00C91005">
        <w:t>.</w:t>
      </w:r>
      <w:r w:rsidR="00DB2491">
        <w:tab/>
      </w:r>
      <w:r w:rsidR="0081438F">
        <w:t>Z</w:t>
      </w:r>
      <w:r w:rsidR="00492833">
        <w:t>miana</w:t>
      </w:r>
      <w:r w:rsidR="00C91005">
        <w:t xml:space="preserve"> </w:t>
      </w:r>
      <w:r w:rsidR="001366AE">
        <w:t xml:space="preserve">w </w:t>
      </w:r>
      <w:r w:rsidR="00492833" w:rsidRPr="00492833">
        <w:t>art. 232 § 1 pkt 2</w:t>
      </w:r>
      <w:r w:rsidR="001366AE">
        <w:t xml:space="preserve"> ustawy</w:t>
      </w:r>
      <w:r w:rsidR="00492833">
        <w:t xml:space="preserve"> przewiduje wprowadzenie możliwości zwrotu </w:t>
      </w:r>
      <w:r w:rsidR="00492833" w:rsidRPr="00492833">
        <w:t>wpis</w:t>
      </w:r>
      <w:r w:rsidR="00492833">
        <w:t>u</w:t>
      </w:r>
      <w:r w:rsidR="00492833" w:rsidRPr="00492833">
        <w:t xml:space="preserve"> od zażalenia</w:t>
      </w:r>
      <w:r w:rsidR="00492833">
        <w:t xml:space="preserve"> </w:t>
      </w:r>
      <w:r w:rsidR="00492833" w:rsidRPr="00492833">
        <w:t xml:space="preserve">na postanowienie sądu pierwszej instancji w przypadku uwzględnienia </w:t>
      </w:r>
      <w:r w:rsidR="00492833" w:rsidRPr="00492833">
        <w:lastRenderedPageBreak/>
        <w:t>każdego zażalenia</w:t>
      </w:r>
      <w:r w:rsidR="00492833">
        <w:t xml:space="preserve">. Obecnie obowiązujące przepisy przewidują jedynie </w:t>
      </w:r>
      <w:r w:rsidR="00492833" w:rsidRPr="00ED4436">
        <w:t>zwrot</w:t>
      </w:r>
      <w:r w:rsidR="00492833">
        <w:t xml:space="preserve"> wpisu w</w:t>
      </w:r>
      <w:r w:rsidR="001366AE">
        <w:t> </w:t>
      </w:r>
      <w:r w:rsidR="00492833">
        <w:t xml:space="preserve">przypadku uwzględnienia </w:t>
      </w:r>
      <w:r w:rsidR="00492833" w:rsidRPr="00492833">
        <w:t>zażalenia na postanowienie w przedmiocie ukarania grzywną.</w:t>
      </w:r>
      <w:r w:rsidR="004D1543">
        <w:t xml:space="preserve"> Wprowadzenie możliwości zwrotu wpisu od </w:t>
      </w:r>
      <w:r w:rsidR="001366AE">
        <w:t xml:space="preserve">każdego </w:t>
      </w:r>
      <w:r w:rsidR="004D1543">
        <w:t>zażalenia, w przypadku jego uwzględnienia</w:t>
      </w:r>
      <w:r w:rsidR="001366AE">
        <w:t>,</w:t>
      </w:r>
      <w:r w:rsidR="004D1543">
        <w:t xml:space="preserve"> będzie zgodne z zasadą demokratycznego państwa prawnego, bowiem o</w:t>
      </w:r>
      <w:r w:rsidR="00492833" w:rsidRPr="00492833">
        <w:t>bywatel nie powinien być narażony na ponoszenie</w:t>
      </w:r>
      <w:r w:rsidR="004D1543">
        <w:t xml:space="preserve"> </w:t>
      </w:r>
      <w:r w:rsidR="00492833" w:rsidRPr="00492833">
        <w:t>dodatkowych kosztów spowodowanych wydaniem wadliwego postanowienia przez sąd</w:t>
      </w:r>
      <w:r w:rsidR="004D1543">
        <w:t xml:space="preserve"> </w:t>
      </w:r>
      <w:r w:rsidR="00C615F1">
        <w:t>pierwszej</w:t>
      </w:r>
      <w:r w:rsidR="00492833" w:rsidRPr="00492833">
        <w:t xml:space="preserve"> instancji.</w:t>
      </w:r>
    </w:p>
    <w:p w14:paraId="1E335D09" w14:textId="7EA41E3F" w:rsidR="000A1F12" w:rsidRDefault="00F24C90" w:rsidP="00FC5243">
      <w:pPr>
        <w:pStyle w:val="ARTartustawynprozporzdzenia"/>
      </w:pPr>
      <w:r>
        <w:t xml:space="preserve">W art. 2 projektu przewidziano przepis przejściowy, który stanowi, że do </w:t>
      </w:r>
      <w:r w:rsidRPr="00F24C90">
        <w:t>postępowań prowadzonych na podstawie przepisów ustawy, wszczętych i</w:t>
      </w:r>
      <w:r>
        <w:t xml:space="preserve"> </w:t>
      </w:r>
      <w:r w:rsidRPr="00F24C90">
        <w:t xml:space="preserve">niezakończonych przed dniem </w:t>
      </w:r>
      <w:r w:rsidR="00FD5A7C">
        <w:t xml:space="preserve">jej </w:t>
      </w:r>
      <w:r w:rsidRPr="00F24C90">
        <w:t>wejścia</w:t>
      </w:r>
      <w:r w:rsidR="00C907BA">
        <w:t xml:space="preserve"> w życie</w:t>
      </w:r>
      <w:r w:rsidRPr="00F24C90">
        <w:t xml:space="preserve">, </w:t>
      </w:r>
      <w:r>
        <w:t>będą stosowane</w:t>
      </w:r>
      <w:r w:rsidRPr="00F24C90">
        <w:t xml:space="preserve"> przepisy dotychczasowe</w:t>
      </w:r>
      <w:r w:rsidR="00A74165">
        <w:t xml:space="preserve">. </w:t>
      </w:r>
      <w:r w:rsidR="00141E67">
        <w:t>Z</w:t>
      </w:r>
      <w:r w:rsidR="00A74165">
        <w:t xml:space="preserve">asada działania nowego prawa </w:t>
      </w:r>
      <w:r w:rsidR="009D36C4">
        <w:t xml:space="preserve">– </w:t>
      </w:r>
      <w:r w:rsidR="00141E67">
        <w:t>w</w:t>
      </w:r>
      <w:r w:rsidR="009D36C4">
        <w:t> </w:t>
      </w:r>
      <w:r w:rsidR="00141E67">
        <w:t>myśl tego przepisu</w:t>
      </w:r>
      <w:r w:rsidR="00F062AA">
        <w:t xml:space="preserve"> </w:t>
      </w:r>
      <w:r w:rsidR="00CA5A29">
        <w:t xml:space="preserve">– </w:t>
      </w:r>
      <w:r w:rsidR="00A74165">
        <w:t>znajd</w:t>
      </w:r>
      <w:r w:rsidR="006F1A4F">
        <w:t xml:space="preserve">zie </w:t>
      </w:r>
      <w:r w:rsidR="00A74165">
        <w:t xml:space="preserve">zastosowanie </w:t>
      </w:r>
      <w:r w:rsidR="00141E67">
        <w:t>jedynie w przypadku</w:t>
      </w:r>
      <w:r w:rsidR="00A74165">
        <w:t xml:space="preserve"> zażaleń, o których mowa w art. </w:t>
      </w:r>
      <w:r w:rsidR="00A74165" w:rsidRPr="00A828C9">
        <w:t>232 § 1 pkt 2</w:t>
      </w:r>
      <w:r w:rsidR="00A74165">
        <w:t xml:space="preserve"> ustawy, w brzmieniu nadanym niniejszym projektem</w:t>
      </w:r>
      <w:r w:rsidR="00641FCC">
        <w:t xml:space="preserve">, uwzględnionych </w:t>
      </w:r>
      <w:r w:rsidR="0088792A">
        <w:t xml:space="preserve">przez sąd </w:t>
      </w:r>
      <w:r w:rsidR="00F062AA">
        <w:t xml:space="preserve">od dnia </w:t>
      </w:r>
      <w:r w:rsidR="000C4E31">
        <w:t>wejści</w:t>
      </w:r>
      <w:r w:rsidR="00F062AA">
        <w:t>a</w:t>
      </w:r>
      <w:r w:rsidR="000C4E31">
        <w:t xml:space="preserve"> w życie </w:t>
      </w:r>
      <w:r w:rsidR="00FC5243">
        <w:t>projekt</w:t>
      </w:r>
      <w:r w:rsidR="00A17C75">
        <w:t>owanej nowelizacji</w:t>
      </w:r>
      <w:r w:rsidR="00FC5243">
        <w:t>.</w:t>
      </w:r>
    </w:p>
    <w:p w14:paraId="22BDD981" w14:textId="6FE0943C" w:rsidR="007D2B9B" w:rsidRPr="007D2B9B" w:rsidRDefault="00F24C90" w:rsidP="00F24C90">
      <w:pPr>
        <w:pStyle w:val="ARTartustawynprozporzdzenia"/>
      </w:pPr>
      <w:r>
        <w:t xml:space="preserve">Zgodnie z art. </w:t>
      </w:r>
      <w:r w:rsidR="00141E67">
        <w:t>3</w:t>
      </w:r>
      <w:r>
        <w:t xml:space="preserve"> projektu t</w:t>
      </w:r>
      <w:r w:rsidR="007D2B9B" w:rsidRPr="007D2B9B">
        <w:t xml:space="preserve">ermin wejścia w życie ustawy określono na </w:t>
      </w:r>
      <w:r w:rsidR="007D2B9B">
        <w:t>14 dni</w:t>
      </w:r>
      <w:r w:rsidR="007D2B9B" w:rsidRPr="007D2B9B">
        <w:t xml:space="preserve"> od dnia ogłoszenia.</w:t>
      </w:r>
    </w:p>
    <w:p w14:paraId="556D204A" w14:textId="77777777" w:rsidR="00513767" w:rsidRDefault="007D2B9B" w:rsidP="007D2B9B">
      <w:pPr>
        <w:pStyle w:val="ARTartustawynprozporzdzenia"/>
      </w:pPr>
      <w:r w:rsidRPr="007D2B9B">
        <w:t>Nie ma możliwości podjęcia alternatywnych, w stosunku do projektowanych rozwiązań,</w:t>
      </w:r>
      <w:r>
        <w:t xml:space="preserve"> </w:t>
      </w:r>
      <w:r w:rsidRPr="007D2B9B">
        <w:t>działań umożliwiających osiągnięcie zamierzonego celu.</w:t>
      </w:r>
    </w:p>
    <w:p w14:paraId="259787B9" w14:textId="3F4136E4" w:rsidR="007D2B9B" w:rsidRPr="007D2B9B" w:rsidRDefault="007D2B9B" w:rsidP="007D2B9B">
      <w:pPr>
        <w:pStyle w:val="ARTartustawynprozporzdzenia"/>
      </w:pPr>
      <w:r w:rsidRPr="007D2B9B">
        <w:t>Projekt nie zawiera przepisów technicznych, zatem nie podlega procedurze notyfikacji zgodnie</w:t>
      </w:r>
      <w:r>
        <w:t xml:space="preserve"> </w:t>
      </w:r>
      <w:r w:rsidRPr="007D2B9B">
        <w:t>z trybem przewidzianym w</w:t>
      </w:r>
      <w:r w:rsidR="00513767">
        <w:t xml:space="preserve"> </w:t>
      </w:r>
      <w:r w:rsidRPr="007D2B9B">
        <w:t>rozporządzeniu Rady Ministrów z dnia 23 grudnia 2002 r.</w:t>
      </w:r>
      <w:r>
        <w:t xml:space="preserve"> </w:t>
      </w:r>
      <w:r w:rsidRPr="007D2B9B">
        <w:t>w sprawie sposobu funkcjonowania krajowego systemu notyfikacji norm i aktów prawnych</w:t>
      </w:r>
      <w:r>
        <w:t xml:space="preserve"> </w:t>
      </w:r>
      <w:r w:rsidRPr="007D2B9B">
        <w:t>(Dz. U. poz. 2039 oraz z 2004 r. poz. 597).</w:t>
      </w:r>
    </w:p>
    <w:p w14:paraId="6EA3948F" w14:textId="50AE47A5" w:rsidR="007D2B9B" w:rsidRPr="007D2B9B" w:rsidRDefault="007D2B9B" w:rsidP="007D2B9B">
      <w:pPr>
        <w:pStyle w:val="ARTartustawynprozporzdzenia"/>
      </w:pPr>
      <w:r w:rsidRPr="007D2B9B">
        <w:t>Przedmiot regulacji zawartej w projekcie nie jest objęty zakresem prawa Unii Europejskiej.</w:t>
      </w:r>
      <w:r>
        <w:t xml:space="preserve"> </w:t>
      </w:r>
      <w:r w:rsidRPr="007D2B9B">
        <w:t>Z tego względu projekt nie wymaga w opinii projektodawców przedstawienia właściwym</w:t>
      </w:r>
      <w:r>
        <w:t xml:space="preserve"> </w:t>
      </w:r>
      <w:r w:rsidRPr="007D2B9B">
        <w:t>organom i instytucjom Unii Europejskiej, w tym Europejskiemu Bankowi Centralnemu, w celu</w:t>
      </w:r>
      <w:r>
        <w:t xml:space="preserve"> </w:t>
      </w:r>
      <w:r w:rsidRPr="007D2B9B">
        <w:t>uzyskania opinii, dokonania powiadomienia, konsultacji albo uzgodnienia.</w:t>
      </w:r>
    </w:p>
    <w:p w14:paraId="6E4FD03C" w14:textId="76420DAD" w:rsidR="007D2B9B" w:rsidRPr="007D2B9B" w:rsidRDefault="005126BB" w:rsidP="007D2B9B">
      <w:pPr>
        <w:pStyle w:val="ARTartustawynprozporzdzenia"/>
      </w:pPr>
      <w:r>
        <w:t>Zawarte w projekcie regulacje</w:t>
      </w:r>
      <w:r w:rsidR="007D2B9B" w:rsidRPr="007D2B9B">
        <w:t xml:space="preserve"> </w:t>
      </w:r>
      <w:r w:rsidR="00513767">
        <w:t xml:space="preserve">nie </w:t>
      </w:r>
      <w:r>
        <w:t>będą miały</w:t>
      </w:r>
      <w:r w:rsidR="00513767">
        <w:t xml:space="preserve"> </w:t>
      </w:r>
      <w:r w:rsidR="007D2B9B" w:rsidRPr="007D2B9B">
        <w:t>wpływ</w:t>
      </w:r>
      <w:r w:rsidR="00513767">
        <w:t>u</w:t>
      </w:r>
      <w:r w:rsidR="007D2B9B" w:rsidRPr="007D2B9B">
        <w:t xml:space="preserve"> na</w:t>
      </w:r>
      <w:r>
        <w:t xml:space="preserve"> działalność</w:t>
      </w:r>
      <w:r w:rsidR="007D2B9B" w:rsidRPr="007D2B9B">
        <w:t xml:space="preserve"> </w:t>
      </w:r>
      <w:proofErr w:type="spellStart"/>
      <w:r w:rsidR="007D2B9B" w:rsidRPr="007D2B9B">
        <w:t>mikroprzedsiębiorców</w:t>
      </w:r>
      <w:proofErr w:type="spellEnd"/>
      <w:r w:rsidR="007D2B9B" w:rsidRPr="007D2B9B">
        <w:t>, małych i średnich</w:t>
      </w:r>
      <w:r w:rsidR="007D2B9B">
        <w:t xml:space="preserve"> </w:t>
      </w:r>
      <w:r w:rsidR="007D2B9B" w:rsidRPr="007D2B9B">
        <w:t>przedsiębiorców</w:t>
      </w:r>
      <w:r>
        <w:t>, o których mowa w ustawie z</w:t>
      </w:r>
      <w:r w:rsidR="007D2B9B" w:rsidRPr="007D2B9B">
        <w:t xml:space="preserve"> dnia 6 marca 2018 r. – Prawo</w:t>
      </w:r>
      <w:r w:rsidR="007D2B9B">
        <w:t xml:space="preserve"> </w:t>
      </w:r>
      <w:r w:rsidR="007D2B9B" w:rsidRPr="007D2B9B">
        <w:t xml:space="preserve">przedsiębiorców (Dz. U. z 2024 r. poz. 236, z </w:t>
      </w:r>
      <w:proofErr w:type="spellStart"/>
      <w:r w:rsidR="007D2B9B" w:rsidRPr="007D2B9B">
        <w:t>późn</w:t>
      </w:r>
      <w:proofErr w:type="spellEnd"/>
      <w:r w:rsidR="007D2B9B" w:rsidRPr="007D2B9B">
        <w:t>. zm.).</w:t>
      </w:r>
    </w:p>
    <w:p w14:paraId="098119CE" w14:textId="50C5998B" w:rsidR="007D2B9B" w:rsidRPr="007D2B9B" w:rsidRDefault="007D2B9B" w:rsidP="007D2B9B">
      <w:pPr>
        <w:pStyle w:val="ARTartustawynprozporzdzenia"/>
      </w:pPr>
      <w:r w:rsidRPr="007D2B9B">
        <w:t>Zgodnie z § 52 uchwały nr 190 Rady Ministrów z dnia 29 października 2013 r. – Regulamin</w:t>
      </w:r>
      <w:r>
        <w:t xml:space="preserve"> </w:t>
      </w:r>
      <w:r w:rsidRPr="007D2B9B">
        <w:t>pracy Rady Ministrów (M.P. z 2024 r. poz. 806</w:t>
      </w:r>
      <w:r w:rsidR="0096544E">
        <w:t xml:space="preserve"> oraz z 2025 r. poz. 408</w:t>
      </w:r>
      <w:r w:rsidRPr="007D2B9B">
        <w:t>) oraz stosownie do wymogów art.</w:t>
      </w:r>
      <w:r w:rsidR="00405D9C">
        <w:t xml:space="preserve"> </w:t>
      </w:r>
      <w:r w:rsidRPr="007D2B9B">
        <w:t>5 ustawy</w:t>
      </w:r>
      <w:r>
        <w:t xml:space="preserve"> </w:t>
      </w:r>
      <w:r w:rsidRPr="007D2B9B">
        <w:t>z dnia 7 lipca 2005 r. o działalności lobbingowej w</w:t>
      </w:r>
      <w:r w:rsidR="0096544E">
        <w:t> </w:t>
      </w:r>
      <w:r w:rsidRPr="007D2B9B">
        <w:t>procesie stanowienia prawa (Dz. U.</w:t>
      </w:r>
      <w:r>
        <w:t xml:space="preserve"> </w:t>
      </w:r>
      <w:r w:rsidRPr="007D2B9B">
        <w:t>z 20</w:t>
      </w:r>
      <w:r w:rsidR="0096544E">
        <w:t>25</w:t>
      </w:r>
      <w:r w:rsidRPr="007D2B9B">
        <w:t xml:space="preserve"> r. poz. </w:t>
      </w:r>
      <w:r w:rsidR="0096544E">
        <w:t>677</w:t>
      </w:r>
      <w:r w:rsidRPr="007D2B9B">
        <w:t>) projekt zosta</w:t>
      </w:r>
      <w:r w:rsidR="00141E67">
        <w:t>ł</w:t>
      </w:r>
      <w:r w:rsidRPr="007D2B9B">
        <w:t xml:space="preserve"> udostępniony </w:t>
      </w:r>
      <w:r w:rsidRPr="007D2B9B">
        <w:lastRenderedPageBreak/>
        <w:t>w</w:t>
      </w:r>
      <w:r w:rsidR="0096544E">
        <w:t> </w:t>
      </w:r>
      <w:r w:rsidRPr="007D2B9B">
        <w:t>Biuletynie</w:t>
      </w:r>
      <w:r>
        <w:t xml:space="preserve"> </w:t>
      </w:r>
      <w:r w:rsidRPr="007D2B9B">
        <w:t>Informacji Publicznej na stronie internetowej Rządowego Centrum Legislacji, w</w:t>
      </w:r>
      <w:r w:rsidR="0096544E">
        <w:t> </w:t>
      </w:r>
      <w:r w:rsidRPr="007D2B9B">
        <w:t>serwisie</w:t>
      </w:r>
      <w:r>
        <w:t xml:space="preserve"> </w:t>
      </w:r>
      <w:r w:rsidRPr="007D2B9B">
        <w:t>Rządowy Proces Legislacyjny.</w:t>
      </w:r>
    </w:p>
    <w:p w14:paraId="37F218F7" w14:textId="3FCBD17F" w:rsidR="007D2B9B" w:rsidRPr="007D2B9B" w:rsidRDefault="007D2B9B" w:rsidP="00AA211B">
      <w:pPr>
        <w:pStyle w:val="ARTartustawynprozporzdzenia"/>
      </w:pPr>
      <w:r w:rsidRPr="007D2B9B">
        <w:t xml:space="preserve">Projekt nie podlegał dokonaniu oceny </w:t>
      </w:r>
      <w:r w:rsidR="00513767">
        <w:t>skutków regulacji</w:t>
      </w:r>
      <w:r w:rsidRPr="007D2B9B">
        <w:t xml:space="preserve"> przez koordynatora OSR w</w:t>
      </w:r>
      <w:r w:rsidR="00513767">
        <w:t> </w:t>
      </w:r>
      <w:r w:rsidRPr="007D2B9B">
        <w:t>trybie § 32 uchwały</w:t>
      </w:r>
      <w:r>
        <w:t xml:space="preserve"> </w:t>
      </w:r>
      <w:r w:rsidRPr="007D2B9B">
        <w:t>nr 190 Rady Ministrów z dnia 29 października 2013 r. – Regulamin pracy Rady Ministrów</w:t>
      </w:r>
      <w:r w:rsidR="00513767">
        <w:t>.</w:t>
      </w:r>
      <w:r w:rsidR="00AA211B">
        <w:t xml:space="preserve"> </w:t>
      </w:r>
      <w:r w:rsidR="00AA211B" w:rsidRPr="00AA211B">
        <w:t>W celu spełnienia wymogów, o których mowa w</w:t>
      </w:r>
      <w:r w:rsidR="00AA211B">
        <w:t xml:space="preserve"> </w:t>
      </w:r>
      <w:r w:rsidR="00AA211B" w:rsidRPr="00AA211B">
        <w:t>§</w:t>
      </w:r>
      <w:r w:rsidR="00AA211B">
        <w:t xml:space="preserve"> </w:t>
      </w:r>
      <w:r w:rsidR="00AA211B" w:rsidRPr="00AA211B">
        <w:t>42 ust. 1 tej uchwały, projekt został skierowany do koordynatora OSR.</w:t>
      </w:r>
    </w:p>
    <w:p w14:paraId="4230A158" w14:textId="5371AF7A" w:rsidR="007D2B9B" w:rsidRPr="00631849" w:rsidRDefault="007D2B9B" w:rsidP="007D2B9B">
      <w:pPr>
        <w:pStyle w:val="ARTartustawynprozporzdzenia"/>
      </w:pPr>
      <w:r w:rsidRPr="007D2B9B">
        <w:t>Projekt nie dotyczy warunków określonych w uchwale nr 20 Rady Ministrów z dnia 18</w:t>
      </w:r>
      <w:r>
        <w:t> </w:t>
      </w:r>
      <w:r w:rsidRPr="007D2B9B">
        <w:t>lutego</w:t>
      </w:r>
      <w:r>
        <w:t xml:space="preserve"> </w:t>
      </w:r>
      <w:r w:rsidRPr="007D2B9B">
        <w:t>2014 r. w sprawie zaleceń ujednolicenia terminów wejścia w życie niektórych aktów</w:t>
      </w:r>
      <w:r>
        <w:t xml:space="preserve"> </w:t>
      </w:r>
      <w:r w:rsidRPr="007D2B9B">
        <w:t>normatywnych (M.P. poz. 205).</w:t>
      </w:r>
    </w:p>
    <w:sectPr w:rsidR="007D2B9B" w:rsidRPr="00631849" w:rsidSect="00726DB6">
      <w:headerReference w:type="default" r:id="rId9"/>
      <w:footerReference w:type="default" r:id="rId10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FD04" w14:textId="77777777" w:rsidR="006B7188" w:rsidRDefault="006B7188">
      <w:r>
        <w:separator/>
      </w:r>
    </w:p>
  </w:endnote>
  <w:endnote w:type="continuationSeparator" w:id="0">
    <w:p w14:paraId="62A7D117" w14:textId="77777777" w:rsidR="006B7188" w:rsidRDefault="006B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652203"/>
      <w:docPartObj>
        <w:docPartGallery w:val="Page Numbers (Bottom of Page)"/>
        <w:docPartUnique/>
      </w:docPartObj>
    </w:sdtPr>
    <w:sdtContent>
      <w:p w14:paraId="4D74788E" w14:textId="4C553175" w:rsidR="00726DB6" w:rsidRDefault="00726D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CAB8" w14:textId="77777777" w:rsidR="006B7188" w:rsidRDefault="006B7188">
      <w:r>
        <w:separator/>
      </w:r>
    </w:p>
  </w:footnote>
  <w:footnote w:type="continuationSeparator" w:id="0">
    <w:p w14:paraId="3637E13F" w14:textId="77777777" w:rsidR="006B7188" w:rsidRDefault="006B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E5E4" w14:textId="09115443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8459018">
    <w:abstractNumId w:val="23"/>
  </w:num>
  <w:num w:numId="2" w16cid:durableId="2118939396">
    <w:abstractNumId w:val="23"/>
  </w:num>
  <w:num w:numId="3" w16cid:durableId="885683669">
    <w:abstractNumId w:val="18"/>
  </w:num>
  <w:num w:numId="4" w16cid:durableId="1649364079">
    <w:abstractNumId w:val="18"/>
  </w:num>
  <w:num w:numId="5" w16cid:durableId="1190070852">
    <w:abstractNumId w:val="35"/>
  </w:num>
  <w:num w:numId="6" w16cid:durableId="669255338">
    <w:abstractNumId w:val="31"/>
  </w:num>
  <w:num w:numId="7" w16cid:durableId="556815907">
    <w:abstractNumId w:val="35"/>
  </w:num>
  <w:num w:numId="8" w16cid:durableId="1171219672">
    <w:abstractNumId w:val="31"/>
  </w:num>
  <w:num w:numId="9" w16cid:durableId="602149849">
    <w:abstractNumId w:val="35"/>
  </w:num>
  <w:num w:numId="10" w16cid:durableId="1115366302">
    <w:abstractNumId w:val="31"/>
  </w:num>
  <w:num w:numId="11" w16cid:durableId="96759806">
    <w:abstractNumId w:val="14"/>
  </w:num>
  <w:num w:numId="12" w16cid:durableId="690764485">
    <w:abstractNumId w:val="10"/>
  </w:num>
  <w:num w:numId="13" w16cid:durableId="1799369645">
    <w:abstractNumId w:val="15"/>
  </w:num>
  <w:num w:numId="14" w16cid:durableId="1069697227">
    <w:abstractNumId w:val="26"/>
  </w:num>
  <w:num w:numId="15" w16cid:durableId="1759207008">
    <w:abstractNumId w:val="14"/>
  </w:num>
  <w:num w:numId="16" w16cid:durableId="593825691">
    <w:abstractNumId w:val="16"/>
  </w:num>
  <w:num w:numId="17" w16cid:durableId="219561961">
    <w:abstractNumId w:val="8"/>
  </w:num>
  <w:num w:numId="18" w16cid:durableId="955256671">
    <w:abstractNumId w:val="3"/>
  </w:num>
  <w:num w:numId="19" w16cid:durableId="456031207">
    <w:abstractNumId w:val="2"/>
  </w:num>
  <w:num w:numId="20" w16cid:durableId="22487933">
    <w:abstractNumId w:val="1"/>
  </w:num>
  <w:num w:numId="21" w16cid:durableId="401408815">
    <w:abstractNumId w:val="0"/>
  </w:num>
  <w:num w:numId="22" w16cid:durableId="802310348">
    <w:abstractNumId w:val="9"/>
  </w:num>
  <w:num w:numId="23" w16cid:durableId="1452750082">
    <w:abstractNumId w:val="7"/>
  </w:num>
  <w:num w:numId="24" w16cid:durableId="1949389742">
    <w:abstractNumId w:val="6"/>
  </w:num>
  <w:num w:numId="25" w16cid:durableId="1092706372">
    <w:abstractNumId w:val="5"/>
  </w:num>
  <w:num w:numId="26" w16cid:durableId="67461184">
    <w:abstractNumId w:val="4"/>
  </w:num>
  <w:num w:numId="27" w16cid:durableId="536937088">
    <w:abstractNumId w:val="33"/>
  </w:num>
  <w:num w:numId="28" w16cid:durableId="1048191185">
    <w:abstractNumId w:val="25"/>
  </w:num>
  <w:num w:numId="29" w16cid:durableId="1770395222">
    <w:abstractNumId w:val="36"/>
  </w:num>
  <w:num w:numId="30" w16cid:durableId="739331196">
    <w:abstractNumId w:val="32"/>
  </w:num>
  <w:num w:numId="31" w16cid:durableId="1594778492">
    <w:abstractNumId w:val="19"/>
  </w:num>
  <w:num w:numId="32" w16cid:durableId="223954562">
    <w:abstractNumId w:val="11"/>
  </w:num>
  <w:num w:numId="33" w16cid:durableId="1060133125">
    <w:abstractNumId w:val="30"/>
  </w:num>
  <w:num w:numId="34" w16cid:durableId="1222400407">
    <w:abstractNumId w:val="20"/>
  </w:num>
  <w:num w:numId="35" w16cid:durableId="1441728228">
    <w:abstractNumId w:val="17"/>
  </w:num>
  <w:num w:numId="36" w16cid:durableId="119150454">
    <w:abstractNumId w:val="22"/>
  </w:num>
  <w:num w:numId="37" w16cid:durableId="444542014">
    <w:abstractNumId w:val="27"/>
  </w:num>
  <w:num w:numId="38" w16cid:durableId="1176723237">
    <w:abstractNumId w:val="24"/>
  </w:num>
  <w:num w:numId="39" w16cid:durableId="1764959607">
    <w:abstractNumId w:val="13"/>
  </w:num>
  <w:num w:numId="40" w16cid:durableId="450394863">
    <w:abstractNumId w:val="29"/>
  </w:num>
  <w:num w:numId="41" w16cid:durableId="1807166636">
    <w:abstractNumId w:val="28"/>
  </w:num>
  <w:num w:numId="42" w16cid:durableId="1331759641">
    <w:abstractNumId w:val="21"/>
  </w:num>
  <w:num w:numId="43" w16cid:durableId="1404445306">
    <w:abstractNumId w:val="34"/>
  </w:num>
  <w:num w:numId="44" w16cid:durableId="1398627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9"/>
    <w:rsid w:val="000012DA"/>
    <w:rsid w:val="0000246E"/>
    <w:rsid w:val="00003862"/>
    <w:rsid w:val="00003EA6"/>
    <w:rsid w:val="000056D3"/>
    <w:rsid w:val="00012A35"/>
    <w:rsid w:val="00016099"/>
    <w:rsid w:val="00017DC2"/>
    <w:rsid w:val="00021522"/>
    <w:rsid w:val="0002304E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DEE"/>
    <w:rsid w:val="00046A75"/>
    <w:rsid w:val="00047312"/>
    <w:rsid w:val="000508BD"/>
    <w:rsid w:val="000513E0"/>
    <w:rsid w:val="000517AB"/>
    <w:rsid w:val="0005339C"/>
    <w:rsid w:val="0005571B"/>
    <w:rsid w:val="00057AB3"/>
    <w:rsid w:val="00060076"/>
    <w:rsid w:val="00060272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D"/>
    <w:rsid w:val="000944EF"/>
    <w:rsid w:val="00095ECE"/>
    <w:rsid w:val="0009732D"/>
    <w:rsid w:val="000973F0"/>
    <w:rsid w:val="000A1296"/>
    <w:rsid w:val="000A1C27"/>
    <w:rsid w:val="000A1DAD"/>
    <w:rsid w:val="000A1F12"/>
    <w:rsid w:val="000A2649"/>
    <w:rsid w:val="000A323B"/>
    <w:rsid w:val="000B298D"/>
    <w:rsid w:val="000B5B2D"/>
    <w:rsid w:val="000B5DCE"/>
    <w:rsid w:val="000B6ABA"/>
    <w:rsid w:val="000B7F3A"/>
    <w:rsid w:val="000C05BA"/>
    <w:rsid w:val="000C0E8F"/>
    <w:rsid w:val="000C1B8D"/>
    <w:rsid w:val="000C4BC4"/>
    <w:rsid w:val="000C4E31"/>
    <w:rsid w:val="000D0110"/>
    <w:rsid w:val="000D2468"/>
    <w:rsid w:val="000D318A"/>
    <w:rsid w:val="000D6173"/>
    <w:rsid w:val="000D6F83"/>
    <w:rsid w:val="000E1759"/>
    <w:rsid w:val="000E2025"/>
    <w:rsid w:val="000E25CC"/>
    <w:rsid w:val="000E2DED"/>
    <w:rsid w:val="000E3694"/>
    <w:rsid w:val="000E490F"/>
    <w:rsid w:val="000E5D7E"/>
    <w:rsid w:val="000E6241"/>
    <w:rsid w:val="000F2BE3"/>
    <w:rsid w:val="000F3D0D"/>
    <w:rsid w:val="000F6ED4"/>
    <w:rsid w:val="000F7A6E"/>
    <w:rsid w:val="0010283F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792"/>
    <w:rsid w:val="00125162"/>
    <w:rsid w:val="00125A9C"/>
    <w:rsid w:val="001270A2"/>
    <w:rsid w:val="00131237"/>
    <w:rsid w:val="001329AC"/>
    <w:rsid w:val="00134CA0"/>
    <w:rsid w:val="00134E16"/>
    <w:rsid w:val="001366AE"/>
    <w:rsid w:val="0014026F"/>
    <w:rsid w:val="00141E6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14D"/>
    <w:rsid w:val="00184B91"/>
    <w:rsid w:val="00184D4A"/>
    <w:rsid w:val="00184DA8"/>
    <w:rsid w:val="00186EC1"/>
    <w:rsid w:val="00191DD6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0151"/>
    <w:rsid w:val="001C0A4F"/>
    <w:rsid w:val="001C1832"/>
    <w:rsid w:val="001C188C"/>
    <w:rsid w:val="001C3C1E"/>
    <w:rsid w:val="001D1783"/>
    <w:rsid w:val="001D53CD"/>
    <w:rsid w:val="001D55A3"/>
    <w:rsid w:val="001D5AF5"/>
    <w:rsid w:val="001E1E73"/>
    <w:rsid w:val="001E3C67"/>
    <w:rsid w:val="001E4E0C"/>
    <w:rsid w:val="001E526D"/>
    <w:rsid w:val="001E5655"/>
    <w:rsid w:val="001F1832"/>
    <w:rsid w:val="001F220F"/>
    <w:rsid w:val="001F25B3"/>
    <w:rsid w:val="001F6616"/>
    <w:rsid w:val="00202BD4"/>
    <w:rsid w:val="002037F6"/>
    <w:rsid w:val="00204A97"/>
    <w:rsid w:val="0020616B"/>
    <w:rsid w:val="002114EF"/>
    <w:rsid w:val="002166AD"/>
    <w:rsid w:val="00216C91"/>
    <w:rsid w:val="00217871"/>
    <w:rsid w:val="00221ED8"/>
    <w:rsid w:val="002231EA"/>
    <w:rsid w:val="00223FDF"/>
    <w:rsid w:val="002279C0"/>
    <w:rsid w:val="0023727E"/>
    <w:rsid w:val="00242081"/>
    <w:rsid w:val="00243530"/>
    <w:rsid w:val="00243777"/>
    <w:rsid w:val="002441CD"/>
    <w:rsid w:val="002452F6"/>
    <w:rsid w:val="002501A3"/>
    <w:rsid w:val="0025166C"/>
    <w:rsid w:val="002555D4"/>
    <w:rsid w:val="00256678"/>
    <w:rsid w:val="00261A16"/>
    <w:rsid w:val="00263522"/>
    <w:rsid w:val="00264EC6"/>
    <w:rsid w:val="00271013"/>
    <w:rsid w:val="00273FE4"/>
    <w:rsid w:val="002765B4"/>
    <w:rsid w:val="00276A94"/>
    <w:rsid w:val="0027751C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087"/>
    <w:rsid w:val="002D0C4F"/>
    <w:rsid w:val="002D1364"/>
    <w:rsid w:val="002D4D30"/>
    <w:rsid w:val="002D5000"/>
    <w:rsid w:val="002D598D"/>
    <w:rsid w:val="002D7188"/>
    <w:rsid w:val="002E075C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04"/>
    <w:rsid w:val="00330BAF"/>
    <w:rsid w:val="003314AE"/>
    <w:rsid w:val="00334E3A"/>
    <w:rsid w:val="003361DD"/>
    <w:rsid w:val="00336DB3"/>
    <w:rsid w:val="00340D9E"/>
    <w:rsid w:val="00341A6A"/>
    <w:rsid w:val="003435BE"/>
    <w:rsid w:val="00345B9C"/>
    <w:rsid w:val="00351CA8"/>
    <w:rsid w:val="00352DAE"/>
    <w:rsid w:val="0035459A"/>
    <w:rsid w:val="00354EB9"/>
    <w:rsid w:val="00357CE1"/>
    <w:rsid w:val="003602AE"/>
    <w:rsid w:val="00360929"/>
    <w:rsid w:val="003647D5"/>
    <w:rsid w:val="003674B0"/>
    <w:rsid w:val="00373C84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493"/>
    <w:rsid w:val="00396942"/>
    <w:rsid w:val="00396B49"/>
    <w:rsid w:val="00396E3E"/>
    <w:rsid w:val="003A306E"/>
    <w:rsid w:val="003A60DC"/>
    <w:rsid w:val="003A6A46"/>
    <w:rsid w:val="003A730D"/>
    <w:rsid w:val="003A7A63"/>
    <w:rsid w:val="003B000C"/>
    <w:rsid w:val="003B0F1D"/>
    <w:rsid w:val="003B4A57"/>
    <w:rsid w:val="003B4ED1"/>
    <w:rsid w:val="003B5C51"/>
    <w:rsid w:val="003C0AD9"/>
    <w:rsid w:val="003C0ED0"/>
    <w:rsid w:val="003C1D49"/>
    <w:rsid w:val="003C35C4"/>
    <w:rsid w:val="003C37BD"/>
    <w:rsid w:val="003D12C2"/>
    <w:rsid w:val="003D23B8"/>
    <w:rsid w:val="003D31B9"/>
    <w:rsid w:val="003D3867"/>
    <w:rsid w:val="003D589B"/>
    <w:rsid w:val="003E0D1A"/>
    <w:rsid w:val="003E2DA3"/>
    <w:rsid w:val="003F020D"/>
    <w:rsid w:val="003F03D9"/>
    <w:rsid w:val="003F0BA2"/>
    <w:rsid w:val="003F2FBE"/>
    <w:rsid w:val="003F318D"/>
    <w:rsid w:val="003F5BAE"/>
    <w:rsid w:val="003F6ED7"/>
    <w:rsid w:val="00400D47"/>
    <w:rsid w:val="00401C84"/>
    <w:rsid w:val="00403210"/>
    <w:rsid w:val="004035BB"/>
    <w:rsid w:val="004035EB"/>
    <w:rsid w:val="00405D9C"/>
    <w:rsid w:val="00407332"/>
    <w:rsid w:val="00407828"/>
    <w:rsid w:val="00413D8E"/>
    <w:rsid w:val="004140F2"/>
    <w:rsid w:val="004163B4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90A"/>
    <w:rsid w:val="00480A58"/>
    <w:rsid w:val="00482151"/>
    <w:rsid w:val="004829C4"/>
    <w:rsid w:val="00485FAD"/>
    <w:rsid w:val="00487AED"/>
    <w:rsid w:val="00491EDF"/>
    <w:rsid w:val="00492833"/>
    <w:rsid w:val="00492A3F"/>
    <w:rsid w:val="00494F62"/>
    <w:rsid w:val="004A2001"/>
    <w:rsid w:val="004A2AD4"/>
    <w:rsid w:val="004A3590"/>
    <w:rsid w:val="004A4982"/>
    <w:rsid w:val="004B00A7"/>
    <w:rsid w:val="004B25E2"/>
    <w:rsid w:val="004B34D7"/>
    <w:rsid w:val="004B5037"/>
    <w:rsid w:val="004B5B2F"/>
    <w:rsid w:val="004B626A"/>
    <w:rsid w:val="004B660E"/>
    <w:rsid w:val="004B7D10"/>
    <w:rsid w:val="004C05BD"/>
    <w:rsid w:val="004C3B06"/>
    <w:rsid w:val="004C3F97"/>
    <w:rsid w:val="004C7EE7"/>
    <w:rsid w:val="004D1543"/>
    <w:rsid w:val="004D2DEE"/>
    <w:rsid w:val="004D2E1F"/>
    <w:rsid w:val="004D4400"/>
    <w:rsid w:val="004D554C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6BB"/>
    <w:rsid w:val="005128D3"/>
    <w:rsid w:val="00513767"/>
    <w:rsid w:val="005147E8"/>
    <w:rsid w:val="005158F2"/>
    <w:rsid w:val="00520721"/>
    <w:rsid w:val="0052400B"/>
    <w:rsid w:val="00526DFC"/>
    <w:rsid w:val="00526F43"/>
    <w:rsid w:val="00527651"/>
    <w:rsid w:val="005363AB"/>
    <w:rsid w:val="00540B0C"/>
    <w:rsid w:val="005415B2"/>
    <w:rsid w:val="00544EF4"/>
    <w:rsid w:val="00545E53"/>
    <w:rsid w:val="005479D9"/>
    <w:rsid w:val="005551FF"/>
    <w:rsid w:val="005569CB"/>
    <w:rsid w:val="005572BD"/>
    <w:rsid w:val="00557A12"/>
    <w:rsid w:val="00560AC7"/>
    <w:rsid w:val="00561AFB"/>
    <w:rsid w:val="00561FA8"/>
    <w:rsid w:val="005629CF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32D"/>
    <w:rsid w:val="005835E7"/>
    <w:rsid w:val="0058397F"/>
    <w:rsid w:val="00583BF8"/>
    <w:rsid w:val="00585F33"/>
    <w:rsid w:val="005874DE"/>
    <w:rsid w:val="00591124"/>
    <w:rsid w:val="00597024"/>
    <w:rsid w:val="005A0274"/>
    <w:rsid w:val="005A064B"/>
    <w:rsid w:val="005A095C"/>
    <w:rsid w:val="005A669D"/>
    <w:rsid w:val="005A75D8"/>
    <w:rsid w:val="005B713E"/>
    <w:rsid w:val="005C03B6"/>
    <w:rsid w:val="005C2602"/>
    <w:rsid w:val="005C348E"/>
    <w:rsid w:val="005C68E1"/>
    <w:rsid w:val="005D20A8"/>
    <w:rsid w:val="005D3763"/>
    <w:rsid w:val="005D55E1"/>
    <w:rsid w:val="005E19F7"/>
    <w:rsid w:val="005E4F04"/>
    <w:rsid w:val="005E62C2"/>
    <w:rsid w:val="005E65F3"/>
    <w:rsid w:val="005E6C71"/>
    <w:rsid w:val="005F063A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491E"/>
    <w:rsid w:val="00614E6A"/>
    <w:rsid w:val="00615772"/>
    <w:rsid w:val="00621256"/>
    <w:rsid w:val="00621FCC"/>
    <w:rsid w:val="00622E4B"/>
    <w:rsid w:val="00631849"/>
    <w:rsid w:val="006333DA"/>
    <w:rsid w:val="00635134"/>
    <w:rsid w:val="006356E2"/>
    <w:rsid w:val="006365FB"/>
    <w:rsid w:val="00641FCC"/>
    <w:rsid w:val="00642A65"/>
    <w:rsid w:val="00645DCE"/>
    <w:rsid w:val="006465AC"/>
    <w:rsid w:val="006465BF"/>
    <w:rsid w:val="00653B22"/>
    <w:rsid w:val="00655554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54FC"/>
    <w:rsid w:val="006872AE"/>
    <w:rsid w:val="00690082"/>
    <w:rsid w:val="00690252"/>
    <w:rsid w:val="006946BB"/>
    <w:rsid w:val="006969FA"/>
    <w:rsid w:val="006A1B50"/>
    <w:rsid w:val="006A35D5"/>
    <w:rsid w:val="006A748A"/>
    <w:rsid w:val="006B1B7F"/>
    <w:rsid w:val="006B511E"/>
    <w:rsid w:val="006B7188"/>
    <w:rsid w:val="006C419E"/>
    <w:rsid w:val="006C4A31"/>
    <w:rsid w:val="006C4A4B"/>
    <w:rsid w:val="006C5AC2"/>
    <w:rsid w:val="006C6AFB"/>
    <w:rsid w:val="006D2735"/>
    <w:rsid w:val="006D45B2"/>
    <w:rsid w:val="006E0FCC"/>
    <w:rsid w:val="006E1E96"/>
    <w:rsid w:val="006E277C"/>
    <w:rsid w:val="006E5E21"/>
    <w:rsid w:val="006F1A4F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33F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DB6"/>
    <w:rsid w:val="00730555"/>
    <w:rsid w:val="007312CC"/>
    <w:rsid w:val="00731E51"/>
    <w:rsid w:val="00736A64"/>
    <w:rsid w:val="00737F6A"/>
    <w:rsid w:val="007410B6"/>
    <w:rsid w:val="007421EC"/>
    <w:rsid w:val="00744C6F"/>
    <w:rsid w:val="007457F6"/>
    <w:rsid w:val="00745ABB"/>
    <w:rsid w:val="007460E1"/>
    <w:rsid w:val="00746E38"/>
    <w:rsid w:val="00747CD5"/>
    <w:rsid w:val="00753B51"/>
    <w:rsid w:val="00756629"/>
    <w:rsid w:val="007575D2"/>
    <w:rsid w:val="00757B4F"/>
    <w:rsid w:val="00757B6A"/>
    <w:rsid w:val="007610E0"/>
    <w:rsid w:val="00761CAB"/>
    <w:rsid w:val="007621AA"/>
    <w:rsid w:val="0076260A"/>
    <w:rsid w:val="00764A67"/>
    <w:rsid w:val="00770F6B"/>
    <w:rsid w:val="00771883"/>
    <w:rsid w:val="00772535"/>
    <w:rsid w:val="00776C34"/>
    <w:rsid w:val="00776DC2"/>
    <w:rsid w:val="00780122"/>
    <w:rsid w:val="0078214B"/>
    <w:rsid w:val="00782633"/>
    <w:rsid w:val="0078498A"/>
    <w:rsid w:val="007878FE"/>
    <w:rsid w:val="00792207"/>
    <w:rsid w:val="00792B64"/>
    <w:rsid w:val="00792E29"/>
    <w:rsid w:val="0079379A"/>
    <w:rsid w:val="00794953"/>
    <w:rsid w:val="00796DC7"/>
    <w:rsid w:val="007A1F2F"/>
    <w:rsid w:val="007A26BF"/>
    <w:rsid w:val="007A2A5C"/>
    <w:rsid w:val="007A5150"/>
    <w:rsid w:val="007A5373"/>
    <w:rsid w:val="007A789F"/>
    <w:rsid w:val="007B75BC"/>
    <w:rsid w:val="007C0BD6"/>
    <w:rsid w:val="007C3806"/>
    <w:rsid w:val="007C4EF5"/>
    <w:rsid w:val="007C5BB7"/>
    <w:rsid w:val="007D07D5"/>
    <w:rsid w:val="007D1C64"/>
    <w:rsid w:val="007D2B9B"/>
    <w:rsid w:val="007D32DD"/>
    <w:rsid w:val="007D55AB"/>
    <w:rsid w:val="007D5C05"/>
    <w:rsid w:val="007D6DCE"/>
    <w:rsid w:val="007D72C4"/>
    <w:rsid w:val="007E2CFE"/>
    <w:rsid w:val="007E59C9"/>
    <w:rsid w:val="007E78C6"/>
    <w:rsid w:val="007F0072"/>
    <w:rsid w:val="007F2EB6"/>
    <w:rsid w:val="007F49A9"/>
    <w:rsid w:val="007F54C3"/>
    <w:rsid w:val="00802949"/>
    <w:rsid w:val="00802B7B"/>
    <w:rsid w:val="0080301E"/>
    <w:rsid w:val="0080365F"/>
    <w:rsid w:val="008067DD"/>
    <w:rsid w:val="00812BE5"/>
    <w:rsid w:val="0081438F"/>
    <w:rsid w:val="00815F3A"/>
    <w:rsid w:val="00817429"/>
    <w:rsid w:val="00821514"/>
    <w:rsid w:val="00821E35"/>
    <w:rsid w:val="008230AE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7D2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E2C"/>
    <w:rsid w:val="0088318F"/>
    <w:rsid w:val="0088331D"/>
    <w:rsid w:val="008852B0"/>
    <w:rsid w:val="00885AE7"/>
    <w:rsid w:val="00886B60"/>
    <w:rsid w:val="00887889"/>
    <w:rsid w:val="0088792A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59DD"/>
    <w:rsid w:val="008B7712"/>
    <w:rsid w:val="008B7B26"/>
    <w:rsid w:val="008C3524"/>
    <w:rsid w:val="008C4061"/>
    <w:rsid w:val="008C4229"/>
    <w:rsid w:val="008C5BE0"/>
    <w:rsid w:val="008C7233"/>
    <w:rsid w:val="008D2434"/>
    <w:rsid w:val="008D2B8E"/>
    <w:rsid w:val="008E171D"/>
    <w:rsid w:val="008E18F7"/>
    <w:rsid w:val="008E2785"/>
    <w:rsid w:val="008E404A"/>
    <w:rsid w:val="008E78A3"/>
    <w:rsid w:val="008F0654"/>
    <w:rsid w:val="008F06CB"/>
    <w:rsid w:val="008F2E83"/>
    <w:rsid w:val="008F612A"/>
    <w:rsid w:val="009022D8"/>
    <w:rsid w:val="009026F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CC1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44E"/>
    <w:rsid w:val="00965F88"/>
    <w:rsid w:val="0096738C"/>
    <w:rsid w:val="0097432E"/>
    <w:rsid w:val="0098043E"/>
    <w:rsid w:val="00984E03"/>
    <w:rsid w:val="00986686"/>
    <w:rsid w:val="00987E85"/>
    <w:rsid w:val="009A0D12"/>
    <w:rsid w:val="009A1987"/>
    <w:rsid w:val="009A2BEE"/>
    <w:rsid w:val="009A5289"/>
    <w:rsid w:val="009A6100"/>
    <w:rsid w:val="009A7A53"/>
    <w:rsid w:val="009B0402"/>
    <w:rsid w:val="009B0B75"/>
    <w:rsid w:val="009B16DF"/>
    <w:rsid w:val="009B40BE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C3C"/>
    <w:rsid w:val="009D3316"/>
    <w:rsid w:val="009D36C4"/>
    <w:rsid w:val="009D55AA"/>
    <w:rsid w:val="009E2B71"/>
    <w:rsid w:val="009E3E77"/>
    <w:rsid w:val="009E3FAB"/>
    <w:rsid w:val="009E5B3F"/>
    <w:rsid w:val="009E7D90"/>
    <w:rsid w:val="009F1AB0"/>
    <w:rsid w:val="009F3EAE"/>
    <w:rsid w:val="009F501D"/>
    <w:rsid w:val="009F6126"/>
    <w:rsid w:val="00A00A66"/>
    <w:rsid w:val="00A02410"/>
    <w:rsid w:val="00A0248E"/>
    <w:rsid w:val="00A039D5"/>
    <w:rsid w:val="00A046AD"/>
    <w:rsid w:val="00A05BCB"/>
    <w:rsid w:val="00A079C1"/>
    <w:rsid w:val="00A116DB"/>
    <w:rsid w:val="00A12520"/>
    <w:rsid w:val="00A130FD"/>
    <w:rsid w:val="00A13D6D"/>
    <w:rsid w:val="00A14769"/>
    <w:rsid w:val="00A16151"/>
    <w:rsid w:val="00A16EC6"/>
    <w:rsid w:val="00A17C06"/>
    <w:rsid w:val="00A17C75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997"/>
    <w:rsid w:val="00A37E70"/>
    <w:rsid w:val="00A437E1"/>
    <w:rsid w:val="00A44E27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F42"/>
    <w:rsid w:val="00A65B41"/>
    <w:rsid w:val="00A65E00"/>
    <w:rsid w:val="00A66A78"/>
    <w:rsid w:val="00A74165"/>
    <w:rsid w:val="00A7436E"/>
    <w:rsid w:val="00A74E96"/>
    <w:rsid w:val="00A75A8E"/>
    <w:rsid w:val="00A824DD"/>
    <w:rsid w:val="00A828C9"/>
    <w:rsid w:val="00A83676"/>
    <w:rsid w:val="00A83B7B"/>
    <w:rsid w:val="00A84274"/>
    <w:rsid w:val="00A84EF2"/>
    <w:rsid w:val="00A850F3"/>
    <w:rsid w:val="00A864E3"/>
    <w:rsid w:val="00A902CE"/>
    <w:rsid w:val="00A91560"/>
    <w:rsid w:val="00A94574"/>
    <w:rsid w:val="00A95936"/>
    <w:rsid w:val="00A96265"/>
    <w:rsid w:val="00A97084"/>
    <w:rsid w:val="00AA1C2C"/>
    <w:rsid w:val="00AA211B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297"/>
    <w:rsid w:val="00AB67FC"/>
    <w:rsid w:val="00AC00F2"/>
    <w:rsid w:val="00AC223E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02F"/>
    <w:rsid w:val="00B371CC"/>
    <w:rsid w:val="00B41CD9"/>
    <w:rsid w:val="00B427E6"/>
    <w:rsid w:val="00B428A6"/>
    <w:rsid w:val="00B43E1F"/>
    <w:rsid w:val="00B459EC"/>
    <w:rsid w:val="00B45FBC"/>
    <w:rsid w:val="00B51A7D"/>
    <w:rsid w:val="00B51D46"/>
    <w:rsid w:val="00B535C2"/>
    <w:rsid w:val="00B55544"/>
    <w:rsid w:val="00B62182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7D8"/>
    <w:rsid w:val="00B90500"/>
    <w:rsid w:val="00B9176C"/>
    <w:rsid w:val="00B935A4"/>
    <w:rsid w:val="00BA2EAA"/>
    <w:rsid w:val="00BA3F22"/>
    <w:rsid w:val="00BA561A"/>
    <w:rsid w:val="00BB0DC6"/>
    <w:rsid w:val="00BB15E4"/>
    <w:rsid w:val="00BB1E19"/>
    <w:rsid w:val="00BB1E63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F52"/>
    <w:rsid w:val="00BE0C44"/>
    <w:rsid w:val="00BE1B8B"/>
    <w:rsid w:val="00BE2A18"/>
    <w:rsid w:val="00BE2C01"/>
    <w:rsid w:val="00BE319A"/>
    <w:rsid w:val="00BE41EC"/>
    <w:rsid w:val="00BE56FB"/>
    <w:rsid w:val="00BF3DDE"/>
    <w:rsid w:val="00BF6589"/>
    <w:rsid w:val="00BF6F7F"/>
    <w:rsid w:val="00C00647"/>
    <w:rsid w:val="00C006AE"/>
    <w:rsid w:val="00C02764"/>
    <w:rsid w:val="00C04CEF"/>
    <w:rsid w:val="00C0662F"/>
    <w:rsid w:val="00C11943"/>
    <w:rsid w:val="00C12E96"/>
    <w:rsid w:val="00C14763"/>
    <w:rsid w:val="00C15DF4"/>
    <w:rsid w:val="00C16141"/>
    <w:rsid w:val="00C2363F"/>
    <w:rsid w:val="00C236C8"/>
    <w:rsid w:val="00C260B1"/>
    <w:rsid w:val="00C26E56"/>
    <w:rsid w:val="00C31406"/>
    <w:rsid w:val="00C31FAA"/>
    <w:rsid w:val="00C37194"/>
    <w:rsid w:val="00C40637"/>
    <w:rsid w:val="00C40F6C"/>
    <w:rsid w:val="00C44426"/>
    <w:rsid w:val="00C445F3"/>
    <w:rsid w:val="00C451F4"/>
    <w:rsid w:val="00C45EB1"/>
    <w:rsid w:val="00C47664"/>
    <w:rsid w:val="00C51DF9"/>
    <w:rsid w:val="00C54A3A"/>
    <w:rsid w:val="00C553B1"/>
    <w:rsid w:val="00C55566"/>
    <w:rsid w:val="00C56448"/>
    <w:rsid w:val="00C60A26"/>
    <w:rsid w:val="00C615F1"/>
    <w:rsid w:val="00C667BE"/>
    <w:rsid w:val="00C6766B"/>
    <w:rsid w:val="00C67F28"/>
    <w:rsid w:val="00C72223"/>
    <w:rsid w:val="00C74504"/>
    <w:rsid w:val="00C7501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7BA"/>
    <w:rsid w:val="00C91005"/>
    <w:rsid w:val="00C970CE"/>
    <w:rsid w:val="00CA5A29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367A"/>
    <w:rsid w:val="00D0464E"/>
    <w:rsid w:val="00D04A96"/>
    <w:rsid w:val="00D07A7B"/>
    <w:rsid w:val="00D10E06"/>
    <w:rsid w:val="00D15197"/>
    <w:rsid w:val="00D16820"/>
    <w:rsid w:val="00D169C8"/>
    <w:rsid w:val="00D178B2"/>
    <w:rsid w:val="00D1793F"/>
    <w:rsid w:val="00D22AF5"/>
    <w:rsid w:val="00D235EA"/>
    <w:rsid w:val="00D247A9"/>
    <w:rsid w:val="00D32721"/>
    <w:rsid w:val="00D328DC"/>
    <w:rsid w:val="00D33387"/>
    <w:rsid w:val="00D36059"/>
    <w:rsid w:val="00D369B1"/>
    <w:rsid w:val="00D402FB"/>
    <w:rsid w:val="00D47D7A"/>
    <w:rsid w:val="00D50ABD"/>
    <w:rsid w:val="00D528F6"/>
    <w:rsid w:val="00D55290"/>
    <w:rsid w:val="00D57791"/>
    <w:rsid w:val="00D6046A"/>
    <w:rsid w:val="00D62870"/>
    <w:rsid w:val="00D64A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EDE"/>
    <w:rsid w:val="00D848B9"/>
    <w:rsid w:val="00D90042"/>
    <w:rsid w:val="00D90E69"/>
    <w:rsid w:val="00D91368"/>
    <w:rsid w:val="00D91F3C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491"/>
    <w:rsid w:val="00DB2B58"/>
    <w:rsid w:val="00DB5206"/>
    <w:rsid w:val="00DB6276"/>
    <w:rsid w:val="00DB6349"/>
    <w:rsid w:val="00DB63F5"/>
    <w:rsid w:val="00DC1C6B"/>
    <w:rsid w:val="00DC2C2E"/>
    <w:rsid w:val="00DC4AF0"/>
    <w:rsid w:val="00DC7886"/>
    <w:rsid w:val="00DD0CF2"/>
    <w:rsid w:val="00DD6C71"/>
    <w:rsid w:val="00DE1554"/>
    <w:rsid w:val="00DE2901"/>
    <w:rsid w:val="00DE590F"/>
    <w:rsid w:val="00DE7DC1"/>
    <w:rsid w:val="00DF0405"/>
    <w:rsid w:val="00DF3B43"/>
    <w:rsid w:val="00DF3F7E"/>
    <w:rsid w:val="00DF7648"/>
    <w:rsid w:val="00E00E29"/>
    <w:rsid w:val="00E02BAB"/>
    <w:rsid w:val="00E04CEB"/>
    <w:rsid w:val="00E04E1F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3D20"/>
    <w:rsid w:val="00E34A35"/>
    <w:rsid w:val="00E37277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143"/>
    <w:rsid w:val="00E63552"/>
    <w:rsid w:val="00E636FA"/>
    <w:rsid w:val="00E66C50"/>
    <w:rsid w:val="00E679D3"/>
    <w:rsid w:val="00E71208"/>
    <w:rsid w:val="00E71444"/>
    <w:rsid w:val="00E71C91"/>
    <w:rsid w:val="00E720A1"/>
    <w:rsid w:val="00E726E0"/>
    <w:rsid w:val="00E75DDA"/>
    <w:rsid w:val="00E773E8"/>
    <w:rsid w:val="00E8127D"/>
    <w:rsid w:val="00E83ADD"/>
    <w:rsid w:val="00E84F38"/>
    <w:rsid w:val="00E85623"/>
    <w:rsid w:val="00E87441"/>
    <w:rsid w:val="00E91589"/>
    <w:rsid w:val="00E91FAE"/>
    <w:rsid w:val="00E96E3F"/>
    <w:rsid w:val="00EA270C"/>
    <w:rsid w:val="00EA4974"/>
    <w:rsid w:val="00EA532E"/>
    <w:rsid w:val="00EA7502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436"/>
    <w:rsid w:val="00ED5553"/>
    <w:rsid w:val="00ED5E36"/>
    <w:rsid w:val="00ED6961"/>
    <w:rsid w:val="00EF0B96"/>
    <w:rsid w:val="00EF3486"/>
    <w:rsid w:val="00EF47AF"/>
    <w:rsid w:val="00EF53B6"/>
    <w:rsid w:val="00F00B73"/>
    <w:rsid w:val="00F01129"/>
    <w:rsid w:val="00F05B68"/>
    <w:rsid w:val="00F062AA"/>
    <w:rsid w:val="00F115CA"/>
    <w:rsid w:val="00F12D6C"/>
    <w:rsid w:val="00F14817"/>
    <w:rsid w:val="00F14EBA"/>
    <w:rsid w:val="00F1510F"/>
    <w:rsid w:val="00F1533A"/>
    <w:rsid w:val="00F15E5A"/>
    <w:rsid w:val="00F17F0A"/>
    <w:rsid w:val="00F24C90"/>
    <w:rsid w:val="00F2668F"/>
    <w:rsid w:val="00F2742F"/>
    <w:rsid w:val="00F2753B"/>
    <w:rsid w:val="00F3377E"/>
    <w:rsid w:val="00F33F8B"/>
    <w:rsid w:val="00F340B2"/>
    <w:rsid w:val="00F425D0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F48"/>
    <w:rsid w:val="00FA13C2"/>
    <w:rsid w:val="00FA36DE"/>
    <w:rsid w:val="00FA7F91"/>
    <w:rsid w:val="00FB0CEC"/>
    <w:rsid w:val="00FB121C"/>
    <w:rsid w:val="00FB1CDD"/>
    <w:rsid w:val="00FB1FBF"/>
    <w:rsid w:val="00FB2C2F"/>
    <w:rsid w:val="00FB305C"/>
    <w:rsid w:val="00FC069B"/>
    <w:rsid w:val="00FC2E3D"/>
    <w:rsid w:val="00FC3BDE"/>
    <w:rsid w:val="00FC5243"/>
    <w:rsid w:val="00FD09CF"/>
    <w:rsid w:val="00FD1DBE"/>
    <w:rsid w:val="00FD25A7"/>
    <w:rsid w:val="00FD27B6"/>
    <w:rsid w:val="00FD3689"/>
    <w:rsid w:val="00FD42A3"/>
    <w:rsid w:val="00FD5A7C"/>
    <w:rsid w:val="00FD7468"/>
    <w:rsid w:val="00FD7CE0"/>
    <w:rsid w:val="00FE0B3B"/>
    <w:rsid w:val="00FE1BE2"/>
    <w:rsid w:val="00FE6B27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02244"/>
  <w15:docId w15:val="{B4981C25-C33B-4FAE-B16E-FBAE398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D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2833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833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92833"/>
    <w:rPr>
      <w:vertAlign w:val="superscript"/>
    </w:rPr>
  </w:style>
  <w:style w:type="paragraph" w:styleId="Poprawka">
    <w:name w:val="Revision"/>
    <w:hidden/>
    <w:uiPriority w:val="99"/>
    <w:semiHidden/>
    <w:rsid w:val="00EA7502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0E20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11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Świnarski Kamil  (BKA)</dc:creator>
  <cp:lastModifiedBy>Czarnecka Grażyna</cp:lastModifiedBy>
  <cp:revision>5</cp:revision>
  <cp:lastPrinted>2025-05-19T07:28:00Z</cp:lastPrinted>
  <dcterms:created xsi:type="dcterms:W3CDTF">2025-06-23T07:32:00Z</dcterms:created>
  <dcterms:modified xsi:type="dcterms:W3CDTF">2025-06-24T13:58:00Z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