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9BEA" w14:textId="77777777" w:rsidR="000F02FA" w:rsidRPr="001E5F7C" w:rsidRDefault="000F02FA" w:rsidP="001E5F7C">
      <w:pPr>
        <w:spacing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5F7C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19F965DC" w14:textId="6C5D423E" w:rsidR="00C60159" w:rsidRPr="004140FE" w:rsidRDefault="00C60159" w:rsidP="001E5F7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 xml:space="preserve">Projekt ustawy jest wykonaniem zobowiązań rządowego Zespołu </w:t>
      </w:r>
      <w:proofErr w:type="spellStart"/>
      <w:r w:rsidRPr="004140FE">
        <w:rPr>
          <w:rFonts w:ascii="Times New Roman" w:hAnsi="Times New Roman" w:cs="Times New Roman"/>
          <w:sz w:val="24"/>
          <w:szCs w:val="24"/>
        </w:rPr>
        <w:t>Deregulacyjnego</w:t>
      </w:r>
      <w:proofErr w:type="spellEnd"/>
      <w:r w:rsidRPr="004140FE">
        <w:rPr>
          <w:rFonts w:ascii="Times New Roman" w:hAnsi="Times New Roman" w:cs="Times New Roman"/>
          <w:sz w:val="24"/>
          <w:szCs w:val="24"/>
        </w:rPr>
        <w:t xml:space="preserve"> (ID MF-75-245).</w:t>
      </w:r>
    </w:p>
    <w:p w14:paraId="1A98966E" w14:textId="2BC5FBE4" w:rsidR="009D694F" w:rsidRPr="004140FE" w:rsidRDefault="000F02FA" w:rsidP="001E5F7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 xml:space="preserve">Celem projektu ustawy jest </w:t>
      </w:r>
      <w:r w:rsidR="009D694F" w:rsidRPr="004140FE">
        <w:rPr>
          <w:rFonts w:ascii="Times New Roman" w:hAnsi="Times New Roman" w:cs="Times New Roman"/>
          <w:bCs/>
          <w:sz w:val="24"/>
          <w:szCs w:val="24"/>
        </w:rPr>
        <w:t xml:space="preserve">umożliwienie </w:t>
      </w:r>
      <w:r w:rsidR="00F40A78" w:rsidRPr="004140FE">
        <w:rPr>
          <w:rFonts w:ascii="Times New Roman" w:hAnsi="Times New Roman" w:cs="Times New Roman"/>
          <w:sz w:val="24"/>
          <w:szCs w:val="24"/>
        </w:rPr>
        <w:t>posiadaczowi pojazdu</w:t>
      </w:r>
      <w:r w:rsidR="00FB3017" w:rsidRPr="004140FE">
        <w:rPr>
          <w:rFonts w:ascii="Times New Roman" w:hAnsi="Times New Roman" w:cs="Times New Roman"/>
          <w:sz w:val="24"/>
          <w:szCs w:val="24"/>
        </w:rPr>
        <w:t xml:space="preserve"> mechanicznego</w:t>
      </w:r>
      <w:r w:rsidR="00F40A78" w:rsidRPr="004140FE">
        <w:rPr>
          <w:rFonts w:ascii="Times New Roman" w:hAnsi="Times New Roman" w:cs="Times New Roman"/>
          <w:sz w:val="24"/>
          <w:szCs w:val="24"/>
        </w:rPr>
        <w:t>, na którego przeszło lub zostało przeniesione prawo własności</w:t>
      </w:r>
      <w:r w:rsidR="00161716" w:rsidRPr="004140FE">
        <w:rPr>
          <w:rFonts w:ascii="Times New Roman" w:hAnsi="Times New Roman" w:cs="Times New Roman"/>
          <w:sz w:val="24"/>
          <w:szCs w:val="24"/>
        </w:rPr>
        <w:t>,</w:t>
      </w:r>
      <w:r w:rsidR="00F40A78" w:rsidRPr="004140FE">
        <w:rPr>
          <w:rFonts w:ascii="Times New Roman" w:hAnsi="Times New Roman" w:cs="Times New Roman"/>
          <w:sz w:val="24"/>
          <w:szCs w:val="24"/>
        </w:rPr>
        <w:t xml:space="preserve"> rozwiązania umowy ubezpieczenia </w:t>
      </w:r>
      <w:r w:rsidR="00FB3017" w:rsidRPr="004140FE">
        <w:rPr>
          <w:rFonts w:ascii="Times New Roman" w:hAnsi="Times New Roman" w:cs="Times New Roman"/>
          <w:sz w:val="24"/>
          <w:szCs w:val="24"/>
        </w:rPr>
        <w:t>odpowiedzialności cywilnej (</w:t>
      </w:r>
      <w:r w:rsidR="00F40A78" w:rsidRPr="004140FE">
        <w:rPr>
          <w:rFonts w:ascii="Times New Roman" w:hAnsi="Times New Roman" w:cs="Times New Roman"/>
          <w:sz w:val="24"/>
          <w:szCs w:val="24"/>
        </w:rPr>
        <w:t>OC</w:t>
      </w:r>
      <w:r w:rsidR="00FB3017" w:rsidRPr="004140FE">
        <w:rPr>
          <w:rFonts w:ascii="Times New Roman" w:hAnsi="Times New Roman" w:cs="Times New Roman"/>
          <w:sz w:val="24"/>
          <w:szCs w:val="24"/>
        </w:rPr>
        <w:t>)</w:t>
      </w:r>
      <w:r w:rsidR="00220E49" w:rsidRPr="004140FE">
        <w:rPr>
          <w:rFonts w:ascii="Times New Roman" w:hAnsi="Times New Roman" w:cs="Times New Roman"/>
          <w:sz w:val="24"/>
          <w:szCs w:val="24"/>
        </w:rPr>
        <w:t xml:space="preserve"> posiadaczy pojazdów mechanicznych</w:t>
      </w:r>
      <w:r w:rsidR="00F40A78" w:rsidRPr="004140FE">
        <w:rPr>
          <w:rFonts w:ascii="Times New Roman" w:hAnsi="Times New Roman" w:cs="Times New Roman"/>
          <w:sz w:val="24"/>
          <w:szCs w:val="24"/>
        </w:rPr>
        <w:t xml:space="preserve"> w terminie przez niego wskazanym w oświadczeniu o wypowiedzeniu umowy ubezpieczenia</w:t>
      </w:r>
      <w:r w:rsidR="00E33D04" w:rsidRPr="004140FE">
        <w:rPr>
          <w:rFonts w:ascii="Times New Roman" w:hAnsi="Times New Roman" w:cs="Times New Roman"/>
          <w:sz w:val="24"/>
          <w:szCs w:val="24"/>
        </w:rPr>
        <w:t xml:space="preserve">, z zastrzeżeniem, że </w:t>
      </w:r>
      <w:r w:rsidR="00E33D04" w:rsidRPr="004140FE">
        <w:rPr>
          <w:rFonts w:ascii="Times New Roman" w:hAnsi="Times New Roman" w:cs="Times New Roman"/>
          <w:bCs/>
          <w:sz w:val="24"/>
          <w:szCs w:val="24"/>
        </w:rPr>
        <w:t>dzień wskazany w tym oświadczeniu nie może być dniem wcześniejszym niż dzień złożenia oświadczenia</w:t>
      </w:r>
      <w:r w:rsidR="003D014E" w:rsidRPr="004140FE">
        <w:rPr>
          <w:rFonts w:ascii="Times New Roman" w:hAnsi="Times New Roman" w:cs="Times New Roman"/>
          <w:bCs/>
          <w:sz w:val="24"/>
          <w:szCs w:val="24"/>
        </w:rPr>
        <w:t xml:space="preserve"> (art. 31 ust. 1)</w:t>
      </w:r>
      <w:r w:rsidR="00E33D04" w:rsidRPr="004140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694F" w:rsidRPr="004140FE">
        <w:rPr>
          <w:rFonts w:ascii="Times New Roman" w:hAnsi="Times New Roman" w:cs="Times New Roman"/>
          <w:bCs/>
          <w:sz w:val="24"/>
          <w:szCs w:val="24"/>
        </w:rPr>
        <w:t xml:space="preserve">Analogiczne uprawnienie będzie dotyczyło </w:t>
      </w:r>
      <w:r w:rsidR="00E33D04" w:rsidRPr="004140FE">
        <w:rPr>
          <w:rFonts w:ascii="Times New Roman" w:hAnsi="Times New Roman" w:cs="Times New Roman"/>
          <w:bCs/>
          <w:sz w:val="24"/>
          <w:szCs w:val="24"/>
        </w:rPr>
        <w:t xml:space="preserve">sytuacji, w której posiadacz pojazdu mechanicznego, niebędący właścicielem tego pojazdu, który zawarł umowę ubezpieczenia OC posiadaczy pojazdów mechanicznych utracił posiadanie tego pojazdu na rzecz właściciela </w:t>
      </w:r>
      <w:r w:rsidR="003D014E" w:rsidRPr="004140FE">
        <w:rPr>
          <w:rFonts w:ascii="Times New Roman" w:hAnsi="Times New Roman" w:cs="Times New Roman"/>
          <w:bCs/>
          <w:sz w:val="24"/>
          <w:szCs w:val="24"/>
        </w:rPr>
        <w:t xml:space="preserve">(art. 31 ust. 4) </w:t>
      </w:r>
      <w:r w:rsidR="00E33D04" w:rsidRPr="004140FE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3D014E" w:rsidRPr="004140FE">
        <w:rPr>
          <w:rFonts w:ascii="Times New Roman" w:hAnsi="Times New Roman" w:cs="Times New Roman"/>
          <w:bCs/>
          <w:sz w:val="24"/>
          <w:szCs w:val="24"/>
        </w:rPr>
        <w:t>będzie dotyczyło</w:t>
      </w:r>
      <w:r w:rsidR="00E33D04" w:rsidRPr="00414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94F" w:rsidRPr="004140FE">
        <w:rPr>
          <w:rFonts w:ascii="Times New Roman" w:hAnsi="Times New Roman" w:cs="Times New Roman"/>
          <w:bCs/>
          <w:sz w:val="24"/>
          <w:szCs w:val="24"/>
        </w:rPr>
        <w:t xml:space="preserve">umów obowiązkowego ubezpieczenia </w:t>
      </w:r>
      <w:r w:rsidR="00473575" w:rsidRPr="004140FE">
        <w:rPr>
          <w:rFonts w:ascii="Times New Roman" w:hAnsi="Times New Roman" w:cs="Times New Roman"/>
          <w:bCs/>
          <w:sz w:val="24"/>
          <w:szCs w:val="24"/>
        </w:rPr>
        <w:t>odpowiedzialności cywilnej (</w:t>
      </w:r>
      <w:r w:rsidR="009D694F" w:rsidRPr="004140FE">
        <w:rPr>
          <w:rFonts w:ascii="Times New Roman" w:hAnsi="Times New Roman" w:cs="Times New Roman"/>
          <w:bCs/>
          <w:sz w:val="24"/>
          <w:szCs w:val="24"/>
        </w:rPr>
        <w:t>OC</w:t>
      </w:r>
      <w:r w:rsidR="00473575" w:rsidRPr="004140FE">
        <w:rPr>
          <w:rFonts w:ascii="Times New Roman" w:hAnsi="Times New Roman" w:cs="Times New Roman"/>
          <w:bCs/>
          <w:sz w:val="24"/>
          <w:szCs w:val="24"/>
        </w:rPr>
        <w:t>)</w:t>
      </w:r>
      <w:r w:rsidR="009D694F" w:rsidRPr="004140FE">
        <w:rPr>
          <w:rFonts w:ascii="Times New Roman" w:hAnsi="Times New Roman" w:cs="Times New Roman"/>
          <w:bCs/>
          <w:sz w:val="24"/>
          <w:szCs w:val="24"/>
        </w:rPr>
        <w:t xml:space="preserve"> rolników z tytułu posiadania gospodarstwa rolnego </w:t>
      </w:r>
      <w:r w:rsidR="003D014E" w:rsidRPr="004140FE">
        <w:rPr>
          <w:rFonts w:ascii="Times New Roman" w:hAnsi="Times New Roman" w:cs="Times New Roman"/>
          <w:bCs/>
          <w:sz w:val="24"/>
          <w:szCs w:val="24"/>
        </w:rPr>
        <w:t xml:space="preserve">(art. 47 ust. 2) </w:t>
      </w:r>
      <w:r w:rsidR="009D694F" w:rsidRPr="004140FE">
        <w:rPr>
          <w:rFonts w:ascii="Times New Roman" w:hAnsi="Times New Roman" w:cs="Times New Roman"/>
          <w:bCs/>
          <w:sz w:val="24"/>
          <w:szCs w:val="24"/>
        </w:rPr>
        <w:t xml:space="preserve">oraz umów </w:t>
      </w:r>
      <w:bookmarkStart w:id="0" w:name="_Hlk198117382"/>
      <w:r w:rsidR="009D694F" w:rsidRPr="004140FE">
        <w:rPr>
          <w:rFonts w:ascii="Times New Roman" w:hAnsi="Times New Roman" w:cs="Times New Roman"/>
          <w:bCs/>
          <w:sz w:val="24"/>
          <w:szCs w:val="24"/>
        </w:rPr>
        <w:t>obowiązkowego ubezpieczenia budynków wchodzących w skład gospodarstwa rolnego od ognia i innych zdarzeń losowych</w:t>
      </w:r>
      <w:bookmarkEnd w:id="0"/>
      <w:r w:rsidR="003D014E" w:rsidRPr="004140FE">
        <w:rPr>
          <w:rFonts w:ascii="Times New Roman" w:hAnsi="Times New Roman" w:cs="Times New Roman"/>
          <w:bCs/>
          <w:sz w:val="24"/>
          <w:szCs w:val="24"/>
        </w:rPr>
        <w:t xml:space="preserve"> (art. 63 ust. 1)</w:t>
      </w:r>
      <w:r w:rsidR="009D694F" w:rsidRPr="004140F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460F06" w14:textId="12FAEF51" w:rsidR="00E1528A" w:rsidRPr="004140FE" w:rsidRDefault="000F02FA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>Projektowana ustawa zakłada zmianę ustawy z dnia 22 maja 2003 r. o ubezpieczeniach obowiązkowych, Ubezpieczeniowym Funduszu Gwarancyjnym i Polskim Biurze Ubezpieczycieli Komunikacyjnych (Dz. U. z 2025 r. poz. 367)</w:t>
      </w:r>
      <w:r w:rsidR="009D694F" w:rsidRPr="004140FE">
        <w:rPr>
          <w:rFonts w:ascii="Times New Roman" w:hAnsi="Times New Roman" w:cs="Times New Roman"/>
          <w:sz w:val="24"/>
          <w:szCs w:val="24"/>
        </w:rPr>
        <w:t xml:space="preserve">, w zakresie regulacji odnoszących się do </w:t>
      </w:r>
      <w:r w:rsidR="00E1528A" w:rsidRPr="004140FE">
        <w:rPr>
          <w:rFonts w:ascii="Times New Roman" w:hAnsi="Times New Roman" w:cs="Times New Roman"/>
          <w:sz w:val="24"/>
          <w:szCs w:val="24"/>
        </w:rPr>
        <w:t xml:space="preserve">trzech powszechnych ubezpieczeń obowiązkowych. </w:t>
      </w:r>
    </w:p>
    <w:p w14:paraId="5AEB47F7" w14:textId="490E5757" w:rsidR="00494C9B" w:rsidRPr="004140FE" w:rsidRDefault="00E1528A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>Zgodnie z obecnie obowiązującym stanem prawnym</w:t>
      </w:r>
      <w:r w:rsidR="009C7CB4" w:rsidRPr="004140FE">
        <w:rPr>
          <w:rFonts w:ascii="Times New Roman" w:hAnsi="Times New Roman" w:cs="Times New Roman"/>
          <w:sz w:val="24"/>
          <w:szCs w:val="24"/>
        </w:rPr>
        <w:t xml:space="preserve">, </w:t>
      </w:r>
      <w:r w:rsidR="00494C9B" w:rsidRPr="004140FE">
        <w:rPr>
          <w:rFonts w:ascii="Times New Roman" w:hAnsi="Times New Roman" w:cs="Times New Roman"/>
          <w:sz w:val="24"/>
          <w:szCs w:val="24"/>
        </w:rPr>
        <w:t>w razie przejścia lub przeniesienia prawa własności pojazdu mechanicznego, w przypadku wypowiedzenia umowy ubezpieczenia OC przez posiadacza</w:t>
      </w:r>
      <w:r w:rsidR="00E130F3">
        <w:rPr>
          <w:rFonts w:ascii="Times New Roman" w:hAnsi="Times New Roman" w:cs="Times New Roman"/>
          <w:sz w:val="24"/>
          <w:szCs w:val="24"/>
        </w:rPr>
        <w:t>,</w:t>
      </w:r>
      <w:r w:rsidR="00494C9B" w:rsidRPr="004140FE">
        <w:rPr>
          <w:rFonts w:ascii="Times New Roman" w:hAnsi="Times New Roman" w:cs="Times New Roman"/>
          <w:sz w:val="24"/>
          <w:szCs w:val="24"/>
        </w:rPr>
        <w:t xml:space="preserve"> na którego przeszło lub zostało przeniesione prawo własności</w:t>
      </w:r>
      <w:r w:rsidR="00C76158" w:rsidRPr="004140FE">
        <w:rPr>
          <w:rFonts w:ascii="Times New Roman" w:hAnsi="Times New Roman" w:cs="Times New Roman"/>
          <w:sz w:val="24"/>
          <w:szCs w:val="24"/>
        </w:rPr>
        <w:t xml:space="preserve"> pojazdu</w:t>
      </w:r>
      <w:r w:rsidR="00494C9B" w:rsidRPr="004140FE">
        <w:rPr>
          <w:rFonts w:ascii="Times New Roman" w:hAnsi="Times New Roman" w:cs="Times New Roman"/>
          <w:sz w:val="24"/>
          <w:szCs w:val="24"/>
        </w:rPr>
        <w:t xml:space="preserve">, ulega ona rozwiązaniu z dniem jej wypowiedzenia. </w:t>
      </w:r>
    </w:p>
    <w:p w14:paraId="49352ADA" w14:textId="3D7FD65C" w:rsidR="00DD4BD1" w:rsidRPr="00597E15" w:rsidRDefault="009D1EBB" w:rsidP="001E5F7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 xml:space="preserve">Proponowana zmiana zakłada, że </w:t>
      </w:r>
      <w:r w:rsidR="00494C9B" w:rsidRPr="004140FE">
        <w:rPr>
          <w:rFonts w:ascii="Times New Roman" w:hAnsi="Times New Roman" w:cs="Times New Roman"/>
          <w:sz w:val="24"/>
          <w:szCs w:val="24"/>
        </w:rPr>
        <w:t xml:space="preserve">w powyższym przypadku, umowa ubezpieczenia OC ulegnie rozwiązaniu z dniem wskazanym w oświadczeniu o jej wypowiedzeniu, a w przypadku braku wskazania takiego dnia </w:t>
      </w:r>
      <w:r w:rsidR="00396961" w:rsidRPr="004140FE">
        <w:rPr>
          <w:rFonts w:ascii="Times New Roman" w:hAnsi="Times New Roman" w:cs="Times New Roman"/>
          <w:sz w:val="24"/>
          <w:szCs w:val="24"/>
        </w:rPr>
        <w:t xml:space="preserve">– </w:t>
      </w:r>
      <w:r w:rsidR="00494C9B" w:rsidRPr="004140FE">
        <w:rPr>
          <w:rFonts w:ascii="Times New Roman" w:hAnsi="Times New Roman" w:cs="Times New Roman"/>
          <w:sz w:val="24"/>
          <w:szCs w:val="24"/>
        </w:rPr>
        <w:t xml:space="preserve">z dniem jej wypowiedzenia. </w:t>
      </w:r>
      <w:r w:rsidR="00DD4BD1" w:rsidRPr="004140FE">
        <w:rPr>
          <w:rFonts w:ascii="Times New Roman" w:hAnsi="Times New Roman" w:cs="Times New Roman"/>
          <w:sz w:val="24"/>
          <w:szCs w:val="24"/>
        </w:rPr>
        <w:t>Postulowane zmiany zostaną wprowadzone w stosunku do umów obowiązkowego</w:t>
      </w:r>
      <w:r w:rsidR="00DD4BD1" w:rsidRPr="004140FE">
        <w:rPr>
          <w:rFonts w:ascii="Times New Roman" w:hAnsi="Times New Roman" w:cs="Times New Roman"/>
          <w:bCs/>
          <w:sz w:val="24"/>
          <w:szCs w:val="24"/>
        </w:rPr>
        <w:t xml:space="preserve"> ubezpieczenia OC posiadaczy pojazdów mechanicznych (art. 1 pkt 1), umów obowiązkowego ubezpieczenia OC rolników z tytułu posiadania gospodarstwa rolnego (art. 1 pkt </w:t>
      </w:r>
      <w:r w:rsidR="00255FE8">
        <w:rPr>
          <w:rFonts w:ascii="Times New Roman" w:hAnsi="Times New Roman" w:cs="Times New Roman"/>
          <w:bCs/>
          <w:sz w:val="24"/>
          <w:szCs w:val="24"/>
        </w:rPr>
        <w:t>3</w:t>
      </w:r>
      <w:r w:rsidR="00DD4BD1" w:rsidRPr="004140FE">
        <w:rPr>
          <w:rFonts w:ascii="Times New Roman" w:hAnsi="Times New Roman" w:cs="Times New Roman"/>
          <w:bCs/>
          <w:sz w:val="24"/>
          <w:szCs w:val="24"/>
        </w:rPr>
        <w:t xml:space="preserve">) oraz umów obowiązkowego ubezpieczenia budynków wchodzących w skład gospodarstwa rolnego od ognia i innych zdarzeń losowych (art. 1 pkt </w:t>
      </w:r>
      <w:r w:rsidR="00255FE8">
        <w:rPr>
          <w:rFonts w:ascii="Times New Roman" w:hAnsi="Times New Roman" w:cs="Times New Roman"/>
          <w:bCs/>
          <w:sz w:val="24"/>
          <w:szCs w:val="24"/>
        </w:rPr>
        <w:t>5</w:t>
      </w:r>
      <w:r w:rsidR="00DD4BD1" w:rsidRPr="004140F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7D7AB8" w:rsidRPr="007D7AB8">
        <w:rPr>
          <w:rFonts w:ascii="Times New Roman" w:hAnsi="Times New Roman" w:cs="Times New Roman"/>
          <w:color w:val="000000"/>
          <w:spacing w:val="-2"/>
          <w:sz w:val="24"/>
          <w:szCs w:val="24"/>
        </w:rPr>
        <w:t>Zastrzeż</w:t>
      </w:r>
      <w:r w:rsidR="00255FE8">
        <w:rPr>
          <w:rFonts w:ascii="Times New Roman" w:hAnsi="Times New Roman" w:cs="Times New Roman"/>
          <w:color w:val="000000"/>
          <w:spacing w:val="-2"/>
          <w:sz w:val="24"/>
          <w:szCs w:val="24"/>
        </w:rPr>
        <w:t>ono jednak</w:t>
      </w:r>
      <w:r w:rsidR="007D7AB8" w:rsidRPr="007D7AB8">
        <w:rPr>
          <w:rFonts w:ascii="Times New Roman" w:hAnsi="Times New Roman" w:cs="Times New Roman"/>
          <w:color w:val="000000"/>
          <w:spacing w:val="-2"/>
          <w:sz w:val="24"/>
          <w:szCs w:val="24"/>
        </w:rPr>
        <w:t>, że dzień wskazany w oświadczeniu o wypowiedzeniu umowy ubezpieczenia nie będzie mógł być dn</w:t>
      </w:r>
      <w:r w:rsidR="007D7AB8" w:rsidRPr="008D53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iem wcześniejszym niż dzień złożenia oświadczenia o </w:t>
      </w:r>
      <w:r w:rsidR="007D7AB8" w:rsidRPr="008D534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wypowiedzeniu, co ma zapobiegać sytuacjom, w których umowa ubezpieczenia byłaby rozwiązywana z mocą wsteczną.</w:t>
      </w:r>
      <w:r w:rsidR="002736B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4979790F" w14:textId="546984B9" w:rsidR="008D534D" w:rsidRPr="00597E15" w:rsidRDefault="00F356DB" w:rsidP="001E5F7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związku z powyższą zmianą p</w:t>
      </w:r>
      <w:r w:rsidR="00EE22E7" w:rsidRPr="007D7AB8">
        <w:rPr>
          <w:rFonts w:ascii="Times New Roman" w:hAnsi="Times New Roman" w:cs="Times New Roman"/>
          <w:bCs/>
          <w:sz w:val="24"/>
          <w:szCs w:val="24"/>
        </w:rPr>
        <w:t xml:space="preserve">rojekt przewiduje także </w:t>
      </w:r>
      <w:r>
        <w:rPr>
          <w:rFonts w:ascii="Times New Roman" w:hAnsi="Times New Roman" w:cs="Times New Roman"/>
          <w:bCs/>
          <w:sz w:val="24"/>
          <w:szCs w:val="24"/>
        </w:rPr>
        <w:t>doprecyzowanie</w:t>
      </w:r>
      <w:r w:rsidR="00EE22E7" w:rsidRPr="007D7AB8">
        <w:rPr>
          <w:rFonts w:ascii="Times New Roman" w:hAnsi="Times New Roman" w:cs="Times New Roman"/>
          <w:bCs/>
          <w:sz w:val="24"/>
          <w:szCs w:val="24"/>
        </w:rPr>
        <w:t xml:space="preserve"> kwestii związanej ze zwrotem składki za niewykorzystany okres ubezpieczenia w przypadku rozwiązania umowy ubezpieczenia OC posiadaczy pojazdów mechanicznych, um</w:t>
      </w:r>
      <w:r>
        <w:rPr>
          <w:rFonts w:ascii="Times New Roman" w:hAnsi="Times New Roman" w:cs="Times New Roman"/>
          <w:bCs/>
          <w:sz w:val="24"/>
          <w:szCs w:val="24"/>
        </w:rPr>
        <w:t>owy</w:t>
      </w:r>
      <w:r w:rsidR="00EE22E7" w:rsidRPr="007D7AB8">
        <w:rPr>
          <w:rFonts w:ascii="Times New Roman" w:hAnsi="Times New Roman" w:cs="Times New Roman"/>
          <w:bCs/>
          <w:sz w:val="24"/>
          <w:szCs w:val="24"/>
        </w:rPr>
        <w:t xml:space="preserve"> ubezpieczenia OC rolników z tytułu posiadania gospodarstwa rolnego oraz um</w:t>
      </w:r>
      <w:r>
        <w:rPr>
          <w:rFonts w:ascii="Times New Roman" w:hAnsi="Times New Roman" w:cs="Times New Roman"/>
          <w:bCs/>
          <w:sz w:val="24"/>
          <w:szCs w:val="24"/>
        </w:rPr>
        <w:t>owy</w:t>
      </w:r>
      <w:r w:rsidR="00EE22E7" w:rsidRPr="007D7AB8">
        <w:rPr>
          <w:rFonts w:ascii="Times New Roman" w:hAnsi="Times New Roman" w:cs="Times New Roman"/>
          <w:bCs/>
          <w:sz w:val="24"/>
          <w:szCs w:val="24"/>
        </w:rPr>
        <w:t xml:space="preserve"> ubezpieczenia budynków wchodzących w skład gospodarstwa rolnego od ognia i innych zdarzeń losowych. Zgodnie z aktualnym brzmieniem przepisów zwrot takiej składki następuje niezwłocznie, jednak nie później niż w terminie 14 dni od dnia wypowiedzenia umowy ubezpieczenia. Pozostawienie takiego brzmienia przepisów mogłoby </w:t>
      </w:r>
      <w:r w:rsidR="00EE22E7" w:rsidRPr="00597E15">
        <w:rPr>
          <w:rFonts w:ascii="Times New Roman" w:hAnsi="Times New Roman" w:cs="Times New Roman"/>
          <w:sz w:val="24"/>
          <w:szCs w:val="24"/>
        </w:rPr>
        <w:t xml:space="preserve">wywoływać wątpliwości w praktyce </w:t>
      </w:r>
      <w:r w:rsidR="00F174B6">
        <w:rPr>
          <w:rFonts w:ascii="Times New Roman" w:hAnsi="Times New Roman" w:cs="Times New Roman"/>
          <w:sz w:val="24"/>
          <w:szCs w:val="24"/>
        </w:rPr>
        <w:t>ich</w:t>
      </w:r>
      <w:r w:rsidR="00EE22E7" w:rsidRPr="00597E15">
        <w:rPr>
          <w:rFonts w:ascii="Times New Roman" w:hAnsi="Times New Roman" w:cs="Times New Roman"/>
          <w:sz w:val="24"/>
          <w:szCs w:val="24"/>
        </w:rPr>
        <w:t xml:space="preserve"> stosowania, np. w sytuacji, gdy nie dojdzie do rozwiązania umowy mimo jej wypowiedzenia (np. przy cofnięciu wypowiedzenia). </w:t>
      </w:r>
      <w:r>
        <w:rPr>
          <w:rFonts w:ascii="Times New Roman" w:hAnsi="Times New Roman" w:cs="Times New Roman"/>
          <w:sz w:val="24"/>
          <w:szCs w:val="24"/>
        </w:rPr>
        <w:t>Wątpliwości mogłyby powstać również w przypadku</w:t>
      </w:r>
      <w:r w:rsidR="00F91A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gdyby data rozwiązania umowy ubezpieczenia, wskazana w oświadczeniu o jej wypowiedzeniu, była odległa w czasie i przekraczała okres 14 dni od dnia wypowiedzenia. Składka, przy pozostawieniu przepisów w aktualnym brzmieniu, byłaby zwracana w okresie 14 dni od dnia wypowiedzenia (złożenia oświadczenia o wypowiedzeniu), a ochrona ubezpieczeniowa byłaby dalej świadczona np. przez okres jeszcze kilku miesięcy. W celu uniknięcia takich sytuacji </w:t>
      </w:r>
      <w:r w:rsidR="00EE22E7" w:rsidRPr="00597E15">
        <w:rPr>
          <w:rFonts w:ascii="Times New Roman" w:hAnsi="Times New Roman" w:cs="Times New Roman"/>
          <w:sz w:val="24"/>
          <w:szCs w:val="24"/>
        </w:rPr>
        <w:t xml:space="preserve">w projekcie ustawy proponuje się doprecyzowanie tej kwestii poprzez odniesienie się do dnia rozwiązania umowy ubezpieczenia, a nie jak jest dotychczas </w:t>
      </w:r>
      <w:r w:rsidR="00E130F3">
        <w:rPr>
          <w:rFonts w:ascii="Times New Roman" w:hAnsi="Times New Roman" w:cs="Times New Roman"/>
          <w:sz w:val="24"/>
          <w:szCs w:val="24"/>
        </w:rPr>
        <w:t>–</w:t>
      </w:r>
      <w:r w:rsidR="00EE22E7" w:rsidRPr="00597E15">
        <w:rPr>
          <w:rFonts w:ascii="Times New Roman" w:hAnsi="Times New Roman" w:cs="Times New Roman"/>
          <w:sz w:val="24"/>
          <w:szCs w:val="24"/>
        </w:rPr>
        <w:t xml:space="preserve"> do dnia</w:t>
      </w:r>
      <w:r w:rsidR="00597E15">
        <w:rPr>
          <w:rFonts w:ascii="Times New Roman" w:hAnsi="Times New Roman" w:cs="Times New Roman"/>
          <w:sz w:val="24"/>
          <w:szCs w:val="24"/>
        </w:rPr>
        <w:t xml:space="preserve"> </w:t>
      </w:r>
      <w:r w:rsidR="00EE22E7" w:rsidRPr="00597E15">
        <w:rPr>
          <w:rFonts w:ascii="Times New Roman" w:hAnsi="Times New Roman" w:cs="Times New Roman"/>
          <w:sz w:val="24"/>
          <w:szCs w:val="24"/>
        </w:rPr>
        <w:t>wypowiedzenia umowy (zmiany w art. 41 ust. 4, art. 56 ust. 3 oraz w art. 76 ust. 2).</w:t>
      </w:r>
      <w:r w:rsidR="00EE22E7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412DA06C" w14:textId="2B65C0F1" w:rsidR="00695F99" w:rsidRPr="004140FE" w:rsidRDefault="00695F99" w:rsidP="001E5F7C">
      <w:pPr>
        <w:spacing w:before="120"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140F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Zakłada się, że przewidywanym skutkiem wejścia w życie projektowanej ustawy będzie </w:t>
      </w:r>
      <w:r w:rsidRPr="004140FE">
        <w:rPr>
          <w:rFonts w:ascii="Times New Roman" w:hAnsi="Times New Roman"/>
          <w:color w:val="000000"/>
          <w:spacing w:val="-2"/>
          <w:sz w:val="24"/>
          <w:szCs w:val="24"/>
        </w:rPr>
        <w:t>większa elastyczność w zakresie rozwiązania umowy ubezpieczenia, poprzez możliwość rozwiązania umowy ubezpieczenia OC w terminie wskazanym w oświadczeniu o wypowiedzeniu umowy ubezpieczenia przez osobę, na którą przeszło lub zostało przeniesione prawo własności pojazdu mechanicznego</w:t>
      </w:r>
      <w:r w:rsidR="00241708" w:rsidRPr="004140FE">
        <w:rPr>
          <w:rFonts w:ascii="Times New Roman" w:hAnsi="Times New Roman"/>
          <w:color w:val="000000"/>
          <w:spacing w:val="-2"/>
          <w:sz w:val="24"/>
          <w:szCs w:val="24"/>
        </w:rPr>
        <w:t xml:space="preserve"> (także w </w:t>
      </w:r>
      <w:r w:rsidR="00241708" w:rsidRPr="004140FE">
        <w:rPr>
          <w:rFonts w:ascii="Times New Roman" w:hAnsi="Times New Roman"/>
          <w:bCs/>
          <w:sz w:val="24"/>
          <w:szCs w:val="24"/>
        </w:rPr>
        <w:t xml:space="preserve">sytuacji, w której posiadacz pojazdu mechanicznego, niebędący właścicielem tego pojazdu, który zawarł umowę ubezpieczenia OC posiadaczy pojazdów mechanicznych utracił posiadanie tego pojazdu na rzecz właściciela </w:t>
      </w:r>
      <w:r w:rsidRPr="004140FE">
        <w:rPr>
          <w:rFonts w:ascii="Times New Roman" w:hAnsi="Times New Roman"/>
          <w:color w:val="000000"/>
          <w:spacing w:val="-2"/>
          <w:sz w:val="24"/>
          <w:szCs w:val="24"/>
        </w:rPr>
        <w:t xml:space="preserve">i analogicznie – przez osobę obejmującą gospodarstwo rolne w posiadanie). </w:t>
      </w:r>
    </w:p>
    <w:p w14:paraId="37EB4BC5" w14:textId="1FFD00AA" w:rsidR="00B46018" w:rsidRPr="004140FE" w:rsidRDefault="000F02FA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 xml:space="preserve">W art. </w:t>
      </w:r>
      <w:r w:rsidR="00CA624D" w:rsidRPr="004140FE">
        <w:rPr>
          <w:rFonts w:ascii="Times New Roman" w:hAnsi="Times New Roman" w:cs="Times New Roman"/>
          <w:sz w:val="24"/>
          <w:szCs w:val="24"/>
        </w:rPr>
        <w:t>2</w:t>
      </w:r>
      <w:r w:rsidRPr="004140FE">
        <w:rPr>
          <w:rFonts w:ascii="Times New Roman" w:hAnsi="Times New Roman" w:cs="Times New Roman"/>
          <w:sz w:val="24"/>
          <w:szCs w:val="24"/>
        </w:rPr>
        <w:t xml:space="preserve"> projektu przyjęto, że ustawa wejdzie w życie po upływie </w:t>
      </w:r>
      <w:r w:rsidR="00CA624D" w:rsidRPr="004140FE">
        <w:rPr>
          <w:rFonts w:ascii="Times New Roman" w:hAnsi="Times New Roman" w:cs="Times New Roman"/>
          <w:sz w:val="24"/>
          <w:szCs w:val="24"/>
        </w:rPr>
        <w:t xml:space="preserve">14 dni </w:t>
      </w:r>
      <w:r w:rsidRPr="004140FE">
        <w:rPr>
          <w:rFonts w:ascii="Times New Roman" w:hAnsi="Times New Roman" w:cs="Times New Roman"/>
          <w:sz w:val="24"/>
          <w:szCs w:val="24"/>
        </w:rPr>
        <w:t xml:space="preserve">od dnia ogłoszenia. </w:t>
      </w:r>
    </w:p>
    <w:p w14:paraId="480F2B96" w14:textId="39ED2034" w:rsidR="00802BE1" w:rsidRPr="004140FE" w:rsidRDefault="00802BE1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>Nowe regulacje będą miały zastosowanie od momentu wejścia w życie ustawy</w:t>
      </w:r>
      <w:r w:rsidR="00695F99" w:rsidRPr="004140FE">
        <w:rPr>
          <w:rFonts w:ascii="Times New Roman" w:hAnsi="Times New Roman" w:cs="Times New Roman"/>
          <w:sz w:val="24"/>
          <w:szCs w:val="24"/>
        </w:rPr>
        <w:t>.</w:t>
      </w:r>
      <w:r w:rsidRPr="004140FE">
        <w:rPr>
          <w:rFonts w:ascii="Times New Roman" w:hAnsi="Times New Roman" w:cs="Times New Roman"/>
          <w:sz w:val="24"/>
          <w:szCs w:val="24"/>
        </w:rPr>
        <w:t xml:space="preserve"> </w:t>
      </w:r>
      <w:r w:rsidR="0078296B">
        <w:rPr>
          <w:rFonts w:ascii="Times New Roman" w:hAnsi="Times New Roman" w:cs="Times New Roman"/>
          <w:sz w:val="24"/>
          <w:szCs w:val="24"/>
        </w:rPr>
        <w:t>W przypadkach określonych w projekcie ustawy o</w:t>
      </w:r>
      <w:r w:rsidR="00695F99" w:rsidRPr="004140FE">
        <w:rPr>
          <w:rFonts w:ascii="Times New Roman" w:hAnsi="Times New Roman" w:cs="Times New Roman"/>
          <w:sz w:val="24"/>
          <w:szCs w:val="24"/>
        </w:rPr>
        <w:t xml:space="preserve">soby, które w chwili wejścia w życie ustawy będą </w:t>
      </w:r>
      <w:r w:rsidR="006E7D9A" w:rsidRPr="004140FE">
        <w:rPr>
          <w:rFonts w:ascii="Times New Roman" w:hAnsi="Times New Roman" w:cs="Times New Roman"/>
          <w:sz w:val="24"/>
          <w:szCs w:val="24"/>
        </w:rPr>
        <w:t xml:space="preserve">miały zawarte </w:t>
      </w:r>
      <w:r w:rsidR="00695F99" w:rsidRPr="004140FE">
        <w:rPr>
          <w:rFonts w:ascii="Times New Roman" w:hAnsi="Times New Roman" w:cs="Times New Roman"/>
          <w:sz w:val="24"/>
          <w:szCs w:val="24"/>
        </w:rPr>
        <w:t xml:space="preserve">umowy </w:t>
      </w:r>
      <w:r w:rsidR="006E7D9A" w:rsidRPr="004140FE">
        <w:rPr>
          <w:rFonts w:ascii="Times New Roman" w:hAnsi="Times New Roman" w:cs="Times New Roman"/>
          <w:sz w:val="24"/>
          <w:szCs w:val="24"/>
        </w:rPr>
        <w:t xml:space="preserve">tzw. powszechnych </w:t>
      </w:r>
      <w:r w:rsidR="00695F99" w:rsidRPr="004140FE">
        <w:rPr>
          <w:rFonts w:ascii="Times New Roman" w:hAnsi="Times New Roman" w:cs="Times New Roman"/>
          <w:sz w:val="24"/>
          <w:szCs w:val="24"/>
        </w:rPr>
        <w:t>ubezpiecze</w:t>
      </w:r>
      <w:r w:rsidR="006E7D9A" w:rsidRPr="004140FE">
        <w:rPr>
          <w:rFonts w:ascii="Times New Roman" w:hAnsi="Times New Roman" w:cs="Times New Roman"/>
          <w:sz w:val="24"/>
          <w:szCs w:val="24"/>
        </w:rPr>
        <w:t>ń obowiązkowych</w:t>
      </w:r>
      <w:r w:rsidR="00695F99" w:rsidRPr="004140FE">
        <w:rPr>
          <w:rFonts w:ascii="Times New Roman" w:hAnsi="Times New Roman" w:cs="Times New Roman"/>
          <w:sz w:val="24"/>
          <w:szCs w:val="24"/>
        </w:rPr>
        <w:t xml:space="preserve">, będą mogły skorzystać z projektowanego uprawnienia począwszy od dnia wejścia w życie </w:t>
      </w:r>
      <w:r w:rsidR="00650600" w:rsidRPr="004140FE">
        <w:rPr>
          <w:rFonts w:ascii="Times New Roman" w:hAnsi="Times New Roman" w:cs="Times New Roman"/>
          <w:sz w:val="24"/>
          <w:szCs w:val="24"/>
        </w:rPr>
        <w:t xml:space="preserve">nowych </w:t>
      </w:r>
      <w:r w:rsidR="00695F99" w:rsidRPr="004140FE">
        <w:rPr>
          <w:rFonts w:ascii="Times New Roman" w:hAnsi="Times New Roman" w:cs="Times New Roman"/>
          <w:sz w:val="24"/>
          <w:szCs w:val="24"/>
        </w:rPr>
        <w:t xml:space="preserve">regulacji. </w:t>
      </w:r>
    </w:p>
    <w:p w14:paraId="28B79B92" w14:textId="77777777" w:rsidR="000F02FA" w:rsidRPr="004140FE" w:rsidRDefault="000F02FA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lastRenderedPageBreak/>
        <w:t>Projekt ustawy nie jest objęty prawem Unii Europejskiej.</w:t>
      </w:r>
    </w:p>
    <w:p w14:paraId="26D7EBC2" w14:textId="77777777" w:rsidR="000F02FA" w:rsidRPr="004140FE" w:rsidRDefault="000F02FA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 xml:space="preserve">Projektowana ustawa nie wymaga przedstawiania organom i instytucjom Unii Europejskiej w celu uzyskania opinii, dokonania powiadomienia, konsultacji albo uzgodnienia. W szczególności, zgodnie z art. 2 ust. 1 decyzji Rady 98/415/WE z dnia 29 czerwca 1998 r. w sprawie konsultacji Europejskiego Banku Centralnego udzielanych władzom krajowym w sprawie projektów przepisów prawnych (Dz. Urz. WE L 189 z 03.07.1998, str. 42 – Dz. Urz. UE Polskie Wydanie Specjalne rozdz. 1, t. 1, str. 446), projekt ustawy nie podlega konsultacji z Europejskim Bankiem Centralnym. </w:t>
      </w:r>
    </w:p>
    <w:p w14:paraId="447C4266" w14:textId="0E8DBE55" w:rsidR="000F02FA" w:rsidRPr="004140FE" w:rsidRDefault="000F02FA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 xml:space="preserve">Zawarte w projekcie regulacje nie stanowią przepisów technicznych w rozumieniu rozporządzenia Rady Ministrów z dnia 23 grudnia 2002 r. w sprawie sposobu funkcjonowania krajowego systemu notyfikacji norm i aktów prawnych (Dz. U. poz. 2039, z późn. zm.), dlatego też projekt </w:t>
      </w:r>
      <w:r w:rsidR="00CA624D" w:rsidRPr="004140FE">
        <w:rPr>
          <w:rFonts w:ascii="Times New Roman" w:hAnsi="Times New Roman" w:cs="Times New Roman"/>
          <w:sz w:val="24"/>
          <w:szCs w:val="24"/>
        </w:rPr>
        <w:t xml:space="preserve">ustawy </w:t>
      </w:r>
      <w:r w:rsidRPr="004140FE">
        <w:rPr>
          <w:rFonts w:ascii="Times New Roman" w:hAnsi="Times New Roman" w:cs="Times New Roman"/>
          <w:sz w:val="24"/>
          <w:szCs w:val="24"/>
        </w:rPr>
        <w:t>nie podlega procedurze notyfikacji</w:t>
      </w:r>
      <w:r w:rsidR="002A7926" w:rsidRPr="004140FE">
        <w:rPr>
          <w:rFonts w:ascii="Times New Roman" w:hAnsi="Times New Roman" w:cs="Times New Roman"/>
          <w:sz w:val="24"/>
          <w:szCs w:val="24"/>
        </w:rPr>
        <w:t>.</w:t>
      </w:r>
    </w:p>
    <w:p w14:paraId="6E0C237C" w14:textId="4206230B" w:rsidR="000F02FA" w:rsidRPr="004140FE" w:rsidRDefault="000F02FA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>Stosownie do art. 5 ustawy z dnia 7 lipca 2005 r. o działalności lobbingowej w procesie stanowienia prawa (Dz. U. z 20</w:t>
      </w:r>
      <w:r w:rsidR="00DA173A" w:rsidRPr="004140FE">
        <w:rPr>
          <w:rFonts w:ascii="Times New Roman" w:hAnsi="Times New Roman" w:cs="Times New Roman"/>
          <w:sz w:val="24"/>
          <w:szCs w:val="24"/>
        </w:rPr>
        <w:t>25</w:t>
      </w:r>
      <w:r w:rsidRPr="004140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DA173A" w:rsidRPr="004140FE">
        <w:rPr>
          <w:rFonts w:ascii="Times New Roman" w:hAnsi="Times New Roman" w:cs="Times New Roman"/>
          <w:sz w:val="24"/>
          <w:szCs w:val="24"/>
        </w:rPr>
        <w:t>677</w:t>
      </w:r>
      <w:r w:rsidRPr="004140FE">
        <w:rPr>
          <w:rFonts w:ascii="Times New Roman" w:hAnsi="Times New Roman" w:cs="Times New Roman"/>
          <w:sz w:val="24"/>
          <w:szCs w:val="24"/>
        </w:rPr>
        <w:t>) projekt ustawy podlega udostępnieniu w Biuletynie Informacji Publicznej na stronie podmiotowej Rządowego Centrum Legislacji, w</w:t>
      </w:r>
      <w:r w:rsidR="00BC6FD3" w:rsidRPr="004140FE">
        <w:rPr>
          <w:rFonts w:ascii="Times New Roman" w:hAnsi="Times New Roman" w:cs="Times New Roman"/>
          <w:sz w:val="24"/>
          <w:szCs w:val="24"/>
        </w:rPr>
        <w:t xml:space="preserve"> </w:t>
      </w:r>
      <w:r w:rsidRPr="004140FE">
        <w:rPr>
          <w:rFonts w:ascii="Times New Roman" w:hAnsi="Times New Roman" w:cs="Times New Roman"/>
          <w:sz w:val="24"/>
          <w:szCs w:val="24"/>
        </w:rPr>
        <w:t xml:space="preserve">serwisie </w:t>
      </w:r>
      <w:r w:rsidR="000F0ABB">
        <w:rPr>
          <w:rFonts w:ascii="Times New Roman" w:hAnsi="Times New Roman" w:cs="Times New Roman"/>
          <w:sz w:val="24"/>
          <w:szCs w:val="24"/>
        </w:rPr>
        <w:t>„</w:t>
      </w:r>
      <w:r w:rsidRPr="004140FE">
        <w:rPr>
          <w:rFonts w:ascii="Times New Roman" w:hAnsi="Times New Roman" w:cs="Times New Roman"/>
          <w:sz w:val="24"/>
          <w:szCs w:val="24"/>
        </w:rPr>
        <w:t>Rządowy Proces Legislacyjny</w:t>
      </w:r>
      <w:r w:rsidR="000F0ABB">
        <w:rPr>
          <w:rFonts w:ascii="Times New Roman" w:hAnsi="Times New Roman" w:cs="Times New Roman"/>
          <w:sz w:val="24"/>
          <w:szCs w:val="24"/>
        </w:rPr>
        <w:t>”</w:t>
      </w:r>
      <w:r w:rsidRPr="004140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A437B" w14:textId="30675DB2" w:rsidR="000F02FA" w:rsidRPr="004140FE" w:rsidRDefault="000F02FA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FE">
        <w:rPr>
          <w:rFonts w:ascii="Times New Roman" w:hAnsi="Times New Roman" w:cs="Times New Roman"/>
          <w:sz w:val="24"/>
          <w:szCs w:val="24"/>
        </w:rPr>
        <w:t>Zawarte w projekcie regulacje nie będą miały wpływu na działalność mikroprzedsiębiorców, małych i średnich przedsiębiorców zgodnie z ustawą z dnia 6 marca 2018 r. – Prawo przedsiębiorców (Dz. U. z 2024 r. poz. 236, z późn. zm.). Projektowane regulacje będą dotyczyć dużych instytucji finansowych (zakładów ubezpieczeń)</w:t>
      </w:r>
      <w:r w:rsidR="00CA624D" w:rsidRPr="004140FE">
        <w:rPr>
          <w:rFonts w:ascii="Times New Roman" w:hAnsi="Times New Roman" w:cs="Times New Roman"/>
          <w:sz w:val="24"/>
          <w:szCs w:val="24"/>
        </w:rPr>
        <w:t>.</w:t>
      </w:r>
    </w:p>
    <w:p w14:paraId="170754B0" w14:textId="77777777" w:rsidR="00603EB4" w:rsidRPr="002F518F" w:rsidRDefault="00603EB4" w:rsidP="001E5F7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EB4" w:rsidRPr="002F518F" w:rsidSect="00E130F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BF638" w14:textId="77777777" w:rsidR="00717349" w:rsidRDefault="00717349" w:rsidP="000F02FA">
      <w:pPr>
        <w:spacing w:after="0" w:line="240" w:lineRule="auto"/>
      </w:pPr>
      <w:r>
        <w:separator/>
      </w:r>
    </w:p>
  </w:endnote>
  <w:endnote w:type="continuationSeparator" w:id="0">
    <w:p w14:paraId="7076AB13" w14:textId="77777777" w:rsidR="00717349" w:rsidRDefault="00717349" w:rsidP="000F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333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C417A1" w14:textId="1491DADB" w:rsidR="00E130F3" w:rsidRPr="00E130F3" w:rsidRDefault="00E130F3" w:rsidP="00E130F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3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30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3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130F3">
          <w:rPr>
            <w:rFonts w:ascii="Times New Roman" w:hAnsi="Times New Roman" w:cs="Times New Roman"/>
            <w:sz w:val="24"/>
            <w:szCs w:val="24"/>
          </w:rPr>
          <w:t>2</w:t>
        </w:r>
        <w:r w:rsidRPr="00E13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3AD8" w14:textId="77777777" w:rsidR="00717349" w:rsidRDefault="00717349" w:rsidP="000F02FA">
      <w:pPr>
        <w:spacing w:after="0" w:line="240" w:lineRule="auto"/>
      </w:pPr>
      <w:r>
        <w:separator/>
      </w:r>
    </w:p>
  </w:footnote>
  <w:footnote w:type="continuationSeparator" w:id="0">
    <w:p w14:paraId="08D5A96A" w14:textId="77777777" w:rsidR="00717349" w:rsidRDefault="00717349" w:rsidP="000F0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FA"/>
    <w:rsid w:val="000106C4"/>
    <w:rsid w:val="00022042"/>
    <w:rsid w:val="000442D7"/>
    <w:rsid w:val="0005135C"/>
    <w:rsid w:val="00071503"/>
    <w:rsid w:val="000A4F70"/>
    <w:rsid w:val="000E087E"/>
    <w:rsid w:val="000F02FA"/>
    <w:rsid w:val="000F0ABB"/>
    <w:rsid w:val="000F6C65"/>
    <w:rsid w:val="00107FC7"/>
    <w:rsid w:val="00121EEE"/>
    <w:rsid w:val="001400E4"/>
    <w:rsid w:val="001434FD"/>
    <w:rsid w:val="001436FC"/>
    <w:rsid w:val="00161716"/>
    <w:rsid w:val="001627C6"/>
    <w:rsid w:val="00165CFF"/>
    <w:rsid w:val="0017352F"/>
    <w:rsid w:val="00187B41"/>
    <w:rsid w:val="001A5063"/>
    <w:rsid w:val="001D09AF"/>
    <w:rsid w:val="001D548E"/>
    <w:rsid w:val="001E37F5"/>
    <w:rsid w:val="001E5F7C"/>
    <w:rsid w:val="002043A2"/>
    <w:rsid w:val="00214138"/>
    <w:rsid w:val="00220E49"/>
    <w:rsid w:val="00241708"/>
    <w:rsid w:val="002441E2"/>
    <w:rsid w:val="00244DD1"/>
    <w:rsid w:val="00255FE8"/>
    <w:rsid w:val="00257EB5"/>
    <w:rsid w:val="00262D63"/>
    <w:rsid w:val="002736BC"/>
    <w:rsid w:val="00283540"/>
    <w:rsid w:val="00296077"/>
    <w:rsid w:val="002A21AD"/>
    <w:rsid w:val="002A46A8"/>
    <w:rsid w:val="002A7926"/>
    <w:rsid w:val="002B77C0"/>
    <w:rsid w:val="002E27EE"/>
    <w:rsid w:val="002F0934"/>
    <w:rsid w:val="002F518F"/>
    <w:rsid w:val="003031C0"/>
    <w:rsid w:val="00305382"/>
    <w:rsid w:val="0031007B"/>
    <w:rsid w:val="00313B40"/>
    <w:rsid w:val="00315D7A"/>
    <w:rsid w:val="00334716"/>
    <w:rsid w:val="00363007"/>
    <w:rsid w:val="00365A6A"/>
    <w:rsid w:val="00396961"/>
    <w:rsid w:val="003A4705"/>
    <w:rsid w:val="003C2B3C"/>
    <w:rsid w:val="003D014E"/>
    <w:rsid w:val="003D62E7"/>
    <w:rsid w:val="003F0642"/>
    <w:rsid w:val="004140FE"/>
    <w:rsid w:val="00425556"/>
    <w:rsid w:val="004327FC"/>
    <w:rsid w:val="004337C8"/>
    <w:rsid w:val="00437F56"/>
    <w:rsid w:val="0044459C"/>
    <w:rsid w:val="00464A89"/>
    <w:rsid w:val="00473575"/>
    <w:rsid w:val="00473E40"/>
    <w:rsid w:val="0047675F"/>
    <w:rsid w:val="00494C9B"/>
    <w:rsid w:val="0051492B"/>
    <w:rsid w:val="00537529"/>
    <w:rsid w:val="005748D7"/>
    <w:rsid w:val="00590B8E"/>
    <w:rsid w:val="00597E15"/>
    <w:rsid w:val="005A2001"/>
    <w:rsid w:val="005C5F95"/>
    <w:rsid w:val="00603EB4"/>
    <w:rsid w:val="006072B9"/>
    <w:rsid w:val="00613B6C"/>
    <w:rsid w:val="0064710D"/>
    <w:rsid w:val="00650600"/>
    <w:rsid w:val="00695F99"/>
    <w:rsid w:val="006A0ED0"/>
    <w:rsid w:val="006A2516"/>
    <w:rsid w:val="006E7D9A"/>
    <w:rsid w:val="006F3B0B"/>
    <w:rsid w:val="006F6ACF"/>
    <w:rsid w:val="00714676"/>
    <w:rsid w:val="00717349"/>
    <w:rsid w:val="00726331"/>
    <w:rsid w:val="00732C04"/>
    <w:rsid w:val="00734C78"/>
    <w:rsid w:val="007551DF"/>
    <w:rsid w:val="00774FCB"/>
    <w:rsid w:val="0078296B"/>
    <w:rsid w:val="00792CD6"/>
    <w:rsid w:val="007A7258"/>
    <w:rsid w:val="007D7AB8"/>
    <w:rsid w:val="007E22DC"/>
    <w:rsid w:val="007F268D"/>
    <w:rsid w:val="00802BE1"/>
    <w:rsid w:val="00806D10"/>
    <w:rsid w:val="008128B8"/>
    <w:rsid w:val="00827271"/>
    <w:rsid w:val="00851BFF"/>
    <w:rsid w:val="008627E6"/>
    <w:rsid w:val="00865378"/>
    <w:rsid w:val="008A1433"/>
    <w:rsid w:val="008A1894"/>
    <w:rsid w:val="008B2A1D"/>
    <w:rsid w:val="008B2E69"/>
    <w:rsid w:val="008B54CE"/>
    <w:rsid w:val="008D3F35"/>
    <w:rsid w:val="008D534D"/>
    <w:rsid w:val="008F154A"/>
    <w:rsid w:val="00911678"/>
    <w:rsid w:val="00926D37"/>
    <w:rsid w:val="00942A42"/>
    <w:rsid w:val="00947294"/>
    <w:rsid w:val="009C7CB4"/>
    <w:rsid w:val="009D1EBB"/>
    <w:rsid w:val="009D33E4"/>
    <w:rsid w:val="009D694F"/>
    <w:rsid w:val="009D7492"/>
    <w:rsid w:val="009E3701"/>
    <w:rsid w:val="00A2048E"/>
    <w:rsid w:val="00A27704"/>
    <w:rsid w:val="00A3250B"/>
    <w:rsid w:val="00A51DD5"/>
    <w:rsid w:val="00A73956"/>
    <w:rsid w:val="00A818C0"/>
    <w:rsid w:val="00AA6B30"/>
    <w:rsid w:val="00B43095"/>
    <w:rsid w:val="00B46018"/>
    <w:rsid w:val="00B67904"/>
    <w:rsid w:val="00BA7B59"/>
    <w:rsid w:val="00BB0EA6"/>
    <w:rsid w:val="00BB40B6"/>
    <w:rsid w:val="00BC6FD3"/>
    <w:rsid w:val="00BD4B69"/>
    <w:rsid w:val="00BD7A27"/>
    <w:rsid w:val="00BF266F"/>
    <w:rsid w:val="00C12C41"/>
    <w:rsid w:val="00C27EE2"/>
    <w:rsid w:val="00C52F44"/>
    <w:rsid w:val="00C60159"/>
    <w:rsid w:val="00C76158"/>
    <w:rsid w:val="00C76D6F"/>
    <w:rsid w:val="00C8179F"/>
    <w:rsid w:val="00C9243A"/>
    <w:rsid w:val="00CA624D"/>
    <w:rsid w:val="00D108EF"/>
    <w:rsid w:val="00D11DD7"/>
    <w:rsid w:val="00D21A07"/>
    <w:rsid w:val="00D32BDB"/>
    <w:rsid w:val="00D41DC8"/>
    <w:rsid w:val="00D44924"/>
    <w:rsid w:val="00D4757F"/>
    <w:rsid w:val="00D71DA0"/>
    <w:rsid w:val="00D82436"/>
    <w:rsid w:val="00D97226"/>
    <w:rsid w:val="00DA173A"/>
    <w:rsid w:val="00DB48EC"/>
    <w:rsid w:val="00DC5F0E"/>
    <w:rsid w:val="00DC7C68"/>
    <w:rsid w:val="00DD4BD1"/>
    <w:rsid w:val="00E0658D"/>
    <w:rsid w:val="00E130F3"/>
    <w:rsid w:val="00E1528A"/>
    <w:rsid w:val="00E33D04"/>
    <w:rsid w:val="00E40781"/>
    <w:rsid w:val="00E54276"/>
    <w:rsid w:val="00E626F1"/>
    <w:rsid w:val="00EC36FA"/>
    <w:rsid w:val="00EE22E7"/>
    <w:rsid w:val="00F12D04"/>
    <w:rsid w:val="00F174B6"/>
    <w:rsid w:val="00F356DB"/>
    <w:rsid w:val="00F40A78"/>
    <w:rsid w:val="00F45DDB"/>
    <w:rsid w:val="00F473A0"/>
    <w:rsid w:val="00F66C60"/>
    <w:rsid w:val="00F77C32"/>
    <w:rsid w:val="00F8082E"/>
    <w:rsid w:val="00F91ABB"/>
    <w:rsid w:val="00FA3986"/>
    <w:rsid w:val="00FB3017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2D4AA"/>
  <w15:chartTrackingRefBased/>
  <w15:docId w15:val="{CFDB55D3-A462-45E4-8642-943CDBC9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2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C4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130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1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0F3"/>
  </w:style>
  <w:style w:type="paragraph" w:styleId="Stopka">
    <w:name w:val="footer"/>
    <w:basedOn w:val="Normalny"/>
    <w:link w:val="StopkaZnak"/>
    <w:uiPriority w:val="99"/>
    <w:unhideWhenUsed/>
    <w:rsid w:val="00E1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Litwiniuk Piotr</dc:creator>
  <cp:keywords/>
  <dc:description/>
  <cp:lastModifiedBy>Bodych Dominika</cp:lastModifiedBy>
  <cp:revision>3</cp:revision>
  <dcterms:created xsi:type="dcterms:W3CDTF">2025-07-01T13:03:00Z</dcterms:created>
  <dcterms:modified xsi:type="dcterms:W3CDTF">2025-07-01T13:03:00Z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UxC4dwLulzfINJ8nQH+xvX5LNGipWa4BRSZhPgxsCvmw/5N3DDDo2fMXGSKe1zQjeLHcz0b6ggYcYT892qSgvA==</vt:lpwstr>
  </property>
  <property fmtid="{D5CDD505-2E9C-101B-9397-08002B2CF9AE}" pid="4" name="MFClassificationDate">
    <vt:lpwstr>2025-04-23T12:19:24.1219904+02:00</vt:lpwstr>
  </property>
  <property fmtid="{D5CDD505-2E9C-101B-9397-08002B2CF9AE}" pid="5" name="MFClassifiedBySID">
    <vt:lpwstr>UxC4dwLulzfINJ8nQH+xvX5LNGipWa4BRSZhPgxsCvm42mrIC/DSDv0ggS+FjUN/2v1BBotkLlY5aAiEhoi6ucLpuYK9RJ3K98HfavWhPJ706wQDJgi8Soxr8eHRWRi4</vt:lpwstr>
  </property>
  <property fmtid="{D5CDD505-2E9C-101B-9397-08002B2CF9AE}" pid="6" name="MFGRNItemId">
    <vt:lpwstr>GRN-d1a47f7f-7cf1-42fd-bf7f-f96e671b9532</vt:lpwstr>
  </property>
  <property fmtid="{D5CDD505-2E9C-101B-9397-08002B2CF9AE}" pid="7" name="MFHash">
    <vt:lpwstr>4l31w0cVkRSnLc/WmYzNbjGbPdeEu6mNpnQEYjWq+Q8=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