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E66" w14:textId="209D84D8" w:rsidR="00E6628C" w:rsidRPr="00E6628C" w:rsidRDefault="00E6628C" w:rsidP="00954639">
      <w:pPr>
        <w:spacing w:line="360" w:lineRule="auto"/>
        <w:jc w:val="center"/>
      </w:pPr>
      <w:r w:rsidRPr="00954639">
        <w:t>UZASADNIENIE</w:t>
      </w:r>
    </w:p>
    <w:p w14:paraId="4EF0E2C7" w14:textId="77777777" w:rsidR="00E6628C" w:rsidRPr="00E6628C" w:rsidRDefault="00E6628C" w:rsidP="00954639">
      <w:pPr>
        <w:numPr>
          <w:ilvl w:val="0"/>
          <w:numId w:val="1"/>
        </w:numPr>
        <w:spacing w:before="120" w:line="360" w:lineRule="auto"/>
        <w:ind w:left="1077"/>
        <w:rPr>
          <w:b/>
        </w:rPr>
      </w:pPr>
      <w:r w:rsidRPr="00E6628C">
        <w:rPr>
          <w:b/>
        </w:rPr>
        <w:t>Potrzeba i cel wydania ustawy</w:t>
      </w:r>
    </w:p>
    <w:p w14:paraId="40F8C24C" w14:textId="0DD21F9B" w:rsidR="00E6628C" w:rsidRPr="00E6628C" w:rsidRDefault="00E6628C" w:rsidP="00954639">
      <w:pPr>
        <w:spacing w:before="120" w:after="120" w:line="360" w:lineRule="auto"/>
        <w:jc w:val="both"/>
        <w:rPr>
          <w:bCs/>
        </w:rPr>
      </w:pPr>
      <w:r w:rsidRPr="00E6628C">
        <w:rPr>
          <w:bCs/>
        </w:rPr>
        <w:t>Celem projektu ustawy o zmianie ustawy – Karta Nauczyciela jest zapewnienie nauczycielom korzystniejszych warunków organizacji pracy, tj. przywrócenie bardziej elastycznych zasad w zakresie czasu pracy przez odstąpienie od sztywnych regulacji dotyczących godzin dostępności nauczycieli w</w:t>
      </w:r>
      <w:r w:rsidR="007F0098">
        <w:rPr>
          <w:bCs/>
        </w:rPr>
        <w:t xml:space="preserve"> </w:t>
      </w:r>
      <w:r w:rsidRPr="00E6628C">
        <w:rPr>
          <w:bCs/>
        </w:rPr>
        <w:t>przedszkolach, szkołach i placówkach oraz innych jednostkach organizacyjnych wymienionych w art. 1 ust</w:t>
      </w:r>
      <w:r w:rsidR="00BE513F">
        <w:rPr>
          <w:bCs/>
        </w:rPr>
        <w:t>.</w:t>
      </w:r>
      <w:r w:rsidRPr="00E6628C">
        <w:rPr>
          <w:bCs/>
        </w:rPr>
        <w:t xml:space="preserve"> 1 ustawy z dnia 26 stycznia 1982 r. – Karta Nauczyciela (Dz. U. z 2024 r. poz. 986, z późn. zm.), zwanych dalej „szkołami”, o</w:t>
      </w:r>
      <w:r w:rsidR="007F0098">
        <w:rPr>
          <w:bCs/>
        </w:rPr>
        <w:t xml:space="preserve"> </w:t>
      </w:r>
      <w:r w:rsidRPr="00E6628C">
        <w:rPr>
          <w:bCs/>
        </w:rPr>
        <w:t>których mowa w art. 42 ust. 2f tej ustawy.</w:t>
      </w:r>
    </w:p>
    <w:p w14:paraId="742E4C53" w14:textId="47F34AFE" w:rsidR="00E6628C" w:rsidRPr="00E6628C" w:rsidRDefault="00E6628C" w:rsidP="00954639">
      <w:pPr>
        <w:spacing w:after="120" w:line="360" w:lineRule="auto"/>
        <w:jc w:val="both"/>
        <w:rPr>
          <w:bCs/>
        </w:rPr>
      </w:pPr>
      <w:r w:rsidRPr="00E6628C">
        <w:rPr>
          <w:bCs/>
        </w:rPr>
        <w:t>Proponowana zmiana zniesie nadmiar legislacyjny, bowiem obowiązek prowadzenia przez nauczycieli konsultacji dla uczniów, wychowanków i ich rodziców wynika z art. 42 ust. 2 pkt</w:t>
      </w:r>
      <w:r w:rsidR="00E7231E">
        <w:rPr>
          <w:bCs/>
        </w:rPr>
        <w:t> </w:t>
      </w:r>
      <w:r w:rsidRPr="00E6628C">
        <w:rPr>
          <w:bCs/>
        </w:rPr>
        <w:t>2 ustawy z dnia 26 stycznia 1982 r. – Karta Nauczyciela, zwanej dalej „ustawą”, i mieści się w</w:t>
      </w:r>
      <w:r w:rsidR="008B2F75">
        <w:rPr>
          <w:bCs/>
        </w:rPr>
        <w:t> </w:t>
      </w:r>
      <w:r w:rsidRPr="00E6628C">
        <w:rPr>
          <w:bCs/>
        </w:rPr>
        <w:t>ramach realizowanych przez nauczycieli zajęć i czynności wynikających z zadań statutowych szkoły, w tym zajęć opiekuńczych i wychowawczych uwzględniających potrzeby i</w:t>
      </w:r>
      <w:r w:rsidR="008B2F75">
        <w:rPr>
          <w:bCs/>
        </w:rPr>
        <w:t> </w:t>
      </w:r>
      <w:r w:rsidRPr="00E6628C">
        <w:rPr>
          <w:bCs/>
        </w:rPr>
        <w:t>zainteresowania uczniów.</w:t>
      </w:r>
    </w:p>
    <w:p w14:paraId="55A442D6" w14:textId="27F20D84" w:rsidR="00E6628C" w:rsidRPr="00E6628C" w:rsidRDefault="00E6628C" w:rsidP="00954639">
      <w:pPr>
        <w:spacing w:line="360" w:lineRule="auto"/>
        <w:jc w:val="both"/>
        <w:rPr>
          <w:bCs/>
        </w:rPr>
      </w:pPr>
      <w:r w:rsidRPr="00E6628C">
        <w:rPr>
          <w:bCs/>
        </w:rPr>
        <w:t>Projekt ustawy jest odpowiedzią na wnioski kierowane do Ministra Edukacji przez nauczycieli i nauczycielskie organizacje związkowe. Związek Nauczycielstwa Polskiego pismem z dnia 12</w:t>
      </w:r>
      <w:r w:rsidR="00E7231E">
        <w:rPr>
          <w:bCs/>
        </w:rPr>
        <w:t> </w:t>
      </w:r>
      <w:r w:rsidRPr="00E6628C">
        <w:rPr>
          <w:bCs/>
        </w:rPr>
        <w:t>maja 2025 r. poinformował o wynikach ankiety przeprowadzonej przez Związek Nauczycielstwa Polskiego w dniach 7–11 maja 2025 r., w której wzięło udział 12</w:t>
      </w:r>
      <w:r w:rsidR="00E7231E">
        <w:rPr>
          <w:bCs/>
        </w:rPr>
        <w:t> </w:t>
      </w:r>
      <w:r w:rsidRPr="00E6628C">
        <w:rPr>
          <w:bCs/>
        </w:rPr>
        <w:t>469</w:t>
      </w:r>
      <w:r w:rsidR="00E7231E">
        <w:rPr>
          <w:bCs/>
        </w:rPr>
        <w:t> </w:t>
      </w:r>
      <w:r w:rsidRPr="00E6628C">
        <w:rPr>
          <w:bCs/>
        </w:rPr>
        <w:t>nauczycieli. Z ankiety wynika, że zdecydowana większość respondentów uważa, że:</w:t>
      </w:r>
    </w:p>
    <w:p w14:paraId="19A4FB63" w14:textId="77777777" w:rsidR="00E6628C" w:rsidRPr="00E6628C" w:rsidRDefault="00E6628C" w:rsidP="00954639">
      <w:pPr>
        <w:numPr>
          <w:ilvl w:val="0"/>
          <w:numId w:val="2"/>
        </w:numPr>
        <w:spacing w:line="360" w:lineRule="auto"/>
        <w:ind w:left="426" w:hanging="437"/>
        <w:jc w:val="both"/>
        <w:rPr>
          <w:bCs/>
        </w:rPr>
      </w:pPr>
      <w:r w:rsidRPr="00E6628C">
        <w:rPr>
          <w:bCs/>
        </w:rPr>
        <w:t>godziny dostępności nie ułatwiły kontaktu między szkołą a rodzicami;</w:t>
      </w:r>
    </w:p>
    <w:p w14:paraId="694CD12A" w14:textId="77777777" w:rsidR="00E6628C" w:rsidRPr="00E6628C" w:rsidRDefault="00E6628C" w:rsidP="00954639">
      <w:pPr>
        <w:numPr>
          <w:ilvl w:val="0"/>
          <w:numId w:val="2"/>
        </w:numPr>
        <w:spacing w:line="360" w:lineRule="auto"/>
        <w:ind w:left="426" w:hanging="437"/>
        <w:jc w:val="both"/>
        <w:rPr>
          <w:bCs/>
        </w:rPr>
      </w:pPr>
      <w:r w:rsidRPr="00E6628C">
        <w:rPr>
          <w:bCs/>
        </w:rPr>
        <w:t>rodzice uczniów nie korzystają z godzin dostępności;</w:t>
      </w:r>
    </w:p>
    <w:p w14:paraId="43012E0C" w14:textId="77777777" w:rsidR="00E6628C" w:rsidRPr="00E6628C" w:rsidRDefault="00E6628C" w:rsidP="00954639">
      <w:pPr>
        <w:numPr>
          <w:ilvl w:val="0"/>
          <w:numId w:val="2"/>
        </w:numPr>
        <w:spacing w:line="360" w:lineRule="auto"/>
        <w:ind w:left="426" w:hanging="437"/>
        <w:jc w:val="both"/>
        <w:rPr>
          <w:bCs/>
        </w:rPr>
      </w:pPr>
      <w:r w:rsidRPr="00E6628C">
        <w:rPr>
          <w:bCs/>
        </w:rPr>
        <w:t>uczniowie nie korzystają z godzin dostępności;</w:t>
      </w:r>
    </w:p>
    <w:p w14:paraId="1F504A85" w14:textId="77777777" w:rsidR="00E6628C" w:rsidRPr="00E6628C" w:rsidRDefault="00E6628C" w:rsidP="00954639">
      <w:pPr>
        <w:numPr>
          <w:ilvl w:val="0"/>
          <w:numId w:val="2"/>
        </w:numPr>
        <w:spacing w:line="360" w:lineRule="auto"/>
        <w:ind w:left="426" w:hanging="437"/>
        <w:jc w:val="both"/>
        <w:rPr>
          <w:bCs/>
        </w:rPr>
      </w:pPr>
      <w:r w:rsidRPr="00E6628C">
        <w:rPr>
          <w:bCs/>
        </w:rPr>
        <w:t>tylko w połowie szkół są warunki do realizacji godzin dostępności (oddzielna sala);</w:t>
      </w:r>
    </w:p>
    <w:p w14:paraId="664780B8" w14:textId="77777777" w:rsidR="00E6628C" w:rsidRPr="00E6628C" w:rsidRDefault="00E6628C" w:rsidP="00954639">
      <w:pPr>
        <w:numPr>
          <w:ilvl w:val="0"/>
          <w:numId w:val="2"/>
        </w:numPr>
        <w:spacing w:after="120" w:line="360" w:lineRule="auto"/>
        <w:ind w:left="426" w:hanging="437"/>
        <w:jc w:val="both"/>
        <w:rPr>
          <w:bCs/>
        </w:rPr>
      </w:pPr>
      <w:r w:rsidRPr="00E6628C">
        <w:rPr>
          <w:bCs/>
        </w:rPr>
        <w:t>godziny dostępności należy zlikwidować.</w:t>
      </w:r>
    </w:p>
    <w:p w14:paraId="1275F0BF" w14:textId="45ABB9DC" w:rsidR="00E6628C" w:rsidRPr="00E6628C" w:rsidRDefault="00E6628C" w:rsidP="00954639">
      <w:pPr>
        <w:spacing w:after="120" w:line="360" w:lineRule="auto"/>
        <w:jc w:val="both"/>
        <w:rPr>
          <w:bCs/>
        </w:rPr>
      </w:pPr>
      <w:r w:rsidRPr="00E6628C">
        <w:rPr>
          <w:bCs/>
        </w:rPr>
        <w:t>Jednocześnie w ramach powołanego przez Ministra Edukacji Zespołu do spraw pragmatyki zawodowej nauczyciel</w:t>
      </w:r>
      <w:r w:rsidR="00BD11A6">
        <w:rPr>
          <w:bCs/>
        </w:rPr>
        <w:t>i</w:t>
      </w:r>
      <w:r w:rsidRPr="00E6628C">
        <w:rPr>
          <w:bCs/>
        </w:rPr>
        <w:t>, we współpracy z przedstawicielami organizacji związkowych zrzeszających nauczycieli, przedstawicielami organizacji jednostek samorządu terytorialnego oraz ekspertami Instytutu Badań Edukacyjnych i Państwowej Inspekcji Pracy</w:t>
      </w:r>
      <w:r w:rsidR="002233EE">
        <w:rPr>
          <w:bCs/>
        </w:rPr>
        <w:t>,</w:t>
      </w:r>
      <w:r w:rsidRPr="00E6628C">
        <w:rPr>
          <w:bCs/>
        </w:rPr>
        <w:t xml:space="preserve"> zostały podjęte prace nad kolejnymi niezbędnymi zmianami, w zakresie czasu pracy nauczycieli. W związku z</w:t>
      </w:r>
      <w:r w:rsidR="008B2F75">
        <w:rPr>
          <w:bCs/>
        </w:rPr>
        <w:t> </w:t>
      </w:r>
      <w:r w:rsidRPr="00E6628C">
        <w:rPr>
          <w:bCs/>
        </w:rPr>
        <w:t>uchwałą składu siedmiu sędziów Sądu Najwyższego z</w:t>
      </w:r>
      <w:r w:rsidR="007F0098">
        <w:rPr>
          <w:bCs/>
        </w:rPr>
        <w:t xml:space="preserve"> </w:t>
      </w:r>
      <w:r w:rsidRPr="00E6628C">
        <w:rPr>
          <w:bCs/>
        </w:rPr>
        <w:t>dnia 26 lutego 2025 r. III PZP 3/24, zmieniającą dotychczasową linię orzeczniczą w</w:t>
      </w:r>
      <w:r w:rsidR="007F0098">
        <w:rPr>
          <w:bCs/>
        </w:rPr>
        <w:t xml:space="preserve"> </w:t>
      </w:r>
      <w:r w:rsidRPr="00E6628C">
        <w:rPr>
          <w:bCs/>
        </w:rPr>
        <w:t xml:space="preserve">zakresie czasu pracy nauczycieli, będą </w:t>
      </w:r>
      <w:r w:rsidRPr="00E6628C">
        <w:rPr>
          <w:bCs/>
        </w:rPr>
        <w:lastRenderedPageBreak/>
        <w:t>analizowane zagadnienia składające się na system czasu pracy nauczycieli. Na podstawie wniosków z powyższych analiz zostaną podjęte prace nad nowymi regulacjami.</w:t>
      </w:r>
    </w:p>
    <w:p w14:paraId="3DDB164D" w14:textId="77777777" w:rsidR="00E6628C" w:rsidRPr="00E6628C" w:rsidRDefault="00E6628C" w:rsidP="00954639">
      <w:pPr>
        <w:numPr>
          <w:ilvl w:val="0"/>
          <w:numId w:val="1"/>
        </w:numPr>
        <w:spacing w:after="120" w:line="360" w:lineRule="auto"/>
        <w:ind w:left="1077"/>
        <w:rPr>
          <w:b/>
        </w:rPr>
      </w:pPr>
      <w:r w:rsidRPr="00E6628C">
        <w:rPr>
          <w:b/>
        </w:rPr>
        <w:t>Szczegółowa charakterystyka proponowanych zmian</w:t>
      </w:r>
    </w:p>
    <w:p w14:paraId="4A0810BD" w14:textId="328A8D2B" w:rsidR="00E6628C" w:rsidRPr="00E6628C" w:rsidRDefault="00E6628C" w:rsidP="00954639">
      <w:pPr>
        <w:spacing w:line="360" w:lineRule="auto"/>
        <w:jc w:val="both"/>
        <w:rPr>
          <w:bCs/>
        </w:rPr>
      </w:pPr>
      <w:r w:rsidRPr="00E6628C">
        <w:rPr>
          <w:bCs/>
        </w:rPr>
        <w:t>W projekcie ustawy proponuje się odstąpienie od regulacji dotyczącej godzin dostępności nauczyciela w szkole. Obecnie zgodnie z art. 42 ust. 2f ustawy w ramach zajęć i czynności statutowych, o których mowa w art. 42 ust. 2 pkt 2 ww. ustawy, nauczyciel jest obowiązany do dostępności w szkole w wymiarze 1 godziny tygodniowo, a w przypadku nauczyciela zatrudnionego w wymiarze niższym niż 1/2 obowiązkowego wymiaru zajęć – w wymiarze 1</w:t>
      </w:r>
      <w:r w:rsidR="00FA647A">
        <w:rPr>
          <w:bCs/>
        </w:rPr>
        <w:t> </w:t>
      </w:r>
      <w:r w:rsidRPr="00E6628C">
        <w:rPr>
          <w:bCs/>
        </w:rPr>
        <w:t>godziny w ciągu 2 tygodni, w</w:t>
      </w:r>
      <w:r w:rsidR="007F0098">
        <w:rPr>
          <w:bCs/>
        </w:rPr>
        <w:t xml:space="preserve"> </w:t>
      </w:r>
      <w:r w:rsidRPr="00E6628C">
        <w:rPr>
          <w:bCs/>
        </w:rPr>
        <w:t>trakcie której, odpowiednio do potrzeb, prowadzi konsultacje dla uczniów, wychowanków lub ich rodziców. Jednocześnie</w:t>
      </w:r>
      <w:r w:rsidR="00DF7332">
        <w:rPr>
          <w:bCs/>
        </w:rPr>
        <w:t>,</w:t>
      </w:r>
      <w:r w:rsidRPr="00E6628C">
        <w:rPr>
          <w:bCs/>
        </w:rPr>
        <w:t xml:space="preserve"> zgodnie z art. 42 ust. 2g ustawy, w</w:t>
      </w:r>
      <w:r w:rsidR="008B2F75">
        <w:rPr>
          <w:bCs/>
        </w:rPr>
        <w:t> </w:t>
      </w:r>
      <w:r w:rsidRPr="00E6628C">
        <w:rPr>
          <w:bCs/>
        </w:rPr>
        <w:t>przypadku nauczyciela, który w ramach stosunku pracy prowadzi:</w:t>
      </w:r>
    </w:p>
    <w:p w14:paraId="3276F036" w14:textId="0856715B" w:rsidR="00E6628C" w:rsidRPr="00E6628C" w:rsidRDefault="00E6628C" w:rsidP="00954639">
      <w:pPr>
        <w:numPr>
          <w:ilvl w:val="0"/>
          <w:numId w:val="3"/>
        </w:numPr>
        <w:spacing w:line="360" w:lineRule="auto"/>
        <w:ind w:left="284" w:hanging="284"/>
        <w:jc w:val="both"/>
        <w:rPr>
          <w:bCs/>
        </w:rPr>
      </w:pPr>
      <w:r w:rsidRPr="00E6628C">
        <w:rPr>
          <w:bCs/>
        </w:rPr>
        <w:t>zajęcia dydaktyczne, wychowawcze lub opiekuńcze bezpośrednio z uczniami lub wychowankami albo na ich rzecz w</w:t>
      </w:r>
      <w:r w:rsidR="007F0098">
        <w:rPr>
          <w:bCs/>
        </w:rPr>
        <w:t xml:space="preserve"> </w:t>
      </w:r>
      <w:r w:rsidRPr="00E6628C">
        <w:rPr>
          <w:bCs/>
        </w:rPr>
        <w:t>wymiarze niższym niż 6 godzin tygodniowo lub</w:t>
      </w:r>
    </w:p>
    <w:p w14:paraId="17EA2162" w14:textId="77777777" w:rsidR="00E6628C" w:rsidRPr="00E6628C" w:rsidRDefault="00E6628C" w:rsidP="00954639">
      <w:pPr>
        <w:numPr>
          <w:ilvl w:val="0"/>
          <w:numId w:val="3"/>
        </w:numPr>
        <w:spacing w:line="360" w:lineRule="auto"/>
        <w:ind w:left="284" w:hanging="284"/>
        <w:jc w:val="both"/>
        <w:rPr>
          <w:bCs/>
        </w:rPr>
      </w:pPr>
      <w:r w:rsidRPr="00E6628C">
        <w:rPr>
          <w:bCs/>
        </w:rPr>
        <w:t>wyłącznie zajęcia w formach pozaszkolnych lub zajęcia w szkole dla dorosłych, branżowej szkole II stopnia lub szkole policealnej, bez względu na wymiar zatrudnienia</w:t>
      </w:r>
    </w:p>
    <w:p w14:paraId="0C0F774F" w14:textId="77477584" w:rsidR="00E6628C" w:rsidRPr="00E6628C" w:rsidRDefault="00E6628C" w:rsidP="00954639">
      <w:pPr>
        <w:spacing w:after="80" w:line="360" w:lineRule="auto"/>
        <w:jc w:val="both"/>
        <w:rPr>
          <w:bCs/>
        </w:rPr>
      </w:pPr>
      <w:r w:rsidRPr="00E6628C">
        <w:rPr>
          <w:bCs/>
        </w:rPr>
        <w:t>– wymiar dostępności nauczyciela w szkole, o której mowa w art. 42 ust. 2f ustawy, ustala dyrektor szkoły odpowiednio do</w:t>
      </w:r>
      <w:r w:rsidR="007F0098">
        <w:rPr>
          <w:bCs/>
        </w:rPr>
        <w:t xml:space="preserve"> </w:t>
      </w:r>
      <w:r w:rsidRPr="00E6628C">
        <w:rPr>
          <w:bCs/>
        </w:rPr>
        <w:t>potrzeb, z tym że wymiar ten nie może być wyższy od wymiaru określonego w art. 42 ust. 2f ustawy, a dostępność nauczyciela w szkole oraz inne zajęcia i czynności realizowane przez niego w ramach stosunku pracy nie mogą przekroczyć maksymalnego tygodniowego wymiaru czasu pracy obowiązującego tego nauczyciela.</w:t>
      </w:r>
    </w:p>
    <w:p w14:paraId="4405FAAF" w14:textId="77777777" w:rsidR="00E6628C" w:rsidRPr="00E6628C" w:rsidRDefault="00E6628C" w:rsidP="00954639">
      <w:pPr>
        <w:spacing w:after="80" w:line="360" w:lineRule="auto"/>
        <w:jc w:val="both"/>
        <w:rPr>
          <w:bCs/>
        </w:rPr>
      </w:pPr>
      <w:r w:rsidRPr="00E6628C">
        <w:rPr>
          <w:bCs/>
        </w:rPr>
        <w:t>Projekt ustawy przewiduje uchylenie art. 42 ust. 2f i 2g ustawy.</w:t>
      </w:r>
    </w:p>
    <w:p w14:paraId="1BCE976B" w14:textId="0B743168" w:rsidR="00E6628C" w:rsidRPr="00E6628C" w:rsidRDefault="00E6628C" w:rsidP="00954639">
      <w:pPr>
        <w:spacing w:after="80" w:line="360" w:lineRule="auto"/>
        <w:jc w:val="both"/>
        <w:rPr>
          <w:bCs/>
        </w:rPr>
      </w:pPr>
      <w:r w:rsidRPr="00E6628C">
        <w:rPr>
          <w:bCs/>
        </w:rPr>
        <w:t>Proponuje się, aby projektowana ustawa weszła w życie z dniem 1 września 2025 r.</w:t>
      </w:r>
    </w:p>
    <w:p w14:paraId="3CE85A15" w14:textId="77777777" w:rsidR="00E6628C" w:rsidRPr="00E6628C" w:rsidRDefault="00E6628C" w:rsidP="00954639">
      <w:pPr>
        <w:tabs>
          <w:tab w:val="left" w:pos="567"/>
        </w:tabs>
        <w:spacing w:after="80" w:line="360" w:lineRule="auto"/>
        <w:jc w:val="both"/>
        <w:rPr>
          <w:color w:val="000000"/>
        </w:rPr>
      </w:pPr>
      <w:r w:rsidRPr="00E6628C">
        <w:rPr>
          <w:color w:val="000000"/>
        </w:rPr>
        <w:t>Projekt ustawy nie zawiera przepisów technicznych w rozumieniu rozporządzenia Rady Ministrów z dnia 23 grudnia 2002 r. w sprawie sposobu funkcjonowania krajowego systemu notyfikacji norm i aktów prawnych (Dz. U. poz. 2039 oraz z 2004 r. poz. 597) i w związku z tym nie podlega notyfikacji.</w:t>
      </w:r>
    </w:p>
    <w:p w14:paraId="50395654" w14:textId="77777777" w:rsidR="00E6628C" w:rsidRPr="00E6628C" w:rsidRDefault="00E6628C" w:rsidP="00954639">
      <w:pPr>
        <w:spacing w:after="80" w:line="360" w:lineRule="auto"/>
        <w:jc w:val="both"/>
        <w:rPr>
          <w:color w:val="000000"/>
        </w:rPr>
      </w:pPr>
      <w:r w:rsidRPr="00E6628C">
        <w:rPr>
          <w:color w:val="000000"/>
        </w:rPr>
        <w:t>Przedmiot projektowanej ustawy nie jest objęty zakresem prawa Unii Europejskiej.</w:t>
      </w:r>
    </w:p>
    <w:p w14:paraId="373276F2" w14:textId="77777777" w:rsidR="00E6628C" w:rsidRPr="00E6628C" w:rsidRDefault="00E6628C" w:rsidP="00954639">
      <w:pPr>
        <w:spacing w:line="360" w:lineRule="auto"/>
        <w:jc w:val="both"/>
        <w:rPr>
          <w:color w:val="000000"/>
        </w:rPr>
      </w:pPr>
      <w:r w:rsidRPr="00E6628C">
        <w:rPr>
          <w:color w:val="000000"/>
        </w:rPr>
        <w:t>Projekt ustawy nie wymaga przedstawienia właściwym organom i instytucjom Unii Europejskiej, w tym Europejskiemu Bankowi Centralnemu, w celu uzyskania opinii, dokonania powiadomienia, konsultacji albo uzgodnienia.</w:t>
      </w:r>
    </w:p>
    <w:p w14:paraId="6579AA66" w14:textId="03981E5A" w:rsidR="00E6628C" w:rsidRPr="00E6628C" w:rsidRDefault="00E6628C" w:rsidP="00954639">
      <w:pPr>
        <w:suppressAutoHyphens/>
        <w:autoSpaceDE w:val="0"/>
        <w:autoSpaceDN w:val="0"/>
        <w:adjustRightInd w:val="0"/>
        <w:spacing w:after="80" w:line="360" w:lineRule="auto"/>
        <w:jc w:val="both"/>
        <w:rPr>
          <w:bCs/>
        </w:rPr>
      </w:pPr>
      <w:r w:rsidRPr="00E6628C">
        <w:rPr>
          <w:bCs/>
        </w:rPr>
        <w:lastRenderedPageBreak/>
        <w:t>Projekt ustawy nie podlega ocenie w zakresie oceny skutków regulacji w trybie §</w:t>
      </w:r>
      <w:r w:rsidR="007F0098">
        <w:rPr>
          <w:bCs/>
        </w:rPr>
        <w:t xml:space="preserve"> </w:t>
      </w:r>
      <w:r w:rsidRPr="00E6628C">
        <w:rPr>
          <w:bCs/>
        </w:rPr>
        <w:t>32 uchwały nr 190 Rady Ministrów z dnia 29 października 2013 r. – Regulamin pracy Rady Ministrów (M.P. z 2024 r. poz. 806, z późn. zm.).</w:t>
      </w:r>
    </w:p>
    <w:p w14:paraId="79DD2FEF" w14:textId="5B9F6CE2" w:rsidR="00E6628C" w:rsidRPr="00E6628C" w:rsidRDefault="00E6628C" w:rsidP="00954639">
      <w:pPr>
        <w:suppressAutoHyphens/>
        <w:autoSpaceDE w:val="0"/>
        <w:autoSpaceDN w:val="0"/>
        <w:adjustRightInd w:val="0"/>
        <w:spacing w:after="80" w:line="360" w:lineRule="auto"/>
        <w:jc w:val="both"/>
        <w:rPr>
          <w:bCs/>
        </w:rPr>
      </w:pPr>
      <w:r w:rsidRPr="00E6628C">
        <w:rPr>
          <w:bCs/>
        </w:rPr>
        <w:t>Projekt ustawy nie ma wpływu na działalność mikroprzedsiębiorców, małych i</w:t>
      </w:r>
      <w:r w:rsidR="008B2F75">
        <w:rPr>
          <w:bCs/>
        </w:rPr>
        <w:t xml:space="preserve"> </w:t>
      </w:r>
      <w:r w:rsidRPr="00E6628C">
        <w:rPr>
          <w:bCs/>
        </w:rPr>
        <w:t>średnich przedsiębiorców w rozumieniu ustawy z dnia 6 marca 2018 r. – Prawo przedsiębiorców (Dz.</w:t>
      </w:r>
      <w:r w:rsidR="008B2F75">
        <w:rPr>
          <w:bCs/>
        </w:rPr>
        <w:t> </w:t>
      </w:r>
      <w:r w:rsidRPr="00E6628C">
        <w:rPr>
          <w:bCs/>
        </w:rPr>
        <w:t>U. z 2024 r. poz. 236, z późn. zm.).</w:t>
      </w:r>
    </w:p>
    <w:p w14:paraId="442FE941" w14:textId="77777777" w:rsidR="00E6628C" w:rsidRPr="00E6628C" w:rsidRDefault="00E6628C" w:rsidP="00954639">
      <w:pPr>
        <w:spacing w:after="80" w:line="360" w:lineRule="auto"/>
        <w:jc w:val="both"/>
        <w:rPr>
          <w:color w:val="000000"/>
        </w:rPr>
      </w:pPr>
      <w:r w:rsidRPr="00E6628C">
        <w:rPr>
          <w:color w:val="000000"/>
        </w:rPr>
        <w:t>Odnosząc się do § 12 pkt 1 załącznika do rozporządzenia Prezesa Rady Ministrów z dnia 20 czerwca 2002 r. w sprawie „Zasad techniki prawodawczej” (Dz. U. z 2016 r. poz. 283), należy stwierdzić, że projekt ustawy uwzględnia regulacje, w stosunku do których nie ma możliwości, aby mogły być podjęte za pomocą alternatywnych środków.</w:t>
      </w:r>
    </w:p>
    <w:p w14:paraId="461A8286" w14:textId="4F91D8EF" w:rsidR="008A687F" w:rsidRDefault="00E6628C" w:rsidP="00954639">
      <w:pPr>
        <w:spacing w:line="360" w:lineRule="auto"/>
        <w:jc w:val="both"/>
      </w:pPr>
      <w:r w:rsidRPr="00E6628C">
        <w:rPr>
          <w:color w:val="000000"/>
        </w:rPr>
        <w:t>Zgodnie z art. 5 ustawy z dnia 7 lipca 2005 r. o działalności lobbingowej w procesie stanowienia prawa (Dz. U. z 202</w:t>
      </w:r>
      <w:r w:rsidR="002233EE">
        <w:rPr>
          <w:color w:val="000000"/>
        </w:rPr>
        <w:t>5</w:t>
      </w:r>
      <w:r w:rsidRPr="00E6628C">
        <w:rPr>
          <w:color w:val="000000"/>
        </w:rPr>
        <w:t xml:space="preserve"> r. poz. </w:t>
      </w:r>
      <w:r w:rsidR="002233EE">
        <w:rPr>
          <w:color w:val="000000"/>
        </w:rPr>
        <w:t>677</w:t>
      </w:r>
      <w:r w:rsidRPr="00E6628C">
        <w:rPr>
          <w:color w:val="000000"/>
        </w:rPr>
        <w:t>) projekt został udostępniony w</w:t>
      </w:r>
      <w:r w:rsidR="008B2F75">
        <w:rPr>
          <w:color w:val="000000"/>
        </w:rPr>
        <w:t xml:space="preserve"> </w:t>
      </w:r>
      <w:r w:rsidRPr="00E6628C">
        <w:rPr>
          <w:color w:val="000000"/>
        </w:rPr>
        <w:t>Biuletynie Informacji Publicznej na stronie podmiotowej Rządowego Centrum Legislacji</w:t>
      </w:r>
      <w:r w:rsidR="008B2F75">
        <w:rPr>
          <w:color w:val="000000"/>
        </w:rPr>
        <w:t>,</w:t>
      </w:r>
      <w:r w:rsidRPr="00E6628C">
        <w:rPr>
          <w:color w:val="000000"/>
        </w:rPr>
        <w:t xml:space="preserve"> w</w:t>
      </w:r>
      <w:r w:rsidR="008B2F75">
        <w:rPr>
          <w:color w:val="000000"/>
        </w:rPr>
        <w:t xml:space="preserve"> </w:t>
      </w:r>
      <w:r w:rsidRPr="00E6628C">
        <w:rPr>
          <w:color w:val="000000"/>
        </w:rPr>
        <w:t xml:space="preserve">serwisie </w:t>
      </w:r>
      <w:r w:rsidR="008B2F75">
        <w:rPr>
          <w:color w:val="000000"/>
        </w:rPr>
        <w:t>„</w:t>
      </w:r>
      <w:r w:rsidRPr="00E6628C">
        <w:rPr>
          <w:color w:val="000000"/>
        </w:rPr>
        <w:t>Rządowy Proces Legislacyjny</w:t>
      </w:r>
      <w:r w:rsidR="008B2F75">
        <w:rPr>
          <w:color w:val="000000"/>
        </w:rPr>
        <w:t>”</w:t>
      </w:r>
      <w:r w:rsidRPr="00E6628C">
        <w:rPr>
          <w:color w:val="000000"/>
        </w:rPr>
        <w:t>.</w:t>
      </w:r>
    </w:p>
    <w:sectPr w:rsidR="008A687F" w:rsidSect="00FA647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57811" w14:textId="77777777" w:rsidR="00760363" w:rsidRDefault="00760363" w:rsidP="00FA647A">
      <w:r>
        <w:separator/>
      </w:r>
    </w:p>
  </w:endnote>
  <w:endnote w:type="continuationSeparator" w:id="0">
    <w:p w14:paraId="56AEE2F4" w14:textId="77777777" w:rsidR="00760363" w:rsidRDefault="00760363" w:rsidP="00FA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2109648"/>
      <w:docPartObj>
        <w:docPartGallery w:val="Page Numbers (Bottom of Page)"/>
        <w:docPartUnique/>
      </w:docPartObj>
    </w:sdtPr>
    <w:sdtEndPr/>
    <w:sdtContent>
      <w:p w14:paraId="05D4CD64" w14:textId="2C81CC00" w:rsidR="00FA647A" w:rsidRDefault="00FA64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0B0F" w14:textId="77777777" w:rsidR="00760363" w:rsidRDefault="00760363" w:rsidP="00FA647A">
      <w:r>
        <w:separator/>
      </w:r>
    </w:p>
  </w:footnote>
  <w:footnote w:type="continuationSeparator" w:id="0">
    <w:p w14:paraId="6BDB51B2" w14:textId="77777777" w:rsidR="00760363" w:rsidRDefault="00760363" w:rsidP="00FA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F3"/>
    <w:multiLevelType w:val="hybridMultilevel"/>
    <w:tmpl w:val="69B4B03A"/>
    <w:lvl w:ilvl="0" w:tplc="0FB4B2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6105"/>
    <w:multiLevelType w:val="hybridMultilevel"/>
    <w:tmpl w:val="BC025162"/>
    <w:lvl w:ilvl="0" w:tplc="40404C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577A"/>
    <w:multiLevelType w:val="hybridMultilevel"/>
    <w:tmpl w:val="EFA65922"/>
    <w:lvl w:ilvl="0" w:tplc="DC1A84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0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53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955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151F3"/>
    <w:rsid w:val="000358C5"/>
    <w:rsid w:val="00061A20"/>
    <w:rsid w:val="00065C99"/>
    <w:rsid w:val="000D1D25"/>
    <w:rsid w:val="000E0D74"/>
    <w:rsid w:val="00111FAE"/>
    <w:rsid w:val="0015096B"/>
    <w:rsid w:val="00193246"/>
    <w:rsid w:val="001A7300"/>
    <w:rsid w:val="001C11AC"/>
    <w:rsid w:val="00213EB6"/>
    <w:rsid w:val="002233EE"/>
    <w:rsid w:val="00230302"/>
    <w:rsid w:val="002737BA"/>
    <w:rsid w:val="003062D5"/>
    <w:rsid w:val="0030719F"/>
    <w:rsid w:val="00374771"/>
    <w:rsid w:val="003A09A2"/>
    <w:rsid w:val="003B1C0D"/>
    <w:rsid w:val="00411B83"/>
    <w:rsid w:val="004605ED"/>
    <w:rsid w:val="004D05CB"/>
    <w:rsid w:val="005D08B6"/>
    <w:rsid w:val="0060617D"/>
    <w:rsid w:val="006242FA"/>
    <w:rsid w:val="00641DFB"/>
    <w:rsid w:val="006921E8"/>
    <w:rsid w:val="006A5AA5"/>
    <w:rsid w:val="00704C9C"/>
    <w:rsid w:val="00760363"/>
    <w:rsid w:val="007A2825"/>
    <w:rsid w:val="007A739E"/>
    <w:rsid w:val="007C27D4"/>
    <w:rsid w:val="007D011B"/>
    <w:rsid w:val="007E1894"/>
    <w:rsid w:val="007F0098"/>
    <w:rsid w:val="00801F65"/>
    <w:rsid w:val="00804092"/>
    <w:rsid w:val="008060A8"/>
    <w:rsid w:val="00807019"/>
    <w:rsid w:val="008916AF"/>
    <w:rsid w:val="008A2D15"/>
    <w:rsid w:val="008A38A7"/>
    <w:rsid w:val="008A687F"/>
    <w:rsid w:val="008B2F75"/>
    <w:rsid w:val="008C4A77"/>
    <w:rsid w:val="00922417"/>
    <w:rsid w:val="00954639"/>
    <w:rsid w:val="009E23F6"/>
    <w:rsid w:val="00A7160D"/>
    <w:rsid w:val="00A8373E"/>
    <w:rsid w:val="00A95B12"/>
    <w:rsid w:val="00AA1AA7"/>
    <w:rsid w:val="00AB0878"/>
    <w:rsid w:val="00AD4236"/>
    <w:rsid w:val="00AE7F63"/>
    <w:rsid w:val="00B03499"/>
    <w:rsid w:val="00B25671"/>
    <w:rsid w:val="00BA173C"/>
    <w:rsid w:val="00BD11A6"/>
    <w:rsid w:val="00BD33EC"/>
    <w:rsid w:val="00BD6487"/>
    <w:rsid w:val="00BE513F"/>
    <w:rsid w:val="00C253B8"/>
    <w:rsid w:val="00C76344"/>
    <w:rsid w:val="00C76672"/>
    <w:rsid w:val="00C82B27"/>
    <w:rsid w:val="00D06826"/>
    <w:rsid w:val="00D11E92"/>
    <w:rsid w:val="00D3587B"/>
    <w:rsid w:val="00DA2638"/>
    <w:rsid w:val="00DA44EB"/>
    <w:rsid w:val="00DA46F0"/>
    <w:rsid w:val="00DF7332"/>
    <w:rsid w:val="00DF7DE3"/>
    <w:rsid w:val="00E13BCD"/>
    <w:rsid w:val="00E154E5"/>
    <w:rsid w:val="00E16D7D"/>
    <w:rsid w:val="00E6628C"/>
    <w:rsid w:val="00E7231E"/>
    <w:rsid w:val="00E86725"/>
    <w:rsid w:val="00EB1CC1"/>
    <w:rsid w:val="00EF26CA"/>
    <w:rsid w:val="00F40B79"/>
    <w:rsid w:val="00F47F46"/>
    <w:rsid w:val="00F500C2"/>
    <w:rsid w:val="00F50546"/>
    <w:rsid w:val="00F50AD5"/>
    <w:rsid w:val="00FA647A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D6C90"/>
  <w15:chartTrackingRefBased/>
  <w15:docId w15:val="{70F20918-EAE0-47FD-BAAE-A2F4F704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B2F75"/>
    <w:rPr>
      <w:sz w:val="24"/>
      <w:szCs w:val="24"/>
    </w:rPr>
  </w:style>
  <w:style w:type="paragraph" w:styleId="Nagwek">
    <w:name w:val="header"/>
    <w:basedOn w:val="Normalny"/>
    <w:link w:val="NagwekZnak"/>
    <w:rsid w:val="00FA6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647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A6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Wójcik Aleksandra</cp:lastModifiedBy>
  <cp:revision>2</cp:revision>
  <dcterms:created xsi:type="dcterms:W3CDTF">2025-07-01T13:02:00Z</dcterms:created>
  <dcterms:modified xsi:type="dcterms:W3CDTF">2025-07-01T13:02:00Z</dcterms:modified>
</cp:coreProperties>
</file>