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A4F2" w14:textId="3A084C3F" w:rsidR="008E4B15" w:rsidRPr="006573F8" w:rsidRDefault="008E4B15" w:rsidP="0013163D">
      <w:pPr>
        <w:jc w:val="center"/>
        <w:rPr>
          <w:rFonts w:cs="Times New Roman"/>
          <w:szCs w:val="24"/>
        </w:rPr>
      </w:pPr>
      <w:r w:rsidRPr="006573F8">
        <w:rPr>
          <w:rFonts w:cs="Times New Roman"/>
          <w:szCs w:val="24"/>
        </w:rPr>
        <w:t>UZASADNIENIE</w:t>
      </w:r>
    </w:p>
    <w:p w14:paraId="2847B5D7" w14:textId="4A87AF08" w:rsidR="00766C10" w:rsidRDefault="0013163D" w:rsidP="006573F8">
      <w:pPr>
        <w:shd w:val="clear" w:color="auto" w:fill="FFFFFF"/>
        <w:spacing w:after="120"/>
        <w:ind w:firstLine="709"/>
        <w:jc w:val="both"/>
        <w:rPr>
          <w:rFonts w:cs="Times New Roman"/>
          <w:szCs w:val="24"/>
        </w:rPr>
      </w:pPr>
      <w:r>
        <w:rPr>
          <w:rFonts w:cs="Times New Roman"/>
          <w:szCs w:val="24"/>
        </w:rPr>
        <w:t xml:space="preserve">Projekt ma na celu </w:t>
      </w:r>
      <w:r w:rsidR="008E4B15" w:rsidRPr="0013163D">
        <w:rPr>
          <w:rFonts w:cs="Times New Roman"/>
          <w:szCs w:val="24"/>
        </w:rPr>
        <w:t>wprowadzenie zmian</w:t>
      </w:r>
      <w:r w:rsidR="002B2905">
        <w:rPr>
          <w:rFonts w:cs="Times New Roman"/>
          <w:szCs w:val="24"/>
        </w:rPr>
        <w:t xml:space="preserve"> o</w:t>
      </w:r>
      <w:r w:rsidR="00BE6043">
        <w:rPr>
          <w:rFonts w:cs="Times New Roman"/>
          <w:szCs w:val="24"/>
        </w:rPr>
        <w:t xml:space="preserve"> </w:t>
      </w:r>
      <w:r w:rsidR="008E4B15" w:rsidRPr="0013163D">
        <w:rPr>
          <w:rFonts w:cs="Times New Roman"/>
          <w:szCs w:val="24"/>
        </w:rPr>
        <w:t>charakterze deregulacyjnym</w:t>
      </w:r>
      <w:r w:rsidR="004E3461">
        <w:rPr>
          <w:rFonts w:cs="Times New Roman"/>
          <w:szCs w:val="24"/>
        </w:rPr>
        <w:t xml:space="preserve"> w</w:t>
      </w:r>
      <w:r w:rsidR="00BE6043">
        <w:rPr>
          <w:rFonts w:cs="Times New Roman"/>
          <w:szCs w:val="24"/>
        </w:rPr>
        <w:t xml:space="preserve"> </w:t>
      </w:r>
      <w:r w:rsidR="008E4B15" w:rsidRPr="0013163D">
        <w:rPr>
          <w:rFonts w:cs="Times New Roman"/>
          <w:szCs w:val="24"/>
        </w:rPr>
        <w:t>trze</w:t>
      </w:r>
      <w:r w:rsidR="0007302A">
        <w:rPr>
          <w:rFonts w:cs="Times New Roman"/>
          <w:szCs w:val="24"/>
        </w:rPr>
        <w:t>ch</w:t>
      </w:r>
      <w:r w:rsidR="008E4B15" w:rsidRPr="0013163D">
        <w:rPr>
          <w:rFonts w:cs="Times New Roman"/>
          <w:szCs w:val="24"/>
        </w:rPr>
        <w:t xml:space="preserve"> obszarach prawa gospodarczego</w:t>
      </w:r>
      <w:r>
        <w:rPr>
          <w:rFonts w:cs="Times New Roman"/>
          <w:szCs w:val="24"/>
        </w:rPr>
        <w:t>:</w:t>
      </w:r>
      <w:r w:rsidR="004E3461">
        <w:rPr>
          <w:rFonts w:cs="Times New Roman"/>
          <w:szCs w:val="24"/>
        </w:rPr>
        <w:t xml:space="preserve"> w</w:t>
      </w:r>
      <w:r w:rsidR="00BE6043">
        <w:rPr>
          <w:rFonts w:cs="Times New Roman"/>
          <w:szCs w:val="24"/>
        </w:rPr>
        <w:t xml:space="preserve"> </w:t>
      </w:r>
      <w:r>
        <w:rPr>
          <w:rFonts w:cs="Times New Roman"/>
          <w:szCs w:val="24"/>
        </w:rPr>
        <w:t>ustawie</w:t>
      </w:r>
      <w:r w:rsidR="004E3461">
        <w:rPr>
          <w:rFonts w:cs="Times New Roman"/>
          <w:szCs w:val="24"/>
        </w:rPr>
        <w:t xml:space="preserve"> z</w:t>
      </w:r>
      <w:r w:rsidR="00BE6043">
        <w:rPr>
          <w:rFonts w:cs="Times New Roman"/>
          <w:szCs w:val="24"/>
        </w:rPr>
        <w:t xml:space="preserve"> </w:t>
      </w:r>
      <w:r w:rsidR="004E3461">
        <w:rPr>
          <w:rFonts w:cs="Times New Roman"/>
          <w:szCs w:val="24"/>
        </w:rPr>
        <w:t>dnia</w:t>
      </w:r>
      <w:r w:rsidR="00BE6043">
        <w:rPr>
          <w:rFonts w:cs="Times New Roman"/>
          <w:szCs w:val="24"/>
        </w:rPr>
        <w:t xml:space="preserve"> </w:t>
      </w:r>
      <w:r w:rsidR="006912DF">
        <w:rPr>
          <w:rFonts w:cs="Times New Roman"/>
          <w:szCs w:val="24"/>
        </w:rPr>
        <w:t>15 września 20</w:t>
      </w:r>
      <w:r w:rsidR="000D1001">
        <w:rPr>
          <w:rFonts w:cs="Times New Roman"/>
          <w:szCs w:val="24"/>
        </w:rPr>
        <w:t>0</w:t>
      </w:r>
      <w:r w:rsidR="006912DF">
        <w:rPr>
          <w:rFonts w:cs="Times New Roman"/>
          <w:szCs w:val="24"/>
        </w:rPr>
        <w:t xml:space="preserve">0 r. </w:t>
      </w:r>
      <w:r w:rsidR="008E4B15" w:rsidRPr="0013163D">
        <w:rPr>
          <w:rFonts w:cs="Times New Roman"/>
          <w:szCs w:val="24"/>
        </w:rPr>
        <w:t>– Kodeks spółe</w:t>
      </w:r>
      <w:r w:rsidR="00463AB4">
        <w:rPr>
          <w:rFonts w:cs="Times New Roman"/>
          <w:szCs w:val="24"/>
        </w:rPr>
        <w:t>k</w:t>
      </w:r>
      <w:r w:rsidR="008E4B15" w:rsidRPr="0013163D">
        <w:rPr>
          <w:rFonts w:cs="Times New Roman"/>
          <w:szCs w:val="24"/>
        </w:rPr>
        <w:t xml:space="preserve"> handlowych</w:t>
      </w:r>
      <w:r w:rsidR="006912DF">
        <w:rPr>
          <w:rFonts w:cs="Times New Roman"/>
          <w:szCs w:val="24"/>
        </w:rPr>
        <w:t xml:space="preserve"> (Dz. U.</w:t>
      </w:r>
      <w:r w:rsidR="004E3461">
        <w:rPr>
          <w:rFonts w:cs="Times New Roman"/>
          <w:szCs w:val="24"/>
        </w:rPr>
        <w:t xml:space="preserve"> z</w:t>
      </w:r>
      <w:r w:rsidR="00BE6043">
        <w:rPr>
          <w:rFonts w:cs="Times New Roman"/>
          <w:szCs w:val="24"/>
        </w:rPr>
        <w:t xml:space="preserve"> </w:t>
      </w:r>
      <w:r w:rsidR="006912DF">
        <w:rPr>
          <w:rFonts w:cs="Times New Roman"/>
          <w:szCs w:val="24"/>
        </w:rPr>
        <w:t>2024 r. poz. 18,</w:t>
      </w:r>
      <w:r w:rsidR="004E3461">
        <w:rPr>
          <w:rFonts w:cs="Times New Roman"/>
          <w:szCs w:val="24"/>
        </w:rPr>
        <w:t xml:space="preserve"> z</w:t>
      </w:r>
      <w:r w:rsidR="00683600">
        <w:rPr>
          <w:rFonts w:cs="Times New Roman"/>
          <w:szCs w:val="24"/>
        </w:rPr>
        <w:t xml:space="preserve"> </w:t>
      </w:r>
      <w:r w:rsidR="006912DF">
        <w:rPr>
          <w:rFonts w:cs="Times New Roman"/>
          <w:szCs w:val="24"/>
        </w:rPr>
        <w:t>późn. zm.)</w:t>
      </w:r>
      <w:r w:rsidR="008E4B15" w:rsidRPr="0013163D">
        <w:rPr>
          <w:rFonts w:cs="Times New Roman"/>
          <w:szCs w:val="24"/>
        </w:rPr>
        <w:t>,</w:t>
      </w:r>
      <w:r w:rsidR="006912DF">
        <w:rPr>
          <w:rFonts w:cs="Times New Roman"/>
          <w:szCs w:val="24"/>
        </w:rPr>
        <w:t xml:space="preserve"> dalej „k.s.h.”,</w:t>
      </w:r>
      <w:r w:rsidR="004E3461">
        <w:rPr>
          <w:rFonts w:cs="Times New Roman"/>
          <w:szCs w:val="24"/>
        </w:rPr>
        <w:t xml:space="preserve"> w</w:t>
      </w:r>
      <w:r w:rsidR="00BE6043">
        <w:rPr>
          <w:rFonts w:cs="Times New Roman"/>
          <w:szCs w:val="24"/>
        </w:rPr>
        <w:t xml:space="preserve"> </w:t>
      </w:r>
      <w:r w:rsidR="008E4B15" w:rsidRPr="0013163D">
        <w:rPr>
          <w:rFonts w:cs="Times New Roman"/>
          <w:szCs w:val="24"/>
        </w:rPr>
        <w:t>ustawie</w:t>
      </w:r>
      <w:r w:rsidR="004E3461">
        <w:rPr>
          <w:rFonts w:cs="Times New Roman"/>
          <w:szCs w:val="24"/>
        </w:rPr>
        <w:t xml:space="preserve"> z dnia 28 </w:t>
      </w:r>
      <w:r w:rsidR="006912DF">
        <w:rPr>
          <w:rFonts w:cs="Times New Roman"/>
          <w:szCs w:val="24"/>
        </w:rPr>
        <w:t>października 2002 r.</w:t>
      </w:r>
      <w:r w:rsidR="002B2905">
        <w:rPr>
          <w:rFonts w:cs="Times New Roman"/>
          <w:szCs w:val="24"/>
        </w:rPr>
        <w:t xml:space="preserve"> o </w:t>
      </w:r>
      <w:r w:rsidR="008E4B15" w:rsidRPr="0013163D">
        <w:rPr>
          <w:rFonts w:cs="Times New Roman"/>
          <w:szCs w:val="24"/>
        </w:rPr>
        <w:t>odpowiedzialności podmiotów zbiorowych za czyny zabronione pod groźbą kary</w:t>
      </w:r>
      <w:r w:rsidR="006912DF">
        <w:rPr>
          <w:rFonts w:cs="Times New Roman"/>
          <w:szCs w:val="24"/>
        </w:rPr>
        <w:t xml:space="preserve"> (Dz. U.</w:t>
      </w:r>
      <w:r w:rsidR="004E3461">
        <w:rPr>
          <w:rFonts w:cs="Times New Roman"/>
          <w:szCs w:val="24"/>
        </w:rPr>
        <w:t xml:space="preserve"> z </w:t>
      </w:r>
      <w:r w:rsidR="006912DF">
        <w:rPr>
          <w:rFonts w:cs="Times New Roman"/>
          <w:szCs w:val="24"/>
        </w:rPr>
        <w:t>2024 r. poz. 1822), dalej „u.o.p.z.”</w:t>
      </w:r>
      <w:r w:rsidR="008E4B15" w:rsidRPr="0013163D">
        <w:rPr>
          <w:rFonts w:cs="Times New Roman"/>
          <w:szCs w:val="24"/>
        </w:rPr>
        <w:t xml:space="preserve"> oraz</w:t>
      </w:r>
      <w:r w:rsidR="004E3461">
        <w:rPr>
          <w:rFonts w:cs="Times New Roman"/>
          <w:szCs w:val="24"/>
        </w:rPr>
        <w:t xml:space="preserve"> w </w:t>
      </w:r>
      <w:r w:rsidR="008E4B15" w:rsidRPr="0013163D">
        <w:rPr>
          <w:rFonts w:cs="Times New Roman"/>
          <w:szCs w:val="24"/>
        </w:rPr>
        <w:t>ustawie</w:t>
      </w:r>
      <w:r w:rsidR="004E3461">
        <w:rPr>
          <w:rFonts w:cs="Times New Roman"/>
          <w:szCs w:val="24"/>
        </w:rPr>
        <w:t xml:space="preserve"> z dnia </w:t>
      </w:r>
      <w:r w:rsidR="006912DF">
        <w:rPr>
          <w:rFonts w:cs="Times New Roman"/>
          <w:szCs w:val="24"/>
        </w:rPr>
        <w:t>1 marca</w:t>
      </w:r>
      <w:r w:rsidR="000D1001">
        <w:rPr>
          <w:rFonts w:cs="Times New Roman"/>
          <w:szCs w:val="24"/>
        </w:rPr>
        <w:t xml:space="preserve"> 2018 </w:t>
      </w:r>
      <w:r w:rsidR="006912DF">
        <w:rPr>
          <w:rFonts w:cs="Times New Roman"/>
          <w:szCs w:val="24"/>
        </w:rPr>
        <w:t>r.</w:t>
      </w:r>
      <w:r w:rsidR="002B2905">
        <w:rPr>
          <w:rFonts w:cs="Times New Roman"/>
          <w:szCs w:val="24"/>
        </w:rPr>
        <w:t xml:space="preserve"> o </w:t>
      </w:r>
      <w:r w:rsidR="008E4B15" w:rsidRPr="0013163D">
        <w:rPr>
          <w:rFonts w:cs="Times New Roman"/>
          <w:szCs w:val="24"/>
        </w:rPr>
        <w:t>przeciwdziałaniu praniu pieniędzy oraz finansowaniu terroryzmu</w:t>
      </w:r>
      <w:r w:rsidR="006912DF">
        <w:rPr>
          <w:rFonts w:cs="Times New Roman"/>
          <w:szCs w:val="24"/>
        </w:rPr>
        <w:t xml:space="preserve"> (Dz.</w:t>
      </w:r>
      <w:r w:rsidR="00683600">
        <w:rPr>
          <w:rFonts w:cs="Times New Roman"/>
          <w:szCs w:val="24"/>
        </w:rPr>
        <w:t> </w:t>
      </w:r>
      <w:r w:rsidR="006912DF">
        <w:rPr>
          <w:rFonts w:cs="Times New Roman"/>
          <w:szCs w:val="24"/>
        </w:rPr>
        <w:t>U.</w:t>
      </w:r>
      <w:r w:rsidR="004E3461">
        <w:rPr>
          <w:rFonts w:cs="Times New Roman"/>
          <w:szCs w:val="24"/>
        </w:rPr>
        <w:t xml:space="preserve"> z </w:t>
      </w:r>
      <w:r w:rsidR="006912DF">
        <w:rPr>
          <w:rFonts w:cs="Times New Roman"/>
          <w:szCs w:val="24"/>
        </w:rPr>
        <w:t>202</w:t>
      </w:r>
      <w:r w:rsidR="00C40165">
        <w:rPr>
          <w:rFonts w:cs="Times New Roman"/>
          <w:szCs w:val="24"/>
        </w:rPr>
        <w:t>5 r. poz. 644</w:t>
      </w:r>
      <w:r w:rsidR="006912DF">
        <w:rPr>
          <w:rFonts w:cs="Times New Roman"/>
          <w:szCs w:val="24"/>
        </w:rPr>
        <w:t>), dalej „u.p.p.p.f.t.”</w:t>
      </w:r>
      <w:r w:rsidR="008E4B15" w:rsidRPr="0013163D">
        <w:rPr>
          <w:rFonts w:cs="Times New Roman"/>
          <w:szCs w:val="24"/>
        </w:rPr>
        <w:t>.</w:t>
      </w:r>
    </w:p>
    <w:p w14:paraId="7B27B3B2" w14:textId="4642FA02" w:rsidR="00A7703D" w:rsidRDefault="00A7703D" w:rsidP="006573F8">
      <w:pPr>
        <w:shd w:val="clear" w:color="auto" w:fill="FFFFFF"/>
        <w:spacing w:after="120"/>
        <w:jc w:val="both"/>
        <w:rPr>
          <w:rFonts w:cs="Times New Roman"/>
          <w:b/>
          <w:bCs/>
          <w:szCs w:val="24"/>
          <w:u w:val="single"/>
        </w:rPr>
      </w:pPr>
      <w:r w:rsidRPr="004D2D15">
        <w:rPr>
          <w:rFonts w:cs="Times New Roman"/>
          <w:b/>
          <w:bCs/>
          <w:szCs w:val="24"/>
          <w:u w:val="single"/>
        </w:rPr>
        <w:t>Zmiany</w:t>
      </w:r>
      <w:r w:rsidR="004E3461">
        <w:rPr>
          <w:rFonts w:cs="Times New Roman"/>
          <w:b/>
          <w:bCs/>
          <w:szCs w:val="24"/>
          <w:u w:val="single"/>
        </w:rPr>
        <w:t xml:space="preserve"> w</w:t>
      </w:r>
      <w:r w:rsidR="00683600">
        <w:rPr>
          <w:rFonts w:cs="Times New Roman"/>
          <w:b/>
          <w:bCs/>
          <w:szCs w:val="24"/>
          <w:u w:val="single"/>
        </w:rPr>
        <w:t xml:space="preserve"> </w:t>
      </w:r>
      <w:r w:rsidR="00D22CDB">
        <w:rPr>
          <w:rFonts w:cs="Times New Roman"/>
          <w:b/>
          <w:bCs/>
          <w:szCs w:val="24"/>
          <w:u w:val="single"/>
        </w:rPr>
        <w:t xml:space="preserve">ustawie – </w:t>
      </w:r>
      <w:r w:rsidRPr="004D2D15">
        <w:rPr>
          <w:rFonts w:cs="Times New Roman"/>
          <w:b/>
          <w:bCs/>
          <w:szCs w:val="24"/>
          <w:u w:val="single"/>
        </w:rPr>
        <w:t xml:space="preserve">Kodeks spółek </w:t>
      </w:r>
      <w:r w:rsidRPr="00A7703D">
        <w:rPr>
          <w:rFonts w:cs="Times New Roman"/>
          <w:b/>
          <w:bCs/>
          <w:szCs w:val="24"/>
          <w:u w:val="single"/>
        </w:rPr>
        <w:t>handlowych</w:t>
      </w:r>
    </w:p>
    <w:p w14:paraId="3788019E" w14:textId="054E2902" w:rsidR="00766C10" w:rsidRPr="0013163D" w:rsidRDefault="00766C10" w:rsidP="004D2D15">
      <w:pPr>
        <w:shd w:val="clear" w:color="auto" w:fill="FFFFFF"/>
        <w:ind w:firstLine="708"/>
        <w:jc w:val="both"/>
        <w:rPr>
          <w:rFonts w:eastAsia="Times New Roman" w:cs="Times New Roman"/>
          <w:szCs w:val="24"/>
        </w:rPr>
      </w:pPr>
      <w:r w:rsidRPr="0013163D">
        <w:rPr>
          <w:rFonts w:cs="Times New Roman"/>
          <w:szCs w:val="24"/>
        </w:rPr>
        <w:t xml:space="preserve">W </w:t>
      </w:r>
      <w:r w:rsidRPr="0013163D">
        <w:rPr>
          <w:rFonts w:eastAsia="Times New Roman" w:cs="Times New Roman"/>
          <w:szCs w:val="24"/>
        </w:rPr>
        <w:t>art. 18 § 2</w:t>
      </w:r>
      <w:r w:rsidR="00CB55C5">
        <w:rPr>
          <w:rFonts w:eastAsia="Times New Roman" w:cs="Times New Roman"/>
          <w:szCs w:val="24"/>
        </w:rPr>
        <w:t>–</w:t>
      </w:r>
      <w:r w:rsidRPr="0013163D">
        <w:rPr>
          <w:rFonts w:eastAsia="Times New Roman" w:cs="Times New Roman"/>
          <w:szCs w:val="24"/>
        </w:rPr>
        <w:t xml:space="preserve">5 </w:t>
      </w:r>
      <w:r w:rsidR="00584BF4">
        <w:rPr>
          <w:rFonts w:eastAsia="Times New Roman" w:cs="Times New Roman"/>
          <w:szCs w:val="24"/>
        </w:rPr>
        <w:t>k.s.h</w:t>
      </w:r>
      <w:r w:rsidR="006B59DC">
        <w:rPr>
          <w:rFonts w:eastAsia="Times New Roman" w:cs="Times New Roman"/>
          <w:szCs w:val="24"/>
        </w:rPr>
        <w:t>.</w:t>
      </w:r>
      <w:r w:rsidR="00584BF4">
        <w:rPr>
          <w:rFonts w:eastAsia="Times New Roman" w:cs="Times New Roman"/>
          <w:szCs w:val="24"/>
        </w:rPr>
        <w:t xml:space="preserve"> jest u</w:t>
      </w:r>
      <w:r w:rsidRPr="0013163D">
        <w:rPr>
          <w:rFonts w:eastAsia="Times New Roman" w:cs="Times New Roman"/>
          <w:szCs w:val="24"/>
        </w:rPr>
        <w:t>norm</w:t>
      </w:r>
      <w:r w:rsidR="00584BF4">
        <w:rPr>
          <w:rFonts w:eastAsia="Times New Roman" w:cs="Times New Roman"/>
          <w:szCs w:val="24"/>
        </w:rPr>
        <w:t>owany</w:t>
      </w:r>
      <w:r w:rsidRPr="0013163D">
        <w:rPr>
          <w:rFonts w:eastAsia="Times New Roman" w:cs="Times New Roman"/>
          <w:szCs w:val="24"/>
        </w:rPr>
        <w:t xml:space="preserve"> zakaz pełnienia funkcji</w:t>
      </w:r>
      <w:r w:rsidR="004E3461">
        <w:rPr>
          <w:rFonts w:eastAsia="Times New Roman" w:cs="Times New Roman"/>
          <w:szCs w:val="24"/>
        </w:rPr>
        <w:t xml:space="preserve"> w </w:t>
      </w:r>
      <w:r w:rsidRPr="0013163D">
        <w:rPr>
          <w:rFonts w:eastAsia="Times New Roman" w:cs="Times New Roman"/>
          <w:szCs w:val="24"/>
        </w:rPr>
        <w:t>organach spółek handlowych przez okres pięciu lat od uprawomocnienia się wyroku skazującego za określone przestępstwa</w:t>
      </w:r>
      <w:r w:rsidR="004E3461">
        <w:rPr>
          <w:rFonts w:eastAsia="Times New Roman" w:cs="Times New Roman"/>
          <w:szCs w:val="24"/>
        </w:rPr>
        <w:t xml:space="preserve"> z </w:t>
      </w:r>
      <w:r w:rsidR="00584BF4">
        <w:rPr>
          <w:rFonts w:eastAsia="Times New Roman" w:cs="Times New Roman"/>
          <w:szCs w:val="24"/>
        </w:rPr>
        <w:t xml:space="preserve">Kodeksu spółek handlowych </w:t>
      </w:r>
      <w:r w:rsidRPr="0013163D">
        <w:rPr>
          <w:rFonts w:eastAsia="Times New Roman" w:cs="Times New Roman"/>
          <w:szCs w:val="24"/>
        </w:rPr>
        <w:t>oraz rozdz</w:t>
      </w:r>
      <w:r w:rsidR="000D1001">
        <w:rPr>
          <w:rFonts w:eastAsia="Times New Roman" w:cs="Times New Roman"/>
          <w:szCs w:val="24"/>
        </w:rPr>
        <w:t>iałów</w:t>
      </w:r>
      <w:r w:rsidRPr="0013163D">
        <w:rPr>
          <w:rFonts w:eastAsia="Times New Roman" w:cs="Times New Roman"/>
          <w:szCs w:val="24"/>
        </w:rPr>
        <w:t xml:space="preserve"> XXXIII</w:t>
      </w:r>
      <w:r w:rsidR="00CB55C5">
        <w:rPr>
          <w:rFonts w:eastAsia="Times New Roman" w:cs="Times New Roman"/>
          <w:szCs w:val="24"/>
        </w:rPr>
        <w:t>–</w:t>
      </w:r>
      <w:r w:rsidRPr="0013163D">
        <w:rPr>
          <w:rFonts w:eastAsia="Times New Roman" w:cs="Times New Roman"/>
          <w:szCs w:val="24"/>
        </w:rPr>
        <w:t xml:space="preserve">XXXVII </w:t>
      </w:r>
      <w:r w:rsidR="00584BF4">
        <w:rPr>
          <w:rFonts w:eastAsia="Times New Roman" w:cs="Times New Roman"/>
          <w:szCs w:val="24"/>
        </w:rPr>
        <w:t>ustawy</w:t>
      </w:r>
      <w:r w:rsidR="004E3461">
        <w:rPr>
          <w:rFonts w:eastAsia="Times New Roman" w:cs="Times New Roman"/>
          <w:szCs w:val="24"/>
        </w:rPr>
        <w:t xml:space="preserve"> z dnia 6 </w:t>
      </w:r>
      <w:r w:rsidR="00584BF4">
        <w:rPr>
          <w:rFonts w:eastAsia="Times New Roman" w:cs="Times New Roman"/>
          <w:szCs w:val="24"/>
        </w:rPr>
        <w:t>czerwca 1997 r. – Kodeks karny (Dz. U.</w:t>
      </w:r>
      <w:r w:rsidR="004E3461">
        <w:rPr>
          <w:rFonts w:eastAsia="Times New Roman" w:cs="Times New Roman"/>
          <w:szCs w:val="24"/>
        </w:rPr>
        <w:t xml:space="preserve"> z </w:t>
      </w:r>
      <w:r w:rsidR="00584BF4">
        <w:rPr>
          <w:rFonts w:eastAsia="Times New Roman" w:cs="Times New Roman"/>
          <w:szCs w:val="24"/>
        </w:rPr>
        <w:t>2025 r. poz. 383), dalej „k</w:t>
      </w:r>
      <w:r w:rsidRPr="0013163D">
        <w:rPr>
          <w:rFonts w:eastAsia="Times New Roman" w:cs="Times New Roman"/>
          <w:szCs w:val="24"/>
        </w:rPr>
        <w:t>.k.</w:t>
      </w:r>
      <w:r w:rsidR="00584BF4">
        <w:rPr>
          <w:rFonts w:eastAsia="Times New Roman" w:cs="Times New Roman"/>
          <w:szCs w:val="24"/>
        </w:rPr>
        <w:t>”.</w:t>
      </w:r>
      <w:r w:rsidRPr="0013163D">
        <w:rPr>
          <w:rFonts w:eastAsia="Times New Roman" w:cs="Times New Roman"/>
          <w:szCs w:val="24"/>
        </w:rPr>
        <w:t xml:space="preserve"> Rozwiązanie to polega na bezwzględnym</w:t>
      </w:r>
      <w:r w:rsidR="002B2905">
        <w:rPr>
          <w:rFonts w:eastAsia="Times New Roman" w:cs="Times New Roman"/>
          <w:szCs w:val="24"/>
        </w:rPr>
        <w:t xml:space="preserve"> i </w:t>
      </w:r>
      <w:r w:rsidRPr="0013163D">
        <w:rPr>
          <w:rFonts w:eastAsia="Times New Roman" w:cs="Times New Roman"/>
          <w:szCs w:val="24"/>
        </w:rPr>
        <w:t>automatycznym stosowaniu omawianego zakazu (dolegliwości karnoprawnej), bez względu na wyrok sądu</w:t>
      </w:r>
      <w:r w:rsidR="002B2905">
        <w:rPr>
          <w:rFonts w:eastAsia="Times New Roman" w:cs="Times New Roman"/>
          <w:szCs w:val="24"/>
        </w:rPr>
        <w:t xml:space="preserve"> i </w:t>
      </w:r>
      <w:r w:rsidRPr="0013163D">
        <w:rPr>
          <w:rFonts w:eastAsia="Times New Roman" w:cs="Times New Roman"/>
          <w:szCs w:val="24"/>
        </w:rPr>
        <w:t>konkretne okoliczności danej sprawy. Należy zwrócić uwagę, że ten sam okres stosowania zakazu dotyczy osób skazanych na niskie kary (co wynika</w:t>
      </w:r>
      <w:r w:rsidR="004E3461">
        <w:rPr>
          <w:rFonts w:eastAsia="Times New Roman" w:cs="Times New Roman"/>
          <w:szCs w:val="24"/>
        </w:rPr>
        <w:t xml:space="preserve"> z </w:t>
      </w:r>
      <w:r w:rsidRPr="0013163D">
        <w:rPr>
          <w:rFonts w:eastAsia="Times New Roman" w:cs="Times New Roman"/>
          <w:szCs w:val="24"/>
        </w:rPr>
        <w:t>analizy faktów sprawy dokonanej przez sąd)</w:t>
      </w:r>
      <w:r w:rsidRPr="0013163D">
        <w:rPr>
          <w:rFonts w:cs="Times New Roman"/>
          <w:szCs w:val="24"/>
        </w:rPr>
        <w:t>,</w:t>
      </w:r>
      <w:r w:rsidRPr="0013163D">
        <w:rPr>
          <w:rFonts w:eastAsia="Times New Roman" w:cs="Times New Roman"/>
          <w:szCs w:val="24"/>
        </w:rPr>
        <w:t xml:space="preserve"> jak też osób otrzymujących </w:t>
      </w:r>
      <w:r w:rsidR="00675643">
        <w:rPr>
          <w:rFonts w:eastAsia="Times New Roman" w:cs="Times New Roman"/>
          <w:szCs w:val="24"/>
        </w:rPr>
        <w:t>karę</w:t>
      </w:r>
      <w:r w:rsidR="004E3461">
        <w:rPr>
          <w:rFonts w:eastAsia="Times New Roman" w:cs="Times New Roman"/>
          <w:szCs w:val="24"/>
        </w:rPr>
        <w:t xml:space="preserve"> w </w:t>
      </w:r>
      <w:r w:rsidRPr="0013163D">
        <w:rPr>
          <w:rFonts w:eastAsia="Times New Roman" w:cs="Times New Roman"/>
          <w:szCs w:val="24"/>
        </w:rPr>
        <w:t>najwyższ</w:t>
      </w:r>
      <w:r w:rsidR="00675643">
        <w:rPr>
          <w:rFonts w:eastAsia="Times New Roman" w:cs="Times New Roman"/>
          <w:szCs w:val="24"/>
        </w:rPr>
        <w:t>ym</w:t>
      </w:r>
      <w:r w:rsidRPr="0013163D">
        <w:rPr>
          <w:rFonts w:eastAsia="Times New Roman" w:cs="Times New Roman"/>
          <w:szCs w:val="24"/>
        </w:rPr>
        <w:t xml:space="preserve"> wymiar</w:t>
      </w:r>
      <w:r w:rsidR="00675643">
        <w:rPr>
          <w:rFonts w:eastAsia="Times New Roman" w:cs="Times New Roman"/>
          <w:szCs w:val="24"/>
        </w:rPr>
        <w:t>ze</w:t>
      </w:r>
      <w:r w:rsidRPr="0013163D">
        <w:rPr>
          <w:rFonts w:eastAsia="Times New Roman" w:cs="Times New Roman"/>
          <w:szCs w:val="24"/>
        </w:rPr>
        <w:t xml:space="preserve"> </w:t>
      </w:r>
      <w:r w:rsidR="00675643">
        <w:rPr>
          <w:rFonts w:eastAsia="Times New Roman" w:cs="Times New Roman"/>
          <w:szCs w:val="24"/>
        </w:rPr>
        <w:t xml:space="preserve">przewidzianym przez </w:t>
      </w:r>
      <w:r w:rsidRPr="0013163D">
        <w:rPr>
          <w:rFonts w:eastAsia="Times New Roman" w:cs="Times New Roman"/>
          <w:szCs w:val="24"/>
        </w:rPr>
        <w:t>wskazan</w:t>
      </w:r>
      <w:r w:rsidR="00675643">
        <w:rPr>
          <w:rFonts w:eastAsia="Times New Roman" w:cs="Times New Roman"/>
          <w:szCs w:val="24"/>
        </w:rPr>
        <w:t>e</w:t>
      </w:r>
      <w:r w:rsidRPr="0013163D">
        <w:rPr>
          <w:rFonts w:eastAsia="Times New Roman" w:cs="Times New Roman"/>
          <w:szCs w:val="24"/>
        </w:rPr>
        <w:t xml:space="preserve"> przepis</w:t>
      </w:r>
      <w:r w:rsidR="00675643">
        <w:rPr>
          <w:rFonts w:eastAsia="Times New Roman" w:cs="Times New Roman"/>
          <w:szCs w:val="24"/>
        </w:rPr>
        <w:t>y</w:t>
      </w:r>
      <w:r w:rsidRPr="0013163D">
        <w:rPr>
          <w:rFonts w:eastAsia="Times New Roman" w:cs="Times New Roman"/>
          <w:szCs w:val="24"/>
        </w:rPr>
        <w:t xml:space="preserve">. </w:t>
      </w:r>
    </w:p>
    <w:p w14:paraId="1B0A731E" w14:textId="519C1722" w:rsidR="008E4B15" w:rsidRPr="0013163D" w:rsidRDefault="008E4B15" w:rsidP="004D2D15">
      <w:pPr>
        <w:shd w:val="clear" w:color="auto" w:fill="FFFFFF"/>
        <w:ind w:firstLine="708"/>
        <w:jc w:val="both"/>
        <w:rPr>
          <w:rFonts w:cs="Times New Roman"/>
          <w:szCs w:val="24"/>
        </w:rPr>
      </w:pPr>
      <w:r w:rsidRPr="0013163D">
        <w:rPr>
          <w:rFonts w:cs="Times New Roman"/>
          <w:szCs w:val="24"/>
        </w:rPr>
        <w:t xml:space="preserve">Analiza obowiązujących przepisów wskazuje na </w:t>
      </w:r>
      <w:r w:rsidR="00115E3B" w:rsidRPr="0013163D">
        <w:rPr>
          <w:rFonts w:cs="Times New Roman"/>
          <w:szCs w:val="24"/>
        </w:rPr>
        <w:t>bardzo silny charakter</w:t>
      </w:r>
      <w:r w:rsidRPr="0013163D">
        <w:rPr>
          <w:rFonts w:cs="Times New Roman"/>
          <w:szCs w:val="24"/>
        </w:rPr>
        <w:t xml:space="preserve"> środka karnego przewidzianego</w:t>
      </w:r>
      <w:r w:rsidR="004E3461">
        <w:rPr>
          <w:rFonts w:cs="Times New Roman"/>
          <w:szCs w:val="24"/>
        </w:rPr>
        <w:t xml:space="preserve"> w </w:t>
      </w:r>
      <w:r w:rsidR="00766C10" w:rsidRPr="0013163D">
        <w:rPr>
          <w:rFonts w:cs="Times New Roman"/>
          <w:szCs w:val="24"/>
        </w:rPr>
        <w:t xml:space="preserve">art. 18 </w:t>
      </w:r>
      <w:r w:rsidR="00584BF4">
        <w:rPr>
          <w:rFonts w:cs="Times New Roman"/>
          <w:szCs w:val="24"/>
        </w:rPr>
        <w:t>k</w:t>
      </w:r>
      <w:r w:rsidR="00766C10" w:rsidRPr="0013163D">
        <w:rPr>
          <w:rFonts w:cs="Times New Roman"/>
          <w:szCs w:val="24"/>
        </w:rPr>
        <w:t>.s.h.,</w:t>
      </w:r>
      <w:r w:rsidRPr="0013163D">
        <w:rPr>
          <w:rFonts w:cs="Times New Roman"/>
          <w:szCs w:val="24"/>
        </w:rPr>
        <w:t xml:space="preserve"> </w:t>
      </w:r>
      <w:r w:rsidR="00766C10" w:rsidRPr="0013163D">
        <w:rPr>
          <w:rFonts w:cs="Times New Roman"/>
          <w:szCs w:val="24"/>
        </w:rPr>
        <w:t>do którego przewidziano ograniczoną możliwość miarkowania</w:t>
      </w:r>
      <w:r w:rsidR="004E3461">
        <w:rPr>
          <w:rFonts w:cs="Times New Roman"/>
          <w:szCs w:val="24"/>
        </w:rPr>
        <w:t xml:space="preserve"> w </w:t>
      </w:r>
      <w:r w:rsidR="00766C10" w:rsidRPr="0013163D">
        <w:rPr>
          <w:rFonts w:cs="Times New Roman"/>
          <w:szCs w:val="24"/>
        </w:rPr>
        <w:t>drodze następczego złożenia wniosku</w:t>
      </w:r>
      <w:r w:rsidR="002B2905">
        <w:rPr>
          <w:rFonts w:cs="Times New Roman"/>
          <w:szCs w:val="24"/>
        </w:rPr>
        <w:t xml:space="preserve"> o </w:t>
      </w:r>
      <w:r w:rsidR="00766C10" w:rsidRPr="0013163D">
        <w:rPr>
          <w:rFonts w:cs="Times New Roman"/>
          <w:szCs w:val="24"/>
        </w:rPr>
        <w:t>zwolnieni</w:t>
      </w:r>
      <w:r w:rsidR="0041287A">
        <w:rPr>
          <w:rFonts w:cs="Times New Roman"/>
          <w:szCs w:val="24"/>
        </w:rPr>
        <w:t>e</w:t>
      </w:r>
      <w:r w:rsidR="004E3461">
        <w:rPr>
          <w:rFonts w:cs="Times New Roman"/>
          <w:szCs w:val="24"/>
        </w:rPr>
        <w:t xml:space="preserve"> z </w:t>
      </w:r>
      <w:r w:rsidR="00766C10" w:rsidRPr="0013163D">
        <w:rPr>
          <w:rFonts w:cs="Times New Roman"/>
          <w:szCs w:val="24"/>
        </w:rPr>
        <w:t>sankcji zakazu pełnienia funkcji</w:t>
      </w:r>
      <w:r w:rsidR="004E3461">
        <w:rPr>
          <w:rFonts w:cs="Times New Roman"/>
          <w:szCs w:val="24"/>
        </w:rPr>
        <w:t xml:space="preserve"> w </w:t>
      </w:r>
      <w:r w:rsidR="00766C10" w:rsidRPr="0013163D">
        <w:rPr>
          <w:rFonts w:cs="Times New Roman"/>
          <w:szCs w:val="24"/>
        </w:rPr>
        <w:t>spółce</w:t>
      </w:r>
      <w:r w:rsidRPr="0013163D">
        <w:rPr>
          <w:rFonts w:cs="Times New Roman"/>
          <w:szCs w:val="24"/>
        </w:rPr>
        <w:t xml:space="preserve">. </w:t>
      </w:r>
      <w:r w:rsidR="00766C10" w:rsidRPr="0013163D">
        <w:rPr>
          <w:rFonts w:eastAsia="Times New Roman" w:cs="Times New Roman"/>
          <w:szCs w:val="24"/>
        </w:rPr>
        <w:t>N</w:t>
      </w:r>
      <w:r w:rsidRPr="0013163D">
        <w:rPr>
          <w:rFonts w:eastAsia="Times New Roman" w:cs="Times New Roman"/>
          <w:szCs w:val="24"/>
        </w:rPr>
        <w:t>ależy wskazać, że</w:t>
      </w:r>
      <w:r w:rsidRPr="0013163D">
        <w:rPr>
          <w:rFonts w:cs="Times New Roman"/>
          <w:szCs w:val="24"/>
        </w:rPr>
        <w:t xml:space="preserve"> </w:t>
      </w:r>
      <w:r w:rsidR="00766C10" w:rsidRPr="0013163D">
        <w:rPr>
          <w:rFonts w:cs="Times New Roman"/>
          <w:szCs w:val="24"/>
        </w:rPr>
        <w:t>przytoczona możliwość</w:t>
      </w:r>
      <w:r w:rsidRPr="0013163D">
        <w:rPr>
          <w:rFonts w:cs="Times New Roman"/>
          <w:szCs w:val="24"/>
        </w:rPr>
        <w:t xml:space="preserve"> następczego</w:t>
      </w:r>
      <w:r w:rsidR="00115E3B" w:rsidRPr="0013163D">
        <w:rPr>
          <w:rFonts w:cs="Times New Roman"/>
          <w:szCs w:val="24"/>
        </w:rPr>
        <w:t xml:space="preserve"> </w:t>
      </w:r>
      <w:r w:rsidRPr="0013163D">
        <w:rPr>
          <w:rFonts w:cs="Times New Roman"/>
          <w:szCs w:val="24"/>
        </w:rPr>
        <w:t xml:space="preserve">miarkowania, na podstawie art. 18 § 4 </w:t>
      </w:r>
      <w:r w:rsidR="00584BF4">
        <w:rPr>
          <w:rFonts w:cs="Times New Roman"/>
          <w:szCs w:val="24"/>
        </w:rPr>
        <w:t>k</w:t>
      </w:r>
      <w:r w:rsidRPr="0013163D">
        <w:rPr>
          <w:rFonts w:cs="Times New Roman"/>
          <w:szCs w:val="24"/>
        </w:rPr>
        <w:t>.s.h. nie jest wystarczająca, ponieważ dotyczy to jedynie przestępstw nieumyślnych. Skoro zatem</w:t>
      </w:r>
      <w:r w:rsidR="002B2905">
        <w:rPr>
          <w:rFonts w:cs="Times New Roman"/>
          <w:szCs w:val="24"/>
        </w:rPr>
        <w:t xml:space="preserve"> i </w:t>
      </w:r>
      <w:r w:rsidRPr="0013163D">
        <w:rPr>
          <w:rFonts w:cs="Times New Roman"/>
          <w:szCs w:val="24"/>
        </w:rPr>
        <w:t xml:space="preserve">tak dochodzi do oceny przez sąd </w:t>
      </w:r>
      <w:r w:rsidRPr="006573F8">
        <w:rPr>
          <w:rFonts w:cs="Times New Roman"/>
          <w:i/>
          <w:iCs/>
          <w:szCs w:val="24"/>
        </w:rPr>
        <w:t>ex post</w:t>
      </w:r>
      <w:r w:rsidRPr="0013163D">
        <w:rPr>
          <w:rFonts w:cs="Times New Roman"/>
          <w:szCs w:val="24"/>
        </w:rPr>
        <w:t xml:space="preserve"> (choć</w:t>
      </w:r>
      <w:r w:rsidR="004E3461">
        <w:rPr>
          <w:rFonts w:cs="Times New Roman"/>
          <w:szCs w:val="24"/>
        </w:rPr>
        <w:t xml:space="preserve"> w </w:t>
      </w:r>
      <w:r w:rsidRPr="0013163D">
        <w:rPr>
          <w:rFonts w:cs="Times New Roman"/>
          <w:szCs w:val="24"/>
        </w:rPr>
        <w:t>ograniczonym zakresie), to zasadnym wydaje się rozszerzenie zakresu tej oceny</w:t>
      </w:r>
      <w:r w:rsidR="002B2905">
        <w:rPr>
          <w:rFonts w:cs="Times New Roman"/>
          <w:szCs w:val="24"/>
        </w:rPr>
        <w:t xml:space="preserve"> i </w:t>
      </w:r>
      <w:r w:rsidRPr="0013163D">
        <w:rPr>
          <w:rFonts w:cs="Times New Roman"/>
          <w:szCs w:val="24"/>
        </w:rPr>
        <w:t>umożliwienie sądowi dostosowania dolegliwości środka karnego do wymogów konkretnej sprawy. Jeżeli</w:t>
      </w:r>
      <w:r w:rsidR="004E3461">
        <w:rPr>
          <w:rFonts w:cs="Times New Roman"/>
          <w:szCs w:val="24"/>
        </w:rPr>
        <w:t xml:space="preserve"> w </w:t>
      </w:r>
      <w:r w:rsidRPr="0013163D">
        <w:rPr>
          <w:rFonts w:cs="Times New Roman"/>
          <w:szCs w:val="24"/>
        </w:rPr>
        <w:t>ocenie sądu dana osoba, mimo skazania</w:t>
      </w:r>
      <w:r w:rsidR="006B59DC">
        <w:rPr>
          <w:rFonts w:cs="Times New Roman"/>
          <w:szCs w:val="24"/>
        </w:rPr>
        <w:t>,</w:t>
      </w:r>
      <w:r w:rsidRPr="0013163D">
        <w:rPr>
          <w:rFonts w:cs="Times New Roman"/>
          <w:szCs w:val="24"/>
        </w:rPr>
        <w:t xml:space="preserve"> nie zasługuje na wymierzenie jej kary zakazu, to należy przyjąć, że nie stanowi ona zagrożenia dla obrotu gospodarczego, co stanowi przedmiot badania sądu. </w:t>
      </w:r>
    </w:p>
    <w:p w14:paraId="22D37FD1" w14:textId="12F01B42" w:rsidR="00115E3B" w:rsidRPr="0013163D" w:rsidRDefault="008E4B15" w:rsidP="004D2D15">
      <w:pPr>
        <w:shd w:val="clear" w:color="auto" w:fill="FFFFFF"/>
        <w:ind w:firstLine="708"/>
        <w:jc w:val="both"/>
        <w:rPr>
          <w:rFonts w:eastAsia="Times New Roman" w:cs="Times New Roman"/>
          <w:szCs w:val="24"/>
        </w:rPr>
      </w:pPr>
      <w:r w:rsidRPr="0013163D">
        <w:rPr>
          <w:rFonts w:eastAsia="Times New Roman" w:cs="Times New Roman"/>
          <w:szCs w:val="24"/>
        </w:rPr>
        <w:t>Projektowane rozwiązanie proponuje zmianę art. 18 §</w:t>
      </w:r>
      <w:r w:rsidRPr="0013163D">
        <w:rPr>
          <w:rFonts w:cs="Times New Roman"/>
          <w:szCs w:val="24"/>
        </w:rPr>
        <w:t xml:space="preserve"> </w:t>
      </w:r>
      <w:r w:rsidRPr="0013163D">
        <w:rPr>
          <w:rFonts w:eastAsia="Times New Roman" w:cs="Times New Roman"/>
          <w:szCs w:val="24"/>
        </w:rPr>
        <w:t>4</w:t>
      </w:r>
      <w:r w:rsidRPr="0013163D">
        <w:rPr>
          <w:rFonts w:cs="Times New Roman"/>
          <w:szCs w:val="24"/>
        </w:rPr>
        <w:t xml:space="preserve"> </w:t>
      </w:r>
      <w:r w:rsidR="00584BF4">
        <w:rPr>
          <w:rFonts w:cs="Times New Roman"/>
          <w:szCs w:val="24"/>
        </w:rPr>
        <w:t>k</w:t>
      </w:r>
      <w:r w:rsidRPr="0013163D">
        <w:rPr>
          <w:rFonts w:cs="Times New Roman"/>
          <w:szCs w:val="24"/>
        </w:rPr>
        <w:t xml:space="preserve">.s.h. </w:t>
      </w:r>
      <w:r w:rsidRPr="0013163D">
        <w:rPr>
          <w:rFonts w:eastAsia="Times New Roman" w:cs="Times New Roman"/>
          <w:szCs w:val="24"/>
        </w:rPr>
        <w:t>przez wykreślenie</w:t>
      </w:r>
      <w:r w:rsidR="004E3461">
        <w:rPr>
          <w:rFonts w:eastAsia="Times New Roman" w:cs="Times New Roman"/>
          <w:szCs w:val="24"/>
        </w:rPr>
        <w:t xml:space="preserve"> z </w:t>
      </w:r>
      <w:r w:rsidRPr="0013163D">
        <w:rPr>
          <w:rFonts w:eastAsia="Times New Roman" w:cs="Times New Roman"/>
          <w:szCs w:val="24"/>
        </w:rPr>
        <w:t>niego wyłączenia możliwości sądowego zwolnienia</w:t>
      </w:r>
      <w:r w:rsidR="004E3461">
        <w:rPr>
          <w:rFonts w:eastAsia="Times New Roman" w:cs="Times New Roman"/>
          <w:szCs w:val="24"/>
        </w:rPr>
        <w:t xml:space="preserve"> z </w:t>
      </w:r>
      <w:r w:rsidRPr="0013163D">
        <w:rPr>
          <w:rFonts w:eastAsia="Times New Roman" w:cs="Times New Roman"/>
          <w:szCs w:val="24"/>
        </w:rPr>
        <w:t>zakazu pełnienia funkcji</w:t>
      </w:r>
      <w:r w:rsidR="004E3461">
        <w:rPr>
          <w:rFonts w:eastAsia="Times New Roman" w:cs="Times New Roman"/>
          <w:szCs w:val="24"/>
        </w:rPr>
        <w:t xml:space="preserve"> w </w:t>
      </w:r>
      <w:r w:rsidRPr="0013163D">
        <w:rPr>
          <w:rFonts w:eastAsia="Times New Roman" w:cs="Times New Roman"/>
          <w:szCs w:val="24"/>
        </w:rPr>
        <w:t>spółce</w:t>
      </w:r>
      <w:r w:rsidR="004E3461">
        <w:rPr>
          <w:rFonts w:eastAsia="Times New Roman" w:cs="Times New Roman"/>
          <w:szCs w:val="24"/>
        </w:rPr>
        <w:t xml:space="preserve"> w </w:t>
      </w:r>
      <w:r w:rsidRPr="0013163D">
        <w:rPr>
          <w:rFonts w:eastAsia="Times New Roman" w:cs="Times New Roman"/>
          <w:szCs w:val="24"/>
        </w:rPr>
        <w:t>przypadku przestępstw popełnionych umyślnie. Takie rozwiązanie pozostawia ocenę stanu faktycznego oraz pełną swobodę wyrokowania</w:t>
      </w:r>
      <w:r w:rsidR="004E3461">
        <w:rPr>
          <w:rFonts w:eastAsia="Times New Roman" w:cs="Times New Roman"/>
          <w:szCs w:val="24"/>
        </w:rPr>
        <w:t xml:space="preserve"> w </w:t>
      </w:r>
      <w:r w:rsidR="00F3211E">
        <w:rPr>
          <w:rFonts w:eastAsia="Times New Roman" w:cs="Times New Roman"/>
          <w:szCs w:val="24"/>
        </w:rPr>
        <w:t xml:space="preserve">dyspozycji </w:t>
      </w:r>
      <w:r w:rsidRPr="0013163D">
        <w:rPr>
          <w:rFonts w:eastAsia="Times New Roman" w:cs="Times New Roman"/>
          <w:szCs w:val="24"/>
        </w:rPr>
        <w:t>sądu, co jest zmianą pożądaną zarówno</w:t>
      </w:r>
      <w:r w:rsidR="004E3461">
        <w:rPr>
          <w:rFonts w:eastAsia="Times New Roman" w:cs="Times New Roman"/>
          <w:szCs w:val="24"/>
        </w:rPr>
        <w:t xml:space="preserve"> </w:t>
      </w:r>
      <w:r w:rsidR="004E3461">
        <w:rPr>
          <w:rFonts w:eastAsia="Times New Roman" w:cs="Times New Roman"/>
          <w:szCs w:val="24"/>
        </w:rPr>
        <w:lastRenderedPageBreak/>
        <w:t>z </w:t>
      </w:r>
      <w:r w:rsidRPr="0013163D">
        <w:rPr>
          <w:rFonts w:eastAsia="Times New Roman" w:cs="Times New Roman"/>
          <w:szCs w:val="24"/>
        </w:rPr>
        <w:t>punktu widzenia deregulacji prawa gospodarczego, jak też znajduje uzasadnienie</w:t>
      </w:r>
      <w:r w:rsidR="004E3461">
        <w:rPr>
          <w:rFonts w:eastAsia="Times New Roman" w:cs="Times New Roman"/>
          <w:szCs w:val="24"/>
        </w:rPr>
        <w:t xml:space="preserve"> w </w:t>
      </w:r>
      <w:r w:rsidRPr="0013163D">
        <w:rPr>
          <w:rFonts w:eastAsia="Times New Roman" w:cs="Times New Roman"/>
          <w:szCs w:val="24"/>
        </w:rPr>
        <w:t>ustrojow</w:t>
      </w:r>
      <w:r w:rsidR="00F3211E">
        <w:rPr>
          <w:rFonts w:eastAsia="Times New Roman" w:cs="Times New Roman"/>
          <w:szCs w:val="24"/>
        </w:rPr>
        <w:t>ej</w:t>
      </w:r>
      <w:r w:rsidRPr="0013163D">
        <w:rPr>
          <w:rFonts w:eastAsia="Times New Roman" w:cs="Times New Roman"/>
          <w:szCs w:val="24"/>
        </w:rPr>
        <w:t xml:space="preserve"> zasad</w:t>
      </w:r>
      <w:r w:rsidR="00F3211E">
        <w:rPr>
          <w:rFonts w:eastAsia="Times New Roman" w:cs="Times New Roman"/>
          <w:szCs w:val="24"/>
        </w:rPr>
        <w:t>zie</w:t>
      </w:r>
      <w:r w:rsidRPr="0013163D">
        <w:rPr>
          <w:rFonts w:eastAsia="Times New Roman" w:cs="Times New Roman"/>
          <w:szCs w:val="24"/>
        </w:rPr>
        <w:t xml:space="preserve"> trójpodziału władz.</w:t>
      </w:r>
      <w:r w:rsidR="00115E3B" w:rsidRPr="0013163D">
        <w:rPr>
          <w:rFonts w:eastAsia="Times New Roman" w:cs="Times New Roman"/>
          <w:szCs w:val="24"/>
        </w:rPr>
        <w:t xml:space="preserve"> </w:t>
      </w:r>
    </w:p>
    <w:p w14:paraId="41253ED7" w14:textId="77777777" w:rsidR="00BF7C2D" w:rsidRDefault="00584BF4" w:rsidP="00BF7C2D">
      <w:pPr>
        <w:shd w:val="clear" w:color="auto" w:fill="FFFFFF"/>
        <w:ind w:firstLine="708"/>
        <w:jc w:val="both"/>
        <w:rPr>
          <w:rFonts w:eastAsia="Times New Roman" w:cs="Times New Roman"/>
          <w:szCs w:val="24"/>
        </w:rPr>
      </w:pPr>
      <w:r>
        <w:rPr>
          <w:rFonts w:eastAsia="Times New Roman" w:cs="Times New Roman"/>
          <w:szCs w:val="24"/>
        </w:rPr>
        <w:t>Kolejn</w:t>
      </w:r>
      <w:r w:rsidR="00875C1C">
        <w:rPr>
          <w:rFonts w:eastAsia="Times New Roman" w:cs="Times New Roman"/>
          <w:szCs w:val="24"/>
        </w:rPr>
        <w:t>ą kwestią</w:t>
      </w:r>
      <w:r w:rsidR="004E3461">
        <w:rPr>
          <w:rFonts w:eastAsia="Times New Roman" w:cs="Times New Roman"/>
          <w:szCs w:val="24"/>
        </w:rPr>
        <w:t xml:space="preserve"> w </w:t>
      </w:r>
      <w:r w:rsidR="008E4B15" w:rsidRPr="0013163D">
        <w:rPr>
          <w:rFonts w:eastAsia="Times New Roman" w:cs="Times New Roman"/>
          <w:szCs w:val="24"/>
        </w:rPr>
        <w:t xml:space="preserve">zakresie przepisów Kodeksu spółek handlowych, którego </w:t>
      </w:r>
      <w:r w:rsidR="00F3211E">
        <w:rPr>
          <w:rFonts w:eastAsia="Times New Roman" w:cs="Times New Roman"/>
          <w:szCs w:val="24"/>
        </w:rPr>
        <w:t xml:space="preserve">rozwiązanie </w:t>
      </w:r>
      <w:r w:rsidR="008E4B15" w:rsidRPr="0013163D">
        <w:rPr>
          <w:rFonts w:eastAsia="Times New Roman" w:cs="Times New Roman"/>
          <w:szCs w:val="24"/>
        </w:rPr>
        <w:t>ma na celu niniejsz</w:t>
      </w:r>
      <w:r w:rsidR="001807C2">
        <w:rPr>
          <w:rFonts w:eastAsia="Times New Roman" w:cs="Times New Roman"/>
          <w:szCs w:val="24"/>
        </w:rPr>
        <w:t>y projekt</w:t>
      </w:r>
      <w:r w:rsidR="008E4B15" w:rsidRPr="0013163D">
        <w:rPr>
          <w:rFonts w:eastAsia="Times New Roman" w:cs="Times New Roman"/>
          <w:szCs w:val="24"/>
        </w:rPr>
        <w:t>, jest art. 586</w:t>
      </w:r>
      <w:r w:rsidR="00DE4D18">
        <w:rPr>
          <w:rFonts w:eastAsia="Times New Roman" w:cs="Times New Roman"/>
          <w:szCs w:val="24"/>
        </w:rPr>
        <w:t xml:space="preserve"> k.s.h</w:t>
      </w:r>
      <w:r w:rsidR="008E4B15" w:rsidRPr="0013163D">
        <w:rPr>
          <w:rFonts w:eastAsia="Times New Roman" w:cs="Times New Roman"/>
          <w:szCs w:val="24"/>
        </w:rPr>
        <w:t xml:space="preserve">. </w:t>
      </w:r>
    </w:p>
    <w:p w14:paraId="6060F175" w14:textId="41E3F2AD" w:rsidR="0027327D" w:rsidRDefault="00296AA7" w:rsidP="0027327D">
      <w:pPr>
        <w:shd w:val="clear" w:color="auto" w:fill="FFFFFF"/>
        <w:ind w:firstLine="708"/>
        <w:jc w:val="both"/>
        <w:rPr>
          <w:rFonts w:eastAsia="Times New Roman" w:cs="Times New Roman"/>
          <w:szCs w:val="24"/>
        </w:rPr>
      </w:pPr>
      <w:r>
        <w:rPr>
          <w:rFonts w:eastAsia="Times New Roman" w:cs="Times New Roman"/>
          <w:szCs w:val="24"/>
        </w:rPr>
        <w:t>Należy w</w:t>
      </w:r>
      <w:r w:rsidR="0027327D">
        <w:rPr>
          <w:rFonts w:eastAsia="Times New Roman" w:cs="Times New Roman"/>
          <w:szCs w:val="24"/>
        </w:rPr>
        <w:t xml:space="preserve">skazać, </w:t>
      </w:r>
      <w:r w:rsidR="004A02D5">
        <w:rPr>
          <w:rFonts w:eastAsia="Times New Roman" w:cs="Times New Roman"/>
          <w:szCs w:val="24"/>
        </w:rPr>
        <w:t xml:space="preserve">że </w:t>
      </w:r>
      <w:r w:rsidR="001370E5">
        <w:rPr>
          <w:rFonts w:eastAsia="Times New Roman" w:cs="Times New Roman"/>
          <w:szCs w:val="24"/>
        </w:rPr>
        <w:t xml:space="preserve">w </w:t>
      </w:r>
      <w:r w:rsidR="004A02D5">
        <w:rPr>
          <w:rFonts w:eastAsia="Times New Roman" w:cs="Times New Roman"/>
          <w:szCs w:val="24"/>
        </w:rPr>
        <w:t>praktyce</w:t>
      </w:r>
      <w:r w:rsidR="008E4B15" w:rsidRPr="0013163D">
        <w:rPr>
          <w:rFonts w:eastAsia="Times New Roman" w:cs="Times New Roman"/>
          <w:szCs w:val="24"/>
        </w:rPr>
        <w:t xml:space="preserve"> wymiaru sprawiedliwości postępowania</w:t>
      </w:r>
      <w:r w:rsidR="004E3461">
        <w:rPr>
          <w:rFonts w:eastAsia="Times New Roman" w:cs="Times New Roman"/>
          <w:szCs w:val="24"/>
        </w:rPr>
        <w:t xml:space="preserve"> w </w:t>
      </w:r>
      <w:r w:rsidR="008E4B15" w:rsidRPr="0013163D">
        <w:rPr>
          <w:rFonts w:eastAsia="Times New Roman" w:cs="Times New Roman"/>
          <w:szCs w:val="24"/>
        </w:rPr>
        <w:t>tym przedmiocie należą do nielicznych. Przestępstwa te nie należą do głównej kategorii przestępstw popełnianych</w:t>
      </w:r>
      <w:r w:rsidR="004E3461">
        <w:rPr>
          <w:rFonts w:eastAsia="Times New Roman" w:cs="Times New Roman"/>
          <w:szCs w:val="24"/>
        </w:rPr>
        <w:t xml:space="preserve"> w </w:t>
      </w:r>
      <w:r w:rsidR="008E4B15" w:rsidRPr="0013163D">
        <w:rPr>
          <w:rFonts w:eastAsia="Times New Roman" w:cs="Times New Roman"/>
          <w:szCs w:val="24"/>
        </w:rPr>
        <w:t>ramach obrotu gospodarczego (w ostatnim roku dostępnej statystyki było to zaledwie 65 prawomocnych skazań za przestępstwo</w:t>
      </w:r>
      <w:r w:rsidR="004E3461">
        <w:rPr>
          <w:rFonts w:eastAsia="Times New Roman" w:cs="Times New Roman"/>
          <w:szCs w:val="24"/>
        </w:rPr>
        <w:t xml:space="preserve"> z </w:t>
      </w:r>
      <w:r w:rsidR="008E4B15" w:rsidRPr="0013163D">
        <w:rPr>
          <w:rFonts w:eastAsia="Times New Roman" w:cs="Times New Roman"/>
          <w:szCs w:val="24"/>
        </w:rPr>
        <w:t xml:space="preserve">art. 586 </w:t>
      </w:r>
      <w:r w:rsidR="00DE4D18">
        <w:rPr>
          <w:rFonts w:eastAsia="Times New Roman" w:cs="Times New Roman"/>
          <w:szCs w:val="24"/>
        </w:rPr>
        <w:t>k</w:t>
      </w:r>
      <w:r w:rsidR="008E4B15" w:rsidRPr="0013163D">
        <w:rPr>
          <w:rFonts w:eastAsia="Times New Roman" w:cs="Times New Roman"/>
          <w:szCs w:val="24"/>
        </w:rPr>
        <w:t>.</w:t>
      </w:r>
      <w:r w:rsidR="008E4B15" w:rsidRPr="0013163D">
        <w:rPr>
          <w:rFonts w:cs="Times New Roman"/>
          <w:szCs w:val="24"/>
        </w:rPr>
        <w:t>s</w:t>
      </w:r>
      <w:r w:rsidR="008E4B15" w:rsidRPr="0013163D">
        <w:rPr>
          <w:rFonts w:eastAsia="Times New Roman" w:cs="Times New Roman"/>
          <w:szCs w:val="24"/>
        </w:rPr>
        <w:t>.</w:t>
      </w:r>
      <w:r w:rsidR="008E4B15" w:rsidRPr="0013163D">
        <w:rPr>
          <w:rFonts w:cs="Times New Roman"/>
          <w:szCs w:val="24"/>
        </w:rPr>
        <w:t>h.</w:t>
      </w:r>
      <w:r w:rsidR="008E4B15" w:rsidRPr="0013163D">
        <w:rPr>
          <w:rFonts w:eastAsia="Times New Roman" w:cs="Times New Roman"/>
          <w:szCs w:val="24"/>
        </w:rPr>
        <w:t>, co oscyluje wokół średniej liczby skazań na przestrzeni lat 2008</w:t>
      </w:r>
      <w:r w:rsidR="00CB55C5">
        <w:rPr>
          <w:rFonts w:eastAsia="Times New Roman" w:cs="Times New Roman"/>
          <w:szCs w:val="24"/>
        </w:rPr>
        <w:t>–</w:t>
      </w:r>
      <w:r w:rsidR="008E4B15" w:rsidRPr="0013163D">
        <w:rPr>
          <w:rFonts w:eastAsia="Times New Roman" w:cs="Times New Roman"/>
          <w:szCs w:val="24"/>
        </w:rPr>
        <w:t>2018). Tym niemniej należy zauważyć, ż</w:t>
      </w:r>
      <w:r w:rsidR="00DE4D18">
        <w:rPr>
          <w:rFonts w:eastAsia="Times New Roman" w:cs="Times New Roman"/>
          <w:szCs w:val="24"/>
        </w:rPr>
        <w:t>e</w:t>
      </w:r>
      <w:r w:rsidR="008E4B15" w:rsidRPr="0013163D">
        <w:rPr>
          <w:rFonts w:eastAsia="Times New Roman" w:cs="Times New Roman"/>
          <w:szCs w:val="24"/>
        </w:rPr>
        <w:t xml:space="preserve"> jest to najczęściej popełniane przestępstwo spośród wszystkich czynów zabronionych stypizowanych</w:t>
      </w:r>
      <w:r w:rsidR="004E3461">
        <w:rPr>
          <w:rFonts w:eastAsia="Times New Roman" w:cs="Times New Roman"/>
          <w:szCs w:val="24"/>
        </w:rPr>
        <w:t xml:space="preserve"> w </w:t>
      </w:r>
      <w:r w:rsidR="00DE4D18">
        <w:rPr>
          <w:rFonts w:eastAsia="Times New Roman" w:cs="Times New Roman"/>
          <w:szCs w:val="24"/>
        </w:rPr>
        <w:t xml:space="preserve">Kodeksie spółek </w:t>
      </w:r>
      <w:r w:rsidR="00F6470B">
        <w:rPr>
          <w:rFonts w:eastAsia="Times New Roman" w:cs="Times New Roman"/>
          <w:szCs w:val="24"/>
        </w:rPr>
        <w:t>h</w:t>
      </w:r>
      <w:r w:rsidR="00DE4D18">
        <w:rPr>
          <w:rFonts w:eastAsia="Times New Roman" w:cs="Times New Roman"/>
          <w:szCs w:val="24"/>
        </w:rPr>
        <w:t>andlowych</w:t>
      </w:r>
      <w:r w:rsidR="008E4B15" w:rsidRPr="0013163D">
        <w:rPr>
          <w:rFonts w:eastAsia="Times New Roman" w:cs="Times New Roman"/>
          <w:szCs w:val="24"/>
        </w:rPr>
        <w:t xml:space="preserve"> (pozostałe</w:t>
      </w:r>
      <w:r w:rsidR="004E3461">
        <w:rPr>
          <w:rFonts w:eastAsia="Times New Roman" w:cs="Times New Roman"/>
          <w:szCs w:val="24"/>
        </w:rPr>
        <w:t xml:space="preserve"> w </w:t>
      </w:r>
      <w:r w:rsidR="008E4B15" w:rsidRPr="0013163D">
        <w:rPr>
          <w:rFonts w:eastAsia="Times New Roman" w:cs="Times New Roman"/>
          <w:szCs w:val="24"/>
        </w:rPr>
        <w:t>okresie statystycznym do</w:t>
      </w:r>
      <w:r w:rsidR="000D1001">
        <w:rPr>
          <w:rFonts w:eastAsia="Times New Roman" w:cs="Times New Roman"/>
          <w:szCs w:val="24"/>
        </w:rPr>
        <w:t xml:space="preserve"> 2018 </w:t>
      </w:r>
      <w:r w:rsidR="008E4B15" w:rsidRPr="0013163D">
        <w:rPr>
          <w:rFonts w:eastAsia="Times New Roman" w:cs="Times New Roman"/>
          <w:szCs w:val="24"/>
        </w:rPr>
        <w:t>r</w:t>
      </w:r>
      <w:r w:rsidR="00DE4D18">
        <w:rPr>
          <w:rFonts w:eastAsia="Times New Roman" w:cs="Times New Roman"/>
          <w:szCs w:val="24"/>
        </w:rPr>
        <w:t>.</w:t>
      </w:r>
      <w:r w:rsidR="008E4B15" w:rsidRPr="0013163D">
        <w:rPr>
          <w:rFonts w:eastAsia="Times New Roman" w:cs="Times New Roman"/>
          <w:szCs w:val="24"/>
        </w:rPr>
        <w:t xml:space="preserve"> charakteryzuje brak prawomocnych skazań, względnie kilka rocznie). Warto również zwrócić uwagę, że co najmniej 80% orzekanych kar za przestępstwa stypizowane</w:t>
      </w:r>
      <w:r w:rsidR="004E3461">
        <w:rPr>
          <w:rFonts w:eastAsia="Times New Roman" w:cs="Times New Roman"/>
          <w:szCs w:val="24"/>
        </w:rPr>
        <w:t xml:space="preserve"> w </w:t>
      </w:r>
      <w:r w:rsidR="00DE4D18">
        <w:rPr>
          <w:rFonts w:eastAsia="Times New Roman" w:cs="Times New Roman"/>
          <w:szCs w:val="24"/>
        </w:rPr>
        <w:t>Kodeksie spółek handlowych</w:t>
      </w:r>
      <w:r w:rsidR="008E4B15" w:rsidRPr="0013163D">
        <w:rPr>
          <w:rFonts w:eastAsia="Times New Roman" w:cs="Times New Roman"/>
          <w:szCs w:val="24"/>
        </w:rPr>
        <w:t xml:space="preserve"> to samoistne kary grzywny. Z kolei 6% wyżej wspomnianych kar to kary ograniczenia wolności, zaś pozostałą, niewielką jak na polskie warunki część (zaledwie 14%) stanowi kara pozbawienia wolności – niemal wyłącznie</w:t>
      </w:r>
      <w:r w:rsidR="004E3461">
        <w:rPr>
          <w:rFonts w:eastAsia="Times New Roman" w:cs="Times New Roman"/>
          <w:szCs w:val="24"/>
        </w:rPr>
        <w:t xml:space="preserve"> z </w:t>
      </w:r>
      <w:r w:rsidR="008E4B15" w:rsidRPr="0013163D">
        <w:rPr>
          <w:rFonts w:eastAsia="Times New Roman" w:cs="Times New Roman"/>
          <w:szCs w:val="24"/>
        </w:rPr>
        <w:t>zastosowaniem probacji</w:t>
      </w:r>
      <w:r w:rsidR="004E3461">
        <w:rPr>
          <w:rFonts w:eastAsia="Times New Roman" w:cs="Times New Roman"/>
          <w:szCs w:val="24"/>
        </w:rPr>
        <w:t xml:space="preserve"> w </w:t>
      </w:r>
      <w:r w:rsidR="008E4B15" w:rsidRPr="0013163D">
        <w:rPr>
          <w:rFonts w:eastAsia="Times New Roman" w:cs="Times New Roman"/>
          <w:szCs w:val="24"/>
        </w:rPr>
        <w:t xml:space="preserve">postaci warunkowego zawieszenia jej wykonania. Prowadzi to do wniosku, że sens utrzymywania </w:t>
      </w:r>
      <w:r w:rsidR="00BF7C2D">
        <w:rPr>
          <w:rFonts w:eastAsia="Times New Roman" w:cs="Times New Roman"/>
          <w:szCs w:val="24"/>
        </w:rPr>
        <w:t>obecnej sankcji w</w:t>
      </w:r>
      <w:r w:rsidR="00340FC3">
        <w:rPr>
          <w:rFonts w:eastAsia="Times New Roman" w:cs="Times New Roman"/>
          <w:szCs w:val="24"/>
        </w:rPr>
        <w:t> </w:t>
      </w:r>
      <w:r w:rsidR="00BF7C2D">
        <w:rPr>
          <w:rFonts w:eastAsia="Times New Roman" w:cs="Times New Roman"/>
          <w:szCs w:val="24"/>
        </w:rPr>
        <w:t>postaci kary pozbawienia wolności jest niezasadn</w:t>
      </w:r>
      <w:r w:rsidR="001E3ACE">
        <w:rPr>
          <w:rFonts w:eastAsia="Times New Roman" w:cs="Times New Roman"/>
          <w:szCs w:val="24"/>
        </w:rPr>
        <w:t>y</w:t>
      </w:r>
      <w:r w:rsidR="00BF7C2D">
        <w:rPr>
          <w:rFonts w:eastAsia="Times New Roman" w:cs="Times New Roman"/>
          <w:szCs w:val="24"/>
        </w:rPr>
        <w:t>.</w:t>
      </w:r>
    </w:p>
    <w:p w14:paraId="6872578E" w14:textId="60E1AAC4" w:rsidR="00BF7C2D" w:rsidRPr="00BF7C2D" w:rsidRDefault="008E4B15" w:rsidP="0027327D">
      <w:pPr>
        <w:shd w:val="clear" w:color="auto" w:fill="FFFFFF"/>
        <w:ind w:firstLine="708"/>
        <w:jc w:val="both"/>
        <w:rPr>
          <w:rFonts w:eastAsia="Times New Roman" w:cs="Times New Roman"/>
          <w:szCs w:val="24"/>
        </w:rPr>
      </w:pPr>
      <w:r w:rsidRPr="00BF7C2D">
        <w:rPr>
          <w:rFonts w:eastAsia="Times New Roman" w:cs="Times New Roman"/>
          <w:szCs w:val="24"/>
        </w:rPr>
        <w:t xml:space="preserve">Wobec powyżej zidentyfikowanych problemów projektowane rozwiązanie zakłada </w:t>
      </w:r>
      <w:r w:rsidR="00BF7C2D" w:rsidRPr="00BF7C2D">
        <w:rPr>
          <w:rFonts w:eastAsia="Times New Roman" w:cs="Times New Roman"/>
          <w:szCs w:val="24"/>
        </w:rPr>
        <w:t>zmianę sankcji karn</w:t>
      </w:r>
      <w:r w:rsidR="00BF7C2D">
        <w:rPr>
          <w:rFonts w:eastAsia="Times New Roman" w:cs="Times New Roman"/>
          <w:szCs w:val="24"/>
        </w:rPr>
        <w:t>ej</w:t>
      </w:r>
      <w:r w:rsidR="00BF7C2D" w:rsidRPr="00BF7C2D">
        <w:rPr>
          <w:rFonts w:eastAsia="Times New Roman" w:cs="Times New Roman"/>
          <w:szCs w:val="24"/>
        </w:rPr>
        <w:t xml:space="preserve"> przez wyeliminowanie kary pozbawienia wolności. Aktualne zagrożenie przewidziane w tym przepisie jest zbyt surowe i </w:t>
      </w:r>
      <w:r w:rsidR="004A02D5" w:rsidRPr="00BF7C2D">
        <w:rPr>
          <w:rFonts w:eastAsia="Times New Roman" w:cs="Times New Roman"/>
          <w:szCs w:val="24"/>
        </w:rPr>
        <w:t>nieproporcjonalne do</w:t>
      </w:r>
      <w:r w:rsidR="00BF7C2D" w:rsidRPr="00BF7C2D">
        <w:rPr>
          <w:rFonts w:eastAsia="Times New Roman" w:cs="Times New Roman"/>
          <w:szCs w:val="24"/>
        </w:rPr>
        <w:t xml:space="preserve"> tej kategorii zachowań.</w:t>
      </w:r>
      <w:r w:rsidR="0027327D">
        <w:rPr>
          <w:rFonts w:eastAsia="Times New Roman" w:cs="Times New Roman"/>
          <w:szCs w:val="24"/>
        </w:rPr>
        <w:t xml:space="preserve"> Wystarczającym będzie pozostawienie zagrożenia w postaci kary grzywny albo kary ograniczeni</w:t>
      </w:r>
      <w:r w:rsidR="000C0F63">
        <w:rPr>
          <w:rFonts w:eastAsia="Times New Roman" w:cs="Times New Roman"/>
          <w:szCs w:val="24"/>
        </w:rPr>
        <w:t>a</w:t>
      </w:r>
      <w:r w:rsidR="0027327D">
        <w:rPr>
          <w:rFonts w:eastAsia="Times New Roman" w:cs="Times New Roman"/>
          <w:szCs w:val="24"/>
        </w:rPr>
        <w:t xml:space="preserve"> wolności.</w:t>
      </w:r>
    </w:p>
    <w:p w14:paraId="7350E816" w14:textId="420F89B3" w:rsidR="00A7703D" w:rsidRDefault="00A7703D" w:rsidP="006573F8">
      <w:pPr>
        <w:shd w:val="clear" w:color="auto" w:fill="FFFFFF"/>
        <w:spacing w:before="120" w:after="120"/>
        <w:jc w:val="both"/>
        <w:rPr>
          <w:rFonts w:cs="Times New Roman"/>
          <w:b/>
          <w:bCs/>
          <w:szCs w:val="24"/>
          <w:u w:val="single"/>
        </w:rPr>
      </w:pPr>
      <w:r w:rsidRPr="004D2D15">
        <w:rPr>
          <w:rFonts w:cs="Times New Roman"/>
          <w:b/>
          <w:bCs/>
          <w:szCs w:val="24"/>
          <w:u w:val="single"/>
        </w:rPr>
        <w:t>Zmiany</w:t>
      </w:r>
      <w:r w:rsidR="004E3461">
        <w:rPr>
          <w:rFonts w:cs="Times New Roman"/>
          <w:b/>
          <w:bCs/>
          <w:szCs w:val="24"/>
          <w:u w:val="single"/>
        </w:rPr>
        <w:t xml:space="preserve"> w</w:t>
      </w:r>
      <w:r w:rsidR="00FB6C6D">
        <w:rPr>
          <w:rFonts w:cs="Times New Roman"/>
          <w:b/>
          <w:bCs/>
          <w:szCs w:val="24"/>
          <w:u w:val="single"/>
        </w:rPr>
        <w:t xml:space="preserve"> </w:t>
      </w:r>
      <w:r w:rsidRPr="004D2D15">
        <w:rPr>
          <w:rFonts w:cs="Times New Roman"/>
          <w:b/>
          <w:bCs/>
          <w:szCs w:val="24"/>
          <w:u w:val="single"/>
        </w:rPr>
        <w:t>ustawie</w:t>
      </w:r>
      <w:r w:rsidR="002B2905">
        <w:rPr>
          <w:rFonts w:cs="Times New Roman"/>
          <w:b/>
          <w:bCs/>
          <w:szCs w:val="24"/>
          <w:u w:val="single"/>
        </w:rPr>
        <w:t xml:space="preserve"> o</w:t>
      </w:r>
      <w:r w:rsidR="00FB6C6D">
        <w:rPr>
          <w:rFonts w:cs="Times New Roman"/>
          <w:b/>
          <w:bCs/>
          <w:szCs w:val="24"/>
          <w:u w:val="single"/>
        </w:rPr>
        <w:t xml:space="preserve"> </w:t>
      </w:r>
      <w:r w:rsidRPr="004D2D15">
        <w:rPr>
          <w:rFonts w:cs="Times New Roman"/>
          <w:b/>
          <w:bCs/>
          <w:szCs w:val="24"/>
          <w:u w:val="single"/>
        </w:rPr>
        <w:t>odpowiedzialności podmiotów zbiorowych za czyny zabronione pod groźbą kary</w:t>
      </w:r>
    </w:p>
    <w:p w14:paraId="09E5FA8D" w14:textId="50239EEB" w:rsidR="008E4B15" w:rsidRPr="0013163D" w:rsidRDefault="008E4B15" w:rsidP="004D2D15">
      <w:pPr>
        <w:shd w:val="clear" w:color="auto" w:fill="FFFFFF"/>
        <w:ind w:firstLine="708"/>
        <w:jc w:val="both"/>
        <w:rPr>
          <w:rFonts w:cs="Times New Roman"/>
          <w:szCs w:val="24"/>
        </w:rPr>
      </w:pPr>
      <w:r w:rsidRPr="0013163D">
        <w:rPr>
          <w:rFonts w:cs="Times New Roman"/>
          <w:szCs w:val="24"/>
        </w:rPr>
        <w:t xml:space="preserve">W aktualnym stanie prawnym, aby wykazać odpowiedzialność podmiotu zbiorowego na gruncie </w:t>
      </w:r>
      <w:r w:rsidR="007D59A2">
        <w:rPr>
          <w:rFonts w:cs="Times New Roman"/>
          <w:szCs w:val="24"/>
        </w:rPr>
        <w:t>u.o.p.z.</w:t>
      </w:r>
      <w:r w:rsidR="00C50838">
        <w:rPr>
          <w:rFonts w:cs="Times New Roman"/>
          <w:szCs w:val="24"/>
        </w:rPr>
        <w:t>,</w:t>
      </w:r>
      <w:r w:rsidR="007D59A2">
        <w:rPr>
          <w:rFonts w:cs="Times New Roman"/>
          <w:szCs w:val="24"/>
        </w:rPr>
        <w:t xml:space="preserve"> </w:t>
      </w:r>
      <w:r w:rsidRPr="0013163D">
        <w:rPr>
          <w:rFonts w:cs="Times New Roman"/>
          <w:szCs w:val="24"/>
        </w:rPr>
        <w:t>konieczne jest uprzednie uzyskanie prawomocnego orzeczenia sądu karnego (z</w:t>
      </w:r>
      <w:r w:rsidR="003272B3">
        <w:rPr>
          <w:rFonts w:cs="Times New Roman"/>
          <w:szCs w:val="24"/>
        </w:rPr>
        <w:t xml:space="preserve"> </w:t>
      </w:r>
      <w:r w:rsidRPr="0013163D">
        <w:rPr>
          <w:rFonts w:cs="Times New Roman"/>
          <w:szCs w:val="24"/>
        </w:rPr>
        <w:t>wyjątkiem przestępstw przeciwko środowisku), jak</w:t>
      </w:r>
      <w:r w:rsidR="002B2905">
        <w:rPr>
          <w:rFonts w:cs="Times New Roman"/>
          <w:szCs w:val="24"/>
        </w:rPr>
        <w:t xml:space="preserve"> i </w:t>
      </w:r>
      <w:r w:rsidRPr="0013163D">
        <w:rPr>
          <w:rFonts w:cs="Times New Roman"/>
          <w:szCs w:val="24"/>
        </w:rPr>
        <w:t>ustalenie, że przestępstwa lub przestępstwa skarbowego dopuściła się jedna</w:t>
      </w:r>
      <w:r w:rsidR="004E3461">
        <w:rPr>
          <w:rFonts w:cs="Times New Roman"/>
          <w:szCs w:val="24"/>
        </w:rPr>
        <w:t xml:space="preserve"> z </w:t>
      </w:r>
      <w:r w:rsidRPr="0013163D">
        <w:rPr>
          <w:rFonts w:cs="Times New Roman"/>
          <w:szCs w:val="24"/>
        </w:rPr>
        <w:t>osób wskazanych</w:t>
      </w:r>
      <w:r w:rsidR="004E3461">
        <w:rPr>
          <w:rFonts w:cs="Times New Roman"/>
          <w:szCs w:val="24"/>
        </w:rPr>
        <w:t xml:space="preserve"> w </w:t>
      </w:r>
      <w:r w:rsidRPr="0013163D">
        <w:rPr>
          <w:rFonts w:cs="Times New Roman"/>
          <w:szCs w:val="24"/>
        </w:rPr>
        <w:t>art. 3</w:t>
      </w:r>
      <w:r w:rsidR="00A7703D">
        <w:rPr>
          <w:rFonts w:cs="Times New Roman"/>
          <w:szCs w:val="24"/>
        </w:rPr>
        <w:t xml:space="preserve"> u.o.p.z.</w:t>
      </w:r>
      <w:r w:rsidRPr="0013163D">
        <w:rPr>
          <w:rFonts w:cs="Times New Roman"/>
          <w:szCs w:val="24"/>
        </w:rPr>
        <w:t>, przy jednoczesnym udowodnieniu winy</w:t>
      </w:r>
      <w:r w:rsidR="004E3461">
        <w:rPr>
          <w:rFonts w:cs="Times New Roman"/>
          <w:szCs w:val="24"/>
        </w:rPr>
        <w:t xml:space="preserve"> w </w:t>
      </w:r>
      <w:r w:rsidRPr="0013163D">
        <w:rPr>
          <w:rFonts w:cs="Times New Roman"/>
          <w:szCs w:val="24"/>
        </w:rPr>
        <w:t>wyborze lub nadzorze</w:t>
      </w:r>
      <w:r w:rsidR="004E3461">
        <w:rPr>
          <w:rFonts w:cs="Times New Roman"/>
          <w:szCs w:val="24"/>
        </w:rPr>
        <w:t xml:space="preserve"> w </w:t>
      </w:r>
      <w:r w:rsidRPr="0013163D">
        <w:rPr>
          <w:rFonts w:cs="Times New Roman"/>
          <w:szCs w:val="24"/>
        </w:rPr>
        <w:t>stosunku do osób, określonych</w:t>
      </w:r>
      <w:r w:rsidR="004E3461">
        <w:rPr>
          <w:rFonts w:cs="Times New Roman"/>
          <w:szCs w:val="24"/>
        </w:rPr>
        <w:t xml:space="preserve"> w </w:t>
      </w:r>
      <w:r w:rsidRPr="0013163D">
        <w:rPr>
          <w:rFonts w:cs="Times New Roman"/>
          <w:szCs w:val="24"/>
        </w:rPr>
        <w:t>art. 3 pkt 2 lub 3 u</w:t>
      </w:r>
      <w:r w:rsidR="00A7703D">
        <w:rPr>
          <w:rFonts w:cs="Times New Roman"/>
          <w:szCs w:val="24"/>
        </w:rPr>
        <w:t>.o.p.z.</w:t>
      </w:r>
      <w:r w:rsidRPr="0013163D">
        <w:rPr>
          <w:rFonts w:cs="Times New Roman"/>
          <w:szCs w:val="24"/>
        </w:rPr>
        <w:t xml:space="preserve"> ze strony organu lub przedstawiciela podmiotu zbiorowego lub też winy</w:t>
      </w:r>
      <w:r w:rsidR="004E3461">
        <w:rPr>
          <w:rFonts w:cs="Times New Roman"/>
          <w:szCs w:val="24"/>
        </w:rPr>
        <w:t xml:space="preserve"> w </w:t>
      </w:r>
      <w:r w:rsidRPr="0013163D">
        <w:rPr>
          <w:rFonts w:cs="Times New Roman"/>
          <w:szCs w:val="24"/>
        </w:rPr>
        <w:t>organizacji podmiotu zbiorowego (art. 5 pkt 1</w:t>
      </w:r>
      <w:r w:rsidR="002B2905">
        <w:rPr>
          <w:rFonts w:cs="Times New Roman"/>
          <w:szCs w:val="24"/>
        </w:rPr>
        <w:t xml:space="preserve"> i</w:t>
      </w:r>
      <w:r w:rsidR="003272B3">
        <w:rPr>
          <w:rFonts w:cs="Times New Roman"/>
          <w:szCs w:val="24"/>
        </w:rPr>
        <w:t xml:space="preserve"> </w:t>
      </w:r>
      <w:r w:rsidRPr="0013163D">
        <w:rPr>
          <w:rFonts w:cs="Times New Roman"/>
          <w:szCs w:val="24"/>
        </w:rPr>
        <w:t xml:space="preserve">2 </w:t>
      </w:r>
      <w:r w:rsidR="00A7703D">
        <w:rPr>
          <w:rFonts w:cs="Times New Roman"/>
          <w:szCs w:val="24"/>
        </w:rPr>
        <w:t>u.o.p.z.</w:t>
      </w:r>
      <w:r w:rsidRPr="0013163D">
        <w:rPr>
          <w:rFonts w:cs="Times New Roman"/>
          <w:szCs w:val="24"/>
        </w:rPr>
        <w:t xml:space="preserve">). Suma tych okoliczności </w:t>
      </w:r>
      <w:r w:rsidRPr="0013163D">
        <w:rPr>
          <w:rFonts w:cs="Times New Roman"/>
          <w:szCs w:val="24"/>
        </w:rPr>
        <w:lastRenderedPageBreak/>
        <w:t>powoduje, że udowodnienie odpowiedzialności podmiotu zbiorowego jest</w:t>
      </w:r>
      <w:r w:rsidR="004E3461">
        <w:rPr>
          <w:rFonts w:cs="Times New Roman"/>
          <w:szCs w:val="24"/>
        </w:rPr>
        <w:t xml:space="preserve"> w </w:t>
      </w:r>
      <w:r w:rsidRPr="0013163D">
        <w:rPr>
          <w:rFonts w:cs="Times New Roman"/>
          <w:szCs w:val="24"/>
        </w:rPr>
        <w:t>praktyce bardzo utrudnione,</w:t>
      </w:r>
      <w:r w:rsidR="002B2905">
        <w:rPr>
          <w:rFonts w:cs="Times New Roman"/>
          <w:szCs w:val="24"/>
        </w:rPr>
        <w:t xml:space="preserve"> a </w:t>
      </w:r>
      <w:r w:rsidRPr="0013163D">
        <w:rPr>
          <w:rFonts w:cs="Times New Roman"/>
          <w:szCs w:val="24"/>
        </w:rPr>
        <w:t>niewykazanie chociażby jednej</w:t>
      </w:r>
      <w:r w:rsidR="004E3461">
        <w:rPr>
          <w:rFonts w:cs="Times New Roman"/>
          <w:szCs w:val="24"/>
        </w:rPr>
        <w:t xml:space="preserve"> z </w:t>
      </w:r>
      <w:r w:rsidRPr="0013163D">
        <w:rPr>
          <w:rFonts w:cs="Times New Roman"/>
          <w:szCs w:val="24"/>
        </w:rPr>
        <w:t xml:space="preserve">przesłanek określonych powyżej czyni niemożliwym przypisanie takiej odpowiedzialności. </w:t>
      </w:r>
    </w:p>
    <w:p w14:paraId="7EAB78C6" w14:textId="456EF30E" w:rsidR="00D631E7" w:rsidRPr="00111FE0" w:rsidRDefault="008E4B15" w:rsidP="00D631E7">
      <w:pPr>
        <w:ind w:firstLine="708"/>
        <w:jc w:val="both"/>
        <w:rPr>
          <w:rFonts w:cs="Times New Roman"/>
          <w:szCs w:val="24"/>
          <w:shd w:val="clear" w:color="auto" w:fill="FFFFFF"/>
        </w:rPr>
      </w:pPr>
      <w:r w:rsidRPr="0013163D">
        <w:rPr>
          <w:rFonts w:cs="Times New Roman"/>
          <w:szCs w:val="24"/>
        </w:rPr>
        <w:t xml:space="preserve">Stosowanie </w:t>
      </w:r>
      <w:r w:rsidR="005B332E">
        <w:rPr>
          <w:rFonts w:cs="Times New Roman"/>
          <w:szCs w:val="24"/>
        </w:rPr>
        <w:t xml:space="preserve">u.o.p.z. </w:t>
      </w:r>
      <w:r w:rsidR="00D631E7" w:rsidRPr="0013163D">
        <w:rPr>
          <w:rFonts w:cs="Times New Roman"/>
          <w:szCs w:val="24"/>
        </w:rPr>
        <w:t>przedstawia się następująco (z</w:t>
      </w:r>
      <w:r w:rsidR="00D631E7" w:rsidRPr="0013163D">
        <w:rPr>
          <w:rFonts w:cs="Times New Roman"/>
          <w:szCs w:val="24"/>
          <w:shd w:val="clear" w:color="auto" w:fill="FFFFFF"/>
        </w:rPr>
        <w:t>biorcze zestawienie danych za lata 2016</w:t>
      </w:r>
      <w:r w:rsidR="00FB6C6D">
        <w:rPr>
          <w:rFonts w:cs="Times New Roman"/>
          <w:szCs w:val="24"/>
          <w:shd w:val="clear" w:color="auto" w:fill="FFFFFF"/>
        </w:rPr>
        <w:t>–</w:t>
      </w:r>
      <w:r w:rsidR="00D631E7" w:rsidRPr="0013163D">
        <w:rPr>
          <w:rFonts w:cs="Times New Roman"/>
          <w:szCs w:val="24"/>
          <w:shd w:val="clear" w:color="auto" w:fill="FFFFFF"/>
        </w:rPr>
        <w:t xml:space="preserve">2024 [pierwsze półrocze]): </w:t>
      </w:r>
    </w:p>
    <w:p w14:paraId="4D6A0ACB" w14:textId="77777777" w:rsidR="00D631E7" w:rsidRDefault="00D631E7" w:rsidP="00D631E7">
      <w:pPr>
        <w:jc w:val="both"/>
        <w:rPr>
          <w:rFonts w:cs="Times New Roman"/>
          <w:szCs w:val="24"/>
        </w:rPr>
      </w:pPr>
    </w:p>
    <w:tbl>
      <w:tblPr>
        <w:tblStyle w:val="Tabela-Siatka"/>
        <w:tblW w:w="9067" w:type="dxa"/>
        <w:tblLook w:val="04A0" w:firstRow="1" w:lastRow="0" w:firstColumn="1" w:lastColumn="0" w:noHBand="0" w:noVBand="1"/>
      </w:tblPr>
      <w:tblGrid>
        <w:gridCol w:w="1022"/>
        <w:gridCol w:w="1020"/>
        <w:gridCol w:w="1216"/>
        <w:gridCol w:w="1716"/>
        <w:gridCol w:w="1788"/>
        <w:gridCol w:w="1344"/>
        <w:gridCol w:w="1149"/>
      </w:tblGrid>
      <w:tr w:rsidR="00D631E7" w:rsidRPr="006C39FD" w14:paraId="3D7E718B" w14:textId="77777777" w:rsidTr="00364E1F">
        <w:tc>
          <w:tcPr>
            <w:tcW w:w="950" w:type="dxa"/>
          </w:tcPr>
          <w:p w14:paraId="562C77C5" w14:textId="77777777" w:rsidR="00D631E7" w:rsidRPr="00CD2D95" w:rsidRDefault="00D631E7" w:rsidP="00364E1F">
            <w:pPr>
              <w:jc w:val="both"/>
              <w:rPr>
                <w:sz w:val="20"/>
              </w:rPr>
            </w:pPr>
            <w:r w:rsidRPr="00CD2D95">
              <w:rPr>
                <w:sz w:val="20"/>
              </w:rPr>
              <w:t>Rok</w:t>
            </w:r>
          </w:p>
        </w:tc>
        <w:tc>
          <w:tcPr>
            <w:tcW w:w="1102" w:type="dxa"/>
          </w:tcPr>
          <w:p w14:paraId="02FBABB8" w14:textId="77777777" w:rsidR="00D631E7" w:rsidRPr="00CD2D95" w:rsidRDefault="00D631E7" w:rsidP="00364E1F">
            <w:pPr>
              <w:ind w:left="-19"/>
              <w:jc w:val="both"/>
              <w:rPr>
                <w:sz w:val="20"/>
              </w:rPr>
            </w:pPr>
            <w:r w:rsidRPr="00CD2D95">
              <w:rPr>
                <w:sz w:val="20"/>
              </w:rPr>
              <w:t>Liczba wniosków</w:t>
            </w:r>
          </w:p>
        </w:tc>
        <w:tc>
          <w:tcPr>
            <w:tcW w:w="1316" w:type="dxa"/>
          </w:tcPr>
          <w:p w14:paraId="0BF75B95" w14:textId="124DD73F" w:rsidR="00D631E7" w:rsidRPr="00CD2D95" w:rsidRDefault="00D631E7" w:rsidP="00364E1F">
            <w:pPr>
              <w:jc w:val="both"/>
              <w:rPr>
                <w:sz w:val="20"/>
              </w:rPr>
            </w:pPr>
            <w:r w:rsidRPr="00CD2D95">
              <w:rPr>
                <w:sz w:val="20"/>
              </w:rPr>
              <w:t>Liczba orzeczeń,</w:t>
            </w:r>
            <w:r w:rsidR="004E3461">
              <w:rPr>
                <w:sz w:val="20"/>
              </w:rPr>
              <w:t xml:space="preserve"> w </w:t>
            </w:r>
            <w:r w:rsidRPr="00CD2D95">
              <w:rPr>
                <w:sz w:val="20"/>
              </w:rPr>
              <w:t>tym również dotyczących rozpoznania wniosków</w:t>
            </w:r>
            <w:r w:rsidR="004E3461">
              <w:rPr>
                <w:sz w:val="20"/>
              </w:rPr>
              <w:t xml:space="preserve"> z </w:t>
            </w:r>
            <w:r w:rsidRPr="00CD2D95">
              <w:rPr>
                <w:sz w:val="20"/>
              </w:rPr>
              <w:t>lat poprzednich</w:t>
            </w:r>
          </w:p>
        </w:tc>
        <w:tc>
          <w:tcPr>
            <w:tcW w:w="1866" w:type="dxa"/>
          </w:tcPr>
          <w:p w14:paraId="2B811D47" w14:textId="673E1778" w:rsidR="00D631E7" w:rsidRPr="00CD2D95" w:rsidRDefault="00D631E7" w:rsidP="00364E1F">
            <w:pPr>
              <w:jc w:val="both"/>
              <w:rPr>
                <w:sz w:val="20"/>
              </w:rPr>
            </w:pPr>
            <w:r w:rsidRPr="00CD2D95">
              <w:rPr>
                <w:sz w:val="20"/>
              </w:rPr>
              <w:t>Liczba orzeczeń</w:t>
            </w:r>
            <w:r w:rsidR="002B2905">
              <w:rPr>
                <w:sz w:val="20"/>
              </w:rPr>
              <w:t xml:space="preserve"> o </w:t>
            </w:r>
            <w:r w:rsidRPr="00CD2D95">
              <w:rPr>
                <w:sz w:val="20"/>
              </w:rPr>
              <w:t>stwierdzeniu odpowiedzialności podmiotu zbiorowego</w:t>
            </w:r>
          </w:p>
        </w:tc>
        <w:tc>
          <w:tcPr>
            <w:tcW w:w="1780" w:type="dxa"/>
          </w:tcPr>
          <w:p w14:paraId="134CF578" w14:textId="1B926281" w:rsidR="00D631E7" w:rsidRPr="00CD2D95" w:rsidRDefault="00F3211E" w:rsidP="00364E1F">
            <w:pPr>
              <w:jc w:val="both"/>
              <w:rPr>
                <w:sz w:val="20"/>
              </w:rPr>
            </w:pPr>
            <w:r>
              <w:rPr>
                <w:sz w:val="20"/>
              </w:rPr>
              <w:t>L</w:t>
            </w:r>
            <w:r w:rsidR="00D631E7" w:rsidRPr="00CD2D95">
              <w:rPr>
                <w:sz w:val="20"/>
              </w:rPr>
              <w:t>iczba orzeczeń</w:t>
            </w:r>
            <w:r w:rsidR="002B2905">
              <w:rPr>
                <w:sz w:val="20"/>
              </w:rPr>
              <w:t xml:space="preserve"> o </w:t>
            </w:r>
            <w:r w:rsidR="00D631E7" w:rsidRPr="00CD2D95">
              <w:rPr>
                <w:sz w:val="20"/>
              </w:rPr>
              <w:t>nieuwzględnieniu wniosku prokuratora</w:t>
            </w:r>
          </w:p>
        </w:tc>
        <w:tc>
          <w:tcPr>
            <w:tcW w:w="1426" w:type="dxa"/>
          </w:tcPr>
          <w:p w14:paraId="0A71A82B" w14:textId="0E2A0A4A" w:rsidR="00D631E7" w:rsidRPr="00CD2D95" w:rsidRDefault="00D631E7" w:rsidP="00364E1F">
            <w:pPr>
              <w:jc w:val="both"/>
              <w:rPr>
                <w:sz w:val="20"/>
              </w:rPr>
            </w:pPr>
            <w:r w:rsidRPr="00CD2D95">
              <w:rPr>
                <w:sz w:val="20"/>
              </w:rPr>
              <w:t>Liczba orzeczeń</w:t>
            </w:r>
            <w:r w:rsidR="002B2905">
              <w:rPr>
                <w:sz w:val="20"/>
              </w:rPr>
              <w:t xml:space="preserve"> o </w:t>
            </w:r>
            <w:r w:rsidRPr="00CD2D95">
              <w:rPr>
                <w:sz w:val="20"/>
              </w:rPr>
              <w:t xml:space="preserve">zawieszeniu postępowania </w:t>
            </w:r>
          </w:p>
        </w:tc>
        <w:tc>
          <w:tcPr>
            <w:tcW w:w="627" w:type="dxa"/>
          </w:tcPr>
          <w:p w14:paraId="454D31DB" w14:textId="184D008A" w:rsidR="00D631E7" w:rsidRPr="00CD2D95" w:rsidRDefault="00D631E7" w:rsidP="00364E1F">
            <w:pPr>
              <w:jc w:val="both"/>
              <w:rPr>
                <w:sz w:val="20"/>
              </w:rPr>
            </w:pPr>
            <w:r w:rsidRPr="00CD2D95">
              <w:rPr>
                <w:sz w:val="20"/>
              </w:rPr>
              <w:t>Liczba orzeczeń</w:t>
            </w:r>
            <w:r w:rsidR="002B2905">
              <w:rPr>
                <w:sz w:val="20"/>
              </w:rPr>
              <w:t xml:space="preserve"> o </w:t>
            </w:r>
            <w:r w:rsidRPr="00CD2D95">
              <w:rPr>
                <w:sz w:val="20"/>
              </w:rPr>
              <w:t xml:space="preserve">zwrocie wniosku prokuratora </w:t>
            </w:r>
          </w:p>
        </w:tc>
      </w:tr>
      <w:tr w:rsidR="00D631E7" w:rsidRPr="006C39FD" w14:paraId="6AE4AA9C" w14:textId="77777777" w:rsidTr="00364E1F">
        <w:tc>
          <w:tcPr>
            <w:tcW w:w="950" w:type="dxa"/>
          </w:tcPr>
          <w:p w14:paraId="36D6AE86" w14:textId="77777777" w:rsidR="00D631E7" w:rsidRPr="00CD2D95" w:rsidRDefault="00D631E7" w:rsidP="00364E1F">
            <w:pPr>
              <w:jc w:val="both"/>
              <w:rPr>
                <w:sz w:val="20"/>
              </w:rPr>
            </w:pPr>
            <w:r w:rsidRPr="00CD2D95">
              <w:rPr>
                <w:sz w:val="20"/>
              </w:rPr>
              <w:t>2016</w:t>
            </w:r>
          </w:p>
        </w:tc>
        <w:tc>
          <w:tcPr>
            <w:tcW w:w="1102" w:type="dxa"/>
          </w:tcPr>
          <w:p w14:paraId="64F21A07" w14:textId="77777777" w:rsidR="00D631E7" w:rsidRPr="00CD2D95" w:rsidRDefault="00D631E7" w:rsidP="00364E1F">
            <w:pPr>
              <w:jc w:val="both"/>
              <w:rPr>
                <w:sz w:val="20"/>
              </w:rPr>
            </w:pPr>
            <w:r w:rsidRPr="00CD2D95">
              <w:rPr>
                <w:sz w:val="20"/>
              </w:rPr>
              <w:t>27</w:t>
            </w:r>
          </w:p>
        </w:tc>
        <w:tc>
          <w:tcPr>
            <w:tcW w:w="1316" w:type="dxa"/>
          </w:tcPr>
          <w:p w14:paraId="36DD6618" w14:textId="77777777" w:rsidR="00D631E7" w:rsidRPr="00CD2D95" w:rsidRDefault="00D631E7" w:rsidP="00364E1F">
            <w:pPr>
              <w:jc w:val="both"/>
              <w:rPr>
                <w:sz w:val="20"/>
              </w:rPr>
            </w:pPr>
            <w:r w:rsidRPr="00CD2D95">
              <w:rPr>
                <w:sz w:val="20"/>
              </w:rPr>
              <w:t>5</w:t>
            </w:r>
          </w:p>
        </w:tc>
        <w:tc>
          <w:tcPr>
            <w:tcW w:w="1866" w:type="dxa"/>
          </w:tcPr>
          <w:p w14:paraId="66A2819B" w14:textId="77777777" w:rsidR="00D631E7" w:rsidRPr="00CD2D95" w:rsidRDefault="00D631E7" w:rsidP="00364E1F">
            <w:pPr>
              <w:jc w:val="both"/>
              <w:rPr>
                <w:sz w:val="20"/>
              </w:rPr>
            </w:pPr>
            <w:r w:rsidRPr="00CD2D95">
              <w:rPr>
                <w:sz w:val="20"/>
              </w:rPr>
              <w:t>3</w:t>
            </w:r>
          </w:p>
        </w:tc>
        <w:tc>
          <w:tcPr>
            <w:tcW w:w="1780" w:type="dxa"/>
          </w:tcPr>
          <w:p w14:paraId="0352FDD1" w14:textId="77777777" w:rsidR="00D631E7" w:rsidRPr="00CD2D95" w:rsidRDefault="00D631E7" w:rsidP="00364E1F">
            <w:pPr>
              <w:jc w:val="both"/>
              <w:rPr>
                <w:sz w:val="20"/>
              </w:rPr>
            </w:pPr>
            <w:r w:rsidRPr="00CD2D95">
              <w:rPr>
                <w:sz w:val="20"/>
              </w:rPr>
              <w:t>2</w:t>
            </w:r>
          </w:p>
        </w:tc>
        <w:tc>
          <w:tcPr>
            <w:tcW w:w="1426" w:type="dxa"/>
          </w:tcPr>
          <w:p w14:paraId="21DFDA9F" w14:textId="77777777" w:rsidR="00D631E7" w:rsidRPr="00CD2D95" w:rsidRDefault="00D631E7" w:rsidP="00364E1F">
            <w:pPr>
              <w:jc w:val="both"/>
              <w:rPr>
                <w:sz w:val="20"/>
              </w:rPr>
            </w:pPr>
            <w:r w:rsidRPr="00CD2D95">
              <w:rPr>
                <w:sz w:val="20"/>
              </w:rPr>
              <w:t>0</w:t>
            </w:r>
          </w:p>
        </w:tc>
        <w:tc>
          <w:tcPr>
            <w:tcW w:w="627" w:type="dxa"/>
          </w:tcPr>
          <w:p w14:paraId="23D2D93C" w14:textId="77777777" w:rsidR="00D631E7" w:rsidRPr="00CD2D95" w:rsidRDefault="00D631E7" w:rsidP="00364E1F">
            <w:pPr>
              <w:jc w:val="both"/>
              <w:rPr>
                <w:sz w:val="20"/>
              </w:rPr>
            </w:pPr>
            <w:r w:rsidRPr="00CD2D95">
              <w:rPr>
                <w:sz w:val="20"/>
              </w:rPr>
              <w:t>0</w:t>
            </w:r>
          </w:p>
        </w:tc>
      </w:tr>
      <w:tr w:rsidR="00D631E7" w:rsidRPr="006C39FD" w14:paraId="51BA1149" w14:textId="77777777" w:rsidTr="00364E1F">
        <w:tc>
          <w:tcPr>
            <w:tcW w:w="950" w:type="dxa"/>
          </w:tcPr>
          <w:p w14:paraId="61721E60" w14:textId="77777777" w:rsidR="00D631E7" w:rsidRPr="00CD2D95" w:rsidRDefault="00D631E7" w:rsidP="00364E1F">
            <w:pPr>
              <w:jc w:val="both"/>
              <w:rPr>
                <w:sz w:val="20"/>
              </w:rPr>
            </w:pPr>
            <w:r w:rsidRPr="00CD2D95">
              <w:rPr>
                <w:sz w:val="20"/>
              </w:rPr>
              <w:t>2017</w:t>
            </w:r>
          </w:p>
        </w:tc>
        <w:tc>
          <w:tcPr>
            <w:tcW w:w="1102" w:type="dxa"/>
          </w:tcPr>
          <w:p w14:paraId="720444E1" w14:textId="77777777" w:rsidR="00D631E7" w:rsidRPr="00CD2D95" w:rsidRDefault="00D631E7" w:rsidP="00364E1F">
            <w:pPr>
              <w:jc w:val="both"/>
              <w:rPr>
                <w:sz w:val="20"/>
              </w:rPr>
            </w:pPr>
            <w:r w:rsidRPr="00CD2D95">
              <w:rPr>
                <w:sz w:val="20"/>
              </w:rPr>
              <w:t>2</w:t>
            </w:r>
          </w:p>
        </w:tc>
        <w:tc>
          <w:tcPr>
            <w:tcW w:w="1316" w:type="dxa"/>
          </w:tcPr>
          <w:p w14:paraId="28D35D2E" w14:textId="77777777" w:rsidR="00D631E7" w:rsidRPr="00CD2D95" w:rsidRDefault="00D631E7" w:rsidP="00364E1F">
            <w:pPr>
              <w:jc w:val="both"/>
              <w:rPr>
                <w:sz w:val="20"/>
              </w:rPr>
            </w:pPr>
            <w:r w:rsidRPr="00CD2D95">
              <w:rPr>
                <w:sz w:val="20"/>
              </w:rPr>
              <w:t>21</w:t>
            </w:r>
          </w:p>
        </w:tc>
        <w:tc>
          <w:tcPr>
            <w:tcW w:w="1866" w:type="dxa"/>
          </w:tcPr>
          <w:p w14:paraId="4FAA87D9" w14:textId="77777777" w:rsidR="00D631E7" w:rsidRPr="00CD2D95" w:rsidRDefault="00D631E7" w:rsidP="00364E1F">
            <w:pPr>
              <w:jc w:val="both"/>
              <w:rPr>
                <w:sz w:val="20"/>
              </w:rPr>
            </w:pPr>
            <w:r w:rsidRPr="00CD2D95">
              <w:rPr>
                <w:sz w:val="20"/>
              </w:rPr>
              <w:t>16</w:t>
            </w:r>
          </w:p>
        </w:tc>
        <w:tc>
          <w:tcPr>
            <w:tcW w:w="1780" w:type="dxa"/>
          </w:tcPr>
          <w:p w14:paraId="5C2A7D60" w14:textId="77777777" w:rsidR="00D631E7" w:rsidRPr="00CD2D95" w:rsidRDefault="00D631E7" w:rsidP="00364E1F">
            <w:pPr>
              <w:jc w:val="both"/>
              <w:rPr>
                <w:sz w:val="20"/>
              </w:rPr>
            </w:pPr>
            <w:r w:rsidRPr="00CD2D95">
              <w:rPr>
                <w:sz w:val="20"/>
              </w:rPr>
              <w:t>2</w:t>
            </w:r>
          </w:p>
        </w:tc>
        <w:tc>
          <w:tcPr>
            <w:tcW w:w="1426" w:type="dxa"/>
          </w:tcPr>
          <w:p w14:paraId="6518BB24" w14:textId="77777777" w:rsidR="00D631E7" w:rsidRPr="00CD2D95" w:rsidRDefault="00D631E7" w:rsidP="00364E1F">
            <w:pPr>
              <w:jc w:val="both"/>
              <w:rPr>
                <w:sz w:val="20"/>
              </w:rPr>
            </w:pPr>
            <w:r w:rsidRPr="00CD2D95">
              <w:rPr>
                <w:sz w:val="20"/>
              </w:rPr>
              <w:t>1</w:t>
            </w:r>
          </w:p>
        </w:tc>
        <w:tc>
          <w:tcPr>
            <w:tcW w:w="627" w:type="dxa"/>
          </w:tcPr>
          <w:p w14:paraId="00D04A2B" w14:textId="77777777" w:rsidR="00D631E7" w:rsidRPr="00CD2D95" w:rsidRDefault="00D631E7" w:rsidP="00364E1F">
            <w:pPr>
              <w:jc w:val="both"/>
              <w:rPr>
                <w:sz w:val="20"/>
              </w:rPr>
            </w:pPr>
            <w:r w:rsidRPr="00CD2D95">
              <w:rPr>
                <w:sz w:val="20"/>
              </w:rPr>
              <w:t>2</w:t>
            </w:r>
          </w:p>
        </w:tc>
      </w:tr>
      <w:tr w:rsidR="00D631E7" w:rsidRPr="006C39FD" w14:paraId="49783F49" w14:textId="77777777" w:rsidTr="00364E1F">
        <w:tc>
          <w:tcPr>
            <w:tcW w:w="950" w:type="dxa"/>
          </w:tcPr>
          <w:p w14:paraId="6A360A2A" w14:textId="77777777" w:rsidR="00D631E7" w:rsidRPr="00CD2D95" w:rsidRDefault="00D631E7" w:rsidP="00364E1F">
            <w:pPr>
              <w:jc w:val="both"/>
              <w:rPr>
                <w:sz w:val="20"/>
              </w:rPr>
            </w:pPr>
            <w:r w:rsidRPr="00CD2D95">
              <w:rPr>
                <w:sz w:val="20"/>
              </w:rPr>
              <w:t>2018</w:t>
            </w:r>
          </w:p>
        </w:tc>
        <w:tc>
          <w:tcPr>
            <w:tcW w:w="1102" w:type="dxa"/>
          </w:tcPr>
          <w:p w14:paraId="3630E119" w14:textId="77777777" w:rsidR="00D631E7" w:rsidRPr="00CD2D95" w:rsidRDefault="00D631E7" w:rsidP="00364E1F">
            <w:pPr>
              <w:jc w:val="both"/>
              <w:rPr>
                <w:sz w:val="20"/>
              </w:rPr>
            </w:pPr>
            <w:r w:rsidRPr="00CD2D95">
              <w:rPr>
                <w:sz w:val="20"/>
              </w:rPr>
              <w:t>2</w:t>
            </w:r>
          </w:p>
        </w:tc>
        <w:tc>
          <w:tcPr>
            <w:tcW w:w="1316" w:type="dxa"/>
          </w:tcPr>
          <w:p w14:paraId="0C384EE2" w14:textId="77777777" w:rsidR="00D631E7" w:rsidRPr="00CD2D95" w:rsidRDefault="00D631E7" w:rsidP="00364E1F">
            <w:pPr>
              <w:jc w:val="both"/>
              <w:rPr>
                <w:sz w:val="20"/>
              </w:rPr>
            </w:pPr>
            <w:r w:rsidRPr="00CD2D95">
              <w:rPr>
                <w:sz w:val="20"/>
              </w:rPr>
              <w:t>2</w:t>
            </w:r>
          </w:p>
        </w:tc>
        <w:tc>
          <w:tcPr>
            <w:tcW w:w="1866" w:type="dxa"/>
          </w:tcPr>
          <w:p w14:paraId="6736DC90" w14:textId="77777777" w:rsidR="00D631E7" w:rsidRPr="00CD2D95" w:rsidRDefault="00D631E7" w:rsidP="00364E1F">
            <w:pPr>
              <w:jc w:val="both"/>
              <w:rPr>
                <w:sz w:val="20"/>
              </w:rPr>
            </w:pPr>
            <w:r w:rsidRPr="00CD2D95">
              <w:rPr>
                <w:sz w:val="20"/>
              </w:rPr>
              <w:t>2</w:t>
            </w:r>
          </w:p>
        </w:tc>
        <w:tc>
          <w:tcPr>
            <w:tcW w:w="1780" w:type="dxa"/>
          </w:tcPr>
          <w:p w14:paraId="3EB85D73" w14:textId="77777777" w:rsidR="00D631E7" w:rsidRPr="00CD2D95" w:rsidRDefault="00D631E7" w:rsidP="00364E1F">
            <w:pPr>
              <w:jc w:val="both"/>
              <w:rPr>
                <w:sz w:val="20"/>
              </w:rPr>
            </w:pPr>
            <w:r w:rsidRPr="00CD2D95">
              <w:rPr>
                <w:sz w:val="20"/>
              </w:rPr>
              <w:t>0</w:t>
            </w:r>
          </w:p>
        </w:tc>
        <w:tc>
          <w:tcPr>
            <w:tcW w:w="1426" w:type="dxa"/>
          </w:tcPr>
          <w:p w14:paraId="41E5D626" w14:textId="77777777" w:rsidR="00D631E7" w:rsidRPr="00CD2D95" w:rsidRDefault="00D631E7" w:rsidP="00364E1F">
            <w:pPr>
              <w:jc w:val="both"/>
              <w:rPr>
                <w:sz w:val="20"/>
              </w:rPr>
            </w:pPr>
            <w:r w:rsidRPr="00CD2D95">
              <w:rPr>
                <w:sz w:val="20"/>
              </w:rPr>
              <w:t>0</w:t>
            </w:r>
          </w:p>
        </w:tc>
        <w:tc>
          <w:tcPr>
            <w:tcW w:w="627" w:type="dxa"/>
          </w:tcPr>
          <w:p w14:paraId="295553B0" w14:textId="77777777" w:rsidR="00D631E7" w:rsidRPr="00CD2D95" w:rsidRDefault="00D631E7" w:rsidP="00364E1F">
            <w:pPr>
              <w:jc w:val="both"/>
              <w:rPr>
                <w:sz w:val="20"/>
              </w:rPr>
            </w:pPr>
            <w:r w:rsidRPr="00CD2D95">
              <w:rPr>
                <w:sz w:val="20"/>
              </w:rPr>
              <w:t>0</w:t>
            </w:r>
          </w:p>
        </w:tc>
      </w:tr>
      <w:tr w:rsidR="00D631E7" w:rsidRPr="006C39FD" w14:paraId="6F022150" w14:textId="77777777" w:rsidTr="00364E1F">
        <w:tc>
          <w:tcPr>
            <w:tcW w:w="950" w:type="dxa"/>
          </w:tcPr>
          <w:p w14:paraId="25209DC7" w14:textId="77777777" w:rsidR="00D631E7" w:rsidRPr="00CD2D95" w:rsidRDefault="00D631E7" w:rsidP="00364E1F">
            <w:pPr>
              <w:jc w:val="both"/>
              <w:rPr>
                <w:sz w:val="20"/>
              </w:rPr>
            </w:pPr>
            <w:r w:rsidRPr="00CD2D95">
              <w:rPr>
                <w:sz w:val="20"/>
              </w:rPr>
              <w:t>2019</w:t>
            </w:r>
          </w:p>
        </w:tc>
        <w:tc>
          <w:tcPr>
            <w:tcW w:w="1102" w:type="dxa"/>
          </w:tcPr>
          <w:p w14:paraId="6F518EFE" w14:textId="77777777" w:rsidR="00D631E7" w:rsidRPr="00CD2D95" w:rsidRDefault="00D631E7" w:rsidP="00364E1F">
            <w:pPr>
              <w:jc w:val="both"/>
              <w:rPr>
                <w:sz w:val="20"/>
              </w:rPr>
            </w:pPr>
            <w:r w:rsidRPr="00CD2D95">
              <w:rPr>
                <w:sz w:val="20"/>
              </w:rPr>
              <w:t>3</w:t>
            </w:r>
          </w:p>
        </w:tc>
        <w:tc>
          <w:tcPr>
            <w:tcW w:w="1316" w:type="dxa"/>
          </w:tcPr>
          <w:p w14:paraId="26E78CDA" w14:textId="77777777" w:rsidR="00D631E7" w:rsidRPr="00CD2D95" w:rsidRDefault="00D631E7" w:rsidP="00364E1F">
            <w:pPr>
              <w:jc w:val="both"/>
              <w:rPr>
                <w:sz w:val="20"/>
              </w:rPr>
            </w:pPr>
            <w:r w:rsidRPr="00CD2D95">
              <w:rPr>
                <w:sz w:val="20"/>
              </w:rPr>
              <w:t>2</w:t>
            </w:r>
          </w:p>
        </w:tc>
        <w:tc>
          <w:tcPr>
            <w:tcW w:w="1866" w:type="dxa"/>
          </w:tcPr>
          <w:p w14:paraId="1C13544D" w14:textId="77777777" w:rsidR="00D631E7" w:rsidRPr="00CD2D95" w:rsidRDefault="00D631E7" w:rsidP="00364E1F">
            <w:pPr>
              <w:jc w:val="both"/>
              <w:rPr>
                <w:sz w:val="20"/>
              </w:rPr>
            </w:pPr>
            <w:r w:rsidRPr="00CD2D95">
              <w:rPr>
                <w:sz w:val="20"/>
              </w:rPr>
              <w:t>2</w:t>
            </w:r>
          </w:p>
        </w:tc>
        <w:tc>
          <w:tcPr>
            <w:tcW w:w="1780" w:type="dxa"/>
          </w:tcPr>
          <w:p w14:paraId="2C95BDEE" w14:textId="77777777" w:rsidR="00D631E7" w:rsidRPr="00CD2D95" w:rsidRDefault="00D631E7" w:rsidP="00364E1F">
            <w:pPr>
              <w:jc w:val="both"/>
              <w:rPr>
                <w:sz w:val="20"/>
              </w:rPr>
            </w:pPr>
            <w:r w:rsidRPr="00CD2D95">
              <w:rPr>
                <w:sz w:val="20"/>
              </w:rPr>
              <w:t>0</w:t>
            </w:r>
          </w:p>
        </w:tc>
        <w:tc>
          <w:tcPr>
            <w:tcW w:w="1426" w:type="dxa"/>
          </w:tcPr>
          <w:p w14:paraId="07A41088" w14:textId="77777777" w:rsidR="00D631E7" w:rsidRPr="00CD2D95" w:rsidRDefault="00D631E7" w:rsidP="00364E1F">
            <w:pPr>
              <w:jc w:val="both"/>
              <w:rPr>
                <w:sz w:val="20"/>
              </w:rPr>
            </w:pPr>
            <w:r w:rsidRPr="00CD2D95">
              <w:rPr>
                <w:sz w:val="20"/>
              </w:rPr>
              <w:t>0</w:t>
            </w:r>
          </w:p>
        </w:tc>
        <w:tc>
          <w:tcPr>
            <w:tcW w:w="627" w:type="dxa"/>
          </w:tcPr>
          <w:p w14:paraId="3C1AE64E" w14:textId="77777777" w:rsidR="00D631E7" w:rsidRPr="00CD2D95" w:rsidRDefault="00D631E7" w:rsidP="00364E1F">
            <w:pPr>
              <w:jc w:val="both"/>
              <w:rPr>
                <w:sz w:val="20"/>
              </w:rPr>
            </w:pPr>
            <w:r w:rsidRPr="00CD2D95">
              <w:rPr>
                <w:sz w:val="20"/>
              </w:rPr>
              <w:t>0</w:t>
            </w:r>
          </w:p>
        </w:tc>
      </w:tr>
      <w:tr w:rsidR="00D631E7" w:rsidRPr="006C39FD" w14:paraId="6E30A24F" w14:textId="77777777" w:rsidTr="00364E1F">
        <w:tc>
          <w:tcPr>
            <w:tcW w:w="950" w:type="dxa"/>
          </w:tcPr>
          <w:p w14:paraId="3FC4F83E" w14:textId="77777777" w:rsidR="00D631E7" w:rsidRPr="00CD2D95" w:rsidRDefault="00D631E7" w:rsidP="00364E1F">
            <w:pPr>
              <w:jc w:val="both"/>
              <w:rPr>
                <w:sz w:val="20"/>
              </w:rPr>
            </w:pPr>
            <w:r w:rsidRPr="00CD2D95">
              <w:rPr>
                <w:sz w:val="20"/>
              </w:rPr>
              <w:t>2020</w:t>
            </w:r>
          </w:p>
        </w:tc>
        <w:tc>
          <w:tcPr>
            <w:tcW w:w="1102" w:type="dxa"/>
          </w:tcPr>
          <w:p w14:paraId="027437DF" w14:textId="77777777" w:rsidR="00D631E7" w:rsidRPr="00CD2D95" w:rsidRDefault="00D631E7" w:rsidP="00364E1F">
            <w:pPr>
              <w:jc w:val="both"/>
              <w:rPr>
                <w:sz w:val="20"/>
              </w:rPr>
            </w:pPr>
            <w:r w:rsidRPr="00CD2D95">
              <w:rPr>
                <w:sz w:val="20"/>
              </w:rPr>
              <w:t>3</w:t>
            </w:r>
          </w:p>
        </w:tc>
        <w:tc>
          <w:tcPr>
            <w:tcW w:w="1316" w:type="dxa"/>
          </w:tcPr>
          <w:p w14:paraId="3F901538" w14:textId="77777777" w:rsidR="00D631E7" w:rsidRPr="00CD2D95" w:rsidRDefault="00D631E7" w:rsidP="00364E1F">
            <w:pPr>
              <w:jc w:val="both"/>
              <w:rPr>
                <w:sz w:val="20"/>
              </w:rPr>
            </w:pPr>
            <w:r w:rsidRPr="00CD2D95">
              <w:rPr>
                <w:sz w:val="20"/>
              </w:rPr>
              <w:t>1</w:t>
            </w:r>
          </w:p>
        </w:tc>
        <w:tc>
          <w:tcPr>
            <w:tcW w:w="1866" w:type="dxa"/>
          </w:tcPr>
          <w:p w14:paraId="158AC975" w14:textId="77777777" w:rsidR="00D631E7" w:rsidRPr="00CD2D95" w:rsidRDefault="00D631E7" w:rsidP="00364E1F">
            <w:pPr>
              <w:jc w:val="both"/>
              <w:rPr>
                <w:sz w:val="20"/>
              </w:rPr>
            </w:pPr>
            <w:r w:rsidRPr="00CD2D95">
              <w:rPr>
                <w:sz w:val="20"/>
              </w:rPr>
              <w:t>1</w:t>
            </w:r>
          </w:p>
        </w:tc>
        <w:tc>
          <w:tcPr>
            <w:tcW w:w="1780" w:type="dxa"/>
          </w:tcPr>
          <w:p w14:paraId="085F5C42" w14:textId="77777777" w:rsidR="00D631E7" w:rsidRPr="00CD2D95" w:rsidRDefault="00D631E7" w:rsidP="00364E1F">
            <w:pPr>
              <w:jc w:val="both"/>
              <w:rPr>
                <w:sz w:val="20"/>
              </w:rPr>
            </w:pPr>
            <w:r w:rsidRPr="00CD2D95">
              <w:rPr>
                <w:sz w:val="20"/>
              </w:rPr>
              <w:t>0</w:t>
            </w:r>
          </w:p>
        </w:tc>
        <w:tc>
          <w:tcPr>
            <w:tcW w:w="1426" w:type="dxa"/>
          </w:tcPr>
          <w:p w14:paraId="4D62FFC8" w14:textId="77777777" w:rsidR="00D631E7" w:rsidRPr="00CD2D95" w:rsidRDefault="00D631E7" w:rsidP="00364E1F">
            <w:pPr>
              <w:jc w:val="both"/>
              <w:rPr>
                <w:sz w:val="20"/>
              </w:rPr>
            </w:pPr>
            <w:r w:rsidRPr="00CD2D95">
              <w:rPr>
                <w:sz w:val="20"/>
              </w:rPr>
              <w:t>0</w:t>
            </w:r>
          </w:p>
        </w:tc>
        <w:tc>
          <w:tcPr>
            <w:tcW w:w="627" w:type="dxa"/>
          </w:tcPr>
          <w:p w14:paraId="69FB7126" w14:textId="77777777" w:rsidR="00D631E7" w:rsidRPr="00CD2D95" w:rsidRDefault="00D631E7" w:rsidP="00364E1F">
            <w:pPr>
              <w:jc w:val="both"/>
              <w:rPr>
                <w:sz w:val="20"/>
              </w:rPr>
            </w:pPr>
            <w:r w:rsidRPr="00CD2D95">
              <w:rPr>
                <w:sz w:val="20"/>
              </w:rPr>
              <w:t>0</w:t>
            </w:r>
          </w:p>
        </w:tc>
      </w:tr>
      <w:tr w:rsidR="00D631E7" w:rsidRPr="006C39FD" w14:paraId="09A78846" w14:textId="77777777" w:rsidTr="00364E1F">
        <w:tc>
          <w:tcPr>
            <w:tcW w:w="950" w:type="dxa"/>
          </w:tcPr>
          <w:p w14:paraId="5ACF92EE" w14:textId="77777777" w:rsidR="00D631E7" w:rsidRPr="00CD2D95" w:rsidRDefault="00D631E7" w:rsidP="00364E1F">
            <w:pPr>
              <w:jc w:val="both"/>
              <w:rPr>
                <w:sz w:val="20"/>
              </w:rPr>
            </w:pPr>
            <w:r w:rsidRPr="00CD2D95">
              <w:rPr>
                <w:sz w:val="20"/>
              </w:rPr>
              <w:t>2021</w:t>
            </w:r>
          </w:p>
        </w:tc>
        <w:tc>
          <w:tcPr>
            <w:tcW w:w="1102" w:type="dxa"/>
          </w:tcPr>
          <w:p w14:paraId="68449365" w14:textId="77777777" w:rsidR="00D631E7" w:rsidRPr="00CD2D95" w:rsidRDefault="00D631E7" w:rsidP="00364E1F">
            <w:pPr>
              <w:jc w:val="both"/>
              <w:rPr>
                <w:sz w:val="20"/>
              </w:rPr>
            </w:pPr>
            <w:r w:rsidRPr="00CD2D95">
              <w:rPr>
                <w:sz w:val="20"/>
              </w:rPr>
              <w:t>17</w:t>
            </w:r>
          </w:p>
        </w:tc>
        <w:tc>
          <w:tcPr>
            <w:tcW w:w="1316" w:type="dxa"/>
          </w:tcPr>
          <w:p w14:paraId="29D768DA" w14:textId="77777777" w:rsidR="00D631E7" w:rsidRPr="00CD2D95" w:rsidRDefault="00D631E7" w:rsidP="00364E1F">
            <w:pPr>
              <w:jc w:val="both"/>
              <w:rPr>
                <w:sz w:val="20"/>
              </w:rPr>
            </w:pPr>
            <w:r w:rsidRPr="00CD2D95">
              <w:rPr>
                <w:sz w:val="20"/>
              </w:rPr>
              <w:t>19</w:t>
            </w:r>
          </w:p>
        </w:tc>
        <w:tc>
          <w:tcPr>
            <w:tcW w:w="1866" w:type="dxa"/>
          </w:tcPr>
          <w:p w14:paraId="47DE40E5" w14:textId="77777777" w:rsidR="00D631E7" w:rsidRPr="00CD2D95" w:rsidRDefault="00D631E7" w:rsidP="00364E1F">
            <w:pPr>
              <w:jc w:val="both"/>
              <w:rPr>
                <w:sz w:val="20"/>
              </w:rPr>
            </w:pPr>
            <w:r w:rsidRPr="00CD2D95">
              <w:rPr>
                <w:sz w:val="20"/>
              </w:rPr>
              <w:t>9</w:t>
            </w:r>
          </w:p>
        </w:tc>
        <w:tc>
          <w:tcPr>
            <w:tcW w:w="1780" w:type="dxa"/>
          </w:tcPr>
          <w:p w14:paraId="346C78E5" w14:textId="77777777" w:rsidR="00D631E7" w:rsidRPr="00CD2D95" w:rsidRDefault="00D631E7" w:rsidP="00364E1F">
            <w:pPr>
              <w:jc w:val="both"/>
              <w:rPr>
                <w:sz w:val="20"/>
              </w:rPr>
            </w:pPr>
            <w:r w:rsidRPr="00CD2D95">
              <w:rPr>
                <w:sz w:val="20"/>
              </w:rPr>
              <w:t>10</w:t>
            </w:r>
          </w:p>
        </w:tc>
        <w:tc>
          <w:tcPr>
            <w:tcW w:w="1426" w:type="dxa"/>
          </w:tcPr>
          <w:p w14:paraId="4066ABA7" w14:textId="77777777" w:rsidR="00D631E7" w:rsidRPr="00CD2D95" w:rsidRDefault="00D631E7" w:rsidP="00364E1F">
            <w:pPr>
              <w:jc w:val="both"/>
              <w:rPr>
                <w:sz w:val="20"/>
              </w:rPr>
            </w:pPr>
            <w:r w:rsidRPr="00CD2D95">
              <w:rPr>
                <w:sz w:val="20"/>
              </w:rPr>
              <w:t>0</w:t>
            </w:r>
          </w:p>
        </w:tc>
        <w:tc>
          <w:tcPr>
            <w:tcW w:w="627" w:type="dxa"/>
          </w:tcPr>
          <w:p w14:paraId="3DD403EE" w14:textId="77777777" w:rsidR="00D631E7" w:rsidRPr="00CD2D95" w:rsidRDefault="00D631E7" w:rsidP="00364E1F">
            <w:pPr>
              <w:jc w:val="both"/>
              <w:rPr>
                <w:sz w:val="20"/>
              </w:rPr>
            </w:pPr>
            <w:r w:rsidRPr="00CD2D95">
              <w:rPr>
                <w:sz w:val="20"/>
              </w:rPr>
              <w:t>0</w:t>
            </w:r>
          </w:p>
        </w:tc>
      </w:tr>
      <w:tr w:rsidR="00D631E7" w:rsidRPr="006C39FD" w14:paraId="587BAA1B" w14:textId="77777777" w:rsidTr="00364E1F">
        <w:tc>
          <w:tcPr>
            <w:tcW w:w="950" w:type="dxa"/>
          </w:tcPr>
          <w:p w14:paraId="7B238B7D" w14:textId="77777777" w:rsidR="00D631E7" w:rsidRPr="00CD2D95" w:rsidRDefault="00D631E7" w:rsidP="00364E1F">
            <w:pPr>
              <w:jc w:val="both"/>
              <w:rPr>
                <w:sz w:val="20"/>
              </w:rPr>
            </w:pPr>
            <w:r w:rsidRPr="00CD2D95">
              <w:rPr>
                <w:sz w:val="20"/>
              </w:rPr>
              <w:t>2022</w:t>
            </w:r>
          </w:p>
        </w:tc>
        <w:tc>
          <w:tcPr>
            <w:tcW w:w="1102" w:type="dxa"/>
          </w:tcPr>
          <w:p w14:paraId="1DAB451B" w14:textId="77777777" w:rsidR="00D631E7" w:rsidRPr="00CD2D95" w:rsidRDefault="00D631E7" w:rsidP="00364E1F">
            <w:pPr>
              <w:jc w:val="both"/>
              <w:rPr>
                <w:sz w:val="20"/>
              </w:rPr>
            </w:pPr>
            <w:r w:rsidRPr="00CD2D95">
              <w:rPr>
                <w:sz w:val="20"/>
              </w:rPr>
              <w:t>12</w:t>
            </w:r>
          </w:p>
        </w:tc>
        <w:tc>
          <w:tcPr>
            <w:tcW w:w="1316" w:type="dxa"/>
          </w:tcPr>
          <w:p w14:paraId="4E86D8AD" w14:textId="77777777" w:rsidR="00D631E7" w:rsidRPr="00CD2D95" w:rsidRDefault="00D631E7" w:rsidP="00364E1F">
            <w:pPr>
              <w:jc w:val="both"/>
              <w:rPr>
                <w:sz w:val="20"/>
              </w:rPr>
            </w:pPr>
            <w:r w:rsidRPr="00CD2D95">
              <w:rPr>
                <w:sz w:val="20"/>
              </w:rPr>
              <w:t>2</w:t>
            </w:r>
          </w:p>
        </w:tc>
        <w:tc>
          <w:tcPr>
            <w:tcW w:w="1866" w:type="dxa"/>
          </w:tcPr>
          <w:p w14:paraId="263343B5" w14:textId="77777777" w:rsidR="00D631E7" w:rsidRPr="00CD2D95" w:rsidRDefault="00D631E7" w:rsidP="00364E1F">
            <w:pPr>
              <w:jc w:val="both"/>
              <w:rPr>
                <w:sz w:val="20"/>
              </w:rPr>
            </w:pPr>
            <w:r w:rsidRPr="00CD2D95">
              <w:rPr>
                <w:sz w:val="20"/>
              </w:rPr>
              <w:t>2</w:t>
            </w:r>
          </w:p>
        </w:tc>
        <w:tc>
          <w:tcPr>
            <w:tcW w:w="1780" w:type="dxa"/>
          </w:tcPr>
          <w:p w14:paraId="17B94EF3" w14:textId="77777777" w:rsidR="00D631E7" w:rsidRPr="00CD2D95" w:rsidRDefault="00D631E7" w:rsidP="00364E1F">
            <w:pPr>
              <w:jc w:val="both"/>
              <w:rPr>
                <w:sz w:val="20"/>
              </w:rPr>
            </w:pPr>
            <w:r w:rsidRPr="00CD2D95">
              <w:rPr>
                <w:sz w:val="20"/>
              </w:rPr>
              <w:t>0</w:t>
            </w:r>
          </w:p>
        </w:tc>
        <w:tc>
          <w:tcPr>
            <w:tcW w:w="1426" w:type="dxa"/>
          </w:tcPr>
          <w:p w14:paraId="3B166BBD" w14:textId="77777777" w:rsidR="00D631E7" w:rsidRPr="00CD2D95" w:rsidRDefault="00D631E7" w:rsidP="00364E1F">
            <w:pPr>
              <w:jc w:val="both"/>
              <w:rPr>
                <w:sz w:val="20"/>
              </w:rPr>
            </w:pPr>
            <w:r w:rsidRPr="00CD2D95">
              <w:rPr>
                <w:sz w:val="20"/>
              </w:rPr>
              <w:t>0</w:t>
            </w:r>
          </w:p>
        </w:tc>
        <w:tc>
          <w:tcPr>
            <w:tcW w:w="627" w:type="dxa"/>
          </w:tcPr>
          <w:p w14:paraId="662FF29F" w14:textId="77777777" w:rsidR="00D631E7" w:rsidRPr="00CD2D95" w:rsidRDefault="00D631E7" w:rsidP="00364E1F">
            <w:pPr>
              <w:jc w:val="both"/>
              <w:rPr>
                <w:sz w:val="20"/>
              </w:rPr>
            </w:pPr>
            <w:r w:rsidRPr="00CD2D95">
              <w:rPr>
                <w:sz w:val="20"/>
              </w:rPr>
              <w:t>0</w:t>
            </w:r>
          </w:p>
        </w:tc>
      </w:tr>
      <w:tr w:rsidR="00D631E7" w:rsidRPr="006C39FD" w14:paraId="3E7364D2" w14:textId="77777777" w:rsidTr="00364E1F">
        <w:tc>
          <w:tcPr>
            <w:tcW w:w="950" w:type="dxa"/>
          </w:tcPr>
          <w:p w14:paraId="1B39C0AD" w14:textId="77777777" w:rsidR="00D631E7" w:rsidRPr="00CD2D95" w:rsidRDefault="00D631E7" w:rsidP="00364E1F">
            <w:pPr>
              <w:jc w:val="both"/>
              <w:rPr>
                <w:sz w:val="20"/>
              </w:rPr>
            </w:pPr>
            <w:r w:rsidRPr="00CD2D95">
              <w:rPr>
                <w:sz w:val="20"/>
              </w:rPr>
              <w:t xml:space="preserve">2023 </w:t>
            </w:r>
          </w:p>
        </w:tc>
        <w:tc>
          <w:tcPr>
            <w:tcW w:w="1102" w:type="dxa"/>
          </w:tcPr>
          <w:p w14:paraId="11A171C9" w14:textId="77777777" w:rsidR="00D631E7" w:rsidRPr="00CD2D95" w:rsidRDefault="00D631E7" w:rsidP="00364E1F">
            <w:pPr>
              <w:jc w:val="both"/>
              <w:rPr>
                <w:sz w:val="20"/>
              </w:rPr>
            </w:pPr>
            <w:r w:rsidRPr="00CD2D95">
              <w:rPr>
                <w:sz w:val="20"/>
              </w:rPr>
              <w:t>15</w:t>
            </w:r>
          </w:p>
        </w:tc>
        <w:tc>
          <w:tcPr>
            <w:tcW w:w="1316" w:type="dxa"/>
          </w:tcPr>
          <w:p w14:paraId="7996E3B0" w14:textId="77777777" w:rsidR="00D631E7" w:rsidRPr="00CD2D95" w:rsidRDefault="00D631E7" w:rsidP="00364E1F">
            <w:pPr>
              <w:jc w:val="both"/>
              <w:rPr>
                <w:sz w:val="20"/>
              </w:rPr>
            </w:pPr>
            <w:r w:rsidRPr="00CD2D95">
              <w:rPr>
                <w:sz w:val="20"/>
              </w:rPr>
              <w:t>11</w:t>
            </w:r>
          </w:p>
        </w:tc>
        <w:tc>
          <w:tcPr>
            <w:tcW w:w="1866" w:type="dxa"/>
          </w:tcPr>
          <w:p w14:paraId="2CA9D591" w14:textId="77777777" w:rsidR="00D631E7" w:rsidRPr="00CD2D95" w:rsidRDefault="00D631E7" w:rsidP="00364E1F">
            <w:pPr>
              <w:jc w:val="both"/>
              <w:rPr>
                <w:sz w:val="20"/>
              </w:rPr>
            </w:pPr>
            <w:r w:rsidRPr="00CD2D95">
              <w:rPr>
                <w:sz w:val="20"/>
              </w:rPr>
              <w:t>9</w:t>
            </w:r>
          </w:p>
        </w:tc>
        <w:tc>
          <w:tcPr>
            <w:tcW w:w="1780" w:type="dxa"/>
          </w:tcPr>
          <w:p w14:paraId="0A72F49F" w14:textId="77777777" w:rsidR="00D631E7" w:rsidRPr="00CD2D95" w:rsidRDefault="00D631E7" w:rsidP="00364E1F">
            <w:pPr>
              <w:jc w:val="both"/>
              <w:rPr>
                <w:sz w:val="20"/>
              </w:rPr>
            </w:pPr>
            <w:r w:rsidRPr="00CD2D95">
              <w:rPr>
                <w:sz w:val="20"/>
              </w:rPr>
              <w:t>2</w:t>
            </w:r>
          </w:p>
        </w:tc>
        <w:tc>
          <w:tcPr>
            <w:tcW w:w="1426" w:type="dxa"/>
          </w:tcPr>
          <w:p w14:paraId="771F1C2D" w14:textId="77777777" w:rsidR="00D631E7" w:rsidRPr="00CD2D95" w:rsidRDefault="00D631E7" w:rsidP="00364E1F">
            <w:pPr>
              <w:jc w:val="both"/>
              <w:rPr>
                <w:sz w:val="20"/>
              </w:rPr>
            </w:pPr>
            <w:r w:rsidRPr="00CD2D95">
              <w:rPr>
                <w:sz w:val="20"/>
              </w:rPr>
              <w:t>0</w:t>
            </w:r>
          </w:p>
        </w:tc>
        <w:tc>
          <w:tcPr>
            <w:tcW w:w="627" w:type="dxa"/>
          </w:tcPr>
          <w:p w14:paraId="7F88CED3" w14:textId="77777777" w:rsidR="00D631E7" w:rsidRPr="00CD2D95" w:rsidRDefault="00D631E7" w:rsidP="00364E1F">
            <w:pPr>
              <w:jc w:val="both"/>
              <w:rPr>
                <w:sz w:val="20"/>
              </w:rPr>
            </w:pPr>
            <w:r w:rsidRPr="00CD2D95">
              <w:rPr>
                <w:sz w:val="20"/>
              </w:rPr>
              <w:t>0</w:t>
            </w:r>
          </w:p>
        </w:tc>
      </w:tr>
      <w:tr w:rsidR="00D631E7" w:rsidRPr="00CD2D95" w14:paraId="703BA646" w14:textId="77777777" w:rsidTr="00364E1F">
        <w:tc>
          <w:tcPr>
            <w:tcW w:w="950" w:type="dxa"/>
          </w:tcPr>
          <w:p w14:paraId="6BEFA2FB" w14:textId="6383B9F5" w:rsidR="00D631E7" w:rsidRPr="00CD2D95" w:rsidRDefault="00D631E7" w:rsidP="00364E1F">
            <w:pPr>
              <w:jc w:val="both"/>
              <w:rPr>
                <w:sz w:val="20"/>
              </w:rPr>
            </w:pPr>
            <w:r w:rsidRPr="00CD2D95">
              <w:rPr>
                <w:sz w:val="20"/>
              </w:rPr>
              <w:t xml:space="preserve">2024 </w:t>
            </w:r>
            <w:r w:rsidR="00CB55C5">
              <w:rPr>
                <w:sz w:val="20"/>
              </w:rPr>
              <w:t>–</w:t>
            </w:r>
            <w:r w:rsidRPr="00CD2D95">
              <w:rPr>
                <w:sz w:val="20"/>
              </w:rPr>
              <w:t xml:space="preserve"> I</w:t>
            </w:r>
            <w:r w:rsidR="00CB55C5">
              <w:rPr>
                <w:sz w:val="20"/>
              </w:rPr>
              <w:t> </w:t>
            </w:r>
            <w:r w:rsidRPr="00CD2D95">
              <w:rPr>
                <w:sz w:val="20"/>
              </w:rPr>
              <w:t>półrocze</w:t>
            </w:r>
          </w:p>
        </w:tc>
        <w:tc>
          <w:tcPr>
            <w:tcW w:w="1102" w:type="dxa"/>
          </w:tcPr>
          <w:p w14:paraId="634C5717" w14:textId="77777777" w:rsidR="00D631E7" w:rsidRPr="00CD2D95" w:rsidRDefault="00D631E7" w:rsidP="00364E1F">
            <w:pPr>
              <w:jc w:val="both"/>
              <w:rPr>
                <w:sz w:val="20"/>
              </w:rPr>
            </w:pPr>
            <w:r w:rsidRPr="00CD2D95">
              <w:rPr>
                <w:sz w:val="20"/>
              </w:rPr>
              <w:t>16</w:t>
            </w:r>
          </w:p>
        </w:tc>
        <w:tc>
          <w:tcPr>
            <w:tcW w:w="1316" w:type="dxa"/>
          </w:tcPr>
          <w:p w14:paraId="02B5FA61" w14:textId="77777777" w:rsidR="00D631E7" w:rsidRPr="00CD2D95" w:rsidRDefault="00D631E7" w:rsidP="00364E1F">
            <w:pPr>
              <w:jc w:val="both"/>
              <w:rPr>
                <w:sz w:val="20"/>
              </w:rPr>
            </w:pPr>
            <w:r w:rsidRPr="00CD2D95">
              <w:rPr>
                <w:sz w:val="20"/>
              </w:rPr>
              <w:t>12</w:t>
            </w:r>
          </w:p>
        </w:tc>
        <w:tc>
          <w:tcPr>
            <w:tcW w:w="1866" w:type="dxa"/>
          </w:tcPr>
          <w:p w14:paraId="1A5319BB" w14:textId="77777777" w:rsidR="00D631E7" w:rsidRPr="00CD2D95" w:rsidRDefault="00D631E7" w:rsidP="00364E1F">
            <w:pPr>
              <w:jc w:val="both"/>
              <w:rPr>
                <w:sz w:val="20"/>
              </w:rPr>
            </w:pPr>
            <w:r w:rsidRPr="00CD2D95">
              <w:rPr>
                <w:sz w:val="20"/>
              </w:rPr>
              <w:t>8</w:t>
            </w:r>
          </w:p>
        </w:tc>
        <w:tc>
          <w:tcPr>
            <w:tcW w:w="1780" w:type="dxa"/>
          </w:tcPr>
          <w:p w14:paraId="010EE126" w14:textId="77777777" w:rsidR="00D631E7" w:rsidRPr="00CD2D95" w:rsidRDefault="00D631E7" w:rsidP="00364E1F">
            <w:pPr>
              <w:jc w:val="both"/>
              <w:rPr>
                <w:sz w:val="20"/>
              </w:rPr>
            </w:pPr>
            <w:r w:rsidRPr="00CD2D95">
              <w:rPr>
                <w:sz w:val="20"/>
              </w:rPr>
              <w:t>2</w:t>
            </w:r>
          </w:p>
        </w:tc>
        <w:tc>
          <w:tcPr>
            <w:tcW w:w="1426" w:type="dxa"/>
          </w:tcPr>
          <w:p w14:paraId="32E01A7D" w14:textId="77777777" w:rsidR="00D631E7" w:rsidRPr="00CD2D95" w:rsidRDefault="00D631E7" w:rsidP="00364E1F">
            <w:pPr>
              <w:jc w:val="both"/>
              <w:rPr>
                <w:sz w:val="20"/>
              </w:rPr>
            </w:pPr>
            <w:r w:rsidRPr="00CD2D95">
              <w:rPr>
                <w:sz w:val="20"/>
              </w:rPr>
              <w:t>1</w:t>
            </w:r>
          </w:p>
        </w:tc>
        <w:tc>
          <w:tcPr>
            <w:tcW w:w="627" w:type="dxa"/>
          </w:tcPr>
          <w:p w14:paraId="5A650347" w14:textId="77777777" w:rsidR="00D631E7" w:rsidRPr="00CD2D95" w:rsidRDefault="00D631E7" w:rsidP="00364E1F">
            <w:pPr>
              <w:jc w:val="both"/>
              <w:rPr>
                <w:sz w:val="20"/>
              </w:rPr>
            </w:pPr>
            <w:r w:rsidRPr="00CD2D95">
              <w:rPr>
                <w:sz w:val="20"/>
              </w:rPr>
              <w:t>1</w:t>
            </w:r>
          </w:p>
        </w:tc>
      </w:tr>
      <w:tr w:rsidR="00D631E7" w:rsidRPr="00CD2D95" w14:paraId="6F7CD8E5" w14:textId="77777777" w:rsidTr="00364E1F">
        <w:tc>
          <w:tcPr>
            <w:tcW w:w="950" w:type="dxa"/>
          </w:tcPr>
          <w:p w14:paraId="3B66CE1B" w14:textId="77777777" w:rsidR="00D631E7" w:rsidRPr="00CD2D95" w:rsidRDefault="00D631E7" w:rsidP="00364E1F">
            <w:pPr>
              <w:jc w:val="both"/>
              <w:rPr>
                <w:sz w:val="20"/>
              </w:rPr>
            </w:pPr>
            <w:r w:rsidRPr="00CD2D95">
              <w:rPr>
                <w:sz w:val="20"/>
              </w:rPr>
              <w:t>Łącznie</w:t>
            </w:r>
          </w:p>
        </w:tc>
        <w:tc>
          <w:tcPr>
            <w:tcW w:w="1102" w:type="dxa"/>
          </w:tcPr>
          <w:p w14:paraId="71FDB341" w14:textId="77777777" w:rsidR="00D631E7" w:rsidRPr="00CD2D95" w:rsidRDefault="00D631E7" w:rsidP="00364E1F">
            <w:pPr>
              <w:jc w:val="both"/>
              <w:rPr>
                <w:sz w:val="20"/>
              </w:rPr>
            </w:pPr>
            <w:r w:rsidRPr="00CD2D95">
              <w:rPr>
                <w:sz w:val="20"/>
              </w:rPr>
              <w:t>97</w:t>
            </w:r>
          </w:p>
        </w:tc>
        <w:tc>
          <w:tcPr>
            <w:tcW w:w="1316" w:type="dxa"/>
          </w:tcPr>
          <w:p w14:paraId="2CD2AF76" w14:textId="77777777" w:rsidR="00D631E7" w:rsidRPr="00CD2D95" w:rsidRDefault="00D631E7" w:rsidP="00364E1F">
            <w:pPr>
              <w:jc w:val="both"/>
              <w:rPr>
                <w:sz w:val="20"/>
              </w:rPr>
            </w:pPr>
            <w:r w:rsidRPr="00CD2D95">
              <w:rPr>
                <w:sz w:val="20"/>
              </w:rPr>
              <w:t>75</w:t>
            </w:r>
          </w:p>
        </w:tc>
        <w:tc>
          <w:tcPr>
            <w:tcW w:w="1866" w:type="dxa"/>
          </w:tcPr>
          <w:p w14:paraId="29A21C9B" w14:textId="77777777" w:rsidR="00D631E7" w:rsidRPr="00CD2D95" w:rsidRDefault="00D631E7" w:rsidP="00364E1F">
            <w:pPr>
              <w:jc w:val="both"/>
              <w:rPr>
                <w:sz w:val="20"/>
              </w:rPr>
            </w:pPr>
            <w:r w:rsidRPr="00CD2D95">
              <w:rPr>
                <w:sz w:val="20"/>
              </w:rPr>
              <w:t>52</w:t>
            </w:r>
          </w:p>
        </w:tc>
        <w:tc>
          <w:tcPr>
            <w:tcW w:w="1780" w:type="dxa"/>
          </w:tcPr>
          <w:p w14:paraId="4B303EE0" w14:textId="77777777" w:rsidR="00D631E7" w:rsidRPr="00CD2D95" w:rsidRDefault="00D631E7" w:rsidP="00364E1F">
            <w:pPr>
              <w:jc w:val="both"/>
              <w:rPr>
                <w:sz w:val="20"/>
              </w:rPr>
            </w:pPr>
            <w:r w:rsidRPr="00CD2D95">
              <w:rPr>
                <w:sz w:val="20"/>
              </w:rPr>
              <w:t>18</w:t>
            </w:r>
          </w:p>
        </w:tc>
        <w:tc>
          <w:tcPr>
            <w:tcW w:w="1426" w:type="dxa"/>
          </w:tcPr>
          <w:p w14:paraId="14E8E5AE" w14:textId="77777777" w:rsidR="00D631E7" w:rsidRPr="00CD2D95" w:rsidRDefault="00D631E7" w:rsidP="00364E1F">
            <w:pPr>
              <w:jc w:val="both"/>
              <w:rPr>
                <w:sz w:val="20"/>
              </w:rPr>
            </w:pPr>
            <w:r w:rsidRPr="00CD2D95">
              <w:rPr>
                <w:sz w:val="20"/>
              </w:rPr>
              <w:t>2</w:t>
            </w:r>
          </w:p>
        </w:tc>
        <w:tc>
          <w:tcPr>
            <w:tcW w:w="627" w:type="dxa"/>
          </w:tcPr>
          <w:p w14:paraId="45BFF092" w14:textId="77777777" w:rsidR="00D631E7" w:rsidRPr="00CD2D95" w:rsidRDefault="00D631E7" w:rsidP="00364E1F">
            <w:pPr>
              <w:jc w:val="both"/>
              <w:rPr>
                <w:sz w:val="20"/>
              </w:rPr>
            </w:pPr>
            <w:r w:rsidRPr="00CD2D95">
              <w:rPr>
                <w:sz w:val="20"/>
              </w:rPr>
              <w:t>3</w:t>
            </w:r>
          </w:p>
        </w:tc>
      </w:tr>
    </w:tbl>
    <w:p w14:paraId="36FC69F2" w14:textId="77777777" w:rsidR="00D631E7" w:rsidRDefault="00D631E7" w:rsidP="00D631E7">
      <w:pPr>
        <w:jc w:val="both"/>
        <w:rPr>
          <w:rFonts w:cs="Times New Roman"/>
          <w:szCs w:val="24"/>
        </w:rPr>
      </w:pPr>
    </w:p>
    <w:p w14:paraId="33A9DED0" w14:textId="113E5229" w:rsidR="008E4B15" w:rsidRPr="0013163D" w:rsidRDefault="008E4B15" w:rsidP="006573F8">
      <w:pPr>
        <w:ind w:firstLine="709"/>
        <w:jc w:val="both"/>
        <w:rPr>
          <w:rFonts w:cs="Times New Roman"/>
          <w:szCs w:val="24"/>
        </w:rPr>
      </w:pPr>
      <w:r w:rsidRPr="0013163D">
        <w:rPr>
          <w:rFonts w:cs="Times New Roman"/>
          <w:szCs w:val="24"/>
        </w:rPr>
        <w:t>Wynika</w:t>
      </w:r>
      <w:r w:rsidR="004E3461">
        <w:rPr>
          <w:rFonts w:cs="Times New Roman"/>
          <w:szCs w:val="24"/>
        </w:rPr>
        <w:t xml:space="preserve"> z</w:t>
      </w:r>
      <w:r w:rsidR="00683600">
        <w:rPr>
          <w:rFonts w:cs="Times New Roman"/>
          <w:szCs w:val="24"/>
        </w:rPr>
        <w:t xml:space="preserve"> </w:t>
      </w:r>
      <w:r w:rsidRPr="0013163D">
        <w:rPr>
          <w:rFonts w:cs="Times New Roman"/>
          <w:szCs w:val="24"/>
        </w:rPr>
        <w:t xml:space="preserve">powyższego, że średniorocznie do odpowiedzialności </w:t>
      </w:r>
      <w:r w:rsidR="00111FE0">
        <w:rPr>
          <w:rFonts w:cs="Times New Roman"/>
          <w:szCs w:val="24"/>
        </w:rPr>
        <w:t xml:space="preserve">jest </w:t>
      </w:r>
      <w:r w:rsidRPr="0013163D">
        <w:rPr>
          <w:rFonts w:cs="Times New Roman"/>
          <w:szCs w:val="24"/>
        </w:rPr>
        <w:t>pociąganych tylko kilka podmiotów zbiorowych. Oznacza to, że przedmiotowa ustawa</w:t>
      </w:r>
      <w:r w:rsidR="004E3461">
        <w:rPr>
          <w:rFonts w:cs="Times New Roman"/>
          <w:szCs w:val="24"/>
        </w:rPr>
        <w:t xml:space="preserve"> w</w:t>
      </w:r>
      <w:r w:rsidR="00683600">
        <w:rPr>
          <w:rFonts w:cs="Times New Roman"/>
          <w:szCs w:val="24"/>
        </w:rPr>
        <w:t xml:space="preserve"> </w:t>
      </w:r>
      <w:r w:rsidRPr="0013163D">
        <w:rPr>
          <w:rFonts w:cs="Times New Roman"/>
          <w:szCs w:val="24"/>
        </w:rPr>
        <w:t>praktyce nie funkcjonuje. Wymaga to pilnej interwencji sanacyjnej.</w:t>
      </w:r>
    </w:p>
    <w:p w14:paraId="16D59813" w14:textId="1EE29B41" w:rsidR="008E4B15" w:rsidRPr="0013163D" w:rsidRDefault="008E4B15" w:rsidP="004D2D15">
      <w:pPr>
        <w:ind w:firstLine="708"/>
        <w:jc w:val="both"/>
        <w:rPr>
          <w:rFonts w:cs="Times New Roman"/>
          <w:bCs/>
          <w:szCs w:val="24"/>
        </w:rPr>
      </w:pPr>
      <w:r w:rsidRPr="0013163D">
        <w:rPr>
          <w:rFonts w:cs="Times New Roman"/>
          <w:bCs/>
          <w:szCs w:val="24"/>
        </w:rPr>
        <w:t>Praktyczna trwała wieloletnia nieefektywność obowiązującej ustawy przejawia się nie tylko</w:t>
      </w:r>
      <w:r w:rsidR="004E3461">
        <w:rPr>
          <w:rFonts w:cs="Times New Roman"/>
          <w:bCs/>
          <w:szCs w:val="24"/>
        </w:rPr>
        <w:t xml:space="preserve"> w </w:t>
      </w:r>
      <w:r w:rsidRPr="0013163D">
        <w:rPr>
          <w:rFonts w:cs="Times New Roman"/>
          <w:bCs/>
          <w:szCs w:val="24"/>
        </w:rPr>
        <w:t>braku ponoszenia uzasadnionej odpowiedzialności penalnej przez takie podmioty, lecz również</w:t>
      </w:r>
      <w:r w:rsidR="004E3461">
        <w:rPr>
          <w:rFonts w:cs="Times New Roman"/>
          <w:bCs/>
          <w:szCs w:val="24"/>
        </w:rPr>
        <w:t xml:space="preserve"> w </w:t>
      </w:r>
      <w:r w:rsidRPr="0013163D">
        <w:rPr>
          <w:rFonts w:cs="Times New Roman"/>
          <w:bCs/>
          <w:szCs w:val="24"/>
        </w:rPr>
        <w:t>pociąganiu do odpowiedzialności karnej reprezentanta podmiotu zbiorowego (np.</w:t>
      </w:r>
      <w:r w:rsidR="00683600">
        <w:rPr>
          <w:rFonts w:cs="Times New Roman"/>
          <w:bCs/>
          <w:szCs w:val="24"/>
        </w:rPr>
        <w:t> </w:t>
      </w:r>
      <w:r w:rsidRPr="0013163D">
        <w:rPr>
          <w:rFonts w:cs="Times New Roman"/>
          <w:bCs/>
          <w:szCs w:val="24"/>
        </w:rPr>
        <w:t>prezesa zarządu spółki handlowej), niejako</w:t>
      </w:r>
      <w:r w:rsidR="004E3461">
        <w:rPr>
          <w:rFonts w:cs="Times New Roman"/>
          <w:bCs/>
          <w:szCs w:val="24"/>
        </w:rPr>
        <w:t xml:space="preserve"> w </w:t>
      </w:r>
      <w:r w:rsidRPr="0013163D">
        <w:rPr>
          <w:rFonts w:cs="Times New Roman"/>
          <w:bCs/>
          <w:szCs w:val="24"/>
        </w:rPr>
        <w:t>zastępstwie tego podmiotu (lub innych jego reprezentantów). Prowadzi to</w:t>
      </w:r>
      <w:r w:rsidR="004E3461">
        <w:rPr>
          <w:rFonts w:cs="Times New Roman"/>
          <w:bCs/>
          <w:szCs w:val="24"/>
        </w:rPr>
        <w:t xml:space="preserve"> w </w:t>
      </w:r>
      <w:r w:rsidRPr="0013163D">
        <w:rPr>
          <w:rFonts w:cs="Times New Roman"/>
          <w:bCs/>
          <w:szCs w:val="24"/>
        </w:rPr>
        <w:t>praktyce niekiedy do pociągania do odpowiedzialności karnej reprezentanta podmiotu zbiorowego nie tylko</w:t>
      </w:r>
      <w:r w:rsidR="004E3461">
        <w:rPr>
          <w:rFonts w:cs="Times New Roman"/>
          <w:bCs/>
          <w:szCs w:val="24"/>
        </w:rPr>
        <w:t xml:space="preserve"> z </w:t>
      </w:r>
      <w:r w:rsidRPr="0013163D">
        <w:rPr>
          <w:rFonts w:cs="Times New Roman"/>
          <w:bCs/>
          <w:szCs w:val="24"/>
        </w:rPr>
        <w:t>tytułu jego czynu, lecz czasem wyłącznie</w:t>
      </w:r>
      <w:r w:rsidR="004E3461">
        <w:rPr>
          <w:rFonts w:cs="Times New Roman"/>
          <w:bCs/>
          <w:szCs w:val="24"/>
        </w:rPr>
        <w:t xml:space="preserve"> </w:t>
      </w:r>
      <w:r w:rsidR="004E3461">
        <w:rPr>
          <w:rFonts w:cs="Times New Roman"/>
          <w:bCs/>
          <w:szCs w:val="24"/>
        </w:rPr>
        <w:lastRenderedPageBreak/>
        <w:t>z </w:t>
      </w:r>
      <w:r w:rsidRPr="0013163D">
        <w:rPr>
          <w:rFonts w:cs="Times New Roman"/>
          <w:bCs/>
          <w:szCs w:val="24"/>
        </w:rPr>
        <w:t>tytułu pełnionej przez niego funkcji. W rezultacie prowadzenie działalności gospodarczej</w:t>
      </w:r>
      <w:r w:rsidR="004E3461">
        <w:rPr>
          <w:rFonts w:cs="Times New Roman"/>
          <w:bCs/>
          <w:szCs w:val="24"/>
        </w:rPr>
        <w:t xml:space="preserve"> w </w:t>
      </w:r>
      <w:r w:rsidRPr="0013163D">
        <w:rPr>
          <w:rFonts w:cs="Times New Roman"/>
          <w:bCs/>
          <w:szCs w:val="24"/>
        </w:rPr>
        <w:t>Polsce obarczone jest dodatkowym ryzykiem ponoszenia przez przedsiębiorców (zarządców) nieuzasadnionych negatywnych konsekwencji swojej aktywności ekonomicznej.</w:t>
      </w:r>
    </w:p>
    <w:p w14:paraId="1B37C175" w14:textId="0CB915F7" w:rsidR="008E4B15" w:rsidRPr="0013163D" w:rsidRDefault="008E4B15" w:rsidP="004D2D15">
      <w:pPr>
        <w:ind w:firstLine="708"/>
        <w:jc w:val="both"/>
        <w:rPr>
          <w:rFonts w:cs="Times New Roman"/>
          <w:bCs/>
          <w:szCs w:val="24"/>
        </w:rPr>
      </w:pPr>
      <w:r w:rsidRPr="0013163D">
        <w:rPr>
          <w:rFonts w:cs="Times New Roman"/>
          <w:bCs/>
          <w:szCs w:val="24"/>
        </w:rPr>
        <w:t>W związku</w:t>
      </w:r>
      <w:r w:rsidR="004E3461">
        <w:rPr>
          <w:rFonts w:cs="Times New Roman"/>
          <w:bCs/>
          <w:szCs w:val="24"/>
        </w:rPr>
        <w:t xml:space="preserve"> z </w:t>
      </w:r>
      <w:r w:rsidRPr="0013163D">
        <w:rPr>
          <w:rFonts w:cs="Times New Roman"/>
          <w:bCs/>
          <w:szCs w:val="24"/>
        </w:rPr>
        <w:t>powyższym konieczne jest rozwiązanie</w:t>
      </w:r>
      <w:r w:rsidR="004E3461">
        <w:rPr>
          <w:rFonts w:cs="Times New Roman"/>
          <w:bCs/>
          <w:szCs w:val="24"/>
        </w:rPr>
        <w:t xml:space="preserve"> z </w:t>
      </w:r>
      <w:r w:rsidRPr="0013163D">
        <w:rPr>
          <w:rFonts w:cs="Times New Roman"/>
          <w:bCs/>
          <w:szCs w:val="24"/>
        </w:rPr>
        <w:t>jednej strony doraźne,</w:t>
      </w:r>
      <w:r w:rsidR="002B2905">
        <w:rPr>
          <w:rFonts w:cs="Times New Roman"/>
          <w:bCs/>
          <w:szCs w:val="24"/>
        </w:rPr>
        <w:t xml:space="preserve"> a </w:t>
      </w:r>
      <w:r w:rsidR="004E3461">
        <w:rPr>
          <w:rFonts w:cs="Times New Roman"/>
          <w:bCs/>
          <w:szCs w:val="24"/>
        </w:rPr>
        <w:t>z </w:t>
      </w:r>
      <w:r w:rsidRPr="0013163D">
        <w:rPr>
          <w:rFonts w:cs="Times New Roman"/>
          <w:bCs/>
          <w:szCs w:val="24"/>
        </w:rPr>
        <w:t>drugiej – funkcjonalne, t</w:t>
      </w:r>
      <w:r w:rsidR="00D57F12">
        <w:rPr>
          <w:rFonts w:cs="Times New Roman"/>
          <w:bCs/>
          <w:szCs w:val="24"/>
        </w:rPr>
        <w:t>o jest</w:t>
      </w:r>
      <w:r w:rsidRPr="0013163D">
        <w:rPr>
          <w:rFonts w:cs="Times New Roman"/>
          <w:bCs/>
          <w:szCs w:val="24"/>
        </w:rPr>
        <w:t xml:space="preserve"> maksymalnie niwelujące przywołane powyżej zastrzeżenia. Jego celem jest jednoczesne przywrócenie funkcjonalności omawianej ustawy oraz zracjonalizowanie odpowiedzialności menedżerów. </w:t>
      </w:r>
    </w:p>
    <w:p w14:paraId="450573F4" w14:textId="2B68CF4C" w:rsidR="008E4B15" w:rsidRPr="0013163D" w:rsidRDefault="008E4B15" w:rsidP="004D2D15">
      <w:pPr>
        <w:ind w:firstLine="708"/>
        <w:jc w:val="both"/>
        <w:rPr>
          <w:rFonts w:cs="Times New Roman"/>
          <w:bCs/>
          <w:szCs w:val="24"/>
        </w:rPr>
      </w:pPr>
      <w:r w:rsidRPr="00417692">
        <w:rPr>
          <w:rFonts w:cs="Times New Roman"/>
          <w:bCs/>
          <w:szCs w:val="24"/>
        </w:rPr>
        <w:t>Przywołany nieprawidłowy stan prawny oraz praktyk</w:t>
      </w:r>
      <w:r w:rsidR="00417692">
        <w:rPr>
          <w:rFonts w:cs="Times New Roman"/>
          <w:bCs/>
          <w:szCs w:val="24"/>
        </w:rPr>
        <w:t>ę</w:t>
      </w:r>
      <w:r w:rsidRPr="00417692">
        <w:rPr>
          <w:rFonts w:cs="Times New Roman"/>
          <w:bCs/>
          <w:szCs w:val="24"/>
        </w:rPr>
        <w:t xml:space="preserve"> karania można łącznie konwalidować przez wprowadzenie do obecnej </w:t>
      </w:r>
      <w:r w:rsidR="00417692">
        <w:rPr>
          <w:rFonts w:cs="Times New Roman"/>
          <w:bCs/>
          <w:szCs w:val="24"/>
        </w:rPr>
        <w:t>u.o.p.z.</w:t>
      </w:r>
      <w:r w:rsidRPr="00417692">
        <w:rPr>
          <w:rFonts w:cs="Times New Roman"/>
          <w:bCs/>
          <w:szCs w:val="24"/>
        </w:rPr>
        <w:t xml:space="preserve"> całkowicie nowej instytucji poddania się podmiotu zbiorowego karze. Sprowadzałaby się ona do ukształtowania</w:t>
      </w:r>
      <w:r w:rsidR="004E3461" w:rsidRPr="00417692">
        <w:rPr>
          <w:rFonts w:cs="Times New Roman"/>
          <w:bCs/>
          <w:szCs w:val="24"/>
        </w:rPr>
        <w:t xml:space="preserve"> w </w:t>
      </w:r>
      <w:r w:rsidRPr="00417692">
        <w:rPr>
          <w:rFonts w:cs="Times New Roman"/>
          <w:bCs/>
          <w:szCs w:val="24"/>
        </w:rPr>
        <w:t>ustawie dodatkowego (odrębnego</w:t>
      </w:r>
      <w:r w:rsidR="002B2905" w:rsidRPr="00417692">
        <w:rPr>
          <w:rFonts w:cs="Times New Roman"/>
          <w:bCs/>
          <w:szCs w:val="24"/>
        </w:rPr>
        <w:t xml:space="preserve"> i </w:t>
      </w:r>
      <w:r w:rsidRPr="00417692">
        <w:rPr>
          <w:rFonts w:cs="Times New Roman"/>
          <w:bCs/>
          <w:szCs w:val="24"/>
        </w:rPr>
        <w:t>alternatywnego) trybu postępowania, opartego na oportunizmie, konsensualiźmie</w:t>
      </w:r>
      <w:r w:rsidR="002B2905" w:rsidRPr="00417692">
        <w:rPr>
          <w:rFonts w:cs="Times New Roman"/>
          <w:bCs/>
          <w:szCs w:val="24"/>
        </w:rPr>
        <w:t xml:space="preserve"> i </w:t>
      </w:r>
      <w:r w:rsidRPr="00417692">
        <w:rPr>
          <w:rFonts w:cs="Times New Roman"/>
          <w:bCs/>
          <w:szCs w:val="24"/>
        </w:rPr>
        <w:t>kompensacji.</w:t>
      </w:r>
      <w:r w:rsidRPr="0013163D">
        <w:rPr>
          <w:rFonts w:cs="Times New Roman"/>
          <w:bCs/>
          <w:szCs w:val="24"/>
        </w:rPr>
        <w:t xml:space="preserve"> Istotą tego rozwiązania byłaby możliwość procedowania odpowiedzialności podmiotu zbiorowego bez warunku (prejudykatu)</w:t>
      </w:r>
      <w:r w:rsidR="004E3461">
        <w:rPr>
          <w:rFonts w:cs="Times New Roman"/>
          <w:bCs/>
          <w:szCs w:val="24"/>
        </w:rPr>
        <w:t xml:space="preserve"> w </w:t>
      </w:r>
      <w:r w:rsidRPr="0013163D">
        <w:rPr>
          <w:rFonts w:cs="Times New Roman"/>
          <w:bCs/>
          <w:szCs w:val="24"/>
        </w:rPr>
        <w:t>postaci prawomocnego skazania jego reprezentanta, przy czym takie prawomocne poddanie się karze przez podmiot zbiorowy odpowiednio łagodziłoby odpowiedzialność karną jego reprezentanta za czyn popełniony</w:t>
      </w:r>
      <w:r w:rsidR="004E3461">
        <w:rPr>
          <w:rFonts w:cs="Times New Roman"/>
          <w:bCs/>
          <w:szCs w:val="24"/>
        </w:rPr>
        <w:t xml:space="preserve"> w </w:t>
      </w:r>
      <w:r w:rsidRPr="0013163D">
        <w:rPr>
          <w:rFonts w:cs="Times New Roman"/>
          <w:bCs/>
          <w:szCs w:val="24"/>
        </w:rPr>
        <w:t>warunkach określonych</w:t>
      </w:r>
      <w:r w:rsidR="004E3461">
        <w:rPr>
          <w:rFonts w:cs="Times New Roman"/>
          <w:bCs/>
          <w:szCs w:val="24"/>
        </w:rPr>
        <w:t xml:space="preserve"> w </w:t>
      </w:r>
      <w:r w:rsidRPr="0013163D">
        <w:rPr>
          <w:rFonts w:cs="Times New Roman"/>
          <w:bCs/>
          <w:szCs w:val="24"/>
        </w:rPr>
        <w:t xml:space="preserve">omawianej ustawie (w imieniu lub na rzecz tego podmiotu). Jednocześnie </w:t>
      </w:r>
      <w:r w:rsidR="00417692" w:rsidRPr="0013163D">
        <w:rPr>
          <w:rFonts w:cs="Times New Roman"/>
          <w:bCs/>
          <w:szCs w:val="24"/>
        </w:rPr>
        <w:t xml:space="preserve">byłaby </w:t>
      </w:r>
      <w:r w:rsidRPr="0013163D">
        <w:rPr>
          <w:rFonts w:cs="Times New Roman"/>
          <w:bCs/>
          <w:szCs w:val="24"/>
        </w:rPr>
        <w:t xml:space="preserve">zagwarantowana pełna kontrola sądowa nad takimi rozstrzygnięciami. </w:t>
      </w:r>
    </w:p>
    <w:p w14:paraId="42A8F6B2" w14:textId="6EE5632F" w:rsidR="00195598" w:rsidRDefault="008E4B15" w:rsidP="004D2D15">
      <w:pPr>
        <w:ind w:firstLine="708"/>
        <w:jc w:val="both"/>
        <w:rPr>
          <w:rFonts w:cs="Times New Roman"/>
          <w:bCs/>
          <w:szCs w:val="24"/>
        </w:rPr>
      </w:pPr>
      <w:r w:rsidRPr="0013163D">
        <w:rPr>
          <w:rFonts w:cs="Times New Roman"/>
          <w:bCs/>
          <w:szCs w:val="24"/>
        </w:rPr>
        <w:t xml:space="preserve">Wobec powyższego proponuje się wprowadzić nowe przepisy art. 9a </w:t>
      </w:r>
      <w:r w:rsidR="00F42DBA">
        <w:rPr>
          <w:rFonts w:cs="Times New Roman"/>
          <w:bCs/>
          <w:szCs w:val="24"/>
        </w:rPr>
        <w:t>u.o.p.z.</w:t>
      </w:r>
      <w:r w:rsidR="002B2905">
        <w:rPr>
          <w:rFonts w:cs="Times New Roman"/>
          <w:bCs/>
          <w:szCs w:val="24"/>
        </w:rPr>
        <w:t xml:space="preserve"> i</w:t>
      </w:r>
      <w:r w:rsidR="002E76E2">
        <w:rPr>
          <w:rFonts w:cs="Times New Roman"/>
          <w:bCs/>
          <w:szCs w:val="24"/>
        </w:rPr>
        <w:t xml:space="preserve"> </w:t>
      </w:r>
      <w:r w:rsidRPr="0013163D">
        <w:rPr>
          <w:rFonts w:cs="Times New Roman"/>
          <w:bCs/>
          <w:szCs w:val="24"/>
        </w:rPr>
        <w:t>art. 43a</w:t>
      </w:r>
      <w:r w:rsidR="003526EA">
        <w:rPr>
          <w:rFonts w:cs="Times New Roman"/>
          <w:bCs/>
          <w:szCs w:val="24"/>
        </w:rPr>
        <w:t xml:space="preserve"> u.o.p.z</w:t>
      </w:r>
      <w:r w:rsidRPr="0013163D">
        <w:rPr>
          <w:rFonts w:cs="Times New Roman"/>
          <w:bCs/>
          <w:szCs w:val="24"/>
        </w:rPr>
        <w:t>. Pierwszy</w:t>
      </w:r>
      <w:r w:rsidR="004E3461">
        <w:rPr>
          <w:rFonts w:cs="Times New Roman"/>
          <w:bCs/>
          <w:szCs w:val="24"/>
        </w:rPr>
        <w:t xml:space="preserve"> z </w:t>
      </w:r>
      <w:r w:rsidRPr="0013163D">
        <w:rPr>
          <w:rFonts w:cs="Times New Roman"/>
          <w:bCs/>
          <w:szCs w:val="24"/>
        </w:rPr>
        <w:t xml:space="preserve">nich wprowadza do ustawy możliwość orzekania wobec podmiotu zbiorowego środków kompensacyjnych. </w:t>
      </w:r>
      <w:r w:rsidR="00195598">
        <w:rPr>
          <w:rFonts w:cs="Times New Roman"/>
          <w:bCs/>
          <w:szCs w:val="24"/>
        </w:rPr>
        <w:t xml:space="preserve">Odpowiednie stosowanie art. 46 </w:t>
      </w:r>
      <w:r w:rsidR="00196C18">
        <w:rPr>
          <w:rFonts w:cs="Times New Roman"/>
          <w:bCs/>
          <w:szCs w:val="24"/>
        </w:rPr>
        <w:t>k.k.</w:t>
      </w:r>
      <w:r w:rsidR="00195598">
        <w:rPr>
          <w:rFonts w:cs="Times New Roman"/>
          <w:bCs/>
          <w:szCs w:val="24"/>
        </w:rPr>
        <w:t xml:space="preserve"> pozwoli zobowiązać </w:t>
      </w:r>
      <w:r w:rsidR="006D49E9">
        <w:rPr>
          <w:rFonts w:cs="Times New Roman"/>
          <w:bCs/>
          <w:szCs w:val="24"/>
        </w:rPr>
        <w:t>podmiot zbiorowy do naprawienia szkody na zasadach przepisów prawa cywilnego, a jeżeli będzie to utrudnione bądź niemożliwe, nałożyć nawiązkę do wysokości 200 000 zł.</w:t>
      </w:r>
      <w:r w:rsidR="004616FE">
        <w:rPr>
          <w:rFonts w:cs="Times New Roman"/>
          <w:bCs/>
          <w:szCs w:val="24"/>
        </w:rPr>
        <w:t xml:space="preserve"> Zmiana ta pozwoli na sprawniejsze kompensowanie szkód poniesionych przez ofiary</w:t>
      </w:r>
      <w:r w:rsidR="00661F58">
        <w:rPr>
          <w:rFonts w:cs="Times New Roman"/>
          <w:bCs/>
          <w:szCs w:val="24"/>
        </w:rPr>
        <w:t xml:space="preserve"> i w dużym stopniu zracjonalizuje funkcjonowanie nowelizowanej ustawy.</w:t>
      </w:r>
    </w:p>
    <w:p w14:paraId="7D3E384B" w14:textId="7F7EE876" w:rsidR="008E4B15" w:rsidRPr="0013163D" w:rsidRDefault="008E4B15" w:rsidP="004D2D15">
      <w:pPr>
        <w:ind w:firstLine="708"/>
        <w:jc w:val="both"/>
        <w:rPr>
          <w:rFonts w:cs="Times New Roman"/>
          <w:bCs/>
          <w:szCs w:val="24"/>
        </w:rPr>
      </w:pPr>
      <w:r w:rsidRPr="0013163D">
        <w:rPr>
          <w:rFonts w:cs="Times New Roman"/>
          <w:bCs/>
          <w:szCs w:val="24"/>
        </w:rPr>
        <w:t>Drugi przepis wprowadza wskazany powyżej zupełnie nowy, szczególny tryb postępowania, który opiera się na założeniach odmiennych od tych, na których opiera się tryb zwyczajny.</w:t>
      </w:r>
    </w:p>
    <w:p w14:paraId="5702A196" w14:textId="321C8798" w:rsidR="008E4B15" w:rsidRPr="0013163D" w:rsidRDefault="008E4B15" w:rsidP="004D2D15">
      <w:pPr>
        <w:ind w:firstLine="708"/>
        <w:jc w:val="both"/>
        <w:rPr>
          <w:rFonts w:cs="Times New Roman"/>
          <w:szCs w:val="24"/>
        </w:rPr>
      </w:pPr>
      <w:r w:rsidRPr="0013163D">
        <w:rPr>
          <w:rFonts w:cs="Times New Roman"/>
          <w:szCs w:val="24"/>
        </w:rPr>
        <w:t>Poszukując mechanizmu racjonalnej dystrybucji odpowiedzialności między osobę fizyczną</w:t>
      </w:r>
      <w:r w:rsidR="002B2905">
        <w:rPr>
          <w:rFonts w:cs="Times New Roman"/>
          <w:szCs w:val="24"/>
        </w:rPr>
        <w:t xml:space="preserve"> i </w:t>
      </w:r>
      <w:r w:rsidRPr="0013163D">
        <w:rPr>
          <w:rFonts w:cs="Times New Roman"/>
          <w:szCs w:val="24"/>
        </w:rPr>
        <w:t>podmiot zbiorowy</w:t>
      </w:r>
      <w:r w:rsidR="00683600">
        <w:rPr>
          <w:rFonts w:cs="Times New Roman"/>
          <w:szCs w:val="24"/>
        </w:rPr>
        <w:t>,</w:t>
      </w:r>
      <w:r w:rsidR="004E3461">
        <w:rPr>
          <w:rFonts w:cs="Times New Roman"/>
          <w:szCs w:val="24"/>
        </w:rPr>
        <w:t xml:space="preserve"> w </w:t>
      </w:r>
      <w:r w:rsidRPr="0013163D">
        <w:rPr>
          <w:rFonts w:cs="Times New Roman"/>
          <w:szCs w:val="24"/>
        </w:rPr>
        <w:t>projekcie zaproponowano rozwiązanie konsensualne, pozwalające uwzględnić</w:t>
      </w:r>
      <w:r w:rsidR="004E3461">
        <w:rPr>
          <w:rFonts w:cs="Times New Roman"/>
          <w:szCs w:val="24"/>
        </w:rPr>
        <w:t xml:space="preserve"> w </w:t>
      </w:r>
      <w:r w:rsidRPr="0013163D">
        <w:rPr>
          <w:rFonts w:cs="Times New Roman"/>
          <w:szCs w:val="24"/>
        </w:rPr>
        <w:t>obrazie rozkładu odpowiedzialności penalnej podmioty zbiorow</w:t>
      </w:r>
      <w:r w:rsidR="00AF0698">
        <w:rPr>
          <w:rFonts w:cs="Times New Roman"/>
          <w:szCs w:val="24"/>
        </w:rPr>
        <w:t>e</w:t>
      </w:r>
      <w:r w:rsidRPr="0013163D">
        <w:rPr>
          <w:rFonts w:cs="Times New Roman"/>
          <w:szCs w:val="24"/>
        </w:rPr>
        <w:t xml:space="preserve">. Przejęcie części konsekwencji doprowadzenia do uszczerbku na dobrach prawnych przez podmiot zbiorowy skutkowałoby możliwością złagodzenia odpowiedzialności karnej </w:t>
      </w:r>
      <w:r w:rsidRPr="0013163D">
        <w:rPr>
          <w:rFonts w:cs="Times New Roman"/>
          <w:szCs w:val="24"/>
        </w:rPr>
        <w:lastRenderedPageBreak/>
        <w:t xml:space="preserve">menedżera przez nadzwyczajne złagodzenie kary. </w:t>
      </w:r>
    </w:p>
    <w:p w14:paraId="1AFDD993" w14:textId="6BEBBFB5" w:rsidR="008E4B15" w:rsidRPr="0013163D" w:rsidRDefault="008E4B15" w:rsidP="004D2D15">
      <w:pPr>
        <w:ind w:firstLine="708"/>
        <w:jc w:val="both"/>
        <w:rPr>
          <w:rFonts w:cs="Times New Roman"/>
          <w:szCs w:val="24"/>
        </w:rPr>
      </w:pPr>
      <w:r w:rsidRPr="0013163D">
        <w:rPr>
          <w:rFonts w:cs="Times New Roman"/>
          <w:szCs w:val="24"/>
        </w:rPr>
        <w:t>Proponowane rozwiązania są spójne</w:t>
      </w:r>
      <w:r w:rsidR="004E3461">
        <w:rPr>
          <w:rFonts w:cs="Times New Roman"/>
          <w:szCs w:val="24"/>
        </w:rPr>
        <w:t xml:space="preserve"> z </w:t>
      </w:r>
      <w:r w:rsidRPr="0013163D">
        <w:rPr>
          <w:rFonts w:cs="Times New Roman"/>
          <w:szCs w:val="24"/>
        </w:rPr>
        <w:t>zasadami odpowiedzialności unormowanej</w:t>
      </w:r>
      <w:r w:rsidR="004E3461">
        <w:rPr>
          <w:rFonts w:cs="Times New Roman"/>
          <w:szCs w:val="24"/>
        </w:rPr>
        <w:t xml:space="preserve"> w </w:t>
      </w:r>
      <w:r w:rsidRPr="0013163D">
        <w:rPr>
          <w:rFonts w:cs="Times New Roman"/>
          <w:szCs w:val="24"/>
        </w:rPr>
        <w:t xml:space="preserve">obowiązującej </w:t>
      </w:r>
      <w:r w:rsidR="00AF0698">
        <w:rPr>
          <w:rFonts w:cs="Times New Roman"/>
          <w:szCs w:val="24"/>
        </w:rPr>
        <w:t>u.o.p.z</w:t>
      </w:r>
      <w:r w:rsidRPr="0013163D">
        <w:rPr>
          <w:rFonts w:cs="Times New Roman"/>
          <w:szCs w:val="24"/>
        </w:rPr>
        <w:t>. W obowiązującym stanie prawnym podmiot zbiorowy nie ponosi bowiem odpowiedzialności za „własny” czyn zabroniony. Nie ponosi również odpowiedzialności zastępczej za cudzy czyn. Odpowiada natomiast za określone</w:t>
      </w:r>
      <w:r w:rsidR="004E3461">
        <w:rPr>
          <w:rFonts w:cs="Times New Roman"/>
          <w:szCs w:val="24"/>
        </w:rPr>
        <w:t xml:space="preserve"> w </w:t>
      </w:r>
      <w:r w:rsidRPr="0013163D">
        <w:rPr>
          <w:rFonts w:cs="Times New Roman"/>
          <w:szCs w:val="24"/>
        </w:rPr>
        <w:t xml:space="preserve">art. 5 </w:t>
      </w:r>
      <w:r w:rsidR="003526EA">
        <w:rPr>
          <w:rFonts w:cs="Times New Roman"/>
          <w:szCs w:val="24"/>
        </w:rPr>
        <w:t xml:space="preserve">u.o.p.z. </w:t>
      </w:r>
      <w:r w:rsidRPr="0013163D">
        <w:rPr>
          <w:rFonts w:cs="Times New Roman"/>
          <w:szCs w:val="24"/>
        </w:rPr>
        <w:t>formy nieprawidłowości działania skutkujące popełnieniem czynu zabronionego przez osobę fizyczną. W strukturze odpowiedzialności podmiotu zbiorowego czyn zabroniony osoby fizycznej posiada status skutku nieprawidłowości określonej</w:t>
      </w:r>
      <w:r w:rsidR="004E3461">
        <w:rPr>
          <w:rFonts w:cs="Times New Roman"/>
          <w:szCs w:val="24"/>
        </w:rPr>
        <w:t xml:space="preserve"> w </w:t>
      </w:r>
      <w:r w:rsidRPr="0013163D">
        <w:rPr>
          <w:rFonts w:cs="Times New Roman"/>
          <w:szCs w:val="24"/>
        </w:rPr>
        <w:t xml:space="preserve">art. 5 </w:t>
      </w:r>
      <w:r w:rsidR="003526EA">
        <w:rPr>
          <w:rFonts w:cs="Times New Roman"/>
          <w:szCs w:val="24"/>
        </w:rPr>
        <w:t>u.o.p.z</w:t>
      </w:r>
      <w:r w:rsidRPr="0013163D">
        <w:rPr>
          <w:rFonts w:cs="Times New Roman"/>
          <w:szCs w:val="24"/>
        </w:rPr>
        <w:t>. Przesłanki odpowiedzialności określone</w:t>
      </w:r>
      <w:r w:rsidR="004E3461">
        <w:rPr>
          <w:rFonts w:cs="Times New Roman"/>
          <w:szCs w:val="24"/>
        </w:rPr>
        <w:t xml:space="preserve"> w </w:t>
      </w:r>
      <w:r w:rsidRPr="0013163D">
        <w:rPr>
          <w:rFonts w:cs="Times New Roman"/>
          <w:szCs w:val="24"/>
        </w:rPr>
        <w:t xml:space="preserve">art. 5 </w:t>
      </w:r>
      <w:r w:rsidR="003526EA">
        <w:rPr>
          <w:rFonts w:cs="Times New Roman"/>
          <w:szCs w:val="24"/>
        </w:rPr>
        <w:t xml:space="preserve">u.o.p.z. </w:t>
      </w:r>
      <w:r w:rsidRPr="0013163D">
        <w:rPr>
          <w:rFonts w:cs="Times New Roman"/>
          <w:szCs w:val="24"/>
        </w:rPr>
        <w:t xml:space="preserve">są szczególnymi okolicznościami czynu zabronionego popełnionego przez osobę fizyczną. </w:t>
      </w:r>
    </w:p>
    <w:p w14:paraId="1790AD54" w14:textId="3372A5AB" w:rsidR="008E4B15" w:rsidRPr="0013163D" w:rsidRDefault="008E4B15" w:rsidP="004D2D15">
      <w:pPr>
        <w:ind w:firstLine="708"/>
        <w:jc w:val="both"/>
        <w:rPr>
          <w:rFonts w:cs="Times New Roman"/>
          <w:szCs w:val="24"/>
        </w:rPr>
      </w:pPr>
      <w:r w:rsidRPr="0013163D">
        <w:rPr>
          <w:rFonts w:cs="Times New Roman"/>
          <w:szCs w:val="24"/>
        </w:rPr>
        <w:t>Co oczywiste, przesłanki te nie są spełnione</w:t>
      </w:r>
      <w:r w:rsidR="004E3461">
        <w:rPr>
          <w:rFonts w:cs="Times New Roman"/>
          <w:szCs w:val="24"/>
        </w:rPr>
        <w:t xml:space="preserve"> w </w:t>
      </w:r>
      <w:r w:rsidRPr="0013163D">
        <w:rPr>
          <w:rFonts w:cs="Times New Roman"/>
          <w:szCs w:val="24"/>
        </w:rPr>
        <w:t>przypadkach posłużenia się podmiotem zbiorowym dla realizacji przestępnego zamiaru osoby fizycznej. W takim przypadku nie zachodzi wskazana</w:t>
      </w:r>
      <w:r w:rsidR="004E3461">
        <w:rPr>
          <w:rFonts w:cs="Times New Roman"/>
          <w:szCs w:val="24"/>
        </w:rPr>
        <w:t xml:space="preserve"> w </w:t>
      </w:r>
      <w:r w:rsidRPr="0013163D">
        <w:rPr>
          <w:rFonts w:cs="Times New Roman"/>
          <w:szCs w:val="24"/>
        </w:rPr>
        <w:t xml:space="preserve">art. 5 </w:t>
      </w:r>
      <w:r w:rsidR="003526EA">
        <w:rPr>
          <w:rFonts w:cs="Times New Roman"/>
          <w:szCs w:val="24"/>
        </w:rPr>
        <w:t xml:space="preserve">u.o.p.z. </w:t>
      </w:r>
      <w:r w:rsidRPr="0013163D">
        <w:rPr>
          <w:rFonts w:cs="Times New Roman"/>
          <w:szCs w:val="24"/>
        </w:rPr>
        <w:t>relacja przyczynowa. Jest to szczególnie istotne</w:t>
      </w:r>
      <w:r w:rsidR="004E3461">
        <w:rPr>
          <w:rFonts w:cs="Times New Roman"/>
          <w:szCs w:val="24"/>
        </w:rPr>
        <w:t xml:space="preserve"> w </w:t>
      </w:r>
      <w:r w:rsidRPr="0013163D">
        <w:rPr>
          <w:rFonts w:cs="Times New Roman"/>
          <w:szCs w:val="24"/>
        </w:rPr>
        <w:t>kontekście proponowanego konsensualnego trybu poddania się odpowiedzialności przez podmiot zbiorowy oraz związanych</w:t>
      </w:r>
      <w:r w:rsidR="004E3461">
        <w:rPr>
          <w:rFonts w:cs="Times New Roman"/>
          <w:szCs w:val="24"/>
        </w:rPr>
        <w:t xml:space="preserve"> z </w:t>
      </w:r>
      <w:r w:rsidRPr="0013163D">
        <w:rPr>
          <w:rFonts w:cs="Times New Roman"/>
          <w:szCs w:val="24"/>
        </w:rPr>
        <w:t>nim konsekwencji</w:t>
      </w:r>
      <w:r w:rsidR="004E3461">
        <w:rPr>
          <w:rFonts w:cs="Times New Roman"/>
          <w:szCs w:val="24"/>
        </w:rPr>
        <w:t xml:space="preserve"> w </w:t>
      </w:r>
      <w:r w:rsidRPr="0013163D">
        <w:rPr>
          <w:rFonts w:cs="Times New Roman"/>
          <w:szCs w:val="24"/>
        </w:rPr>
        <w:t>sferze odpowiedzialności osoby fizycznej. Sprawca wykorzystujący podmiot zbiorowy do działalności przestępczej nie będzie mógł liczyć na dobrodziejstwo nadzwyczajnego złagodzenia kary przez tryb unormowany</w:t>
      </w:r>
      <w:r w:rsidR="004E3461">
        <w:rPr>
          <w:rFonts w:cs="Times New Roman"/>
          <w:szCs w:val="24"/>
        </w:rPr>
        <w:t xml:space="preserve"> w </w:t>
      </w:r>
      <w:r w:rsidRPr="0013163D">
        <w:rPr>
          <w:rFonts w:cs="Times New Roman"/>
          <w:szCs w:val="24"/>
        </w:rPr>
        <w:t>proponowanym art. 43a</w:t>
      </w:r>
      <w:r w:rsidR="003526EA">
        <w:rPr>
          <w:rFonts w:cs="Times New Roman"/>
          <w:szCs w:val="24"/>
        </w:rPr>
        <w:t xml:space="preserve"> u.o.p.z</w:t>
      </w:r>
      <w:r w:rsidRPr="0013163D">
        <w:rPr>
          <w:rFonts w:cs="Times New Roman"/>
          <w:szCs w:val="24"/>
        </w:rPr>
        <w:t>. W takim przypadku, wobec niespełnienia przesłanek</w:t>
      </w:r>
      <w:r w:rsidR="004E3461">
        <w:rPr>
          <w:rFonts w:cs="Times New Roman"/>
          <w:szCs w:val="24"/>
        </w:rPr>
        <w:t xml:space="preserve"> z</w:t>
      </w:r>
      <w:r w:rsidR="00683600">
        <w:rPr>
          <w:rFonts w:cs="Times New Roman"/>
          <w:szCs w:val="24"/>
        </w:rPr>
        <w:t xml:space="preserve"> </w:t>
      </w:r>
      <w:r w:rsidRPr="0013163D">
        <w:rPr>
          <w:rFonts w:cs="Times New Roman"/>
          <w:szCs w:val="24"/>
        </w:rPr>
        <w:t>art.</w:t>
      </w:r>
      <w:r w:rsidR="00683600">
        <w:rPr>
          <w:rFonts w:cs="Times New Roman"/>
          <w:szCs w:val="24"/>
        </w:rPr>
        <w:t> </w:t>
      </w:r>
      <w:r w:rsidRPr="0013163D">
        <w:rPr>
          <w:rFonts w:cs="Times New Roman"/>
          <w:szCs w:val="24"/>
        </w:rPr>
        <w:t xml:space="preserve">5 </w:t>
      </w:r>
      <w:r w:rsidR="003526EA">
        <w:rPr>
          <w:rFonts w:cs="Times New Roman"/>
          <w:szCs w:val="24"/>
        </w:rPr>
        <w:t>u.o.p.z.</w:t>
      </w:r>
      <w:r w:rsidRPr="0013163D">
        <w:rPr>
          <w:rFonts w:cs="Times New Roman"/>
          <w:szCs w:val="24"/>
        </w:rPr>
        <w:t>, skierowanie wniosku</w:t>
      </w:r>
      <w:r w:rsidR="004E3461">
        <w:rPr>
          <w:rFonts w:cs="Times New Roman"/>
          <w:szCs w:val="24"/>
        </w:rPr>
        <w:t xml:space="preserve"> w </w:t>
      </w:r>
      <w:r w:rsidRPr="0013163D">
        <w:rPr>
          <w:rFonts w:cs="Times New Roman"/>
          <w:szCs w:val="24"/>
        </w:rPr>
        <w:t>trybie art. 4</w:t>
      </w:r>
      <w:r w:rsidR="00F42DBA">
        <w:rPr>
          <w:rFonts w:cs="Times New Roman"/>
          <w:szCs w:val="24"/>
        </w:rPr>
        <w:t>3</w:t>
      </w:r>
      <w:r w:rsidRPr="0013163D">
        <w:rPr>
          <w:rFonts w:cs="Times New Roman"/>
          <w:szCs w:val="24"/>
        </w:rPr>
        <w:t xml:space="preserve">a ust. 1 </w:t>
      </w:r>
      <w:r w:rsidR="003526EA">
        <w:rPr>
          <w:rFonts w:cs="Times New Roman"/>
          <w:szCs w:val="24"/>
        </w:rPr>
        <w:t xml:space="preserve">u.o.p.z. </w:t>
      </w:r>
      <w:r w:rsidRPr="0013163D">
        <w:rPr>
          <w:rFonts w:cs="Times New Roman"/>
          <w:szCs w:val="24"/>
        </w:rPr>
        <w:t xml:space="preserve">będzie niedopuszczalne. </w:t>
      </w:r>
    </w:p>
    <w:p w14:paraId="24562996" w14:textId="55C97B60" w:rsidR="008E4B15" w:rsidRPr="0013163D" w:rsidRDefault="008E4B15" w:rsidP="004D2D15">
      <w:pPr>
        <w:ind w:firstLine="708"/>
        <w:jc w:val="both"/>
        <w:rPr>
          <w:rFonts w:cs="Times New Roman"/>
          <w:szCs w:val="24"/>
        </w:rPr>
      </w:pPr>
      <w:r w:rsidRPr="0013163D">
        <w:rPr>
          <w:rFonts w:cs="Times New Roman"/>
          <w:szCs w:val="24"/>
        </w:rPr>
        <w:t>Elementem definiującym</w:t>
      </w:r>
      <w:r w:rsidR="004E3461">
        <w:rPr>
          <w:rFonts w:cs="Times New Roman"/>
          <w:szCs w:val="24"/>
        </w:rPr>
        <w:t xml:space="preserve"> w </w:t>
      </w:r>
      <w:r w:rsidRPr="0013163D">
        <w:rPr>
          <w:rFonts w:cs="Times New Roman"/>
          <w:szCs w:val="24"/>
        </w:rPr>
        <w:t xml:space="preserve">praktyce </w:t>
      </w:r>
      <w:r w:rsidR="000E5B23">
        <w:rPr>
          <w:rFonts w:cs="Times New Roman"/>
          <w:szCs w:val="24"/>
        </w:rPr>
        <w:t>u.o.p.z.</w:t>
      </w:r>
      <w:r w:rsidR="002B2905">
        <w:rPr>
          <w:rFonts w:cs="Times New Roman"/>
          <w:szCs w:val="24"/>
        </w:rPr>
        <w:t xml:space="preserve"> i </w:t>
      </w:r>
      <w:r w:rsidRPr="0013163D">
        <w:rPr>
          <w:rFonts w:cs="Times New Roman"/>
          <w:szCs w:val="24"/>
        </w:rPr>
        <w:t>określanym zgodnie jako przyczyna jej dysfunkcjonalności jest określony</w:t>
      </w:r>
      <w:r w:rsidR="004E3461">
        <w:rPr>
          <w:rFonts w:cs="Times New Roman"/>
          <w:szCs w:val="24"/>
        </w:rPr>
        <w:t xml:space="preserve"> w </w:t>
      </w:r>
      <w:r w:rsidRPr="0013163D">
        <w:rPr>
          <w:rFonts w:cs="Times New Roman"/>
          <w:szCs w:val="24"/>
        </w:rPr>
        <w:t>jej art. 4 wymóg tzw. prejudykatu. W obecnym stanie prawnym wskazany wymóg formalny jest konstrukcyjną koniecznością,</w:t>
      </w:r>
      <w:r w:rsidR="004E3461">
        <w:rPr>
          <w:rFonts w:cs="Times New Roman"/>
          <w:szCs w:val="24"/>
        </w:rPr>
        <w:t xml:space="preserve"> w </w:t>
      </w:r>
      <w:r w:rsidRPr="0013163D">
        <w:rPr>
          <w:rFonts w:cs="Times New Roman"/>
          <w:szCs w:val="24"/>
        </w:rPr>
        <w:t>świetle przyjętego</w:t>
      </w:r>
      <w:r w:rsidR="004E3461">
        <w:rPr>
          <w:rFonts w:cs="Times New Roman"/>
          <w:szCs w:val="24"/>
        </w:rPr>
        <w:t xml:space="preserve"> w </w:t>
      </w:r>
      <w:r w:rsidRPr="0013163D">
        <w:rPr>
          <w:rFonts w:cs="Times New Roman"/>
          <w:szCs w:val="24"/>
        </w:rPr>
        <w:t>ustawie modelu odpowiedzialności podmiotu zbiorowego. Jedyny wyłom od tej zasady stanowi art. 4a</w:t>
      </w:r>
      <w:r w:rsidR="00282E78">
        <w:rPr>
          <w:rFonts w:cs="Times New Roman"/>
          <w:szCs w:val="24"/>
        </w:rPr>
        <w:t xml:space="preserve"> u.o.p.z</w:t>
      </w:r>
      <w:r w:rsidRPr="0013163D">
        <w:rPr>
          <w:rFonts w:cs="Times New Roman"/>
          <w:szCs w:val="24"/>
        </w:rPr>
        <w:t xml:space="preserve">. Zgodnie </w:t>
      </w:r>
      <w:r w:rsidR="000E5B23">
        <w:rPr>
          <w:rFonts w:cs="Times New Roman"/>
          <w:szCs w:val="24"/>
        </w:rPr>
        <w:t xml:space="preserve">z </w:t>
      </w:r>
      <w:r w:rsidRPr="0013163D">
        <w:rPr>
          <w:rFonts w:cs="Times New Roman"/>
          <w:szCs w:val="24"/>
        </w:rPr>
        <w:t>tym przepisem</w:t>
      </w:r>
      <w:r w:rsidR="004E3461">
        <w:rPr>
          <w:rFonts w:cs="Times New Roman"/>
          <w:szCs w:val="24"/>
        </w:rPr>
        <w:t xml:space="preserve"> w </w:t>
      </w:r>
      <w:r w:rsidRPr="0013163D">
        <w:rPr>
          <w:rFonts w:eastAsia="Helvetica" w:cs="Times New Roman"/>
          <w:szCs w:val="24"/>
        </w:rPr>
        <w:t>przypadku popełnienia czynu zabronionego, wymienionego</w:t>
      </w:r>
      <w:r w:rsidR="004E3461">
        <w:rPr>
          <w:rFonts w:eastAsia="Helvetica" w:cs="Times New Roman"/>
          <w:szCs w:val="24"/>
        </w:rPr>
        <w:t xml:space="preserve"> w </w:t>
      </w:r>
      <w:r w:rsidRPr="0013163D">
        <w:rPr>
          <w:rFonts w:eastAsia="Helvetica" w:cs="Times New Roman"/>
          <w:szCs w:val="24"/>
        </w:rPr>
        <w:t>art. 16 ust. 1 pkt 8, przez osobę,</w:t>
      </w:r>
      <w:r w:rsidR="002B2905">
        <w:rPr>
          <w:rFonts w:eastAsia="Helvetica" w:cs="Times New Roman"/>
          <w:szCs w:val="24"/>
        </w:rPr>
        <w:t xml:space="preserve"> o </w:t>
      </w:r>
      <w:r w:rsidRPr="0013163D">
        <w:rPr>
          <w:rFonts w:eastAsia="Helvetica" w:cs="Times New Roman"/>
          <w:szCs w:val="24"/>
        </w:rPr>
        <w:t>której mowa</w:t>
      </w:r>
      <w:r w:rsidR="004E3461">
        <w:rPr>
          <w:rFonts w:eastAsia="Helvetica" w:cs="Times New Roman"/>
          <w:szCs w:val="24"/>
        </w:rPr>
        <w:t xml:space="preserve"> w </w:t>
      </w:r>
      <w:r w:rsidRPr="0013163D">
        <w:rPr>
          <w:rFonts w:eastAsia="Helvetica" w:cs="Times New Roman"/>
          <w:szCs w:val="24"/>
        </w:rPr>
        <w:t>art. 3, podmiot zbiorowy podlega odpowiedzialności niezależnie od wydania wyroku albo orzeczenia,</w:t>
      </w:r>
      <w:r w:rsidR="002B2905">
        <w:rPr>
          <w:rFonts w:eastAsia="Helvetica" w:cs="Times New Roman"/>
          <w:szCs w:val="24"/>
        </w:rPr>
        <w:t xml:space="preserve"> o </w:t>
      </w:r>
      <w:r w:rsidRPr="0013163D">
        <w:rPr>
          <w:rFonts w:eastAsia="Helvetica" w:cs="Times New Roman"/>
          <w:szCs w:val="24"/>
        </w:rPr>
        <w:t>których mowa</w:t>
      </w:r>
      <w:r w:rsidR="004E3461">
        <w:rPr>
          <w:rFonts w:eastAsia="Helvetica" w:cs="Times New Roman"/>
          <w:szCs w:val="24"/>
        </w:rPr>
        <w:t xml:space="preserve"> w </w:t>
      </w:r>
      <w:r w:rsidRPr="0013163D">
        <w:rPr>
          <w:rFonts w:eastAsia="Helvetica" w:cs="Times New Roman"/>
          <w:szCs w:val="24"/>
        </w:rPr>
        <w:t xml:space="preserve">art. 4. Innymi słowy art. 4a </w:t>
      </w:r>
      <w:r w:rsidR="003205D9">
        <w:rPr>
          <w:rFonts w:eastAsia="Helvetica" w:cs="Times New Roman"/>
          <w:szCs w:val="24"/>
        </w:rPr>
        <w:t xml:space="preserve">u.o.p.z. </w:t>
      </w:r>
      <w:r w:rsidRPr="0013163D">
        <w:rPr>
          <w:rFonts w:eastAsia="Helvetica" w:cs="Times New Roman"/>
          <w:szCs w:val="24"/>
        </w:rPr>
        <w:t>eliminuje wymóg prejudykatu</w:t>
      </w:r>
      <w:r w:rsidR="004E3461">
        <w:rPr>
          <w:rFonts w:eastAsia="Helvetica" w:cs="Times New Roman"/>
          <w:szCs w:val="24"/>
        </w:rPr>
        <w:t xml:space="preserve"> w </w:t>
      </w:r>
      <w:r w:rsidRPr="0013163D">
        <w:rPr>
          <w:rFonts w:eastAsia="Helvetica" w:cs="Times New Roman"/>
          <w:szCs w:val="24"/>
        </w:rPr>
        <w:t>odniesieniu do określonej grupy typów czynów zabronionych. W zakresie określonym</w:t>
      </w:r>
      <w:r w:rsidR="004E3461">
        <w:rPr>
          <w:rFonts w:eastAsia="Helvetica" w:cs="Times New Roman"/>
          <w:szCs w:val="24"/>
        </w:rPr>
        <w:t xml:space="preserve"> w </w:t>
      </w:r>
      <w:r w:rsidRPr="0013163D">
        <w:rPr>
          <w:rFonts w:eastAsia="Helvetica" w:cs="Times New Roman"/>
          <w:szCs w:val="24"/>
        </w:rPr>
        <w:t xml:space="preserve">art. 4a </w:t>
      </w:r>
      <w:r w:rsidR="003205D9">
        <w:rPr>
          <w:rFonts w:eastAsia="Helvetica" w:cs="Times New Roman"/>
          <w:szCs w:val="24"/>
        </w:rPr>
        <w:t xml:space="preserve">u.o.p.z. </w:t>
      </w:r>
      <w:r w:rsidRPr="0013163D">
        <w:rPr>
          <w:rFonts w:eastAsia="Helvetica" w:cs="Times New Roman"/>
          <w:szCs w:val="24"/>
        </w:rPr>
        <w:t>sąd orzekający</w:t>
      </w:r>
      <w:r w:rsidR="004E3461">
        <w:rPr>
          <w:rFonts w:eastAsia="Helvetica" w:cs="Times New Roman"/>
          <w:szCs w:val="24"/>
        </w:rPr>
        <w:t xml:space="preserve"> w </w:t>
      </w:r>
      <w:r w:rsidRPr="0013163D">
        <w:rPr>
          <w:rFonts w:eastAsia="Helvetica" w:cs="Times New Roman"/>
          <w:szCs w:val="24"/>
        </w:rPr>
        <w:t>przedmiocie odpowiedzialności podmiotu zbiorowego samodzielnie ustala popełnienie czynu zabronionego jako okoliczność faktyczną, będącą jedną</w:t>
      </w:r>
      <w:r w:rsidR="004E3461">
        <w:rPr>
          <w:rFonts w:eastAsia="Helvetica" w:cs="Times New Roman"/>
          <w:szCs w:val="24"/>
        </w:rPr>
        <w:t xml:space="preserve"> z </w:t>
      </w:r>
      <w:r w:rsidRPr="0013163D">
        <w:rPr>
          <w:rFonts w:eastAsia="Helvetica" w:cs="Times New Roman"/>
          <w:szCs w:val="24"/>
        </w:rPr>
        <w:t>przesłanek wskazanej odpowiedzialności. Przytoczonemu unormowaniu nie towarzyszy inne, odmienne od wynikającego</w:t>
      </w:r>
      <w:r w:rsidR="004E3461">
        <w:rPr>
          <w:rFonts w:eastAsia="Helvetica" w:cs="Times New Roman"/>
          <w:szCs w:val="24"/>
        </w:rPr>
        <w:t xml:space="preserve"> z </w:t>
      </w:r>
      <w:r w:rsidRPr="0013163D">
        <w:rPr>
          <w:rFonts w:eastAsia="Helvetica" w:cs="Times New Roman"/>
          <w:szCs w:val="24"/>
        </w:rPr>
        <w:t>art. 115 § 1 k.k., definiowanie pojęcia czynu zabronionego. Czyn zabroniony oznacza zatem zachowanie osoby fizycznej, które</w:t>
      </w:r>
      <w:r w:rsidR="004E3461">
        <w:rPr>
          <w:rFonts w:eastAsia="Helvetica" w:cs="Times New Roman"/>
          <w:szCs w:val="24"/>
        </w:rPr>
        <w:t xml:space="preserve"> w </w:t>
      </w:r>
      <w:r w:rsidRPr="0013163D">
        <w:rPr>
          <w:rFonts w:eastAsia="Helvetica" w:cs="Times New Roman"/>
          <w:szCs w:val="24"/>
        </w:rPr>
        <w:t xml:space="preserve">strukturze odpowiedzialności </w:t>
      </w:r>
      <w:r w:rsidRPr="0013163D">
        <w:rPr>
          <w:rFonts w:eastAsia="Helvetica" w:cs="Times New Roman"/>
          <w:szCs w:val="24"/>
        </w:rPr>
        <w:lastRenderedPageBreak/>
        <w:t>podmiotu zbiorowego stanowi skutek jednej</w:t>
      </w:r>
      <w:r w:rsidR="004E3461">
        <w:rPr>
          <w:rFonts w:eastAsia="Helvetica" w:cs="Times New Roman"/>
          <w:szCs w:val="24"/>
        </w:rPr>
        <w:t xml:space="preserve"> z </w:t>
      </w:r>
      <w:r w:rsidRPr="0013163D">
        <w:rPr>
          <w:rFonts w:eastAsia="Helvetica" w:cs="Times New Roman"/>
          <w:szCs w:val="24"/>
        </w:rPr>
        <w:t>określonych</w:t>
      </w:r>
      <w:r w:rsidR="004E3461">
        <w:rPr>
          <w:rFonts w:eastAsia="Helvetica" w:cs="Times New Roman"/>
          <w:szCs w:val="24"/>
        </w:rPr>
        <w:t xml:space="preserve"> w </w:t>
      </w:r>
      <w:r w:rsidRPr="0013163D">
        <w:rPr>
          <w:rFonts w:eastAsia="Helvetica" w:cs="Times New Roman"/>
          <w:szCs w:val="24"/>
        </w:rPr>
        <w:t xml:space="preserve">art. 5 </w:t>
      </w:r>
      <w:r w:rsidR="003205D9">
        <w:rPr>
          <w:rFonts w:eastAsia="Helvetica" w:cs="Times New Roman"/>
          <w:szCs w:val="24"/>
        </w:rPr>
        <w:t xml:space="preserve">u.o.p.z. </w:t>
      </w:r>
      <w:r w:rsidRPr="0013163D">
        <w:rPr>
          <w:rFonts w:eastAsia="Helvetica" w:cs="Times New Roman"/>
          <w:szCs w:val="24"/>
        </w:rPr>
        <w:t>nieprawidłowości</w:t>
      </w:r>
      <w:r w:rsidR="004E3461">
        <w:rPr>
          <w:rFonts w:eastAsia="Helvetica" w:cs="Times New Roman"/>
          <w:szCs w:val="24"/>
        </w:rPr>
        <w:t xml:space="preserve"> w </w:t>
      </w:r>
      <w:r w:rsidRPr="0013163D">
        <w:rPr>
          <w:rFonts w:eastAsia="Helvetica" w:cs="Times New Roman"/>
          <w:szCs w:val="24"/>
        </w:rPr>
        <w:t>funkcjonowaniu podmiotu zbiorowego. Proponowane rozwiązanie</w:t>
      </w:r>
      <w:r w:rsidR="004E3461">
        <w:rPr>
          <w:rFonts w:eastAsia="Helvetica" w:cs="Times New Roman"/>
          <w:szCs w:val="24"/>
        </w:rPr>
        <w:t xml:space="preserve"> w </w:t>
      </w:r>
      <w:r w:rsidRPr="0013163D">
        <w:rPr>
          <w:rFonts w:eastAsia="Helvetica" w:cs="Times New Roman"/>
          <w:szCs w:val="24"/>
        </w:rPr>
        <w:t xml:space="preserve">rozważanym aspekcie nie </w:t>
      </w:r>
      <w:r w:rsidR="00A32A57">
        <w:rPr>
          <w:rFonts w:eastAsia="Helvetica" w:cs="Times New Roman"/>
          <w:szCs w:val="24"/>
        </w:rPr>
        <w:t>w</w:t>
      </w:r>
      <w:r w:rsidRPr="0013163D">
        <w:rPr>
          <w:rFonts w:eastAsia="Helvetica" w:cs="Times New Roman"/>
          <w:szCs w:val="24"/>
        </w:rPr>
        <w:t>prowadzi zatem wyłomu</w:t>
      </w:r>
      <w:r w:rsidR="004E3461">
        <w:rPr>
          <w:rFonts w:eastAsia="Helvetica" w:cs="Times New Roman"/>
          <w:szCs w:val="24"/>
        </w:rPr>
        <w:t xml:space="preserve"> w </w:t>
      </w:r>
      <w:r w:rsidRPr="0013163D">
        <w:rPr>
          <w:rFonts w:eastAsia="Helvetica" w:cs="Times New Roman"/>
          <w:szCs w:val="24"/>
        </w:rPr>
        <w:t>modelu odpowiedzialności podmiotu zbiorowego. W zakresie rezygnacji</w:t>
      </w:r>
      <w:r w:rsidR="004E3461">
        <w:rPr>
          <w:rFonts w:eastAsia="Helvetica" w:cs="Times New Roman"/>
          <w:szCs w:val="24"/>
        </w:rPr>
        <w:t xml:space="preserve"> z </w:t>
      </w:r>
      <w:r w:rsidRPr="0013163D">
        <w:rPr>
          <w:rFonts w:eastAsia="Helvetica" w:cs="Times New Roman"/>
          <w:szCs w:val="24"/>
        </w:rPr>
        <w:t xml:space="preserve">wymogu prejudykatu nie jest też rozwiązaniem obcym </w:t>
      </w:r>
      <w:r w:rsidR="0013452F">
        <w:rPr>
          <w:rFonts w:eastAsia="Helvetica" w:cs="Times New Roman"/>
          <w:szCs w:val="24"/>
        </w:rPr>
        <w:t xml:space="preserve">w </w:t>
      </w:r>
      <w:r w:rsidRPr="0013163D">
        <w:rPr>
          <w:rFonts w:eastAsia="Helvetica" w:cs="Times New Roman"/>
          <w:szCs w:val="24"/>
        </w:rPr>
        <w:t xml:space="preserve">obowiązującej ustawie. </w:t>
      </w:r>
    </w:p>
    <w:p w14:paraId="18863091" w14:textId="2072B51B" w:rsidR="008E4B15" w:rsidRPr="0013163D" w:rsidRDefault="008E4B15" w:rsidP="004D2D15">
      <w:pPr>
        <w:ind w:firstLine="708"/>
        <w:jc w:val="both"/>
        <w:rPr>
          <w:rFonts w:cs="Times New Roman"/>
          <w:color w:val="333333"/>
          <w:szCs w:val="24"/>
          <w:shd w:val="clear" w:color="auto" w:fill="FFFFFF"/>
        </w:rPr>
      </w:pPr>
      <w:r w:rsidRPr="0013163D">
        <w:rPr>
          <w:rFonts w:cs="Times New Roman"/>
          <w:szCs w:val="24"/>
        </w:rPr>
        <w:t>Proponowana regulacja stanowi odpowiedź na postulaty doktryny prawa karnego</w:t>
      </w:r>
      <w:r w:rsidR="004E3461">
        <w:rPr>
          <w:rFonts w:cs="Times New Roman"/>
          <w:szCs w:val="24"/>
        </w:rPr>
        <w:t xml:space="preserve"> w </w:t>
      </w:r>
      <w:r w:rsidRPr="0013163D">
        <w:rPr>
          <w:rFonts w:cs="Times New Roman"/>
          <w:szCs w:val="24"/>
        </w:rPr>
        <w:t>zakresie wprowadzenia możliwości konsensualnego rozwiązywania sporów, także</w:t>
      </w:r>
      <w:r w:rsidR="004E3461">
        <w:rPr>
          <w:rFonts w:cs="Times New Roman"/>
          <w:szCs w:val="24"/>
        </w:rPr>
        <w:t xml:space="preserve"> w </w:t>
      </w:r>
      <w:r w:rsidRPr="0013163D">
        <w:rPr>
          <w:rFonts w:cs="Times New Roman"/>
          <w:szCs w:val="24"/>
        </w:rPr>
        <w:t>kontekście odpowiedzialności podmiotów zbiorowych. Mimo że jest to nowe rozwiązanie, to jednak bazuje na dotychczasowych możliwościach procesowych, przewidzianych</w:t>
      </w:r>
      <w:r w:rsidR="004E3461">
        <w:rPr>
          <w:rFonts w:cs="Times New Roman"/>
          <w:szCs w:val="24"/>
        </w:rPr>
        <w:t xml:space="preserve"> w</w:t>
      </w:r>
      <w:r w:rsidR="007718D6">
        <w:rPr>
          <w:rFonts w:cs="Times New Roman"/>
          <w:szCs w:val="24"/>
        </w:rPr>
        <w:t xml:space="preserve"> u.o.p.z</w:t>
      </w:r>
      <w:r w:rsidRPr="0013163D">
        <w:rPr>
          <w:rFonts w:cs="Times New Roman"/>
          <w:szCs w:val="24"/>
        </w:rPr>
        <w:t>. Chodzi tutaj generalnie</w:t>
      </w:r>
      <w:r w:rsidR="002B2905">
        <w:rPr>
          <w:rFonts w:cs="Times New Roman"/>
          <w:szCs w:val="24"/>
        </w:rPr>
        <w:t xml:space="preserve"> o </w:t>
      </w:r>
      <w:r w:rsidRPr="0013163D">
        <w:rPr>
          <w:rFonts w:cs="Times New Roman"/>
          <w:szCs w:val="24"/>
        </w:rPr>
        <w:t>stosowanie do tej nowej procedury obecnych regulacji. W tym kontekście należy zwrócić szczególną uwagę na art. 21</w:t>
      </w:r>
      <w:r w:rsidR="003205D9">
        <w:rPr>
          <w:rFonts w:cs="Times New Roman"/>
          <w:szCs w:val="24"/>
        </w:rPr>
        <w:t xml:space="preserve"> u.o.p.z.</w:t>
      </w:r>
      <w:r w:rsidRPr="0013163D">
        <w:rPr>
          <w:rFonts w:cs="Times New Roman"/>
          <w:szCs w:val="24"/>
        </w:rPr>
        <w:t>, który</w:t>
      </w:r>
      <w:r w:rsidR="004E3461">
        <w:rPr>
          <w:rFonts w:cs="Times New Roman"/>
          <w:szCs w:val="24"/>
        </w:rPr>
        <w:t xml:space="preserve"> w </w:t>
      </w:r>
      <w:r w:rsidRPr="0013163D">
        <w:rPr>
          <w:rFonts w:cs="Times New Roman"/>
          <w:szCs w:val="24"/>
        </w:rPr>
        <w:t>ust. 4 wskazuje, że: „j</w:t>
      </w:r>
      <w:r w:rsidRPr="0013163D">
        <w:rPr>
          <w:rFonts w:cs="Times New Roman"/>
          <w:color w:val="333333"/>
          <w:szCs w:val="24"/>
          <w:shd w:val="clear" w:color="auto" w:fill="FFFFFF"/>
        </w:rPr>
        <w:t>eżeli</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postępowaniu przygotowawczym zostanie ustalony </w:t>
      </w:r>
      <w:r w:rsidRPr="0013163D">
        <w:rPr>
          <w:rFonts w:cs="Times New Roman"/>
          <w:szCs w:val="24"/>
        </w:rPr>
        <w:t>podmiot, który odniósł lub mógł odnieść korzyść</w:t>
      </w:r>
      <w:r w:rsidRPr="0013163D">
        <w:rPr>
          <w:rFonts w:cs="Times New Roman"/>
          <w:color w:val="333333"/>
          <w:szCs w:val="24"/>
          <w:shd w:val="clear" w:color="auto" w:fill="FFFFFF"/>
        </w:rPr>
        <w:t>, chociażby niemajątkową</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czynu osoby,</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3 (osoba fizyczna), to należy niezwłocznie powiadomić ten podmiot</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przysługujących mu uprawnieniach</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 xml:space="preserve">obowiązkach”. </w:t>
      </w:r>
    </w:p>
    <w:p w14:paraId="6F01F2AE" w14:textId="31923A51" w:rsidR="008E4B15" w:rsidRPr="0013163D" w:rsidRDefault="008E4B15" w:rsidP="004D2D15">
      <w:pPr>
        <w:ind w:firstLine="708"/>
        <w:jc w:val="both"/>
        <w:rPr>
          <w:rFonts w:cs="Times New Roman"/>
          <w:szCs w:val="24"/>
        </w:rPr>
      </w:pPr>
      <w:r w:rsidRPr="00784354">
        <w:rPr>
          <w:rFonts w:cs="Times New Roman"/>
          <w:szCs w:val="24"/>
        </w:rPr>
        <w:t>Istota deliktów popełnionych przez podmiot zbiorowy</w:t>
      </w:r>
      <w:r w:rsidR="002B2905" w:rsidRPr="00784354">
        <w:rPr>
          <w:rFonts w:cs="Times New Roman"/>
          <w:szCs w:val="24"/>
        </w:rPr>
        <w:t xml:space="preserve"> i </w:t>
      </w:r>
      <w:r w:rsidRPr="00784354">
        <w:rPr>
          <w:rFonts w:cs="Times New Roman"/>
          <w:szCs w:val="24"/>
        </w:rPr>
        <w:t>jego reprezentanta sprowadza się do ich specyficznego współdziałania,</w:t>
      </w:r>
      <w:r w:rsidR="002B2905" w:rsidRPr="00784354">
        <w:rPr>
          <w:rFonts w:cs="Times New Roman"/>
          <w:szCs w:val="24"/>
        </w:rPr>
        <w:t xml:space="preserve"> a </w:t>
      </w:r>
      <w:r w:rsidRPr="00784354">
        <w:rPr>
          <w:rFonts w:cs="Times New Roman"/>
          <w:szCs w:val="24"/>
        </w:rPr>
        <w:t>co za tym idzie – zachowania charakteryzującego się winą rozłożoną po obu stronach. Po każdej</w:t>
      </w:r>
      <w:r w:rsidR="004E3461" w:rsidRPr="00784354">
        <w:rPr>
          <w:rFonts w:cs="Times New Roman"/>
          <w:szCs w:val="24"/>
        </w:rPr>
        <w:t xml:space="preserve"> z </w:t>
      </w:r>
      <w:r w:rsidRPr="00784354">
        <w:rPr>
          <w:rFonts w:cs="Times New Roman"/>
          <w:szCs w:val="24"/>
        </w:rPr>
        <w:t>tych stron stopień owej winy jest generalnie obniżony</w:t>
      </w:r>
      <w:r w:rsidR="004E3461" w:rsidRPr="00784354">
        <w:rPr>
          <w:rFonts w:cs="Times New Roman"/>
          <w:szCs w:val="24"/>
        </w:rPr>
        <w:t xml:space="preserve"> w </w:t>
      </w:r>
      <w:r w:rsidRPr="00784354">
        <w:rPr>
          <w:rFonts w:cs="Times New Roman"/>
          <w:szCs w:val="24"/>
        </w:rPr>
        <w:t>porównaniu</w:t>
      </w:r>
      <w:r w:rsidR="004E3461" w:rsidRPr="00784354">
        <w:rPr>
          <w:rFonts w:cs="Times New Roman"/>
          <w:szCs w:val="24"/>
        </w:rPr>
        <w:t xml:space="preserve"> z </w:t>
      </w:r>
      <w:r w:rsidRPr="00784354">
        <w:rPr>
          <w:rFonts w:cs="Times New Roman"/>
          <w:szCs w:val="24"/>
        </w:rPr>
        <w:t>sytuacją,</w:t>
      </w:r>
      <w:r w:rsidR="004E3461" w:rsidRPr="00784354">
        <w:rPr>
          <w:rFonts w:cs="Times New Roman"/>
          <w:szCs w:val="24"/>
        </w:rPr>
        <w:t xml:space="preserve"> w </w:t>
      </w:r>
      <w:r w:rsidRPr="00784354">
        <w:rPr>
          <w:rFonts w:cs="Times New Roman"/>
          <w:szCs w:val="24"/>
        </w:rPr>
        <w:t>której każdy</w:t>
      </w:r>
      <w:r w:rsidR="004E3461" w:rsidRPr="00784354">
        <w:rPr>
          <w:rFonts w:cs="Times New Roman"/>
          <w:szCs w:val="24"/>
        </w:rPr>
        <w:t xml:space="preserve"> z </w:t>
      </w:r>
      <w:r w:rsidRPr="00784354">
        <w:rPr>
          <w:rFonts w:cs="Times New Roman"/>
          <w:szCs w:val="24"/>
        </w:rPr>
        <w:t>tych sprawców działałby samodzielnie</w:t>
      </w:r>
      <w:r w:rsidR="002B2905" w:rsidRPr="00784354">
        <w:rPr>
          <w:rFonts w:cs="Times New Roman"/>
          <w:szCs w:val="24"/>
        </w:rPr>
        <w:t xml:space="preserve"> i </w:t>
      </w:r>
      <w:r w:rsidRPr="00784354">
        <w:rPr>
          <w:rFonts w:cs="Times New Roman"/>
          <w:szCs w:val="24"/>
        </w:rPr>
        <w:t>przez to – konsekwentnie – odpowiadałby za ten delikt samodzielnie (czyli również za delikt drugiego sprawcy).</w:t>
      </w:r>
      <w:r w:rsidRPr="0013163D">
        <w:rPr>
          <w:rFonts w:cs="Times New Roman"/>
          <w:szCs w:val="24"/>
        </w:rPr>
        <w:t xml:space="preserve"> Na marginesie należy odnotować, że</w:t>
      </w:r>
      <w:r w:rsidR="004E3461">
        <w:rPr>
          <w:rFonts w:cs="Times New Roman"/>
          <w:szCs w:val="24"/>
        </w:rPr>
        <w:t xml:space="preserve"> w </w:t>
      </w:r>
      <w:r w:rsidRPr="0013163D">
        <w:rPr>
          <w:rFonts w:cs="Times New Roman"/>
          <w:szCs w:val="24"/>
        </w:rPr>
        <w:t>obecnej praktyce organów ścigania</w:t>
      </w:r>
      <w:r w:rsidR="002B2905">
        <w:rPr>
          <w:rFonts w:cs="Times New Roman"/>
          <w:szCs w:val="24"/>
        </w:rPr>
        <w:t xml:space="preserve"> i </w:t>
      </w:r>
      <w:r w:rsidRPr="0013163D">
        <w:rPr>
          <w:rFonts w:cs="Times New Roman"/>
          <w:szCs w:val="24"/>
        </w:rPr>
        <w:t>wymiaru sprawiedliwości</w:t>
      </w:r>
      <w:r w:rsidR="00784354">
        <w:rPr>
          <w:rFonts w:cs="Times New Roman"/>
          <w:szCs w:val="24"/>
        </w:rPr>
        <w:t>,</w:t>
      </w:r>
      <w:r w:rsidRPr="0013163D">
        <w:rPr>
          <w:rFonts w:cs="Times New Roman"/>
          <w:szCs w:val="24"/>
        </w:rPr>
        <w:t xml:space="preserve"> to zasadniczo reprezentant podmiotu zbiorowego</w:t>
      </w:r>
      <w:r w:rsidR="004E3461">
        <w:rPr>
          <w:rFonts w:cs="Times New Roman"/>
          <w:szCs w:val="24"/>
        </w:rPr>
        <w:t xml:space="preserve"> w </w:t>
      </w:r>
      <w:r w:rsidRPr="0013163D">
        <w:rPr>
          <w:rFonts w:cs="Times New Roman"/>
          <w:szCs w:val="24"/>
        </w:rPr>
        <w:t>istocie ponosi całą winę za swój czyn oraz dodatkowo za delikt podmiotu zbiorowego. Największy ciężar ryzyka ponoszą przy tym prezesi zarządu spółek prawa handlowego. To im przypisuje się pełną odpowiedzialność penalną</w:t>
      </w:r>
      <w:r w:rsidR="004E3461">
        <w:rPr>
          <w:rFonts w:cs="Times New Roman"/>
          <w:szCs w:val="24"/>
        </w:rPr>
        <w:t xml:space="preserve"> w </w:t>
      </w:r>
      <w:r w:rsidRPr="0013163D">
        <w:rPr>
          <w:rFonts w:cs="Times New Roman"/>
          <w:szCs w:val="24"/>
        </w:rPr>
        <w:t>omawianym zakresie. Projektodawcy uznali ten stan rzeczy za wysoce niewłaściwy</w:t>
      </w:r>
      <w:r w:rsidR="00AC3658">
        <w:rPr>
          <w:rFonts w:cs="Times New Roman"/>
          <w:szCs w:val="24"/>
        </w:rPr>
        <w:t>,</w:t>
      </w:r>
      <w:r w:rsidRPr="0013163D">
        <w:rPr>
          <w:rFonts w:cs="Times New Roman"/>
          <w:szCs w:val="24"/>
        </w:rPr>
        <w:t xml:space="preserve"> przyjmując, że rozstrzygnięcie</w:t>
      </w:r>
      <w:r w:rsidR="004E3461">
        <w:rPr>
          <w:rFonts w:cs="Times New Roman"/>
          <w:szCs w:val="24"/>
        </w:rPr>
        <w:t xml:space="preserve"> w </w:t>
      </w:r>
      <w:r w:rsidRPr="0013163D">
        <w:rPr>
          <w:rFonts w:cs="Times New Roman"/>
          <w:szCs w:val="24"/>
        </w:rPr>
        <w:t>przedmiocie odpowiedzialności podmiotu zbiorowego powinno skutkować zredukowaniem odpowiedzialności karnej jego reprezentanta. Ten mechanizm redukcyjny postanowiono powiązać</w:t>
      </w:r>
      <w:r w:rsidR="004E3461">
        <w:rPr>
          <w:rFonts w:cs="Times New Roman"/>
          <w:szCs w:val="24"/>
        </w:rPr>
        <w:t xml:space="preserve"> z </w:t>
      </w:r>
      <w:r w:rsidRPr="0013163D">
        <w:rPr>
          <w:rFonts w:cs="Times New Roman"/>
          <w:szCs w:val="24"/>
        </w:rPr>
        <w:t>proponowanym szczególnym trybem pociągania do odpowiedzialności podmiotu zbiorowego. Rozwiązanie to opiera się na założeniu, zgodnie</w:t>
      </w:r>
      <w:r w:rsidR="004E3461">
        <w:rPr>
          <w:rFonts w:cs="Times New Roman"/>
          <w:szCs w:val="24"/>
        </w:rPr>
        <w:t xml:space="preserve"> z </w:t>
      </w:r>
      <w:r w:rsidRPr="0013163D">
        <w:rPr>
          <w:rFonts w:cs="Times New Roman"/>
          <w:szCs w:val="24"/>
        </w:rPr>
        <w:t>którym przesądzenie odpowiedzialności podmiotu zbiorowego</w:t>
      </w:r>
      <w:r w:rsidR="004E3461">
        <w:rPr>
          <w:rFonts w:cs="Times New Roman"/>
          <w:szCs w:val="24"/>
        </w:rPr>
        <w:t xml:space="preserve"> w </w:t>
      </w:r>
      <w:r w:rsidRPr="0013163D">
        <w:rPr>
          <w:rFonts w:cs="Times New Roman"/>
          <w:szCs w:val="24"/>
        </w:rPr>
        <w:t>reżimie ustawy stanowi odpowiednią podstawę do złagodzenia odpowiedzialności karnej jego reprezentanta. Wskazanym racjom</w:t>
      </w:r>
      <w:r w:rsidR="002B2905">
        <w:rPr>
          <w:rFonts w:cs="Times New Roman"/>
          <w:szCs w:val="24"/>
        </w:rPr>
        <w:t xml:space="preserve"> o </w:t>
      </w:r>
      <w:r w:rsidRPr="0013163D">
        <w:rPr>
          <w:rFonts w:cs="Times New Roman"/>
          <w:szCs w:val="24"/>
        </w:rPr>
        <w:t>charakterze aksjologicznym towarzyszą również racje prakseologiczne. Funkcjonowanie proponowanego trybu opiera się bowiem na podstawowej wyjściowej przesłance, zgodnie</w:t>
      </w:r>
      <w:r w:rsidR="004E3461">
        <w:rPr>
          <w:rFonts w:cs="Times New Roman"/>
          <w:szCs w:val="24"/>
        </w:rPr>
        <w:t xml:space="preserve"> z </w:t>
      </w:r>
      <w:r w:rsidRPr="0013163D">
        <w:rPr>
          <w:rFonts w:cs="Times New Roman"/>
          <w:szCs w:val="24"/>
        </w:rPr>
        <w:t>którą okoliczności</w:t>
      </w:r>
      <w:r w:rsidR="004E3461">
        <w:rPr>
          <w:rFonts w:cs="Times New Roman"/>
          <w:szCs w:val="24"/>
        </w:rPr>
        <w:t xml:space="preserve"> </w:t>
      </w:r>
      <w:r w:rsidR="004E3461">
        <w:rPr>
          <w:rFonts w:cs="Times New Roman"/>
          <w:szCs w:val="24"/>
        </w:rPr>
        <w:lastRenderedPageBreak/>
        <w:t>z </w:t>
      </w:r>
      <w:r w:rsidRPr="0013163D">
        <w:rPr>
          <w:rFonts w:cs="Times New Roman"/>
          <w:szCs w:val="24"/>
        </w:rPr>
        <w:t>art. 3</w:t>
      </w:r>
      <w:r w:rsidR="002B2905">
        <w:rPr>
          <w:rFonts w:cs="Times New Roman"/>
          <w:szCs w:val="24"/>
        </w:rPr>
        <w:t xml:space="preserve"> i </w:t>
      </w:r>
      <w:r w:rsidR="00F316B9">
        <w:rPr>
          <w:rFonts w:cs="Times New Roman"/>
          <w:szCs w:val="24"/>
        </w:rPr>
        <w:t xml:space="preserve">art. </w:t>
      </w:r>
      <w:r w:rsidRPr="0013163D">
        <w:rPr>
          <w:rFonts w:cs="Times New Roman"/>
          <w:szCs w:val="24"/>
        </w:rPr>
        <w:t xml:space="preserve">5 </w:t>
      </w:r>
      <w:r w:rsidR="003205D9">
        <w:rPr>
          <w:rFonts w:cs="Times New Roman"/>
          <w:szCs w:val="24"/>
        </w:rPr>
        <w:t xml:space="preserve">u.o.p.z. </w:t>
      </w:r>
      <w:r w:rsidRPr="0013163D">
        <w:rPr>
          <w:rFonts w:cs="Times New Roman"/>
          <w:szCs w:val="24"/>
        </w:rPr>
        <w:t>nie budzą wątpliwości (</w:t>
      </w:r>
      <w:r w:rsidR="003205D9">
        <w:rPr>
          <w:rFonts w:cs="Times New Roman"/>
          <w:szCs w:val="24"/>
        </w:rPr>
        <w:t xml:space="preserve">projektowany </w:t>
      </w:r>
      <w:r w:rsidRPr="0013163D">
        <w:rPr>
          <w:rFonts w:cs="Times New Roman"/>
          <w:szCs w:val="24"/>
        </w:rPr>
        <w:t>art. 43a ust. 1</w:t>
      </w:r>
      <w:r w:rsidR="00FC38FC">
        <w:rPr>
          <w:rFonts w:cs="Times New Roman"/>
          <w:szCs w:val="24"/>
        </w:rPr>
        <w:t xml:space="preserve"> u.o.p.z.</w:t>
      </w:r>
      <w:r w:rsidRPr="0013163D">
        <w:rPr>
          <w:rFonts w:cs="Times New Roman"/>
          <w:szCs w:val="24"/>
        </w:rPr>
        <w:t>).</w:t>
      </w:r>
    </w:p>
    <w:p w14:paraId="38C7EC68" w14:textId="6B9A9D47"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Reasumując, według proponowanej instytucji, prokurator będzie mógł wystąpić do sądu</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wnioskiem</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wydanie wyroku stwierdzającego odpowiedzialność podmiotu zbiorowego</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orzeczenie uzgodnionych</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jego przedstawicielem kar</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środków wymienionych</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7</w:t>
      </w:r>
      <w:r w:rsidR="00CB55C5">
        <w:rPr>
          <w:rFonts w:cs="Times New Roman"/>
          <w:color w:val="333333"/>
          <w:szCs w:val="24"/>
          <w:shd w:val="clear" w:color="auto" w:fill="FFFFFF"/>
        </w:rPr>
        <w:t>–</w:t>
      </w:r>
      <w:r w:rsidRPr="0013163D">
        <w:rPr>
          <w:rFonts w:cs="Times New Roman"/>
          <w:color w:val="333333"/>
          <w:szCs w:val="24"/>
          <w:shd w:val="clear" w:color="auto" w:fill="FFFFFF"/>
        </w:rPr>
        <w:t>9a</w:t>
      </w:r>
      <w:r w:rsidR="00FC38FC">
        <w:rPr>
          <w:rFonts w:cs="Times New Roman"/>
          <w:color w:val="333333"/>
          <w:szCs w:val="24"/>
          <w:shd w:val="clear" w:color="auto" w:fill="FFFFFF"/>
        </w:rPr>
        <w:t xml:space="preserve"> u.o.p.z.</w:t>
      </w:r>
      <w:r w:rsidRPr="0013163D">
        <w:rPr>
          <w:rFonts w:cs="Times New Roman"/>
          <w:color w:val="333333"/>
          <w:szCs w:val="24"/>
          <w:shd w:val="clear" w:color="auto" w:fill="FFFFFF"/>
        </w:rPr>
        <w:t xml:space="preserve"> niezależnie od tego, czy postępowanie karne przeciwko osobie fizycznej,</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art. </w:t>
      </w:r>
      <w:r w:rsidR="00983BEE">
        <w:rPr>
          <w:rFonts w:cs="Times New Roman"/>
          <w:color w:val="333333"/>
          <w:szCs w:val="24"/>
          <w:shd w:val="clear" w:color="auto" w:fill="FFFFFF"/>
        </w:rPr>
        <w:t>3</w:t>
      </w:r>
      <w:r w:rsidR="00FC38FC">
        <w:rPr>
          <w:rFonts w:cs="Times New Roman"/>
          <w:color w:val="333333"/>
          <w:szCs w:val="24"/>
          <w:shd w:val="clear" w:color="auto" w:fill="FFFFFF"/>
        </w:rPr>
        <w:t xml:space="preserve"> u.o.p.z.</w:t>
      </w:r>
      <w:r w:rsidRPr="0013163D">
        <w:rPr>
          <w:rFonts w:cs="Times New Roman"/>
          <w:color w:val="333333"/>
          <w:szCs w:val="24"/>
          <w:shd w:val="clear" w:color="auto" w:fill="FFFFFF"/>
        </w:rPr>
        <w:t>, zostało wszczęte, toczy się (zostało zawieszone)</w:t>
      </w:r>
      <w:r w:rsidR="002B2905">
        <w:rPr>
          <w:rFonts w:cs="Times New Roman"/>
          <w:color w:val="333333"/>
          <w:szCs w:val="24"/>
          <w:shd w:val="clear" w:color="auto" w:fill="FFFFFF"/>
        </w:rPr>
        <w:t xml:space="preserve"> i </w:t>
      </w:r>
      <w:r w:rsidR="004E3461">
        <w:rPr>
          <w:rFonts w:cs="Times New Roman"/>
          <w:color w:val="333333"/>
          <w:szCs w:val="24"/>
          <w:shd w:val="clear" w:color="auto" w:fill="FFFFFF"/>
        </w:rPr>
        <w:t>w </w:t>
      </w:r>
      <w:r w:rsidRPr="0013163D">
        <w:rPr>
          <w:rFonts w:cs="Times New Roman"/>
          <w:color w:val="333333"/>
          <w:szCs w:val="24"/>
          <w:shd w:val="clear" w:color="auto" w:fill="FFFFFF"/>
        </w:rPr>
        <w:t>jakiej jest fazie (postępowanie przygotowawcze albo sądowe).</w:t>
      </w:r>
      <w:r w:rsidRPr="0013163D">
        <w:rPr>
          <w:rFonts w:cs="Times New Roman"/>
          <w:szCs w:val="24"/>
        </w:rPr>
        <w:t xml:space="preserve"> </w:t>
      </w:r>
      <w:r w:rsidRPr="0013163D">
        <w:rPr>
          <w:rFonts w:cs="Times New Roman"/>
          <w:color w:val="333333"/>
          <w:szCs w:val="24"/>
          <w:shd w:val="clear" w:color="auto" w:fill="FFFFFF"/>
        </w:rPr>
        <w:t>Wystąpienie</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rzeczonym wnioskiem przez prokuratora będzie możliwe wyłącznie</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razie ustalenia, że okoliczności,</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których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3</w:t>
      </w:r>
      <w:r w:rsidR="002B2905">
        <w:rPr>
          <w:rFonts w:cs="Times New Roman"/>
          <w:color w:val="333333"/>
          <w:szCs w:val="24"/>
          <w:shd w:val="clear" w:color="auto" w:fill="FFFFFF"/>
        </w:rPr>
        <w:t xml:space="preserve"> i </w:t>
      </w:r>
      <w:r w:rsidR="00F316B9">
        <w:rPr>
          <w:rFonts w:cs="Times New Roman"/>
          <w:color w:val="333333"/>
          <w:szCs w:val="24"/>
          <w:shd w:val="clear" w:color="auto" w:fill="FFFFFF"/>
        </w:rPr>
        <w:t xml:space="preserve">art. </w:t>
      </w:r>
      <w:r w:rsidRPr="0013163D">
        <w:rPr>
          <w:rFonts w:cs="Times New Roman"/>
          <w:color w:val="333333"/>
          <w:szCs w:val="24"/>
          <w:shd w:val="clear" w:color="auto" w:fill="FFFFFF"/>
        </w:rPr>
        <w:t>5</w:t>
      </w:r>
      <w:r w:rsidR="00FC38FC">
        <w:rPr>
          <w:rFonts w:cs="Times New Roman"/>
          <w:color w:val="333333"/>
          <w:szCs w:val="24"/>
          <w:shd w:val="clear" w:color="auto" w:fill="FFFFFF"/>
        </w:rPr>
        <w:t xml:space="preserve"> u.o</w:t>
      </w:r>
      <w:r w:rsidR="00504E0A">
        <w:rPr>
          <w:rFonts w:cs="Times New Roman"/>
          <w:color w:val="333333"/>
          <w:szCs w:val="24"/>
          <w:shd w:val="clear" w:color="auto" w:fill="FFFFFF"/>
        </w:rPr>
        <w:t>.</w:t>
      </w:r>
      <w:r w:rsidR="00FC38FC">
        <w:rPr>
          <w:rFonts w:cs="Times New Roman"/>
          <w:color w:val="333333"/>
          <w:szCs w:val="24"/>
          <w:shd w:val="clear" w:color="auto" w:fill="FFFFFF"/>
        </w:rPr>
        <w:t>p.z.</w:t>
      </w:r>
      <w:r w:rsidRPr="0013163D">
        <w:rPr>
          <w:rFonts w:cs="Times New Roman"/>
          <w:color w:val="333333"/>
          <w:szCs w:val="24"/>
          <w:shd w:val="clear" w:color="auto" w:fill="FFFFFF"/>
        </w:rPr>
        <w:t>, nie budzą wątpliwości. Chodzi więc</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ustalenie, że czyn zabroniony został popełniony przez reprezentanta podmiotu zbiorowego</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warunkach jego zawinienia, t</w:t>
      </w:r>
      <w:r w:rsidR="00D57F12">
        <w:rPr>
          <w:rFonts w:cs="Times New Roman"/>
          <w:color w:val="333333"/>
          <w:szCs w:val="24"/>
          <w:shd w:val="clear" w:color="auto" w:fill="FFFFFF"/>
        </w:rPr>
        <w:t>o jest</w:t>
      </w:r>
      <w:r w:rsidRPr="0013163D">
        <w:rPr>
          <w:rFonts w:cs="Times New Roman"/>
          <w:color w:val="333333"/>
          <w:szCs w:val="24"/>
          <w:shd w:val="clear" w:color="auto" w:fill="FFFFFF"/>
        </w:rPr>
        <w:t xml:space="preserve"> winy</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nadzorze lub wyborze oraz winy organizacyjnej. Są to kluczowe warunki odpowiedzialności podmiotu zbiorowego. </w:t>
      </w:r>
    </w:p>
    <w:p w14:paraId="68C51A89" w14:textId="48F5E35E"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Co jest przy tym oczywiste, proponowane kary</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 xml:space="preserve">środki muszą uwzględniać prawnie chronione interesy pokrzywdzonego. Z tego względu projektowane rozwiązanie poszerza katalog możliwych do orzeczenia na podstawie </w:t>
      </w:r>
      <w:r w:rsidR="00AC3658">
        <w:rPr>
          <w:rFonts w:cs="Times New Roman"/>
          <w:color w:val="333333"/>
          <w:szCs w:val="24"/>
          <w:shd w:val="clear" w:color="auto" w:fill="FFFFFF"/>
        </w:rPr>
        <w:t xml:space="preserve">u.o.p.z. </w:t>
      </w:r>
      <w:r w:rsidRPr="0013163D">
        <w:rPr>
          <w:rFonts w:cs="Times New Roman"/>
          <w:color w:val="333333"/>
          <w:szCs w:val="24"/>
          <w:shd w:val="clear" w:color="auto" w:fill="FFFFFF"/>
        </w:rPr>
        <w:t>środków reakcji prawnej</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środki kompensacyjne, t</w:t>
      </w:r>
      <w:r w:rsidR="00D57F12">
        <w:rPr>
          <w:rFonts w:cs="Times New Roman"/>
          <w:color w:val="333333"/>
          <w:szCs w:val="24"/>
          <w:shd w:val="clear" w:color="auto" w:fill="FFFFFF"/>
        </w:rPr>
        <w:t>o jest</w:t>
      </w:r>
      <w:r w:rsidRPr="0013163D">
        <w:rPr>
          <w:rFonts w:cs="Times New Roman"/>
          <w:color w:val="333333"/>
          <w:szCs w:val="24"/>
          <w:shd w:val="clear" w:color="auto" w:fill="FFFFFF"/>
        </w:rPr>
        <w:t xml:space="preserve"> naprawienie szkody albo zadośćuczynienie (projektowany art. 9a</w:t>
      </w:r>
      <w:r w:rsidR="00FC38FC">
        <w:rPr>
          <w:rFonts w:cs="Times New Roman"/>
          <w:color w:val="333333"/>
          <w:szCs w:val="24"/>
          <w:shd w:val="clear" w:color="auto" w:fill="FFFFFF"/>
        </w:rPr>
        <w:t xml:space="preserve"> u.o.p.z.</w:t>
      </w:r>
      <w:r w:rsidRPr="0013163D">
        <w:rPr>
          <w:rFonts w:cs="Times New Roman"/>
          <w:color w:val="333333"/>
          <w:szCs w:val="24"/>
          <w:shd w:val="clear" w:color="auto" w:fill="FFFFFF"/>
        </w:rPr>
        <w:t>).</w:t>
      </w:r>
    </w:p>
    <w:p w14:paraId="6C97E1EB" w14:textId="25CDFAE0"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Ustalane</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prokuratorem warunki będą obejmowały karę pieniężną, przepadek, podanie wyroku do publicznej wiadomości,</w:t>
      </w:r>
      <w:r w:rsidR="002B2905">
        <w:rPr>
          <w:rFonts w:cs="Times New Roman"/>
          <w:color w:val="333333"/>
          <w:szCs w:val="24"/>
          <w:shd w:val="clear" w:color="auto" w:fill="FFFFFF"/>
        </w:rPr>
        <w:t xml:space="preserve"> a </w:t>
      </w:r>
      <w:r w:rsidRPr="0013163D">
        <w:rPr>
          <w:rFonts w:cs="Times New Roman"/>
          <w:color w:val="333333"/>
          <w:szCs w:val="24"/>
          <w:shd w:val="clear" w:color="auto" w:fill="FFFFFF"/>
        </w:rPr>
        <w:t>także nowe rozwiązanie, t</w:t>
      </w:r>
      <w:r w:rsidR="00D57F12">
        <w:rPr>
          <w:rFonts w:cs="Times New Roman"/>
          <w:color w:val="333333"/>
          <w:szCs w:val="24"/>
          <w:shd w:val="clear" w:color="auto" w:fill="FFFFFF"/>
        </w:rPr>
        <w:t>o jest</w:t>
      </w:r>
      <w:r w:rsidRPr="0013163D">
        <w:rPr>
          <w:rFonts w:cs="Times New Roman"/>
          <w:color w:val="333333"/>
          <w:szCs w:val="24"/>
          <w:shd w:val="clear" w:color="auto" w:fill="FFFFFF"/>
        </w:rPr>
        <w:t xml:space="preserve"> środki kompensacyjne. </w:t>
      </w:r>
    </w:p>
    <w:p w14:paraId="19C2E0A5" w14:textId="36582E40"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Wniosek prokuratora,</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którym mowa</w:t>
      </w:r>
      <w:r w:rsidR="004E3461">
        <w:rPr>
          <w:rFonts w:cs="Times New Roman"/>
          <w:color w:val="333333"/>
          <w:szCs w:val="24"/>
          <w:shd w:val="clear" w:color="auto" w:fill="FFFFFF"/>
        </w:rPr>
        <w:t xml:space="preserve"> w </w:t>
      </w:r>
      <w:r w:rsidR="00FC38FC">
        <w:rPr>
          <w:rFonts w:cs="Times New Roman"/>
          <w:color w:val="333333"/>
          <w:szCs w:val="24"/>
          <w:shd w:val="clear" w:color="auto" w:fill="FFFFFF"/>
        </w:rPr>
        <w:t xml:space="preserve">projektowanym </w:t>
      </w:r>
      <w:r w:rsidRPr="0013163D">
        <w:rPr>
          <w:rFonts w:cs="Times New Roman"/>
          <w:color w:val="333333"/>
          <w:szCs w:val="24"/>
          <w:shd w:val="clear" w:color="auto" w:fill="FFFFFF"/>
        </w:rPr>
        <w:t>art. 4</w:t>
      </w:r>
      <w:r w:rsidR="00FC38FC">
        <w:rPr>
          <w:rFonts w:cs="Times New Roman"/>
          <w:color w:val="333333"/>
          <w:szCs w:val="24"/>
          <w:shd w:val="clear" w:color="auto" w:fill="FFFFFF"/>
        </w:rPr>
        <w:t>3</w:t>
      </w:r>
      <w:r w:rsidRPr="0013163D">
        <w:rPr>
          <w:rFonts w:cs="Times New Roman"/>
          <w:color w:val="333333"/>
          <w:szCs w:val="24"/>
          <w:shd w:val="clear" w:color="auto" w:fill="FFFFFF"/>
        </w:rPr>
        <w:t>a ust. 1</w:t>
      </w:r>
      <w:r w:rsidR="00FC38FC">
        <w:rPr>
          <w:rFonts w:cs="Times New Roman"/>
          <w:color w:val="333333"/>
          <w:szCs w:val="24"/>
          <w:shd w:val="clear" w:color="auto" w:fill="FFFFFF"/>
        </w:rPr>
        <w:t xml:space="preserve"> u.o.p.z.</w:t>
      </w:r>
      <w:r w:rsidR="00787BC7">
        <w:rPr>
          <w:rFonts w:cs="Times New Roman"/>
          <w:color w:val="333333"/>
          <w:szCs w:val="24"/>
          <w:shd w:val="clear" w:color="auto" w:fill="FFFFFF"/>
        </w:rPr>
        <w:t>,</w:t>
      </w:r>
      <w:r w:rsidRPr="0013163D">
        <w:rPr>
          <w:rFonts w:cs="Times New Roman"/>
          <w:color w:val="333333"/>
          <w:szCs w:val="24"/>
          <w:shd w:val="clear" w:color="auto" w:fill="FFFFFF"/>
        </w:rPr>
        <w:t xml:space="preserve"> będzie podlegał takiej samej procedurze</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reżimowi jak zwykły wniosek</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 xml:space="preserve">pociągnięcie podmiotu zbiorowego do odpowiedzialności. Oznacza to, że będzie on podlegał rozpoznaniu na podstawie </w:t>
      </w:r>
      <w:r w:rsidR="00465D37">
        <w:rPr>
          <w:rFonts w:cs="Times New Roman"/>
          <w:color w:val="333333"/>
          <w:szCs w:val="24"/>
          <w:shd w:val="clear" w:color="auto" w:fill="FFFFFF"/>
        </w:rPr>
        <w:t>u.o.p.z</w:t>
      </w:r>
      <w:r w:rsidRPr="0013163D">
        <w:rPr>
          <w:rFonts w:cs="Times New Roman"/>
          <w:color w:val="333333"/>
          <w:szCs w:val="24"/>
          <w:shd w:val="clear" w:color="auto" w:fill="FFFFFF"/>
        </w:rPr>
        <w:t>. W konsekwencji właściwym do jego rozpoznania będzie sąd rejonowy, ustalony według zasad wskazanych</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24 u</w:t>
      </w:r>
      <w:r w:rsidR="00FC38FC">
        <w:rPr>
          <w:rFonts w:cs="Times New Roman"/>
          <w:color w:val="333333"/>
          <w:szCs w:val="24"/>
          <w:shd w:val="clear" w:color="auto" w:fill="FFFFFF"/>
        </w:rPr>
        <w:t>.o</w:t>
      </w:r>
      <w:r w:rsidR="003D77A9">
        <w:rPr>
          <w:rFonts w:cs="Times New Roman"/>
          <w:color w:val="333333"/>
          <w:szCs w:val="24"/>
          <w:shd w:val="clear" w:color="auto" w:fill="FFFFFF"/>
        </w:rPr>
        <w:t>.</w:t>
      </w:r>
      <w:r w:rsidR="00FC38FC">
        <w:rPr>
          <w:rFonts w:cs="Times New Roman"/>
          <w:color w:val="333333"/>
          <w:szCs w:val="24"/>
          <w:shd w:val="clear" w:color="auto" w:fill="FFFFFF"/>
        </w:rPr>
        <w:t>p.z</w:t>
      </w:r>
      <w:r w:rsidRPr="0013163D">
        <w:rPr>
          <w:rFonts w:cs="Times New Roman"/>
          <w:color w:val="333333"/>
          <w:szCs w:val="24"/>
          <w:shd w:val="clear" w:color="auto" w:fill="FFFFFF"/>
        </w:rPr>
        <w:t>. W rozpoznaniu wniosku na posiedzeniu jawnym będą mogli wziąć udział: przedstawiciel podmiotu zbiorowego wraz ze swoim obrońcą, prokurator, pokrzywdzony wraz</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pełnomocnikiem oraz osoba fizyczna</w:t>
      </w:r>
      <w:r w:rsidR="00465D37">
        <w:rPr>
          <w:rFonts w:cs="Times New Roman"/>
          <w:color w:val="333333"/>
          <w:szCs w:val="24"/>
          <w:shd w:val="clear" w:color="auto" w:fill="FFFFFF"/>
        </w:rPr>
        <w:t>,</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w:t>
      </w:r>
      <w:r w:rsidR="00FB6C6D">
        <w:rPr>
          <w:rFonts w:cs="Times New Roman"/>
          <w:color w:val="333333"/>
          <w:szCs w:val="24"/>
          <w:shd w:val="clear" w:color="auto" w:fill="FFFFFF"/>
        </w:rPr>
        <w:t> </w:t>
      </w:r>
      <w:r w:rsidRPr="0013163D">
        <w:rPr>
          <w:rFonts w:cs="Times New Roman"/>
          <w:color w:val="333333"/>
          <w:szCs w:val="24"/>
          <w:shd w:val="clear" w:color="auto" w:fill="FFFFFF"/>
        </w:rPr>
        <w:t>3 u</w:t>
      </w:r>
      <w:r w:rsidR="00FC38FC">
        <w:rPr>
          <w:rFonts w:cs="Times New Roman"/>
          <w:color w:val="333333"/>
          <w:szCs w:val="24"/>
          <w:shd w:val="clear" w:color="auto" w:fill="FFFFFF"/>
        </w:rPr>
        <w:t>.o.p.z.</w:t>
      </w:r>
      <w:r w:rsidRPr="0013163D">
        <w:rPr>
          <w:rFonts w:cs="Times New Roman"/>
          <w:color w:val="333333"/>
          <w:szCs w:val="24"/>
          <w:shd w:val="clear" w:color="auto" w:fill="FFFFFF"/>
        </w:rPr>
        <w:t xml:space="preserve"> wraz ze swoim obrońcą. W ten sposób zostanie zagwarantowane prawo do informacji dla podejrzanego/oskarżonego</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postępowaniu karnym co do przebiegu postępowania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zakresie pociągnięcia podmiotu zbiorowego do odpowiedzialności. Rozstrzygnięcie wniosku</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tym przedmiocie może mieć bowiem istotne znaczenie dla zakresu jego odpowiedzialności,</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tym</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 xml:space="preserve">charakterze kompensacyjnym. </w:t>
      </w:r>
    </w:p>
    <w:p w14:paraId="6430DF8C" w14:textId="1A271D34"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Co oczywiste, poddanie wniosku</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wydanie wyroku stwierdzającego odpowiedzialność podmiotu zbiorowego</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orzeczenie uzgodnionych</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jego przedstawicielem kar</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 xml:space="preserve">środków </w:t>
      </w:r>
      <w:r w:rsidRPr="0013163D">
        <w:rPr>
          <w:rFonts w:cs="Times New Roman"/>
          <w:color w:val="333333"/>
          <w:szCs w:val="24"/>
          <w:shd w:val="clear" w:color="auto" w:fill="FFFFFF"/>
        </w:rPr>
        <w:lastRenderedPageBreak/>
        <w:t>wymienionych</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7</w:t>
      </w:r>
      <w:r w:rsidR="00CB55C5">
        <w:rPr>
          <w:rFonts w:cs="Times New Roman"/>
          <w:color w:val="333333"/>
          <w:szCs w:val="24"/>
          <w:shd w:val="clear" w:color="auto" w:fill="FFFFFF"/>
        </w:rPr>
        <w:t>–</w:t>
      </w:r>
      <w:r w:rsidRPr="0013163D">
        <w:rPr>
          <w:rFonts w:cs="Times New Roman"/>
          <w:color w:val="333333"/>
          <w:szCs w:val="24"/>
          <w:shd w:val="clear" w:color="auto" w:fill="FFFFFF"/>
        </w:rPr>
        <w:t xml:space="preserve">9a </w:t>
      </w:r>
      <w:r w:rsidR="00B03F88">
        <w:rPr>
          <w:rFonts w:cs="Times New Roman"/>
          <w:color w:val="333333"/>
          <w:szCs w:val="24"/>
          <w:shd w:val="clear" w:color="auto" w:fill="FFFFFF"/>
        </w:rPr>
        <w:t xml:space="preserve">u.o.p.z. </w:t>
      </w:r>
      <w:r w:rsidRPr="0013163D">
        <w:rPr>
          <w:rFonts w:cs="Times New Roman"/>
          <w:color w:val="333333"/>
          <w:szCs w:val="24"/>
          <w:shd w:val="clear" w:color="auto" w:fill="FFFFFF"/>
        </w:rPr>
        <w:t>pod kontrolę sądu oznacza m</w:t>
      </w:r>
      <w:r w:rsidR="00B03F88">
        <w:rPr>
          <w:rFonts w:cs="Times New Roman"/>
          <w:color w:val="333333"/>
          <w:szCs w:val="24"/>
          <w:shd w:val="clear" w:color="auto" w:fill="FFFFFF"/>
        </w:rPr>
        <w:t>iędzy innymi</w:t>
      </w:r>
      <w:r w:rsidRPr="0013163D">
        <w:rPr>
          <w:rFonts w:cs="Times New Roman"/>
          <w:color w:val="333333"/>
          <w:szCs w:val="24"/>
          <w:shd w:val="clear" w:color="auto" w:fill="FFFFFF"/>
        </w:rPr>
        <w:t>, że sąd rozpoznający taki wniosek nie będzie związany jego treścią. W konsekwencji będzie mógł uzależnić uwzględnienie wniosku od dokonania określonych zmian, które</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uwagi na charakter konsensualny będą musiały zostać zaakceptowane zarówno przez prokuratora, jak</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przez przedstawiciela podmiotu zbiorowego. Jednocześnie,</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uwagi na kompensacyjny charakter proponowanej regulacji, sąd będzie mógł odroczyć posiedzenie</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przedmiocie rozpoznania wniosku, wyznaczając podmiotowi zbiorowemu</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 xml:space="preserve">pokrzywdzonemu termin na porozumienie się co do naprawienia szkody lub zadośćuczynienia. W tym zakresie </w:t>
      </w:r>
      <w:r w:rsidR="00C84B84" w:rsidRPr="0013163D">
        <w:rPr>
          <w:rFonts w:cs="Times New Roman"/>
          <w:color w:val="333333"/>
          <w:szCs w:val="24"/>
          <w:shd w:val="clear" w:color="auto" w:fill="FFFFFF"/>
        </w:rPr>
        <w:t xml:space="preserve">będzie </w:t>
      </w:r>
      <w:r w:rsidRPr="0013163D">
        <w:rPr>
          <w:rFonts w:cs="Times New Roman"/>
          <w:color w:val="333333"/>
          <w:szCs w:val="24"/>
          <w:shd w:val="clear" w:color="auto" w:fill="FFFFFF"/>
        </w:rPr>
        <w:t xml:space="preserve">możliwe także skierowanie sprawy do postępowania mediacyjnego na wniosek lub za zgodą stron. </w:t>
      </w:r>
    </w:p>
    <w:p w14:paraId="41FCF43F" w14:textId="03A0506B"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W razie uwzględnienia wniosku sąd wyda wyrok stwierdzający odpowiedzialność podmiotu zbiorowego</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wymierzy temu podmiotowi uzgodnioną karę</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środki. Kara,</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7</w:t>
      </w:r>
      <w:r w:rsidR="00B03F88">
        <w:rPr>
          <w:rFonts w:cs="Times New Roman"/>
          <w:color w:val="333333"/>
          <w:szCs w:val="24"/>
          <w:shd w:val="clear" w:color="auto" w:fill="FFFFFF"/>
        </w:rPr>
        <w:t xml:space="preserve"> u.o.p.z.</w:t>
      </w:r>
      <w:r w:rsidRPr="0013163D">
        <w:rPr>
          <w:rFonts w:cs="Times New Roman"/>
          <w:color w:val="333333"/>
          <w:szCs w:val="24"/>
          <w:shd w:val="clear" w:color="auto" w:fill="FFFFFF"/>
        </w:rPr>
        <w:t>, będzie mogła być orzeczona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wysokości od 1000 do 5 000 000 zł, nie wyższej jednak niż 1,5% przychodu osiągniętego</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roku obrotowym,</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którym popełniono czyn zabroniony będący podstawą odpowiedzialności podmiotu zbiorowego. Ten limitacyjny, górny wyznacznik wysokości kary, obniżony</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stosunku do górnej granicy kary zasadniczej, ma stanowić zachętę dla podmiotów zbiorowych do korzystania</w:t>
      </w:r>
      <w:r w:rsidR="004E3461">
        <w:rPr>
          <w:rFonts w:cs="Times New Roman"/>
          <w:color w:val="333333"/>
          <w:szCs w:val="24"/>
          <w:shd w:val="clear" w:color="auto" w:fill="FFFFFF"/>
        </w:rPr>
        <w:t xml:space="preserve"> z </w:t>
      </w:r>
      <w:r w:rsidRPr="0013163D">
        <w:rPr>
          <w:rFonts w:cs="Times New Roman"/>
          <w:color w:val="333333"/>
          <w:szCs w:val="24"/>
          <w:shd w:val="clear" w:color="auto" w:fill="FFFFFF"/>
        </w:rPr>
        <w:t>tego rozwiązania</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pozwolić im na szybsze</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efektywniejsze procedowanie</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zakresie ich odpowiedzialności.</w:t>
      </w:r>
    </w:p>
    <w:p w14:paraId="2032EE6E" w14:textId="09E3815D"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Z uwagi na już obowiązującą</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prawie karnym procesowym zasadę lojalności procesowej projekt, podobnie jak</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innych przypadkach postępowań konsensualnych, ogranicza możliwość zaskarżenia wyroku uzyskanego</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projektowanym trybie. W takim przypadku </w:t>
      </w:r>
      <w:r w:rsidR="005C2106" w:rsidRPr="0013163D">
        <w:rPr>
          <w:rFonts w:cs="Times New Roman"/>
          <w:color w:val="333333"/>
          <w:szCs w:val="24"/>
          <w:shd w:val="clear" w:color="auto" w:fill="FFFFFF"/>
        </w:rPr>
        <w:t xml:space="preserve">będzie więc </w:t>
      </w:r>
      <w:r w:rsidRPr="0013163D">
        <w:rPr>
          <w:rFonts w:cs="Times New Roman"/>
          <w:color w:val="333333"/>
          <w:szCs w:val="24"/>
          <w:shd w:val="clear" w:color="auto" w:fill="FFFFFF"/>
        </w:rPr>
        <w:t>wykluczone podnoszenie przez strony zarzutu błędu</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ustaleniach faktycznych oraz niewspółmierności kary.</w:t>
      </w:r>
    </w:p>
    <w:p w14:paraId="5CF1A7C2" w14:textId="77E692EA"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W przypadku nieuwzględnienia wniosku sąd postanowieniem umorzy postępowanie</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przedmiocie wydania wyroku stwierdzającego odpowiedzialność podmiotu zbiorowego. Takie orzeczenie nie będzie jednak, co oczywiste, kreować stanu powagi rzeczy osądzonej,</w:t>
      </w:r>
      <w:r w:rsidR="002B2905">
        <w:rPr>
          <w:rFonts w:cs="Times New Roman"/>
          <w:color w:val="333333"/>
          <w:szCs w:val="24"/>
          <w:shd w:val="clear" w:color="auto" w:fill="FFFFFF"/>
        </w:rPr>
        <w:t xml:space="preserve"> a </w:t>
      </w:r>
      <w:r w:rsidR="004E3461">
        <w:rPr>
          <w:rFonts w:cs="Times New Roman"/>
          <w:color w:val="333333"/>
          <w:szCs w:val="24"/>
          <w:shd w:val="clear" w:color="auto" w:fill="FFFFFF"/>
        </w:rPr>
        <w:t>w </w:t>
      </w:r>
      <w:r w:rsidRPr="0013163D">
        <w:rPr>
          <w:rFonts w:cs="Times New Roman"/>
          <w:color w:val="333333"/>
          <w:szCs w:val="24"/>
          <w:shd w:val="clear" w:color="auto" w:fill="FFFFFF"/>
        </w:rPr>
        <w:t>konsekwencji nie będzie przeszkód natury procesowej do złożenia wniosku</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przedmiocie odpowiedzialności podmiotu zbiorowego na zasadach ogólnych,</w:t>
      </w:r>
      <w:r w:rsidR="002B2905">
        <w:rPr>
          <w:rFonts w:cs="Times New Roman"/>
          <w:color w:val="333333"/>
          <w:szCs w:val="24"/>
          <w:shd w:val="clear" w:color="auto" w:fill="FFFFFF"/>
        </w:rPr>
        <w:t xml:space="preserve"> a </w:t>
      </w:r>
      <w:r w:rsidRPr="0013163D">
        <w:rPr>
          <w:rFonts w:cs="Times New Roman"/>
          <w:color w:val="333333"/>
          <w:szCs w:val="24"/>
          <w:shd w:val="clear" w:color="auto" w:fill="FFFFFF"/>
        </w:rPr>
        <w:t>więc po uzyskaniu prejudykatu. Na postanowienie</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przedmiocie umorzenia postępowania zażalenie nie będzie przysługiwać. </w:t>
      </w:r>
    </w:p>
    <w:p w14:paraId="3DBDA75A" w14:textId="43807AA9"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Uprawomocnienie się orzeczenia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przedmiocie odpowiedzialności podmiotu zbiorowego miałoby także istotny wpływ na potencjalną odpowiedzialność osoby fizycznej – reprezentanta podmiotu zbiorowego. W takim przypadku sąd miałby możliwość fakultatywnego zastosowania nadzwyczajnego złagodzenia kary lub jej warunkowego </w:t>
      </w:r>
      <w:r w:rsidRPr="0013163D">
        <w:rPr>
          <w:rFonts w:cs="Times New Roman"/>
          <w:color w:val="333333"/>
          <w:szCs w:val="24"/>
          <w:shd w:val="clear" w:color="auto" w:fill="FFFFFF"/>
        </w:rPr>
        <w:lastRenderedPageBreak/>
        <w:t>zawieszenia. W przypadku,</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którym podmiot zbiorowy naprawiłby szkodę</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całości do czasu orzekania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przedmiocie odpowiedzialności osoby fizycznej, nadzwyczajne złagodzenie kary miałoby charakter obligatoryjny. Warunkowe zawieszenie kary będzie możliwe na warunkach określonych</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art. 60 </w:t>
      </w:r>
      <w:bookmarkStart w:id="0" w:name="_Hlk201601034"/>
      <w:r w:rsidRPr="0013163D">
        <w:rPr>
          <w:rFonts w:cs="Times New Roman"/>
          <w:color w:val="333333"/>
          <w:szCs w:val="24"/>
          <w:shd w:val="clear" w:color="auto" w:fill="FFFFFF"/>
        </w:rPr>
        <w:t>§</w:t>
      </w:r>
      <w:bookmarkEnd w:id="0"/>
      <w:r w:rsidRPr="0013163D">
        <w:rPr>
          <w:rFonts w:cs="Times New Roman"/>
          <w:color w:val="333333"/>
          <w:szCs w:val="24"/>
          <w:shd w:val="clear" w:color="auto" w:fill="FFFFFF"/>
        </w:rPr>
        <w:t xml:space="preserve"> 5 k.k.,</w:t>
      </w:r>
      <w:r w:rsidR="002B2905">
        <w:rPr>
          <w:rFonts w:cs="Times New Roman"/>
          <w:color w:val="333333"/>
          <w:szCs w:val="24"/>
          <w:shd w:val="clear" w:color="auto" w:fill="FFFFFF"/>
        </w:rPr>
        <w:t xml:space="preserve"> a </w:t>
      </w:r>
      <w:r w:rsidRPr="0013163D">
        <w:rPr>
          <w:rFonts w:cs="Times New Roman"/>
          <w:color w:val="333333"/>
          <w:szCs w:val="24"/>
          <w:shd w:val="clear" w:color="auto" w:fill="FFFFFF"/>
        </w:rPr>
        <w:t>więc wykonanie kary 5 lat pozbawienia wolności można będzie zawiesić tytułem próby na okres 10 lat. Powyższe rozwiązania, korzystne dla osoby,</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 xml:space="preserve">art. </w:t>
      </w:r>
      <w:r w:rsidR="00983BEE">
        <w:rPr>
          <w:rFonts w:cs="Times New Roman"/>
          <w:color w:val="333333"/>
          <w:szCs w:val="24"/>
          <w:shd w:val="clear" w:color="auto" w:fill="FFFFFF"/>
        </w:rPr>
        <w:t>3</w:t>
      </w:r>
      <w:r w:rsidR="00B03F88">
        <w:rPr>
          <w:rFonts w:cs="Times New Roman"/>
          <w:color w:val="333333"/>
          <w:szCs w:val="24"/>
          <w:shd w:val="clear" w:color="auto" w:fill="FFFFFF"/>
        </w:rPr>
        <w:t xml:space="preserve"> u.o.p.z.</w:t>
      </w:r>
      <w:r w:rsidRPr="0013163D">
        <w:rPr>
          <w:rFonts w:cs="Times New Roman"/>
          <w:color w:val="333333"/>
          <w:szCs w:val="24"/>
          <w:shd w:val="clear" w:color="auto" w:fill="FFFFFF"/>
        </w:rPr>
        <w:t>, są konsekwencją uznania, że wina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tym przypadku rozkłada się między podmiotem zbiorowym</w:t>
      </w:r>
      <w:r w:rsidR="002B2905">
        <w:rPr>
          <w:rFonts w:cs="Times New Roman"/>
          <w:color w:val="333333"/>
          <w:szCs w:val="24"/>
          <w:shd w:val="clear" w:color="auto" w:fill="FFFFFF"/>
        </w:rPr>
        <w:t xml:space="preserve"> a </w:t>
      </w:r>
      <w:r w:rsidRPr="0013163D">
        <w:rPr>
          <w:rFonts w:cs="Times New Roman"/>
          <w:color w:val="333333"/>
          <w:szCs w:val="24"/>
          <w:shd w:val="clear" w:color="auto" w:fill="FFFFFF"/>
        </w:rPr>
        <w:t>osobą,</w:t>
      </w:r>
      <w:r w:rsidR="002B2905">
        <w:rPr>
          <w:rFonts w:cs="Times New Roman"/>
          <w:color w:val="333333"/>
          <w:szCs w:val="24"/>
          <w:shd w:val="clear" w:color="auto" w:fill="FFFFFF"/>
        </w:rPr>
        <w:t xml:space="preserve"> o </w:t>
      </w:r>
      <w:r w:rsidRPr="0013163D">
        <w:rPr>
          <w:rFonts w:cs="Times New Roman"/>
          <w:color w:val="333333"/>
          <w:szCs w:val="24"/>
          <w:shd w:val="clear" w:color="auto" w:fill="FFFFFF"/>
        </w:rPr>
        <w:t>której mowa</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art. 3</w:t>
      </w:r>
      <w:r w:rsidR="00B03F88">
        <w:rPr>
          <w:rFonts w:cs="Times New Roman"/>
          <w:color w:val="333333"/>
          <w:szCs w:val="24"/>
          <w:shd w:val="clear" w:color="auto" w:fill="FFFFFF"/>
        </w:rPr>
        <w:t xml:space="preserve"> u.o.p.z.</w:t>
      </w:r>
      <w:r w:rsidRPr="0013163D">
        <w:rPr>
          <w:rFonts w:cs="Times New Roman"/>
          <w:color w:val="333333"/>
          <w:szCs w:val="24"/>
          <w:shd w:val="clear" w:color="auto" w:fill="FFFFFF"/>
        </w:rPr>
        <w:t>,</w:t>
      </w:r>
      <w:r w:rsidR="002B2905">
        <w:rPr>
          <w:rFonts w:cs="Times New Roman"/>
          <w:color w:val="333333"/>
          <w:szCs w:val="24"/>
          <w:shd w:val="clear" w:color="auto" w:fill="FFFFFF"/>
        </w:rPr>
        <w:t xml:space="preserve"> a </w:t>
      </w:r>
      <w:r w:rsidRPr="0013163D">
        <w:rPr>
          <w:rFonts w:cs="Times New Roman"/>
          <w:color w:val="333333"/>
          <w:szCs w:val="24"/>
          <w:shd w:val="clear" w:color="auto" w:fill="FFFFFF"/>
        </w:rPr>
        <w:t>pokrzywdzony dodatkowo ma zapewnioną pełną kompensację szkody.</w:t>
      </w:r>
    </w:p>
    <w:p w14:paraId="2FC9F46C" w14:textId="0F7ED7FA" w:rsidR="008E4B15" w:rsidRPr="0013163D" w:rsidRDefault="008E4B15" w:rsidP="004D2D15">
      <w:pPr>
        <w:ind w:firstLine="708"/>
        <w:jc w:val="both"/>
        <w:rPr>
          <w:rFonts w:cs="Times New Roman"/>
          <w:color w:val="333333"/>
          <w:szCs w:val="24"/>
          <w:shd w:val="clear" w:color="auto" w:fill="FFFFFF"/>
        </w:rPr>
      </w:pPr>
      <w:r w:rsidRPr="0013163D">
        <w:rPr>
          <w:rFonts w:cs="Times New Roman"/>
          <w:color w:val="333333"/>
          <w:szCs w:val="24"/>
          <w:shd w:val="clear" w:color="auto" w:fill="FFFFFF"/>
        </w:rPr>
        <w:t>Omawiany element jest niezwykle ważny dla projektowanej nowelizacji, ponieważ</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ten sposób racjonalizuje on obecny stan prawny</w:t>
      </w:r>
      <w:r w:rsidR="002B2905">
        <w:rPr>
          <w:rFonts w:cs="Times New Roman"/>
          <w:color w:val="333333"/>
          <w:szCs w:val="24"/>
          <w:shd w:val="clear" w:color="auto" w:fill="FFFFFF"/>
        </w:rPr>
        <w:t xml:space="preserve"> i </w:t>
      </w:r>
      <w:r w:rsidRPr="0013163D">
        <w:rPr>
          <w:rFonts w:cs="Times New Roman"/>
          <w:color w:val="333333"/>
          <w:szCs w:val="24"/>
          <w:shd w:val="clear" w:color="auto" w:fill="FFFFFF"/>
        </w:rPr>
        <w:t>faktyczny,</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którym reprezentant odpowiada samodzielnie</w:t>
      </w:r>
      <w:r w:rsidR="002B2905">
        <w:rPr>
          <w:rFonts w:cs="Times New Roman"/>
          <w:color w:val="333333"/>
          <w:szCs w:val="24"/>
          <w:shd w:val="clear" w:color="auto" w:fill="FFFFFF"/>
        </w:rPr>
        <w:t xml:space="preserve"> i </w:t>
      </w:r>
      <w:r w:rsidR="004E3461">
        <w:rPr>
          <w:rFonts w:cs="Times New Roman"/>
          <w:color w:val="333333"/>
          <w:szCs w:val="24"/>
          <w:shd w:val="clear" w:color="auto" w:fill="FFFFFF"/>
        </w:rPr>
        <w:t>w </w:t>
      </w:r>
      <w:r w:rsidRPr="0013163D">
        <w:rPr>
          <w:rFonts w:cs="Times New Roman"/>
          <w:color w:val="333333"/>
          <w:szCs w:val="24"/>
          <w:shd w:val="clear" w:color="auto" w:fill="FFFFFF"/>
        </w:rPr>
        <w:t>pełni za popełnienie czynu zabronionego, który</w:t>
      </w:r>
      <w:r w:rsidR="004E3461">
        <w:rPr>
          <w:rFonts w:cs="Times New Roman"/>
          <w:color w:val="333333"/>
          <w:szCs w:val="24"/>
          <w:shd w:val="clear" w:color="auto" w:fill="FFFFFF"/>
        </w:rPr>
        <w:t xml:space="preserve"> w </w:t>
      </w:r>
      <w:r w:rsidRPr="0013163D">
        <w:rPr>
          <w:rFonts w:cs="Times New Roman"/>
          <w:color w:val="333333"/>
          <w:szCs w:val="24"/>
          <w:shd w:val="clear" w:color="auto" w:fill="FFFFFF"/>
        </w:rPr>
        <w:t>istocie był konsekwencją dysfunkcjonalnej działalności podmiotu zbiorowego.</w:t>
      </w:r>
    </w:p>
    <w:p w14:paraId="71B2AD12" w14:textId="639F1BCF" w:rsidR="008E4B15" w:rsidRPr="0013163D" w:rsidRDefault="008E4B15" w:rsidP="004D2D15">
      <w:pPr>
        <w:ind w:firstLine="708"/>
        <w:jc w:val="both"/>
        <w:rPr>
          <w:rFonts w:cs="Times New Roman"/>
          <w:bCs/>
          <w:szCs w:val="24"/>
        </w:rPr>
      </w:pPr>
      <w:r w:rsidRPr="0013163D">
        <w:rPr>
          <w:rFonts w:cs="Times New Roman"/>
          <w:bCs/>
          <w:szCs w:val="24"/>
        </w:rPr>
        <w:t xml:space="preserve">Jeszcze raz </w:t>
      </w:r>
      <w:r w:rsidR="003D77A9">
        <w:rPr>
          <w:rFonts w:cs="Times New Roman"/>
          <w:bCs/>
          <w:szCs w:val="24"/>
        </w:rPr>
        <w:t xml:space="preserve">należy </w:t>
      </w:r>
      <w:r w:rsidRPr="0013163D">
        <w:rPr>
          <w:rFonts w:cs="Times New Roman"/>
          <w:bCs/>
          <w:szCs w:val="24"/>
        </w:rPr>
        <w:t>podkreślić, że przywołany powyżej oportunistyczno-konsensualny sposób rozstrzygania</w:t>
      </w:r>
      <w:r w:rsidR="002B2905">
        <w:rPr>
          <w:rFonts w:cs="Times New Roman"/>
          <w:bCs/>
          <w:szCs w:val="24"/>
        </w:rPr>
        <w:t xml:space="preserve"> o </w:t>
      </w:r>
      <w:r w:rsidRPr="0013163D">
        <w:rPr>
          <w:rFonts w:cs="Times New Roman"/>
          <w:bCs/>
          <w:szCs w:val="24"/>
        </w:rPr>
        <w:t>odpowiedzialności podmiotu zbiorowego byłby objęty pełną kontrolą, najpierw przez prokuratora,</w:t>
      </w:r>
      <w:r w:rsidR="002B2905">
        <w:rPr>
          <w:rFonts w:cs="Times New Roman"/>
          <w:bCs/>
          <w:szCs w:val="24"/>
        </w:rPr>
        <w:t xml:space="preserve"> a </w:t>
      </w:r>
      <w:r w:rsidRPr="0013163D">
        <w:rPr>
          <w:rFonts w:cs="Times New Roman"/>
          <w:bCs/>
          <w:szCs w:val="24"/>
        </w:rPr>
        <w:t xml:space="preserve">następnie przez sąd. Wyklucza to ewentualne nieprawidłowości przy jego realizacji. Z drugiej strony </w:t>
      </w:r>
      <w:r w:rsidR="005C2106" w:rsidRPr="0013163D">
        <w:rPr>
          <w:rFonts w:cs="Times New Roman"/>
          <w:bCs/>
          <w:szCs w:val="24"/>
        </w:rPr>
        <w:t xml:space="preserve">są </w:t>
      </w:r>
      <w:r w:rsidRPr="0013163D">
        <w:rPr>
          <w:rFonts w:cs="Times New Roman"/>
          <w:bCs/>
          <w:szCs w:val="24"/>
        </w:rPr>
        <w:t>zabezpieczone również interesy podmiotu zbiorowego, ponieważ jego odpowiedzialność może być procedowana tylko</w:t>
      </w:r>
      <w:r w:rsidR="004E3461">
        <w:rPr>
          <w:rFonts w:cs="Times New Roman"/>
          <w:bCs/>
          <w:szCs w:val="24"/>
        </w:rPr>
        <w:t xml:space="preserve"> z </w:t>
      </w:r>
      <w:r w:rsidRPr="0013163D">
        <w:rPr>
          <w:rFonts w:cs="Times New Roman"/>
          <w:bCs/>
          <w:szCs w:val="24"/>
        </w:rPr>
        <w:t>jego własnej</w:t>
      </w:r>
      <w:r w:rsidR="002B2905">
        <w:rPr>
          <w:rFonts w:cs="Times New Roman"/>
          <w:bCs/>
          <w:szCs w:val="24"/>
        </w:rPr>
        <w:t xml:space="preserve"> i </w:t>
      </w:r>
      <w:r w:rsidRPr="0013163D">
        <w:rPr>
          <w:rFonts w:cs="Times New Roman"/>
          <w:bCs/>
          <w:szCs w:val="24"/>
        </w:rPr>
        <w:t xml:space="preserve">samodzielnej inicjatywy (za jego zgodą). </w:t>
      </w:r>
    </w:p>
    <w:p w14:paraId="412DF121" w14:textId="77777777" w:rsidR="00374392" w:rsidRDefault="008E4B15" w:rsidP="00374392">
      <w:pPr>
        <w:ind w:firstLine="708"/>
        <w:jc w:val="both"/>
        <w:rPr>
          <w:rFonts w:cs="Times New Roman"/>
          <w:bCs/>
          <w:szCs w:val="24"/>
        </w:rPr>
      </w:pPr>
      <w:r w:rsidRPr="0013163D">
        <w:rPr>
          <w:rFonts w:cs="Times New Roman"/>
          <w:bCs/>
          <w:szCs w:val="24"/>
        </w:rPr>
        <w:t>Proponowane rozwiązanie powinno się także przyczynić do większej dbałości kadry zarządzającej</w:t>
      </w:r>
      <w:r w:rsidR="002B2905">
        <w:rPr>
          <w:rFonts w:cs="Times New Roman"/>
          <w:bCs/>
          <w:szCs w:val="24"/>
        </w:rPr>
        <w:t xml:space="preserve"> o </w:t>
      </w:r>
      <w:r w:rsidRPr="0013163D">
        <w:rPr>
          <w:rFonts w:cs="Times New Roman"/>
          <w:bCs/>
          <w:szCs w:val="24"/>
        </w:rPr>
        <w:t>właściwą „kulturę organizacyjną” swojego przedsiębiorstwa, która stanowi główną podstawę unikania przez niego</w:t>
      </w:r>
      <w:r w:rsidR="002B2905">
        <w:rPr>
          <w:rFonts w:cs="Times New Roman"/>
          <w:bCs/>
          <w:szCs w:val="24"/>
        </w:rPr>
        <w:t xml:space="preserve"> i </w:t>
      </w:r>
      <w:r w:rsidRPr="0013163D">
        <w:rPr>
          <w:rFonts w:cs="Times New Roman"/>
          <w:bCs/>
          <w:szCs w:val="24"/>
        </w:rPr>
        <w:t>jego reprezentantów odpowiedzialności penalnej.</w:t>
      </w:r>
    </w:p>
    <w:p w14:paraId="57B8A81E" w14:textId="69FAB754" w:rsidR="00881718" w:rsidRDefault="00812A0A" w:rsidP="00881718">
      <w:pPr>
        <w:ind w:firstLine="708"/>
        <w:jc w:val="both"/>
        <w:rPr>
          <w:rFonts w:cs="Times New Roman"/>
          <w:bCs/>
          <w:szCs w:val="24"/>
        </w:rPr>
      </w:pPr>
      <w:r>
        <w:rPr>
          <w:rFonts w:cs="Times New Roman"/>
          <w:bCs/>
          <w:szCs w:val="24"/>
        </w:rPr>
        <w:t>Z uwagi na fakt, że z</w:t>
      </w:r>
      <w:r w:rsidR="004A02D5" w:rsidRPr="004A02D5">
        <w:rPr>
          <w:rFonts w:cs="Times New Roman"/>
          <w:bCs/>
          <w:szCs w:val="24"/>
        </w:rPr>
        <w:t>godnie z niezmienianym art. 12 u.o.p.z. w szczególnie uzasadnionych wypadkach, gdy</w:t>
      </w:r>
      <w:r w:rsidR="004A02D5">
        <w:rPr>
          <w:rFonts w:cs="Times New Roman"/>
          <w:bCs/>
          <w:szCs w:val="24"/>
        </w:rPr>
        <w:t xml:space="preserve"> </w:t>
      </w:r>
      <w:r w:rsidR="004A02D5" w:rsidRPr="004A02D5">
        <w:rPr>
          <w:rFonts w:cs="Times New Roman"/>
          <w:bCs/>
          <w:szCs w:val="24"/>
        </w:rPr>
        <w:t>czyn zabroniony stanowiący podstawę odpowiedzialności podmiotu zbiorowego nie</w:t>
      </w:r>
      <w:r w:rsidR="004A02D5">
        <w:rPr>
          <w:rFonts w:cs="Times New Roman"/>
          <w:bCs/>
          <w:szCs w:val="24"/>
        </w:rPr>
        <w:t xml:space="preserve"> </w:t>
      </w:r>
      <w:r w:rsidR="004A02D5" w:rsidRPr="004A02D5">
        <w:rPr>
          <w:rFonts w:cs="Times New Roman"/>
          <w:bCs/>
          <w:szCs w:val="24"/>
        </w:rPr>
        <w:t>przyniósł temu podmiotowi korzyści, sąd może odstąpić od orzeczenia kary pieniężnej,</w:t>
      </w:r>
      <w:r w:rsidR="004A02D5">
        <w:rPr>
          <w:rFonts w:cs="Times New Roman"/>
          <w:bCs/>
          <w:szCs w:val="24"/>
        </w:rPr>
        <w:t xml:space="preserve"> </w:t>
      </w:r>
      <w:r w:rsidR="004A02D5" w:rsidRPr="004A02D5">
        <w:rPr>
          <w:rFonts w:cs="Times New Roman"/>
          <w:bCs/>
          <w:szCs w:val="24"/>
        </w:rPr>
        <w:t>poprzestając na orzeczeniu przepadku, zakazu lub podania wyroku do publicznej</w:t>
      </w:r>
      <w:r w:rsidR="004A02D5">
        <w:rPr>
          <w:rFonts w:cs="Times New Roman"/>
          <w:bCs/>
          <w:szCs w:val="24"/>
        </w:rPr>
        <w:t xml:space="preserve"> </w:t>
      </w:r>
      <w:r w:rsidR="004A02D5" w:rsidRPr="004A02D5">
        <w:rPr>
          <w:rFonts w:cs="Times New Roman"/>
          <w:bCs/>
          <w:szCs w:val="24"/>
        </w:rPr>
        <w:t>wiadomości – co nie daje możliwości orzeczenia w takim przypadku odszkodowani</w:t>
      </w:r>
      <w:r w:rsidR="004007C1">
        <w:rPr>
          <w:rFonts w:cs="Times New Roman"/>
          <w:bCs/>
          <w:szCs w:val="24"/>
        </w:rPr>
        <w:t>a</w:t>
      </w:r>
      <w:r w:rsidR="004A02D5" w:rsidRPr="004A02D5">
        <w:rPr>
          <w:rFonts w:cs="Times New Roman"/>
          <w:bCs/>
          <w:szCs w:val="24"/>
        </w:rPr>
        <w:t xml:space="preserve"> i zadośćuczynieni</w:t>
      </w:r>
      <w:r w:rsidR="004007C1">
        <w:rPr>
          <w:rFonts w:cs="Times New Roman"/>
          <w:bCs/>
          <w:szCs w:val="24"/>
        </w:rPr>
        <w:t>a</w:t>
      </w:r>
      <w:r w:rsidR="004A02D5" w:rsidRPr="004A02D5">
        <w:rPr>
          <w:rFonts w:cs="Times New Roman"/>
          <w:bCs/>
          <w:szCs w:val="24"/>
        </w:rPr>
        <w:t xml:space="preserve"> za doznaną krzywdę</w:t>
      </w:r>
      <w:r>
        <w:rPr>
          <w:rFonts w:cs="Times New Roman"/>
          <w:bCs/>
          <w:szCs w:val="24"/>
        </w:rPr>
        <w:t xml:space="preserve">, w projekcie proponuje się </w:t>
      </w:r>
      <w:r w:rsidR="004007C1">
        <w:rPr>
          <w:rFonts w:cs="Times New Roman"/>
          <w:bCs/>
          <w:szCs w:val="24"/>
        </w:rPr>
        <w:t xml:space="preserve">zatem </w:t>
      </w:r>
      <w:r>
        <w:rPr>
          <w:rFonts w:cs="Times New Roman"/>
          <w:bCs/>
          <w:szCs w:val="24"/>
        </w:rPr>
        <w:t xml:space="preserve">nadanie nowego brzmienia art. 12 </w:t>
      </w:r>
      <w:r w:rsidRPr="00812A0A">
        <w:rPr>
          <w:rFonts w:cs="Times New Roman"/>
          <w:bCs/>
          <w:szCs w:val="24"/>
        </w:rPr>
        <w:t>u.o.p.z.</w:t>
      </w:r>
      <w:r>
        <w:rPr>
          <w:rFonts w:cs="Times New Roman"/>
          <w:bCs/>
          <w:szCs w:val="24"/>
        </w:rPr>
        <w:t xml:space="preserve"> przez </w:t>
      </w:r>
      <w:bookmarkStart w:id="1" w:name="_Hlk201651023"/>
      <w:r>
        <w:rPr>
          <w:rFonts w:cs="Times New Roman"/>
          <w:bCs/>
          <w:szCs w:val="24"/>
        </w:rPr>
        <w:t xml:space="preserve">uzupełnienie katalogu możliwości orzeczenia </w:t>
      </w:r>
      <w:r w:rsidR="00374392">
        <w:rPr>
          <w:rFonts w:cs="Times New Roman"/>
          <w:bCs/>
          <w:szCs w:val="24"/>
        </w:rPr>
        <w:t xml:space="preserve">w przypadku odstąpienia od orzeczenia kary pieniężnej również obowiązku naprawienia szkody lub zadośćuczynienia za doznaną krzywdę. </w:t>
      </w:r>
      <w:bookmarkEnd w:id="1"/>
    </w:p>
    <w:p w14:paraId="3D97633A" w14:textId="7892D4A8" w:rsidR="0094407B" w:rsidRDefault="00374392" w:rsidP="00881718">
      <w:pPr>
        <w:ind w:firstLine="708"/>
        <w:jc w:val="both"/>
        <w:rPr>
          <w:rFonts w:cs="Times New Roman"/>
          <w:bCs/>
          <w:szCs w:val="24"/>
        </w:rPr>
      </w:pPr>
      <w:r>
        <w:rPr>
          <w:rFonts w:cs="Times New Roman"/>
          <w:bCs/>
          <w:szCs w:val="24"/>
        </w:rPr>
        <w:t>W projekcie zaproponowa</w:t>
      </w:r>
      <w:r w:rsidR="00444FF9">
        <w:rPr>
          <w:rFonts w:cs="Times New Roman"/>
          <w:bCs/>
          <w:szCs w:val="24"/>
        </w:rPr>
        <w:t>no nowe</w:t>
      </w:r>
      <w:r w:rsidR="00881718">
        <w:rPr>
          <w:rFonts w:cs="Times New Roman"/>
          <w:bCs/>
          <w:szCs w:val="24"/>
        </w:rPr>
        <w:t xml:space="preserve">lizację </w:t>
      </w:r>
      <w:r w:rsidR="005C2106">
        <w:rPr>
          <w:rFonts w:cs="Times New Roman"/>
          <w:bCs/>
          <w:szCs w:val="24"/>
        </w:rPr>
        <w:t xml:space="preserve">art. </w:t>
      </w:r>
      <w:r w:rsidR="00444FF9">
        <w:rPr>
          <w:rFonts w:cs="Times New Roman"/>
          <w:bCs/>
          <w:szCs w:val="24"/>
        </w:rPr>
        <w:t xml:space="preserve">14 </w:t>
      </w:r>
      <w:r w:rsidR="0094407B">
        <w:rPr>
          <w:rFonts w:cs="Times New Roman"/>
          <w:bCs/>
          <w:szCs w:val="24"/>
        </w:rPr>
        <w:t xml:space="preserve">i </w:t>
      </w:r>
      <w:r w:rsidR="005C2106">
        <w:rPr>
          <w:rFonts w:cs="Times New Roman"/>
          <w:bCs/>
          <w:szCs w:val="24"/>
        </w:rPr>
        <w:t xml:space="preserve">art. </w:t>
      </w:r>
      <w:r w:rsidR="0094407B">
        <w:rPr>
          <w:rFonts w:cs="Times New Roman"/>
          <w:bCs/>
          <w:szCs w:val="24"/>
        </w:rPr>
        <w:t xml:space="preserve">15 </w:t>
      </w:r>
      <w:r w:rsidR="00444FF9">
        <w:rPr>
          <w:rFonts w:cs="Times New Roman"/>
          <w:bCs/>
          <w:szCs w:val="24"/>
        </w:rPr>
        <w:t xml:space="preserve">u.o.p.z. </w:t>
      </w:r>
      <w:r w:rsidR="00881718">
        <w:rPr>
          <w:rFonts w:cs="Times New Roman"/>
          <w:bCs/>
          <w:szCs w:val="24"/>
        </w:rPr>
        <w:t xml:space="preserve">przez </w:t>
      </w:r>
      <w:r w:rsidR="00881718" w:rsidRPr="00881718">
        <w:rPr>
          <w:rFonts w:cs="Times New Roman"/>
          <w:bCs/>
          <w:szCs w:val="24"/>
        </w:rPr>
        <w:t>dodan</w:t>
      </w:r>
      <w:r w:rsidR="0094407B">
        <w:rPr>
          <w:rFonts w:cs="Times New Roman"/>
          <w:bCs/>
          <w:szCs w:val="24"/>
        </w:rPr>
        <w:t>ie</w:t>
      </w:r>
      <w:r w:rsidR="00881718" w:rsidRPr="00881718">
        <w:rPr>
          <w:rFonts w:cs="Times New Roman"/>
          <w:bCs/>
          <w:szCs w:val="24"/>
        </w:rPr>
        <w:t xml:space="preserve"> regulacj</w:t>
      </w:r>
      <w:r w:rsidR="0094407B">
        <w:rPr>
          <w:rFonts w:cs="Times New Roman"/>
          <w:bCs/>
          <w:szCs w:val="24"/>
        </w:rPr>
        <w:t>i</w:t>
      </w:r>
      <w:r w:rsidR="00881718" w:rsidRPr="00881718">
        <w:rPr>
          <w:rFonts w:cs="Times New Roman"/>
          <w:bCs/>
          <w:szCs w:val="24"/>
        </w:rPr>
        <w:t xml:space="preserve"> o</w:t>
      </w:r>
      <w:r w:rsidR="00FB6C6D">
        <w:rPr>
          <w:rFonts w:cs="Times New Roman"/>
          <w:bCs/>
          <w:szCs w:val="24"/>
        </w:rPr>
        <w:t> </w:t>
      </w:r>
      <w:r w:rsidR="00881718" w:rsidRPr="00881718">
        <w:rPr>
          <w:rFonts w:cs="Times New Roman"/>
          <w:bCs/>
          <w:szCs w:val="24"/>
        </w:rPr>
        <w:t xml:space="preserve">przedawnieniu orzekania </w:t>
      </w:r>
      <w:r w:rsidR="00885AC5">
        <w:rPr>
          <w:rFonts w:cs="Times New Roman"/>
          <w:bCs/>
          <w:szCs w:val="24"/>
        </w:rPr>
        <w:t>oraz przedawnieniu wykonania kary i nałożonych środków</w:t>
      </w:r>
      <w:r w:rsidR="00FB6C6D">
        <w:rPr>
          <w:rFonts w:cs="Times New Roman"/>
          <w:bCs/>
          <w:szCs w:val="24"/>
        </w:rPr>
        <w:t xml:space="preserve"> </w:t>
      </w:r>
      <w:r w:rsidR="00881718" w:rsidRPr="00881718">
        <w:rPr>
          <w:rFonts w:cs="Times New Roman"/>
          <w:bCs/>
          <w:szCs w:val="24"/>
        </w:rPr>
        <w:t>o</w:t>
      </w:r>
      <w:r w:rsidR="00FB6C6D">
        <w:rPr>
          <w:rFonts w:cs="Times New Roman"/>
          <w:bCs/>
          <w:szCs w:val="24"/>
        </w:rPr>
        <w:t> </w:t>
      </w:r>
      <w:r w:rsidR="00881718" w:rsidRPr="00881718">
        <w:rPr>
          <w:rFonts w:cs="Times New Roman"/>
          <w:bCs/>
          <w:szCs w:val="24"/>
        </w:rPr>
        <w:t>obowiąz</w:t>
      </w:r>
      <w:r w:rsidR="00885AC5">
        <w:rPr>
          <w:rFonts w:cs="Times New Roman"/>
          <w:bCs/>
          <w:szCs w:val="24"/>
        </w:rPr>
        <w:t>e</w:t>
      </w:r>
      <w:r w:rsidR="00881718" w:rsidRPr="00881718">
        <w:rPr>
          <w:rFonts w:cs="Times New Roman"/>
          <w:bCs/>
          <w:szCs w:val="24"/>
        </w:rPr>
        <w:t>k naprawienia szkody lub zadośćuczynienia za</w:t>
      </w:r>
      <w:r w:rsidR="00881718">
        <w:rPr>
          <w:rFonts w:cs="Times New Roman"/>
          <w:bCs/>
          <w:szCs w:val="24"/>
        </w:rPr>
        <w:t xml:space="preserve"> </w:t>
      </w:r>
      <w:r w:rsidR="00881718" w:rsidRPr="00881718">
        <w:rPr>
          <w:rFonts w:cs="Times New Roman"/>
          <w:bCs/>
          <w:szCs w:val="24"/>
        </w:rPr>
        <w:t>doznaną krzywdę.</w:t>
      </w:r>
    </w:p>
    <w:p w14:paraId="12F5E39D" w14:textId="61D30C81" w:rsidR="00C96276" w:rsidRPr="00394A42" w:rsidRDefault="00B03F88" w:rsidP="006573F8">
      <w:pPr>
        <w:spacing w:before="120" w:after="120"/>
        <w:ind w:firstLine="709"/>
        <w:jc w:val="both"/>
        <w:rPr>
          <w:rFonts w:cs="Times New Roman"/>
          <w:b/>
          <w:szCs w:val="24"/>
          <w:u w:val="single"/>
        </w:rPr>
      </w:pPr>
      <w:r w:rsidRPr="004D2D15">
        <w:rPr>
          <w:rFonts w:cs="Times New Roman"/>
          <w:b/>
          <w:szCs w:val="24"/>
          <w:u w:val="single"/>
        </w:rPr>
        <w:lastRenderedPageBreak/>
        <w:t>Zmiany</w:t>
      </w:r>
      <w:r w:rsidR="004E3461">
        <w:rPr>
          <w:rFonts w:cs="Times New Roman"/>
          <w:b/>
          <w:szCs w:val="24"/>
          <w:u w:val="single"/>
        </w:rPr>
        <w:t xml:space="preserve"> w</w:t>
      </w:r>
      <w:r w:rsidR="00683600">
        <w:rPr>
          <w:rFonts w:cs="Times New Roman"/>
          <w:b/>
          <w:szCs w:val="24"/>
          <w:u w:val="single"/>
        </w:rPr>
        <w:t xml:space="preserve"> </w:t>
      </w:r>
      <w:r w:rsidRPr="004D2D15">
        <w:rPr>
          <w:rFonts w:cs="Times New Roman"/>
          <w:b/>
          <w:szCs w:val="24"/>
          <w:u w:val="single"/>
        </w:rPr>
        <w:t>ustawie</w:t>
      </w:r>
      <w:r w:rsidR="002B2905">
        <w:rPr>
          <w:rFonts w:cs="Times New Roman"/>
          <w:b/>
          <w:szCs w:val="24"/>
          <w:u w:val="single"/>
        </w:rPr>
        <w:t xml:space="preserve"> o</w:t>
      </w:r>
      <w:r w:rsidR="00683600">
        <w:rPr>
          <w:rFonts w:cs="Times New Roman"/>
          <w:b/>
          <w:szCs w:val="24"/>
          <w:u w:val="single"/>
        </w:rPr>
        <w:t xml:space="preserve"> </w:t>
      </w:r>
      <w:r w:rsidRPr="004D2D15">
        <w:rPr>
          <w:rFonts w:cs="Times New Roman"/>
          <w:b/>
          <w:szCs w:val="24"/>
          <w:u w:val="single"/>
        </w:rPr>
        <w:t xml:space="preserve">przeciwdziałaniu praniu pieniędzy </w:t>
      </w:r>
      <w:r w:rsidR="0006615E">
        <w:rPr>
          <w:rFonts w:cs="Times New Roman"/>
          <w:b/>
          <w:szCs w:val="24"/>
          <w:u w:val="single"/>
        </w:rPr>
        <w:t>oraz</w:t>
      </w:r>
      <w:r w:rsidRPr="004D2D15">
        <w:rPr>
          <w:rFonts w:cs="Times New Roman"/>
          <w:b/>
          <w:szCs w:val="24"/>
          <w:u w:val="single"/>
        </w:rPr>
        <w:t xml:space="preserve"> finansowaniu terroryzmu</w:t>
      </w:r>
    </w:p>
    <w:p w14:paraId="53554C54" w14:textId="40EFB4EE" w:rsidR="00C96276" w:rsidRPr="00893BFB" w:rsidRDefault="00C96276" w:rsidP="004D2D15">
      <w:pPr>
        <w:pStyle w:val="USTustnpkodeksu"/>
        <w:ind w:firstLine="708"/>
        <w:rPr>
          <w:rFonts w:ascii="Times New Roman" w:hAnsi="Times New Roman" w:cs="Times New Roman"/>
          <w:szCs w:val="24"/>
        </w:rPr>
      </w:pPr>
      <w:r w:rsidRPr="004D2D15">
        <w:rPr>
          <w:rFonts w:ascii="Times New Roman" w:hAnsi="Times New Roman" w:cs="Times New Roman"/>
          <w:szCs w:val="24"/>
        </w:rPr>
        <w:t xml:space="preserve">Obowiązująca </w:t>
      </w:r>
      <w:r w:rsidR="007C3428">
        <w:rPr>
          <w:rFonts w:ascii="Times New Roman" w:hAnsi="Times New Roman" w:cs="Times New Roman"/>
          <w:szCs w:val="24"/>
        </w:rPr>
        <w:t>u.p.p.p.f.t.</w:t>
      </w:r>
      <w:r w:rsidR="004E3461">
        <w:rPr>
          <w:rFonts w:ascii="Times New Roman" w:hAnsi="Times New Roman" w:cs="Times New Roman"/>
          <w:szCs w:val="24"/>
        </w:rPr>
        <w:t xml:space="preserve"> w </w:t>
      </w:r>
      <w:r w:rsidRPr="00893BFB">
        <w:rPr>
          <w:rFonts w:ascii="Times New Roman" w:hAnsi="Times New Roman" w:cs="Times New Roman"/>
          <w:szCs w:val="24"/>
        </w:rPr>
        <w:t xml:space="preserve">art. 156 przewiduje odpowiedzialność karną dla osoby wyznaczonej do zgłaszania </w:t>
      </w:r>
      <w:r w:rsidR="00D95618">
        <w:rPr>
          <w:rFonts w:ascii="Times New Roman" w:hAnsi="Times New Roman" w:cs="Times New Roman"/>
          <w:szCs w:val="24"/>
        </w:rPr>
        <w:t>Generalnemu Inspektorowi Informacji Finansowej, dalej „GIIF”,</w:t>
      </w:r>
      <w:r w:rsidRPr="00893BFB">
        <w:rPr>
          <w:rFonts w:ascii="Times New Roman" w:hAnsi="Times New Roman" w:cs="Times New Roman"/>
          <w:szCs w:val="24"/>
        </w:rPr>
        <w:t xml:space="preserve"> informacji wskazanych</w:t>
      </w:r>
      <w:r w:rsidR="004E3461">
        <w:rPr>
          <w:rFonts w:ascii="Times New Roman" w:hAnsi="Times New Roman" w:cs="Times New Roman"/>
          <w:szCs w:val="24"/>
        </w:rPr>
        <w:t xml:space="preserve"> w </w:t>
      </w:r>
      <w:r w:rsidRPr="00893BFB">
        <w:rPr>
          <w:rFonts w:ascii="Times New Roman" w:hAnsi="Times New Roman" w:cs="Times New Roman"/>
          <w:szCs w:val="24"/>
        </w:rPr>
        <w:t xml:space="preserve">art. 74, </w:t>
      </w:r>
      <w:r w:rsidR="005C2106">
        <w:rPr>
          <w:rFonts w:ascii="Times New Roman" w:hAnsi="Times New Roman" w:cs="Times New Roman"/>
          <w:szCs w:val="24"/>
        </w:rPr>
        <w:t xml:space="preserve">art. </w:t>
      </w:r>
      <w:r w:rsidRPr="00893BFB">
        <w:rPr>
          <w:rFonts w:ascii="Times New Roman" w:hAnsi="Times New Roman" w:cs="Times New Roman"/>
          <w:szCs w:val="24"/>
        </w:rPr>
        <w:t xml:space="preserve">86 oraz </w:t>
      </w:r>
      <w:r w:rsidR="005C2106">
        <w:rPr>
          <w:rFonts w:ascii="Times New Roman" w:hAnsi="Times New Roman" w:cs="Times New Roman"/>
          <w:szCs w:val="24"/>
        </w:rPr>
        <w:t xml:space="preserve">art. </w:t>
      </w:r>
      <w:r w:rsidRPr="00893BFB">
        <w:rPr>
          <w:rFonts w:ascii="Times New Roman" w:hAnsi="Times New Roman" w:cs="Times New Roman"/>
          <w:szCs w:val="24"/>
        </w:rPr>
        <w:t xml:space="preserve">90 </w:t>
      </w:r>
      <w:r w:rsidR="00B03F88">
        <w:rPr>
          <w:rFonts w:ascii="Times New Roman" w:hAnsi="Times New Roman" w:cs="Times New Roman"/>
          <w:szCs w:val="24"/>
        </w:rPr>
        <w:t>u.p.p.p.f.t.</w:t>
      </w:r>
      <w:r w:rsidRPr="00893BFB">
        <w:rPr>
          <w:rFonts w:ascii="Times New Roman" w:hAnsi="Times New Roman" w:cs="Times New Roman"/>
          <w:szCs w:val="24"/>
        </w:rPr>
        <w:t>, t</w:t>
      </w:r>
      <w:r w:rsidR="00B03F88">
        <w:rPr>
          <w:rFonts w:ascii="Times New Roman" w:hAnsi="Times New Roman" w:cs="Times New Roman"/>
          <w:szCs w:val="24"/>
        </w:rPr>
        <w:t>o jest</w:t>
      </w:r>
      <w:r w:rsidRPr="00893BFB">
        <w:rPr>
          <w:rFonts w:ascii="Times New Roman" w:hAnsi="Times New Roman" w:cs="Times New Roman"/>
          <w:szCs w:val="24"/>
        </w:rPr>
        <w:t xml:space="preserve"> </w:t>
      </w:r>
      <w:r w:rsidR="00EE13B9">
        <w:t>i</w:t>
      </w:r>
      <w:r w:rsidRPr="00EE13B9">
        <w:t>n</w:t>
      </w:r>
      <w:r w:rsidRPr="004D2D15">
        <w:rPr>
          <w:rFonts w:ascii="Times New Roman" w:hAnsi="Times New Roman" w:cs="Times New Roman"/>
          <w:szCs w:val="24"/>
        </w:rPr>
        <w:t>formacji dotyczących tzw. transakcji podejrzanych oraz okoliczności wskazujących na możliwość popełnienia przestępstwa prania pieniędzy. Jest to przestępstwo zagrożone karą do 5 lat pozbawienia wolności. Powyższe uregulowanie wprowadza zbędną</w:t>
      </w:r>
      <w:r w:rsidR="002B2905">
        <w:rPr>
          <w:rFonts w:ascii="Times New Roman" w:hAnsi="Times New Roman" w:cs="Times New Roman"/>
          <w:szCs w:val="24"/>
        </w:rPr>
        <w:t xml:space="preserve"> i </w:t>
      </w:r>
      <w:r w:rsidRPr="004D2D15">
        <w:rPr>
          <w:rFonts w:ascii="Times New Roman" w:hAnsi="Times New Roman" w:cs="Times New Roman"/>
          <w:szCs w:val="24"/>
        </w:rPr>
        <w:t>niczym nieuzasadnioną represję karną,</w:t>
      </w:r>
      <w:r w:rsidR="004E3461">
        <w:rPr>
          <w:rFonts w:ascii="Times New Roman" w:hAnsi="Times New Roman" w:cs="Times New Roman"/>
          <w:szCs w:val="24"/>
        </w:rPr>
        <w:t xml:space="preserve"> w </w:t>
      </w:r>
      <w:r w:rsidRPr="004D2D15">
        <w:rPr>
          <w:rFonts w:ascii="Times New Roman" w:hAnsi="Times New Roman" w:cs="Times New Roman"/>
          <w:szCs w:val="24"/>
        </w:rPr>
        <w:t>sytuacji, gdy wystarczające są sankcje administracyjne, przewidziane już na gruncie tej samej ustawy. Zgodnie bowiem</w:t>
      </w:r>
      <w:r w:rsidR="004E3461">
        <w:rPr>
          <w:rFonts w:ascii="Times New Roman" w:hAnsi="Times New Roman" w:cs="Times New Roman"/>
          <w:szCs w:val="24"/>
        </w:rPr>
        <w:t xml:space="preserve"> z </w:t>
      </w:r>
      <w:r w:rsidRPr="004D2D15">
        <w:rPr>
          <w:rFonts w:ascii="Times New Roman" w:hAnsi="Times New Roman" w:cs="Times New Roman"/>
          <w:szCs w:val="24"/>
        </w:rPr>
        <w:t xml:space="preserve">art. 147 pkt 13 </w:t>
      </w:r>
      <w:r w:rsidR="00B03F88">
        <w:rPr>
          <w:rFonts w:ascii="Times New Roman" w:hAnsi="Times New Roman" w:cs="Times New Roman"/>
          <w:szCs w:val="24"/>
        </w:rPr>
        <w:t>u.p.p.p.f.t.</w:t>
      </w:r>
      <w:r w:rsidRPr="00893BFB">
        <w:rPr>
          <w:rFonts w:ascii="Times New Roman" w:hAnsi="Times New Roman" w:cs="Times New Roman"/>
          <w:szCs w:val="24"/>
        </w:rPr>
        <w:t xml:space="preserve"> instytucja obowiązana podlega karze administracyjnej za niezgłoszenie w</w:t>
      </w:r>
      <w:r w:rsidR="007E7FEA">
        <w:rPr>
          <w:rFonts w:ascii="Times New Roman" w:hAnsi="Times New Roman" w:cs="Times New Roman"/>
          <w:szCs w:val="24"/>
        </w:rPr>
        <w:t>yżej wymienionych</w:t>
      </w:r>
      <w:r w:rsidRPr="00893BFB">
        <w:rPr>
          <w:rFonts w:ascii="Times New Roman" w:hAnsi="Times New Roman" w:cs="Times New Roman"/>
          <w:szCs w:val="24"/>
        </w:rPr>
        <w:t xml:space="preserve"> </w:t>
      </w:r>
      <w:r w:rsidR="00EE13B9">
        <w:rPr>
          <w:rFonts w:ascii="Times New Roman" w:hAnsi="Times New Roman" w:cs="Times New Roman"/>
          <w:szCs w:val="24"/>
        </w:rPr>
        <w:t>i</w:t>
      </w:r>
      <w:r w:rsidRPr="00893BFB">
        <w:rPr>
          <w:rFonts w:ascii="Times New Roman" w:hAnsi="Times New Roman" w:cs="Times New Roman"/>
          <w:szCs w:val="24"/>
        </w:rPr>
        <w:t>nformacji do GIIF. Jednocześnie karą administracyjną przewidzianą na gruncie ustawy jest m</w:t>
      </w:r>
      <w:r w:rsidR="00EE13B9">
        <w:rPr>
          <w:rFonts w:ascii="Times New Roman" w:hAnsi="Times New Roman" w:cs="Times New Roman"/>
          <w:szCs w:val="24"/>
        </w:rPr>
        <w:t>i</w:t>
      </w:r>
      <w:r w:rsidR="007E7FEA">
        <w:rPr>
          <w:rFonts w:ascii="Times New Roman" w:hAnsi="Times New Roman" w:cs="Times New Roman"/>
          <w:szCs w:val="24"/>
        </w:rPr>
        <w:t>ę</w:t>
      </w:r>
      <w:r w:rsidR="00EE13B9">
        <w:rPr>
          <w:rFonts w:ascii="Times New Roman" w:hAnsi="Times New Roman" w:cs="Times New Roman"/>
          <w:szCs w:val="24"/>
        </w:rPr>
        <w:t>dzy innymi</w:t>
      </w:r>
      <w:r w:rsidRPr="00893BFB">
        <w:rPr>
          <w:rFonts w:ascii="Times New Roman" w:hAnsi="Times New Roman" w:cs="Times New Roman"/>
          <w:szCs w:val="24"/>
        </w:rPr>
        <w:t xml:space="preserve"> zakaz pełnienia obowiązków na stanowisku kierowniczym</w:t>
      </w:r>
      <w:r w:rsidR="004E3461">
        <w:rPr>
          <w:rFonts w:ascii="Times New Roman" w:hAnsi="Times New Roman" w:cs="Times New Roman"/>
          <w:szCs w:val="24"/>
        </w:rPr>
        <w:t xml:space="preserve"> w </w:t>
      </w:r>
      <w:r w:rsidRPr="00893BFB">
        <w:rPr>
          <w:rFonts w:ascii="Times New Roman" w:hAnsi="Times New Roman" w:cs="Times New Roman"/>
          <w:szCs w:val="24"/>
        </w:rPr>
        <w:t>instytucji obowiązanej. Jest to zatem kara</w:t>
      </w:r>
      <w:r w:rsidR="002B2905">
        <w:rPr>
          <w:rFonts w:ascii="Times New Roman" w:hAnsi="Times New Roman" w:cs="Times New Roman"/>
          <w:szCs w:val="24"/>
        </w:rPr>
        <w:t xml:space="preserve"> o </w:t>
      </w:r>
      <w:r w:rsidRPr="00893BFB">
        <w:rPr>
          <w:rFonts w:ascii="Times New Roman" w:hAnsi="Times New Roman" w:cs="Times New Roman"/>
          <w:szCs w:val="24"/>
        </w:rPr>
        <w:t>charakterze indywidualnym, nakładana na osobę fizyczną,</w:t>
      </w:r>
      <w:r w:rsidR="002B2905">
        <w:rPr>
          <w:rFonts w:ascii="Times New Roman" w:hAnsi="Times New Roman" w:cs="Times New Roman"/>
          <w:szCs w:val="24"/>
        </w:rPr>
        <w:t xml:space="preserve"> a </w:t>
      </w:r>
      <w:r w:rsidRPr="00893BFB">
        <w:rPr>
          <w:rFonts w:ascii="Times New Roman" w:hAnsi="Times New Roman" w:cs="Times New Roman"/>
          <w:szCs w:val="24"/>
        </w:rPr>
        <w:t>nie na sam podmiot. Prowadzi to do wniosku, że</w:t>
      </w:r>
      <w:r w:rsidR="00F81B51" w:rsidRPr="00893BFB">
        <w:rPr>
          <w:rFonts w:ascii="Times New Roman" w:hAnsi="Times New Roman" w:cs="Times New Roman"/>
          <w:szCs w:val="24"/>
        </w:rPr>
        <w:t xml:space="preserve"> osoba odpowiedzialna za zgłaszanie informacji do GIIF</w:t>
      </w:r>
      <w:r w:rsidRPr="00893BFB">
        <w:rPr>
          <w:rFonts w:ascii="Times New Roman" w:hAnsi="Times New Roman" w:cs="Times New Roman"/>
          <w:szCs w:val="24"/>
        </w:rPr>
        <w:t xml:space="preserve"> </w:t>
      </w:r>
      <w:r w:rsidR="00F81B51" w:rsidRPr="00893BFB">
        <w:rPr>
          <w:rFonts w:ascii="Times New Roman" w:hAnsi="Times New Roman" w:cs="Times New Roman"/>
          <w:szCs w:val="24"/>
        </w:rPr>
        <w:t>(„</w:t>
      </w:r>
      <w:r w:rsidRPr="00893BFB">
        <w:rPr>
          <w:rFonts w:ascii="Times New Roman" w:hAnsi="Times New Roman" w:cs="Times New Roman"/>
          <w:szCs w:val="24"/>
        </w:rPr>
        <w:t>MLRO</w:t>
      </w:r>
      <w:r w:rsidR="00F81B51" w:rsidRPr="00893BFB">
        <w:rPr>
          <w:rFonts w:ascii="Times New Roman" w:hAnsi="Times New Roman" w:cs="Times New Roman"/>
          <w:szCs w:val="24"/>
        </w:rPr>
        <w:t>”)</w:t>
      </w:r>
      <w:r w:rsidRPr="00893BFB">
        <w:rPr>
          <w:rFonts w:ascii="Times New Roman" w:hAnsi="Times New Roman" w:cs="Times New Roman"/>
          <w:szCs w:val="24"/>
        </w:rPr>
        <w:t xml:space="preserve"> może jednocześnie podlegać karze administracyjnej,</w:t>
      </w:r>
      <w:r w:rsidR="002B2905">
        <w:rPr>
          <w:rFonts w:ascii="Times New Roman" w:hAnsi="Times New Roman" w:cs="Times New Roman"/>
          <w:szCs w:val="24"/>
        </w:rPr>
        <w:t xml:space="preserve"> a </w:t>
      </w:r>
      <w:r w:rsidRPr="00893BFB">
        <w:rPr>
          <w:rFonts w:ascii="Times New Roman" w:hAnsi="Times New Roman" w:cs="Times New Roman"/>
          <w:szCs w:val="24"/>
        </w:rPr>
        <w:t xml:space="preserve">także karze kryminalnej wymierzonej na podstawie art. 156 </w:t>
      </w:r>
      <w:r w:rsidR="00EE13B9">
        <w:rPr>
          <w:rFonts w:ascii="Times New Roman" w:hAnsi="Times New Roman" w:cs="Times New Roman"/>
          <w:szCs w:val="24"/>
        </w:rPr>
        <w:t>u.p.p.p.f.t</w:t>
      </w:r>
      <w:r w:rsidRPr="00893BFB">
        <w:rPr>
          <w:rFonts w:ascii="Times New Roman" w:hAnsi="Times New Roman" w:cs="Times New Roman"/>
          <w:szCs w:val="24"/>
        </w:rPr>
        <w:t>. Ponadto należy wskazać, że potencjalnie możliwy jest zbieg odpowiedzialności na gruncie art. 299 §</w:t>
      </w:r>
      <w:r w:rsidR="0004616D">
        <w:rPr>
          <w:rFonts w:ascii="Times New Roman" w:hAnsi="Times New Roman" w:cs="Times New Roman"/>
          <w:szCs w:val="24"/>
        </w:rPr>
        <w:t xml:space="preserve"> </w:t>
      </w:r>
      <w:r w:rsidRPr="00893BFB">
        <w:rPr>
          <w:rFonts w:ascii="Times New Roman" w:hAnsi="Times New Roman" w:cs="Times New Roman"/>
          <w:szCs w:val="24"/>
        </w:rPr>
        <w:t>2 k.k. W praktyce organów ścigania oraz zawiadomień składanych przez GIIF wskazywana jest kwalifikacja kumulatywna art. 156 ust</w:t>
      </w:r>
      <w:r w:rsidR="006C5527" w:rsidRPr="00893BFB">
        <w:rPr>
          <w:rFonts w:ascii="Times New Roman" w:hAnsi="Times New Roman" w:cs="Times New Roman"/>
          <w:szCs w:val="24"/>
        </w:rPr>
        <w:t>.</w:t>
      </w:r>
      <w:r w:rsidRPr="00893BFB">
        <w:rPr>
          <w:rFonts w:ascii="Times New Roman" w:hAnsi="Times New Roman" w:cs="Times New Roman"/>
          <w:szCs w:val="24"/>
        </w:rPr>
        <w:t xml:space="preserve"> 1 </w:t>
      </w:r>
      <w:r w:rsidR="00EE13B9">
        <w:rPr>
          <w:rFonts w:ascii="Times New Roman" w:hAnsi="Times New Roman" w:cs="Times New Roman"/>
          <w:szCs w:val="24"/>
        </w:rPr>
        <w:t>u.p.p.p.f.t.</w:t>
      </w:r>
      <w:r w:rsidR="002B2905">
        <w:rPr>
          <w:rFonts w:ascii="Times New Roman" w:hAnsi="Times New Roman" w:cs="Times New Roman"/>
          <w:szCs w:val="24"/>
        </w:rPr>
        <w:t xml:space="preserve"> i </w:t>
      </w:r>
      <w:r w:rsidRPr="00893BFB">
        <w:rPr>
          <w:rFonts w:ascii="Times New Roman" w:hAnsi="Times New Roman" w:cs="Times New Roman"/>
          <w:szCs w:val="24"/>
        </w:rPr>
        <w:t>art. 299 § 2 k.k., co prowadzi do sytuacji,</w:t>
      </w:r>
      <w:r w:rsidR="004E3461">
        <w:rPr>
          <w:rFonts w:ascii="Times New Roman" w:hAnsi="Times New Roman" w:cs="Times New Roman"/>
          <w:szCs w:val="24"/>
        </w:rPr>
        <w:t xml:space="preserve"> w </w:t>
      </w:r>
      <w:r w:rsidRPr="00893BFB">
        <w:rPr>
          <w:rFonts w:ascii="Times New Roman" w:hAnsi="Times New Roman" w:cs="Times New Roman"/>
          <w:szCs w:val="24"/>
        </w:rPr>
        <w:t xml:space="preserve">których </w:t>
      </w:r>
      <w:r w:rsidR="00C66DCD" w:rsidRPr="00375116">
        <w:rPr>
          <w:rFonts w:ascii="Times New Roman" w:hAnsi="Times New Roman" w:cs="Times New Roman"/>
          <w:szCs w:val="24"/>
        </w:rPr>
        <w:t>osob</w:t>
      </w:r>
      <w:r w:rsidR="00C66DCD">
        <w:rPr>
          <w:rFonts w:ascii="Times New Roman" w:hAnsi="Times New Roman" w:cs="Times New Roman"/>
          <w:szCs w:val="24"/>
        </w:rPr>
        <w:t>y</w:t>
      </w:r>
      <w:r w:rsidR="00C66DCD" w:rsidRPr="00375116">
        <w:rPr>
          <w:rFonts w:ascii="Times New Roman" w:hAnsi="Times New Roman" w:cs="Times New Roman"/>
          <w:szCs w:val="24"/>
        </w:rPr>
        <w:t xml:space="preserve"> odpowiedzialn</w:t>
      </w:r>
      <w:r w:rsidR="00C66DCD">
        <w:rPr>
          <w:rFonts w:ascii="Times New Roman" w:hAnsi="Times New Roman" w:cs="Times New Roman"/>
          <w:szCs w:val="24"/>
        </w:rPr>
        <w:t>e</w:t>
      </w:r>
      <w:r w:rsidR="00C66DCD" w:rsidRPr="00375116">
        <w:rPr>
          <w:rFonts w:ascii="Times New Roman" w:hAnsi="Times New Roman" w:cs="Times New Roman"/>
          <w:szCs w:val="24"/>
        </w:rPr>
        <w:t xml:space="preserve"> za zgłaszanie informacji do GIIF</w:t>
      </w:r>
      <w:r w:rsidR="00C66DCD" w:rsidRPr="00C66DCD" w:rsidDel="00C66DCD">
        <w:rPr>
          <w:rFonts w:ascii="Times New Roman" w:hAnsi="Times New Roman" w:cs="Times New Roman"/>
          <w:szCs w:val="24"/>
        </w:rPr>
        <w:t xml:space="preserve"> </w:t>
      </w:r>
      <w:r w:rsidRPr="00893BFB">
        <w:rPr>
          <w:rFonts w:ascii="Times New Roman" w:hAnsi="Times New Roman" w:cs="Times New Roman"/>
          <w:szCs w:val="24"/>
        </w:rPr>
        <w:t>mogą być po</w:t>
      </w:r>
      <w:r w:rsidR="00A47545" w:rsidRPr="00893BFB">
        <w:rPr>
          <w:rFonts w:ascii="Times New Roman" w:hAnsi="Times New Roman" w:cs="Times New Roman"/>
          <w:szCs w:val="24"/>
        </w:rPr>
        <w:t>ciągan</w:t>
      </w:r>
      <w:r w:rsidR="00C66DCD">
        <w:rPr>
          <w:rFonts w:ascii="Times New Roman" w:hAnsi="Times New Roman" w:cs="Times New Roman"/>
          <w:szCs w:val="24"/>
        </w:rPr>
        <w:t>e</w:t>
      </w:r>
      <w:r w:rsidRPr="00893BFB">
        <w:rPr>
          <w:rFonts w:ascii="Times New Roman" w:hAnsi="Times New Roman" w:cs="Times New Roman"/>
          <w:szCs w:val="24"/>
        </w:rPr>
        <w:t xml:space="preserve"> do odpowiedzialności na kilku różnych poziomach</w:t>
      </w:r>
      <w:r w:rsidR="002B2905">
        <w:rPr>
          <w:rFonts w:ascii="Times New Roman" w:hAnsi="Times New Roman" w:cs="Times New Roman"/>
          <w:szCs w:val="24"/>
        </w:rPr>
        <w:t xml:space="preserve"> i </w:t>
      </w:r>
      <w:r w:rsidRPr="00893BFB">
        <w:rPr>
          <w:rFonts w:ascii="Times New Roman" w:hAnsi="Times New Roman" w:cs="Times New Roman"/>
          <w:szCs w:val="24"/>
        </w:rPr>
        <w:t xml:space="preserve">podstawach prawnych. Brak zgłoszenia do GIIF </w:t>
      </w:r>
      <w:r w:rsidR="007E7FEA">
        <w:rPr>
          <w:rFonts w:ascii="Times New Roman" w:hAnsi="Times New Roman" w:cs="Times New Roman"/>
          <w:szCs w:val="24"/>
        </w:rPr>
        <w:t xml:space="preserve">wyżej wymienionych </w:t>
      </w:r>
      <w:r w:rsidRPr="004D2D15">
        <w:rPr>
          <w:rFonts w:ascii="Times New Roman" w:hAnsi="Times New Roman" w:cs="Times New Roman"/>
          <w:szCs w:val="24"/>
        </w:rPr>
        <w:t xml:space="preserve">informacji </w:t>
      </w:r>
      <w:r w:rsidR="007E7FEA">
        <w:rPr>
          <w:rFonts w:ascii="Times New Roman" w:hAnsi="Times New Roman" w:cs="Times New Roman"/>
          <w:szCs w:val="24"/>
        </w:rPr>
        <w:t xml:space="preserve">jest </w:t>
      </w:r>
      <w:r w:rsidRPr="00893BFB">
        <w:rPr>
          <w:rFonts w:ascii="Times New Roman" w:hAnsi="Times New Roman" w:cs="Times New Roman"/>
          <w:szCs w:val="24"/>
        </w:rPr>
        <w:t>traktowany jako świadczenie innych usług mających na celu ukrycie przestępczego pochodzenia środków. Jest to jednocześnie konsekwencja przyjęcia, że taką odpowiedzialność może ponieść wyłącznie pracownik podmiotu obowiązane</w:t>
      </w:r>
      <w:r w:rsidR="006C5527" w:rsidRPr="00893BFB">
        <w:rPr>
          <w:rFonts w:ascii="Times New Roman" w:hAnsi="Times New Roman" w:cs="Times New Roman"/>
          <w:szCs w:val="24"/>
        </w:rPr>
        <w:t>go</w:t>
      </w:r>
      <w:r w:rsidRPr="00893BFB">
        <w:rPr>
          <w:rFonts w:ascii="Times New Roman" w:hAnsi="Times New Roman" w:cs="Times New Roman"/>
          <w:szCs w:val="24"/>
        </w:rPr>
        <w:t xml:space="preserve"> do rejestracji transakcji, czyli instytucji obowiązanych na gruncie </w:t>
      </w:r>
      <w:r w:rsidR="004B72C3">
        <w:rPr>
          <w:rFonts w:ascii="Times New Roman" w:hAnsi="Times New Roman" w:cs="Times New Roman"/>
          <w:szCs w:val="24"/>
        </w:rPr>
        <w:t>u.p.p.p.f.t</w:t>
      </w:r>
      <w:r w:rsidRPr="00893BFB">
        <w:rPr>
          <w:rFonts w:ascii="Times New Roman" w:hAnsi="Times New Roman" w:cs="Times New Roman"/>
          <w:szCs w:val="24"/>
        </w:rPr>
        <w:t>.</w:t>
      </w:r>
    </w:p>
    <w:p w14:paraId="0A5E1B7E" w14:textId="41AE92F1" w:rsidR="00C96276" w:rsidRPr="00893BFB" w:rsidRDefault="00C96276" w:rsidP="004D2D15">
      <w:pPr>
        <w:pStyle w:val="USTustnpkodeksu"/>
        <w:ind w:firstLine="708"/>
        <w:rPr>
          <w:rFonts w:ascii="Times New Roman" w:hAnsi="Times New Roman" w:cs="Times New Roman"/>
          <w:szCs w:val="24"/>
        </w:rPr>
      </w:pPr>
      <w:r w:rsidRPr="00893BFB">
        <w:rPr>
          <w:rFonts w:ascii="Times New Roman" w:hAnsi="Times New Roman" w:cs="Times New Roman"/>
          <w:szCs w:val="24"/>
        </w:rPr>
        <w:t>Taka regulacja powoduje, że jednostki pełniące funkcję osób zgłaszających określone informacje do GIIF są dzisiaj narażone na znaczną represję,</w:t>
      </w:r>
      <w:r w:rsidR="004E3461">
        <w:rPr>
          <w:rFonts w:ascii="Times New Roman" w:hAnsi="Times New Roman" w:cs="Times New Roman"/>
          <w:szCs w:val="24"/>
        </w:rPr>
        <w:t xml:space="preserve"> w </w:t>
      </w:r>
      <w:r w:rsidRPr="00893BFB">
        <w:rPr>
          <w:rFonts w:ascii="Times New Roman" w:hAnsi="Times New Roman" w:cs="Times New Roman"/>
          <w:szCs w:val="24"/>
        </w:rPr>
        <w:t>tym na represję karną, co nie znajduje racjonalnego uzasadnienia. Jest to przykład bezpośredniego przeniesienia odpowiedzialności na inne jednostki spoza ścisłej kardy zarządzającej</w:t>
      </w:r>
      <w:r w:rsidR="002B2905">
        <w:rPr>
          <w:rFonts w:ascii="Times New Roman" w:hAnsi="Times New Roman" w:cs="Times New Roman"/>
          <w:szCs w:val="24"/>
        </w:rPr>
        <w:t xml:space="preserve"> i </w:t>
      </w:r>
      <w:r w:rsidRPr="00893BFB">
        <w:rPr>
          <w:rFonts w:ascii="Times New Roman" w:hAnsi="Times New Roman" w:cs="Times New Roman"/>
          <w:szCs w:val="24"/>
        </w:rPr>
        <w:t>to jednocześnie przy kumulatywnej odpowiedzialności administracyjnej tak samej instytucji obowiązanej</w:t>
      </w:r>
      <w:r w:rsidR="000E282A">
        <w:rPr>
          <w:rFonts w:ascii="Times New Roman" w:hAnsi="Times New Roman" w:cs="Times New Roman"/>
          <w:szCs w:val="24"/>
        </w:rPr>
        <w:t>,</w:t>
      </w:r>
      <w:r w:rsidRPr="00893BFB">
        <w:rPr>
          <w:rFonts w:ascii="Times New Roman" w:hAnsi="Times New Roman" w:cs="Times New Roman"/>
          <w:szCs w:val="24"/>
        </w:rPr>
        <w:t xml:space="preserve"> jak</w:t>
      </w:r>
      <w:r w:rsidR="002B2905">
        <w:rPr>
          <w:rFonts w:ascii="Times New Roman" w:hAnsi="Times New Roman" w:cs="Times New Roman"/>
          <w:szCs w:val="24"/>
        </w:rPr>
        <w:t xml:space="preserve"> i </w:t>
      </w:r>
      <w:r w:rsidRPr="00893BFB">
        <w:rPr>
          <w:rFonts w:ascii="Times New Roman" w:hAnsi="Times New Roman" w:cs="Times New Roman"/>
          <w:szCs w:val="24"/>
        </w:rPr>
        <w:t>osoby fizycznej. Wyeliminowanie odpowiedzialności karnej wskazanej</w:t>
      </w:r>
      <w:r w:rsidR="004E3461">
        <w:rPr>
          <w:rFonts w:ascii="Times New Roman" w:hAnsi="Times New Roman" w:cs="Times New Roman"/>
          <w:szCs w:val="24"/>
        </w:rPr>
        <w:t xml:space="preserve"> w </w:t>
      </w:r>
      <w:r w:rsidRPr="00893BFB">
        <w:rPr>
          <w:rFonts w:ascii="Times New Roman" w:hAnsi="Times New Roman" w:cs="Times New Roman"/>
          <w:szCs w:val="24"/>
        </w:rPr>
        <w:t>art. 156</w:t>
      </w:r>
      <w:r w:rsidR="00EE13B9">
        <w:rPr>
          <w:rFonts w:ascii="Times New Roman" w:hAnsi="Times New Roman" w:cs="Times New Roman"/>
          <w:szCs w:val="24"/>
        </w:rPr>
        <w:t xml:space="preserve"> u.p.p.p.f.t.</w:t>
      </w:r>
      <w:r w:rsidRPr="004D2D15">
        <w:rPr>
          <w:rFonts w:ascii="Times New Roman" w:hAnsi="Times New Roman" w:cs="Times New Roman"/>
          <w:szCs w:val="24"/>
        </w:rPr>
        <w:t xml:space="preserve"> spowoduje właściwe określenie odpowiedzialności na gruncie administracyjnym</w:t>
      </w:r>
      <w:r w:rsidR="002B2905">
        <w:rPr>
          <w:rFonts w:ascii="Times New Roman" w:hAnsi="Times New Roman" w:cs="Times New Roman"/>
          <w:szCs w:val="24"/>
        </w:rPr>
        <w:t xml:space="preserve"> </w:t>
      </w:r>
      <w:r w:rsidR="002B2905">
        <w:rPr>
          <w:rFonts w:ascii="Times New Roman" w:hAnsi="Times New Roman" w:cs="Times New Roman"/>
          <w:szCs w:val="24"/>
        </w:rPr>
        <w:lastRenderedPageBreak/>
        <w:t>i </w:t>
      </w:r>
      <w:r w:rsidRPr="004D2D15">
        <w:rPr>
          <w:rFonts w:ascii="Times New Roman" w:hAnsi="Times New Roman" w:cs="Times New Roman"/>
          <w:szCs w:val="24"/>
        </w:rPr>
        <w:t>jednocześnie pozwoli na skoncentrowanie spraw</w:t>
      </w:r>
      <w:r w:rsidR="004E3461">
        <w:rPr>
          <w:rFonts w:ascii="Times New Roman" w:hAnsi="Times New Roman" w:cs="Times New Roman"/>
          <w:szCs w:val="24"/>
        </w:rPr>
        <w:t xml:space="preserve"> z </w:t>
      </w:r>
      <w:r w:rsidR="000E282A">
        <w:rPr>
          <w:rFonts w:ascii="Times New Roman" w:hAnsi="Times New Roman" w:cs="Times New Roman"/>
          <w:szCs w:val="24"/>
        </w:rPr>
        <w:t>u.p.p.p.f.t.</w:t>
      </w:r>
      <w:r w:rsidR="004E3461">
        <w:rPr>
          <w:rFonts w:ascii="Times New Roman" w:hAnsi="Times New Roman" w:cs="Times New Roman"/>
          <w:szCs w:val="24"/>
        </w:rPr>
        <w:t xml:space="preserve"> w </w:t>
      </w:r>
      <w:r w:rsidRPr="00893BFB">
        <w:rPr>
          <w:rFonts w:ascii="Times New Roman" w:hAnsi="Times New Roman" w:cs="Times New Roman"/>
          <w:szCs w:val="24"/>
        </w:rPr>
        <w:t>ramach jednego podmiotu, t</w:t>
      </w:r>
      <w:r w:rsidR="00D57F12">
        <w:rPr>
          <w:rFonts w:ascii="Times New Roman" w:hAnsi="Times New Roman" w:cs="Times New Roman"/>
          <w:szCs w:val="24"/>
        </w:rPr>
        <w:t>o jest</w:t>
      </w:r>
      <w:r w:rsidRPr="00893BFB">
        <w:rPr>
          <w:rFonts w:ascii="Times New Roman" w:hAnsi="Times New Roman" w:cs="Times New Roman"/>
          <w:szCs w:val="24"/>
        </w:rPr>
        <w:t xml:space="preserve"> GIIF</w:t>
      </w:r>
      <w:r w:rsidR="002B2905">
        <w:rPr>
          <w:rFonts w:ascii="Times New Roman" w:hAnsi="Times New Roman" w:cs="Times New Roman"/>
          <w:szCs w:val="24"/>
        </w:rPr>
        <w:t xml:space="preserve"> i </w:t>
      </w:r>
      <w:r w:rsidRPr="00893BFB">
        <w:rPr>
          <w:rFonts w:ascii="Times New Roman" w:hAnsi="Times New Roman" w:cs="Times New Roman"/>
          <w:szCs w:val="24"/>
        </w:rPr>
        <w:t>potencjalnie sądów administracyjnych. Trudno bowiem znaleźć powód, dla którego osoba fizyczna miałaby ponosić odpowiedzialność karną</w:t>
      </w:r>
      <w:r w:rsidR="004E3461">
        <w:rPr>
          <w:rFonts w:ascii="Times New Roman" w:hAnsi="Times New Roman" w:cs="Times New Roman"/>
          <w:szCs w:val="24"/>
        </w:rPr>
        <w:t xml:space="preserve"> w </w:t>
      </w:r>
      <w:r w:rsidRPr="00893BFB">
        <w:rPr>
          <w:rFonts w:ascii="Times New Roman" w:hAnsi="Times New Roman" w:cs="Times New Roman"/>
          <w:szCs w:val="24"/>
        </w:rPr>
        <w:t>sytuacji niedopełnienia obowiązków</w:t>
      </w:r>
      <w:r w:rsidR="002B2905">
        <w:rPr>
          <w:rFonts w:ascii="Times New Roman" w:hAnsi="Times New Roman" w:cs="Times New Roman"/>
          <w:szCs w:val="24"/>
        </w:rPr>
        <w:t xml:space="preserve"> o </w:t>
      </w:r>
      <w:r w:rsidRPr="00893BFB">
        <w:rPr>
          <w:rFonts w:ascii="Times New Roman" w:hAnsi="Times New Roman" w:cs="Times New Roman"/>
          <w:szCs w:val="24"/>
        </w:rPr>
        <w:t xml:space="preserve">charakterze administracyjnym. </w:t>
      </w:r>
    </w:p>
    <w:p w14:paraId="5751769B" w14:textId="20F47BD1" w:rsidR="00C96276" w:rsidRPr="00893BFB" w:rsidRDefault="001D133B" w:rsidP="004D2D15">
      <w:pPr>
        <w:pStyle w:val="USTustnpkodeksu"/>
        <w:ind w:firstLine="708"/>
        <w:rPr>
          <w:rFonts w:ascii="Times New Roman" w:hAnsi="Times New Roman" w:cs="Times New Roman"/>
          <w:szCs w:val="24"/>
        </w:rPr>
      </w:pPr>
      <w:r>
        <w:rPr>
          <w:rFonts w:ascii="Times New Roman" w:hAnsi="Times New Roman" w:cs="Times New Roman"/>
          <w:szCs w:val="24"/>
        </w:rPr>
        <w:t xml:space="preserve">Należy </w:t>
      </w:r>
      <w:r w:rsidR="00C96276" w:rsidRPr="00893BFB">
        <w:rPr>
          <w:rFonts w:ascii="Times New Roman" w:hAnsi="Times New Roman" w:cs="Times New Roman"/>
          <w:szCs w:val="24"/>
        </w:rPr>
        <w:t>jeszcze</w:t>
      </w:r>
      <w:r>
        <w:rPr>
          <w:rFonts w:ascii="Times New Roman" w:hAnsi="Times New Roman" w:cs="Times New Roman"/>
          <w:szCs w:val="24"/>
        </w:rPr>
        <w:t xml:space="preserve"> podkreślić</w:t>
      </w:r>
      <w:r w:rsidR="00C96276" w:rsidRPr="00893BFB">
        <w:rPr>
          <w:rFonts w:ascii="Times New Roman" w:hAnsi="Times New Roman" w:cs="Times New Roman"/>
          <w:szCs w:val="24"/>
        </w:rPr>
        <w:t>, że ustawodawca unijny</w:t>
      </w:r>
      <w:r w:rsidR="00F81B51" w:rsidRPr="00893BFB">
        <w:rPr>
          <w:rFonts w:ascii="Times New Roman" w:hAnsi="Times New Roman" w:cs="Times New Roman"/>
          <w:szCs w:val="24"/>
        </w:rPr>
        <w:t>,</w:t>
      </w:r>
      <w:r w:rsidR="00C96276" w:rsidRPr="00893BFB">
        <w:rPr>
          <w:rFonts w:ascii="Times New Roman" w:hAnsi="Times New Roman" w:cs="Times New Roman"/>
          <w:szCs w:val="24"/>
        </w:rPr>
        <w:t xml:space="preserve"> we wszystkich dyrektywach AML, nie wprowadził wymogu karnej odpowiedzialności za nieprzekazywanie w</w:t>
      </w:r>
      <w:r w:rsidR="007E7FEA">
        <w:rPr>
          <w:rFonts w:ascii="Times New Roman" w:hAnsi="Times New Roman" w:cs="Times New Roman"/>
          <w:szCs w:val="24"/>
        </w:rPr>
        <w:t>yżej wymienionych</w:t>
      </w:r>
      <w:r w:rsidR="00C96276" w:rsidRPr="00893BFB">
        <w:rPr>
          <w:rFonts w:ascii="Times New Roman" w:hAnsi="Times New Roman" w:cs="Times New Roman"/>
          <w:szCs w:val="24"/>
        </w:rPr>
        <w:t xml:space="preserve"> informacji, pozostawiając to wyłącznie krajowemu ustawodawcy. W praktyce </w:t>
      </w:r>
      <w:r w:rsidR="00F81B51" w:rsidRPr="00893BFB">
        <w:rPr>
          <w:rFonts w:ascii="Times New Roman" w:hAnsi="Times New Roman" w:cs="Times New Roman"/>
          <w:szCs w:val="24"/>
        </w:rPr>
        <w:t>Polska jest</w:t>
      </w:r>
      <w:r w:rsidR="00C96276" w:rsidRPr="00893BFB">
        <w:rPr>
          <w:rFonts w:ascii="Times New Roman" w:hAnsi="Times New Roman" w:cs="Times New Roman"/>
          <w:szCs w:val="24"/>
        </w:rPr>
        <w:t xml:space="preserve"> jednym</w:t>
      </w:r>
      <w:r w:rsidR="004E3461">
        <w:rPr>
          <w:rFonts w:ascii="Times New Roman" w:hAnsi="Times New Roman" w:cs="Times New Roman"/>
          <w:szCs w:val="24"/>
        </w:rPr>
        <w:t xml:space="preserve"> z </w:t>
      </w:r>
      <w:r w:rsidR="00C96276" w:rsidRPr="00893BFB">
        <w:rPr>
          <w:rFonts w:ascii="Times New Roman" w:hAnsi="Times New Roman" w:cs="Times New Roman"/>
          <w:szCs w:val="24"/>
        </w:rPr>
        <w:t xml:space="preserve">niewielu </w:t>
      </w:r>
      <w:r w:rsidR="002D0046">
        <w:rPr>
          <w:rFonts w:ascii="Times New Roman" w:hAnsi="Times New Roman" w:cs="Times New Roman"/>
          <w:szCs w:val="24"/>
        </w:rPr>
        <w:t>p</w:t>
      </w:r>
      <w:r w:rsidR="00C96276" w:rsidRPr="00893BFB">
        <w:rPr>
          <w:rFonts w:ascii="Times New Roman" w:hAnsi="Times New Roman" w:cs="Times New Roman"/>
          <w:szCs w:val="24"/>
        </w:rPr>
        <w:t>aństw, które przewidują odpowiedzialność karną na tej podstawie.</w:t>
      </w:r>
    </w:p>
    <w:p w14:paraId="2A6EE7B4" w14:textId="0DEB6790" w:rsidR="00227AC4" w:rsidRDefault="008E4B15" w:rsidP="00227AC4">
      <w:pPr>
        <w:ind w:firstLine="708"/>
        <w:jc w:val="both"/>
        <w:rPr>
          <w:rFonts w:cs="Times New Roman"/>
          <w:szCs w:val="24"/>
        </w:rPr>
      </w:pPr>
      <w:r w:rsidRPr="0013163D">
        <w:rPr>
          <w:rFonts w:cs="Times New Roman"/>
          <w:szCs w:val="24"/>
        </w:rPr>
        <w:t xml:space="preserve">W </w:t>
      </w:r>
      <w:r w:rsidR="00C96276" w:rsidRPr="0013163D">
        <w:rPr>
          <w:rFonts w:cs="Times New Roman"/>
          <w:szCs w:val="24"/>
        </w:rPr>
        <w:t>związku</w:t>
      </w:r>
      <w:r w:rsidR="004E3461">
        <w:rPr>
          <w:rFonts w:cs="Times New Roman"/>
          <w:szCs w:val="24"/>
        </w:rPr>
        <w:t xml:space="preserve"> z</w:t>
      </w:r>
      <w:r w:rsidR="00683600">
        <w:rPr>
          <w:rFonts w:cs="Times New Roman"/>
          <w:szCs w:val="24"/>
        </w:rPr>
        <w:t xml:space="preserve"> </w:t>
      </w:r>
      <w:r w:rsidR="00C96276" w:rsidRPr="0013163D">
        <w:rPr>
          <w:rFonts w:cs="Times New Roman"/>
          <w:szCs w:val="24"/>
        </w:rPr>
        <w:t xml:space="preserve">powyższym niniejszy projekt zakłada uchylenie art. 156 </w:t>
      </w:r>
      <w:r w:rsidR="001D133B">
        <w:rPr>
          <w:rFonts w:cs="Times New Roman"/>
          <w:szCs w:val="24"/>
        </w:rPr>
        <w:t>u.p.p.p.f.t.</w:t>
      </w:r>
      <w:r w:rsidR="002B2905">
        <w:rPr>
          <w:rFonts w:cs="Times New Roman"/>
          <w:szCs w:val="24"/>
        </w:rPr>
        <w:t xml:space="preserve"> i </w:t>
      </w:r>
      <w:r w:rsidR="00C96276" w:rsidRPr="0013163D">
        <w:rPr>
          <w:rFonts w:cs="Times New Roman"/>
          <w:szCs w:val="24"/>
        </w:rPr>
        <w:t>wprowadzenie</w:t>
      </w:r>
      <w:r w:rsidR="004E3461">
        <w:rPr>
          <w:rFonts w:cs="Times New Roman"/>
          <w:szCs w:val="24"/>
        </w:rPr>
        <w:t xml:space="preserve"> w </w:t>
      </w:r>
      <w:r w:rsidR="00C96276" w:rsidRPr="0013163D">
        <w:rPr>
          <w:rFonts w:cs="Times New Roman"/>
          <w:szCs w:val="24"/>
        </w:rPr>
        <w:t>jego miejsce nowego art. 1</w:t>
      </w:r>
      <w:r w:rsidR="00BA240F" w:rsidRPr="0013163D">
        <w:rPr>
          <w:rFonts w:cs="Times New Roman"/>
          <w:szCs w:val="24"/>
        </w:rPr>
        <w:t>54</w:t>
      </w:r>
      <w:r w:rsidR="00C96276" w:rsidRPr="0013163D">
        <w:rPr>
          <w:rFonts w:cs="Times New Roman"/>
          <w:szCs w:val="24"/>
        </w:rPr>
        <w:t>a</w:t>
      </w:r>
      <w:r w:rsidR="001D133B">
        <w:rPr>
          <w:rFonts w:cs="Times New Roman"/>
          <w:szCs w:val="24"/>
        </w:rPr>
        <w:t xml:space="preserve"> u.p.p.p.f.t.</w:t>
      </w:r>
      <w:r w:rsidR="00C96276" w:rsidRPr="0013163D">
        <w:rPr>
          <w:rFonts w:cs="Times New Roman"/>
          <w:szCs w:val="24"/>
        </w:rPr>
        <w:t xml:space="preserve">, który obejmie swoim zakresem ten sam </w:t>
      </w:r>
      <w:r w:rsidR="00F81B51" w:rsidRPr="0013163D">
        <w:rPr>
          <w:rFonts w:cs="Times New Roman"/>
          <w:szCs w:val="24"/>
        </w:rPr>
        <w:t>zbiór</w:t>
      </w:r>
      <w:r w:rsidR="00C96276" w:rsidRPr="0013163D">
        <w:rPr>
          <w:rFonts w:cs="Times New Roman"/>
          <w:szCs w:val="24"/>
        </w:rPr>
        <w:t xml:space="preserve"> czynów, przewidując jednak karanie</w:t>
      </w:r>
      <w:r w:rsidR="004E3461">
        <w:rPr>
          <w:rFonts w:cs="Times New Roman"/>
          <w:szCs w:val="24"/>
        </w:rPr>
        <w:t xml:space="preserve"> w </w:t>
      </w:r>
      <w:r w:rsidR="00C96276" w:rsidRPr="0013163D">
        <w:rPr>
          <w:rFonts w:cs="Times New Roman"/>
          <w:szCs w:val="24"/>
        </w:rPr>
        <w:t>trybie administracyjnym</w:t>
      </w:r>
      <w:r w:rsidR="00BA240F" w:rsidRPr="0013163D">
        <w:rPr>
          <w:rFonts w:cs="Times New Roman"/>
          <w:szCs w:val="24"/>
        </w:rPr>
        <w:t>,</w:t>
      </w:r>
      <w:r w:rsidR="004E3461">
        <w:rPr>
          <w:rFonts w:cs="Times New Roman"/>
          <w:szCs w:val="24"/>
        </w:rPr>
        <w:t xml:space="preserve"> w </w:t>
      </w:r>
      <w:r w:rsidR="00BA240F" w:rsidRPr="0013163D">
        <w:rPr>
          <w:rFonts w:cs="Times New Roman"/>
          <w:szCs w:val="24"/>
        </w:rPr>
        <w:t>formie kary pieniężnej</w:t>
      </w:r>
      <w:r w:rsidR="00C96276" w:rsidRPr="0013163D">
        <w:rPr>
          <w:rFonts w:cs="Times New Roman"/>
          <w:szCs w:val="24"/>
        </w:rPr>
        <w:t xml:space="preserve">. </w:t>
      </w:r>
      <w:r w:rsidR="00006F25" w:rsidRPr="0013163D">
        <w:rPr>
          <w:rFonts w:cs="Times New Roman"/>
          <w:szCs w:val="24"/>
        </w:rPr>
        <w:t xml:space="preserve">Proponowane rozwiązanie </w:t>
      </w:r>
      <w:r w:rsidR="002D0046" w:rsidRPr="0013163D">
        <w:rPr>
          <w:rFonts w:cs="Times New Roman"/>
          <w:szCs w:val="24"/>
        </w:rPr>
        <w:t xml:space="preserve">zostanie </w:t>
      </w:r>
      <w:r w:rsidR="00006F25" w:rsidRPr="0013163D">
        <w:rPr>
          <w:rFonts w:cs="Times New Roman"/>
          <w:szCs w:val="24"/>
        </w:rPr>
        <w:t xml:space="preserve">zamieszczone </w:t>
      </w:r>
      <w:r w:rsidR="00BA240F" w:rsidRPr="0013163D">
        <w:rPr>
          <w:rFonts w:cs="Times New Roman"/>
          <w:szCs w:val="24"/>
        </w:rPr>
        <w:t xml:space="preserve">bezpośrednio po art. 154 </w:t>
      </w:r>
      <w:r w:rsidR="001D133B">
        <w:rPr>
          <w:rFonts w:cs="Times New Roman"/>
          <w:szCs w:val="24"/>
        </w:rPr>
        <w:t>u.p.p.p.f.t.</w:t>
      </w:r>
      <w:r w:rsidR="00BA240F" w:rsidRPr="0013163D">
        <w:rPr>
          <w:rFonts w:cs="Times New Roman"/>
          <w:szCs w:val="24"/>
        </w:rPr>
        <w:t>, który reguluje kwestie odpowiedzialności osoby fizycznej pełniącej funkcje zarządc</w:t>
      </w:r>
      <w:r w:rsidR="006C5527" w:rsidRPr="0013163D">
        <w:rPr>
          <w:rFonts w:cs="Times New Roman"/>
          <w:szCs w:val="24"/>
        </w:rPr>
        <w:t>y</w:t>
      </w:r>
      <w:r w:rsidR="004E3461">
        <w:rPr>
          <w:rFonts w:cs="Times New Roman"/>
          <w:szCs w:val="24"/>
        </w:rPr>
        <w:t xml:space="preserve"> w </w:t>
      </w:r>
      <w:r w:rsidR="00BA240F" w:rsidRPr="0013163D">
        <w:rPr>
          <w:rFonts w:cs="Times New Roman"/>
          <w:szCs w:val="24"/>
        </w:rPr>
        <w:t>instytucji, która dopuściła się naruszenia obowiązków wynikających</w:t>
      </w:r>
      <w:r w:rsidR="004E3461">
        <w:rPr>
          <w:rFonts w:cs="Times New Roman"/>
          <w:szCs w:val="24"/>
        </w:rPr>
        <w:t xml:space="preserve"> z </w:t>
      </w:r>
      <w:r w:rsidR="002D0046">
        <w:rPr>
          <w:rFonts w:cs="Times New Roman"/>
          <w:szCs w:val="24"/>
        </w:rPr>
        <w:t>u.p.p.p.f.t</w:t>
      </w:r>
      <w:r w:rsidR="00BA240F" w:rsidRPr="0013163D">
        <w:rPr>
          <w:rFonts w:cs="Times New Roman"/>
          <w:szCs w:val="24"/>
        </w:rPr>
        <w:t>.</w:t>
      </w:r>
      <w:r w:rsidR="00006F25" w:rsidRPr="0013163D">
        <w:rPr>
          <w:rFonts w:cs="Times New Roman"/>
          <w:szCs w:val="24"/>
        </w:rPr>
        <w:t xml:space="preserve"> P</w:t>
      </w:r>
      <w:r w:rsidR="00BA240F" w:rsidRPr="0013163D">
        <w:rPr>
          <w:rFonts w:cs="Times New Roman"/>
          <w:szCs w:val="24"/>
        </w:rPr>
        <w:t>roponowany p</w:t>
      </w:r>
      <w:r w:rsidR="00006F25" w:rsidRPr="0013163D">
        <w:rPr>
          <w:rFonts w:cs="Times New Roman"/>
          <w:szCs w:val="24"/>
        </w:rPr>
        <w:t>rzepis zawiera wskazanie</w:t>
      </w:r>
      <w:r w:rsidR="00BA240F" w:rsidRPr="0013163D">
        <w:rPr>
          <w:rFonts w:cs="Times New Roman"/>
          <w:szCs w:val="24"/>
        </w:rPr>
        <w:t xml:space="preserve"> maksymalnego wymiaru przewidzianej kary pieniężnej</w:t>
      </w:r>
      <w:r w:rsidR="00312D11" w:rsidRPr="0013163D">
        <w:rPr>
          <w:rFonts w:cs="Times New Roman"/>
          <w:szCs w:val="24"/>
        </w:rPr>
        <w:t>, analogicznego do wymiaru określonego</w:t>
      </w:r>
      <w:r w:rsidR="004E3461">
        <w:rPr>
          <w:rFonts w:cs="Times New Roman"/>
          <w:szCs w:val="24"/>
        </w:rPr>
        <w:t xml:space="preserve"> w </w:t>
      </w:r>
      <w:r w:rsidR="00312D11" w:rsidRPr="0013163D">
        <w:rPr>
          <w:rFonts w:cs="Times New Roman"/>
          <w:szCs w:val="24"/>
        </w:rPr>
        <w:t>art. 154</w:t>
      </w:r>
      <w:r w:rsidR="001D133B">
        <w:rPr>
          <w:rFonts w:cs="Times New Roman"/>
          <w:szCs w:val="24"/>
        </w:rPr>
        <w:t xml:space="preserve"> u.p.p.p.f.t.</w:t>
      </w:r>
      <w:r w:rsidR="00312D11" w:rsidRPr="0013163D">
        <w:rPr>
          <w:rFonts w:cs="Times New Roman"/>
          <w:szCs w:val="24"/>
        </w:rPr>
        <w:t>, jak również wskazanie na odpowiednie stosowanie przepisów art. 150 ust. 4</w:t>
      </w:r>
      <w:r w:rsidR="002B2905">
        <w:rPr>
          <w:rFonts w:cs="Times New Roman"/>
          <w:szCs w:val="24"/>
        </w:rPr>
        <w:t xml:space="preserve"> i</w:t>
      </w:r>
      <w:r w:rsidR="002D0046">
        <w:rPr>
          <w:rFonts w:cs="Times New Roman"/>
          <w:szCs w:val="24"/>
        </w:rPr>
        <w:t xml:space="preserve"> </w:t>
      </w:r>
      <w:r w:rsidR="00312D11" w:rsidRPr="0013163D">
        <w:rPr>
          <w:rFonts w:cs="Times New Roman"/>
          <w:szCs w:val="24"/>
        </w:rPr>
        <w:t xml:space="preserve">5 </w:t>
      </w:r>
      <w:r w:rsidR="001D133B">
        <w:rPr>
          <w:rFonts w:cs="Times New Roman"/>
          <w:szCs w:val="24"/>
        </w:rPr>
        <w:t xml:space="preserve">u.p.p.p.f.t. </w:t>
      </w:r>
      <w:r w:rsidR="00312D11" w:rsidRPr="0013163D">
        <w:rPr>
          <w:rFonts w:cs="Times New Roman"/>
          <w:szCs w:val="24"/>
        </w:rPr>
        <w:t>regulujących zasady określania wysokości kar pieniężnych oraz zasady odstępowania od wymierzenia kary</w:t>
      </w:r>
      <w:r w:rsidR="00006F25" w:rsidRPr="0013163D">
        <w:rPr>
          <w:rFonts w:cs="Times New Roman"/>
          <w:szCs w:val="24"/>
        </w:rPr>
        <w:t>.</w:t>
      </w:r>
      <w:r w:rsidR="00312D11" w:rsidRPr="0013163D">
        <w:rPr>
          <w:rFonts w:cs="Times New Roman"/>
          <w:szCs w:val="24"/>
        </w:rPr>
        <w:t xml:space="preserve"> Przepis wskazuje też bezpośrednio na obowiązki, których naruszenie będzie skutkowało nałożeniem kary, t</w:t>
      </w:r>
      <w:r w:rsidR="001D133B">
        <w:rPr>
          <w:rFonts w:cs="Times New Roman"/>
          <w:szCs w:val="24"/>
        </w:rPr>
        <w:t>o jest</w:t>
      </w:r>
      <w:r w:rsidR="00312D11" w:rsidRPr="0013163D">
        <w:rPr>
          <w:rFonts w:cs="Times New Roman"/>
          <w:szCs w:val="24"/>
        </w:rPr>
        <w:t xml:space="preserve"> obowiązk</w:t>
      </w:r>
      <w:r w:rsidR="00A61D0A">
        <w:rPr>
          <w:rFonts w:cs="Times New Roman"/>
          <w:szCs w:val="24"/>
        </w:rPr>
        <w:t>i</w:t>
      </w:r>
      <w:r w:rsidR="00312D11" w:rsidRPr="0013163D">
        <w:rPr>
          <w:rFonts w:cs="Times New Roman"/>
          <w:szCs w:val="24"/>
        </w:rPr>
        <w:t xml:space="preserve"> określon</w:t>
      </w:r>
      <w:r w:rsidR="00A61D0A">
        <w:rPr>
          <w:rFonts w:cs="Times New Roman"/>
          <w:szCs w:val="24"/>
        </w:rPr>
        <w:t>e</w:t>
      </w:r>
      <w:r w:rsidR="004E3461">
        <w:rPr>
          <w:rFonts w:cs="Times New Roman"/>
          <w:szCs w:val="24"/>
        </w:rPr>
        <w:t xml:space="preserve"> w </w:t>
      </w:r>
      <w:r w:rsidR="00312D11" w:rsidRPr="0013163D">
        <w:rPr>
          <w:rFonts w:cs="Times New Roman"/>
          <w:szCs w:val="24"/>
        </w:rPr>
        <w:t>art. 74 ust. 1, art. 76, art. 86 ust. 1 lub art. 90 ust. 1</w:t>
      </w:r>
      <w:r w:rsidR="001D133B">
        <w:rPr>
          <w:rFonts w:cs="Times New Roman"/>
          <w:szCs w:val="24"/>
        </w:rPr>
        <w:t xml:space="preserve"> u.p.p.p.f.t.</w:t>
      </w:r>
      <w:r w:rsidR="00312D11" w:rsidRPr="0013163D">
        <w:rPr>
          <w:rFonts w:cs="Times New Roman"/>
          <w:szCs w:val="24"/>
        </w:rPr>
        <w:t>, które były do tej pory objęte zakresem regulacji uchylanego art. 156</w:t>
      </w:r>
      <w:r w:rsidR="001D133B">
        <w:rPr>
          <w:rFonts w:cs="Times New Roman"/>
          <w:szCs w:val="24"/>
        </w:rPr>
        <w:t xml:space="preserve"> u.p.p.p.f.t</w:t>
      </w:r>
      <w:r w:rsidR="00312D11" w:rsidRPr="0013163D">
        <w:rPr>
          <w:rFonts w:cs="Times New Roman"/>
          <w:szCs w:val="24"/>
        </w:rPr>
        <w:t>.</w:t>
      </w:r>
      <w:r w:rsidR="00006F25" w:rsidRPr="0013163D">
        <w:rPr>
          <w:rFonts w:cs="Times New Roman"/>
          <w:szCs w:val="24"/>
        </w:rPr>
        <w:t xml:space="preserve"> Rozwiązanie to pozwoli wyeliminować sytuacje,</w:t>
      </w:r>
      <w:r w:rsidR="004E3461">
        <w:rPr>
          <w:rFonts w:cs="Times New Roman"/>
          <w:szCs w:val="24"/>
        </w:rPr>
        <w:t xml:space="preserve"> w </w:t>
      </w:r>
      <w:r w:rsidR="00006F25" w:rsidRPr="0013163D">
        <w:rPr>
          <w:rFonts w:cs="Times New Roman"/>
          <w:szCs w:val="24"/>
        </w:rPr>
        <w:t>których</w:t>
      </w:r>
      <w:r w:rsidR="004E3461">
        <w:rPr>
          <w:rFonts w:cs="Times New Roman"/>
          <w:szCs w:val="24"/>
        </w:rPr>
        <w:t xml:space="preserve"> w </w:t>
      </w:r>
      <w:r w:rsidR="00006F25" w:rsidRPr="0013163D">
        <w:rPr>
          <w:rFonts w:cs="Times New Roman"/>
          <w:szCs w:val="24"/>
        </w:rPr>
        <w:t xml:space="preserve">postępowaniu prowadzonym przeciwko organizacji obowiązanej </w:t>
      </w:r>
      <w:r w:rsidR="00A61D0A" w:rsidRPr="0013163D">
        <w:rPr>
          <w:rFonts w:cs="Times New Roman"/>
          <w:szCs w:val="24"/>
        </w:rPr>
        <w:t xml:space="preserve">zostaje </w:t>
      </w:r>
      <w:r w:rsidR="00006F25" w:rsidRPr="0013163D">
        <w:rPr>
          <w:rFonts w:cs="Times New Roman"/>
          <w:szCs w:val="24"/>
        </w:rPr>
        <w:t xml:space="preserve">orzeczona kara administracyjna skierowana przeciwko osobie fizycznej (na podstawie art. 150 ust. 1 pkt 4 </w:t>
      </w:r>
      <w:r w:rsidR="001D133B">
        <w:rPr>
          <w:rFonts w:cs="Times New Roman"/>
          <w:szCs w:val="24"/>
        </w:rPr>
        <w:t>u.p.p.p.f.t.</w:t>
      </w:r>
      <w:r w:rsidR="00006F25" w:rsidRPr="0013163D">
        <w:rPr>
          <w:rFonts w:cs="Times New Roman"/>
          <w:szCs w:val="24"/>
        </w:rPr>
        <w:t xml:space="preserve">), która to osoba podlega później dodatkowo odpowiedzialności karnej na mocy art. 156 </w:t>
      </w:r>
      <w:r w:rsidR="001D133B">
        <w:rPr>
          <w:rFonts w:cs="Times New Roman"/>
          <w:szCs w:val="24"/>
        </w:rPr>
        <w:t>u.p.p</w:t>
      </w:r>
      <w:r w:rsidR="00C70334">
        <w:rPr>
          <w:rFonts w:cs="Times New Roman"/>
          <w:szCs w:val="24"/>
        </w:rPr>
        <w:t>.</w:t>
      </w:r>
      <w:r w:rsidR="001D133B">
        <w:rPr>
          <w:rFonts w:cs="Times New Roman"/>
          <w:szCs w:val="24"/>
        </w:rPr>
        <w:t>p.f.t</w:t>
      </w:r>
      <w:r w:rsidR="00006F25" w:rsidRPr="0013163D">
        <w:rPr>
          <w:rFonts w:cs="Times New Roman"/>
          <w:szCs w:val="24"/>
        </w:rPr>
        <w:t xml:space="preserve">. </w:t>
      </w:r>
    </w:p>
    <w:p w14:paraId="625CAF07" w14:textId="402D95E6" w:rsidR="00227AC4" w:rsidRPr="007518BD" w:rsidRDefault="00A30472" w:rsidP="007518BD">
      <w:pPr>
        <w:ind w:firstLine="708"/>
        <w:jc w:val="both"/>
      </w:pPr>
      <w:r>
        <w:t>Projekt przewiduje, że ustawa wejdzie</w:t>
      </w:r>
      <w:r w:rsidR="004E3461">
        <w:t xml:space="preserve"> w </w:t>
      </w:r>
      <w:r>
        <w:t>życie po upływie 14 dni od</w:t>
      </w:r>
      <w:r w:rsidR="004E3461">
        <w:t xml:space="preserve"> dnia </w:t>
      </w:r>
      <w:r>
        <w:t>ogłoszenia.</w:t>
      </w:r>
    </w:p>
    <w:p w14:paraId="3335F970" w14:textId="77777777" w:rsidR="00227AC4" w:rsidRDefault="003236AD" w:rsidP="00227AC4">
      <w:pPr>
        <w:ind w:firstLine="708"/>
        <w:jc w:val="both"/>
      </w:pPr>
      <w:r>
        <w:t>P</w:t>
      </w:r>
      <w:r w:rsidRPr="003236AD">
        <w:t>rojektowana regulacja nie jest sprzeczna</w:t>
      </w:r>
      <w:r w:rsidR="004E3461">
        <w:t xml:space="preserve"> z </w:t>
      </w:r>
      <w:r w:rsidRPr="003236AD">
        <w:t>zakresem prawa Unii Europejskiej</w:t>
      </w:r>
      <w:r w:rsidR="00A30472" w:rsidRPr="00605381">
        <w:t>.</w:t>
      </w:r>
    </w:p>
    <w:p w14:paraId="6E5A255B" w14:textId="1AF0B5F0" w:rsidR="00A30472" w:rsidRPr="00227AC4" w:rsidRDefault="00A30472" w:rsidP="00227AC4">
      <w:pPr>
        <w:ind w:firstLine="708"/>
        <w:jc w:val="both"/>
        <w:rPr>
          <w:rFonts w:cs="Times New Roman"/>
          <w:szCs w:val="24"/>
        </w:rPr>
      </w:pPr>
      <w:r w:rsidRPr="00605381">
        <w:t>Projekt nie wymaga przedstawienia właściwym organom</w:t>
      </w:r>
      <w:r w:rsidR="002B2905">
        <w:t xml:space="preserve"> i </w:t>
      </w:r>
      <w:r w:rsidRPr="00605381">
        <w:t>instytucjom Unii Europejskiej,</w:t>
      </w:r>
      <w:r w:rsidR="004E3461">
        <w:t xml:space="preserve"> w </w:t>
      </w:r>
      <w:r w:rsidRPr="00605381">
        <w:t>tym Europejskiemu Bankowi Centralnemu,</w:t>
      </w:r>
      <w:r w:rsidR="004E3461">
        <w:t xml:space="preserve"> w </w:t>
      </w:r>
      <w:r w:rsidRPr="00605381">
        <w:t>celu uzyskania opinii, dokonania powiadomienia, konsultacji albo uzgodnie</w:t>
      </w:r>
      <w:r w:rsidR="00746265">
        <w:t>nia</w:t>
      </w:r>
      <w:r w:rsidRPr="00605381">
        <w:t>.</w:t>
      </w:r>
    </w:p>
    <w:p w14:paraId="40C16D2C" w14:textId="1F807BA0" w:rsidR="003236AD" w:rsidRPr="00605381" w:rsidRDefault="003236AD" w:rsidP="003236AD">
      <w:pPr>
        <w:pStyle w:val="USTustnpkodeksu"/>
      </w:pPr>
      <w:r w:rsidRPr="00605381">
        <w:t>Projekt nie zawiera przepisów technicznych</w:t>
      </w:r>
      <w:r w:rsidR="002B2905">
        <w:t xml:space="preserve"> i </w:t>
      </w:r>
      <w:r w:rsidRPr="00605381">
        <w:t>nie podlega notyfikacji zgodnie</w:t>
      </w:r>
      <w:r w:rsidR="004E3461">
        <w:t xml:space="preserve"> z </w:t>
      </w:r>
      <w:r w:rsidRPr="00605381">
        <w:t>trybem przewidzianym</w:t>
      </w:r>
      <w:r w:rsidR="004E3461">
        <w:t xml:space="preserve"> w </w:t>
      </w:r>
      <w:r w:rsidRPr="00605381">
        <w:t>rozporządzeniu Rady Ministrów</w:t>
      </w:r>
      <w:r w:rsidR="004E3461">
        <w:t xml:space="preserve"> z dnia </w:t>
      </w:r>
      <w:r w:rsidRPr="00605381">
        <w:t>23 grudnia 2002 r.</w:t>
      </w:r>
      <w:r w:rsidR="004E3461">
        <w:t xml:space="preserve"> w </w:t>
      </w:r>
      <w:r w:rsidRPr="00605381">
        <w:t xml:space="preserve">sprawie </w:t>
      </w:r>
      <w:r w:rsidRPr="00605381">
        <w:lastRenderedPageBreak/>
        <w:t>sposobu funkcjonowania krajowego systemu notyfikacji norm</w:t>
      </w:r>
      <w:r w:rsidR="002B2905">
        <w:t xml:space="preserve"> i </w:t>
      </w:r>
      <w:r w:rsidRPr="00605381">
        <w:t>aktów prawnych (Dz. U. poz.</w:t>
      </w:r>
      <w:r w:rsidR="00683600">
        <w:t> </w:t>
      </w:r>
      <w:r w:rsidRPr="00605381">
        <w:t>2039 oraz</w:t>
      </w:r>
      <w:r w:rsidR="004E3461">
        <w:t xml:space="preserve"> z </w:t>
      </w:r>
      <w:r w:rsidRPr="00605381">
        <w:t>2004 r. poz. 597).</w:t>
      </w:r>
    </w:p>
    <w:p w14:paraId="135803DB" w14:textId="0F452034" w:rsidR="00A30472" w:rsidRPr="00605381" w:rsidRDefault="00A30472" w:rsidP="00A30472">
      <w:pPr>
        <w:pStyle w:val="USTustnpkodeksu"/>
      </w:pPr>
      <w:r w:rsidRPr="00605381">
        <w:t xml:space="preserve">Projekt </w:t>
      </w:r>
      <w:r w:rsidR="004D2D15">
        <w:t xml:space="preserve">będzie miał wpływ na przedsiębiorców. </w:t>
      </w:r>
    </w:p>
    <w:p w14:paraId="32989C56" w14:textId="4791B210" w:rsidR="00A30472" w:rsidRPr="00605381" w:rsidRDefault="00A30472" w:rsidP="00A30472">
      <w:pPr>
        <w:pStyle w:val="USTustnpkodeksu"/>
      </w:pPr>
      <w:r w:rsidRPr="00605381">
        <w:t>OSR projektu nie był oceniany</w:t>
      </w:r>
      <w:r w:rsidR="004E3461">
        <w:t xml:space="preserve"> w </w:t>
      </w:r>
      <w:r w:rsidRPr="00605381">
        <w:t>trybie § 32 uchwały nr 190 Rady Ministrów</w:t>
      </w:r>
      <w:r w:rsidR="004E3461">
        <w:t xml:space="preserve"> z dnia </w:t>
      </w:r>
      <w:r w:rsidRPr="00605381">
        <w:t>29</w:t>
      </w:r>
      <w:r w:rsidR="00683600">
        <w:t> </w:t>
      </w:r>
      <w:r w:rsidRPr="00605381">
        <w:t>października 2013 r. – Regulamin pracy Rady Ministrów (M.P.</w:t>
      </w:r>
      <w:r w:rsidR="004E3461">
        <w:t xml:space="preserve"> z</w:t>
      </w:r>
      <w:r w:rsidR="00683600">
        <w:t xml:space="preserve"> </w:t>
      </w:r>
      <w:r w:rsidRPr="00605381">
        <w:t>2024 r. poz. 806</w:t>
      </w:r>
      <w:r>
        <w:t>,</w:t>
      </w:r>
      <w:r w:rsidR="004E3461">
        <w:t xml:space="preserve"> z </w:t>
      </w:r>
      <w:r>
        <w:t>późn.</w:t>
      </w:r>
      <w:r w:rsidR="00683600">
        <w:t xml:space="preserve"> </w:t>
      </w:r>
      <w:r>
        <w:t>zm.</w:t>
      </w:r>
      <w:r w:rsidRPr="00605381">
        <w:t>).</w:t>
      </w:r>
    </w:p>
    <w:p w14:paraId="75F9BC7D" w14:textId="3BFBCBBA" w:rsidR="00A30472" w:rsidRPr="0013163D" w:rsidRDefault="00A30472" w:rsidP="006573F8">
      <w:pPr>
        <w:pStyle w:val="USTustnpkodeksu"/>
        <w:rPr>
          <w:rFonts w:cs="Times New Roman"/>
          <w:szCs w:val="24"/>
        </w:rPr>
      </w:pPr>
      <w:r w:rsidRPr="00605381">
        <w:t>Projekt zosta</w:t>
      </w:r>
      <w:r w:rsidR="00885AC5">
        <w:t>ł</w:t>
      </w:r>
      <w:r w:rsidRPr="00605381">
        <w:t xml:space="preserve"> udostępniony</w:t>
      </w:r>
      <w:r w:rsidR="004E3461">
        <w:t xml:space="preserve"> w </w:t>
      </w:r>
      <w:r w:rsidRPr="00605381">
        <w:t>Biuletynie Informacji Publicznej na stronie podmiotowej Rządowego Centrum Legislacji</w:t>
      </w:r>
      <w:r w:rsidR="00746265">
        <w:t>,</w:t>
      </w:r>
      <w:r w:rsidR="004E3461">
        <w:t xml:space="preserve"> w </w:t>
      </w:r>
      <w:r w:rsidRPr="00605381">
        <w:t xml:space="preserve">serwisie </w:t>
      </w:r>
      <w:r w:rsidR="00746265">
        <w:t>„</w:t>
      </w:r>
      <w:r w:rsidRPr="00605381">
        <w:t>Rządowy Proces Legislacyjny</w:t>
      </w:r>
      <w:r w:rsidR="00746265">
        <w:t>”,</w:t>
      </w:r>
      <w:r w:rsidRPr="00605381">
        <w:t xml:space="preserve"> zgodnie</w:t>
      </w:r>
      <w:r w:rsidR="004E3461">
        <w:t xml:space="preserve"> z </w:t>
      </w:r>
      <w:r w:rsidRPr="00605381">
        <w:t>§</w:t>
      </w:r>
      <w:r w:rsidR="00683600">
        <w:t> </w:t>
      </w:r>
      <w:r w:rsidRPr="00605381">
        <w:t>4</w:t>
      </w:r>
      <w:r w:rsidR="002B2905">
        <w:t xml:space="preserve"> i </w:t>
      </w:r>
      <w:r w:rsidRPr="00605381">
        <w:t>§</w:t>
      </w:r>
      <w:r w:rsidR="00683600">
        <w:t> </w:t>
      </w:r>
      <w:r w:rsidRPr="00605381">
        <w:t>52 Regulamin</w:t>
      </w:r>
      <w:r w:rsidR="007A0270">
        <w:t>u</w:t>
      </w:r>
      <w:r w:rsidRPr="00605381">
        <w:t xml:space="preserve"> pracy Rady Ministrów oraz stosownie do wymogów art. 5 ustawy</w:t>
      </w:r>
      <w:r w:rsidR="004E3461">
        <w:t xml:space="preserve"> z dnia </w:t>
      </w:r>
      <w:r w:rsidRPr="00605381">
        <w:t>7</w:t>
      </w:r>
      <w:r w:rsidR="001700B8">
        <w:t> </w:t>
      </w:r>
      <w:r w:rsidRPr="00605381">
        <w:t>lipca 2005 r.</w:t>
      </w:r>
      <w:r w:rsidR="002B2905">
        <w:t xml:space="preserve"> o </w:t>
      </w:r>
      <w:r w:rsidRPr="00605381">
        <w:t>działalności lobbingowej</w:t>
      </w:r>
      <w:r w:rsidR="004E3461">
        <w:t xml:space="preserve"> w </w:t>
      </w:r>
      <w:r w:rsidRPr="00605381">
        <w:t>procesie stanowienia prawa (Dz. U.</w:t>
      </w:r>
      <w:r w:rsidR="004E3461">
        <w:t xml:space="preserve"> z</w:t>
      </w:r>
      <w:r w:rsidR="00A61D0A">
        <w:t> </w:t>
      </w:r>
      <w:r w:rsidRPr="00605381">
        <w:t>20</w:t>
      </w:r>
      <w:r w:rsidR="00FE5310">
        <w:t>25</w:t>
      </w:r>
      <w:r w:rsidR="001700B8">
        <w:t> </w:t>
      </w:r>
      <w:r w:rsidRPr="00605381">
        <w:t xml:space="preserve">r. poz. </w:t>
      </w:r>
      <w:r w:rsidR="00FE5310">
        <w:t>677</w:t>
      </w:r>
      <w:r w:rsidRPr="00605381">
        <w:t>).</w:t>
      </w:r>
    </w:p>
    <w:sectPr w:rsidR="00A30472" w:rsidRPr="0013163D" w:rsidSect="00A56754">
      <w:footerReference w:type="default" r:id="rId8"/>
      <w:footnotePr>
        <w:numRestart w:val="eachSect"/>
      </w:footnotePr>
      <w:pgSz w:w="11906" w:h="16838"/>
      <w:pgMar w:top="1560" w:right="1434" w:bottom="1560"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296B" w14:textId="77777777" w:rsidR="009162E2" w:rsidRDefault="009162E2">
      <w:pPr>
        <w:spacing w:line="240" w:lineRule="auto"/>
      </w:pPr>
      <w:r>
        <w:separator/>
      </w:r>
    </w:p>
  </w:endnote>
  <w:endnote w:type="continuationSeparator" w:id="0">
    <w:p w14:paraId="68D10FE8" w14:textId="77777777" w:rsidR="009162E2" w:rsidRDefault="00916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646094"/>
      <w:docPartObj>
        <w:docPartGallery w:val="Page Numbers (Bottom of Page)"/>
        <w:docPartUnique/>
      </w:docPartObj>
    </w:sdtPr>
    <w:sdtEndPr/>
    <w:sdtContent>
      <w:p w14:paraId="59F7E7C1" w14:textId="0FB2CEBF" w:rsidR="00A56754" w:rsidRDefault="00A56754">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BA35" w14:textId="77777777" w:rsidR="009162E2" w:rsidRDefault="009162E2">
      <w:pPr>
        <w:spacing w:line="240" w:lineRule="auto"/>
      </w:pPr>
      <w:r>
        <w:separator/>
      </w:r>
    </w:p>
  </w:footnote>
  <w:footnote w:type="continuationSeparator" w:id="0">
    <w:p w14:paraId="58CE75B8" w14:textId="77777777" w:rsidR="009162E2" w:rsidRDefault="009162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15DAF"/>
    <w:multiLevelType w:val="hybridMultilevel"/>
    <w:tmpl w:val="9B942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49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15"/>
    <w:rsid w:val="00006F25"/>
    <w:rsid w:val="000271CF"/>
    <w:rsid w:val="00042091"/>
    <w:rsid w:val="00044118"/>
    <w:rsid w:val="00045F9C"/>
    <w:rsid w:val="0004616D"/>
    <w:rsid w:val="0006615E"/>
    <w:rsid w:val="0007302A"/>
    <w:rsid w:val="000937E9"/>
    <w:rsid w:val="000C0F63"/>
    <w:rsid w:val="000D1001"/>
    <w:rsid w:val="000E282A"/>
    <w:rsid w:val="000E5B23"/>
    <w:rsid w:val="001115AE"/>
    <w:rsid w:val="00111FE0"/>
    <w:rsid w:val="00115E3B"/>
    <w:rsid w:val="00125A3D"/>
    <w:rsid w:val="0013163D"/>
    <w:rsid w:val="0013452F"/>
    <w:rsid w:val="001370E5"/>
    <w:rsid w:val="001663F5"/>
    <w:rsid w:val="001700B8"/>
    <w:rsid w:val="001728F4"/>
    <w:rsid w:val="001807C2"/>
    <w:rsid w:val="00195598"/>
    <w:rsid w:val="00196C18"/>
    <w:rsid w:val="001C2D20"/>
    <w:rsid w:val="001D133B"/>
    <w:rsid w:val="001E3ACE"/>
    <w:rsid w:val="001F12A1"/>
    <w:rsid w:val="00227AC4"/>
    <w:rsid w:val="00247693"/>
    <w:rsid w:val="00255251"/>
    <w:rsid w:val="00255C0B"/>
    <w:rsid w:val="0027327D"/>
    <w:rsid w:val="00282E78"/>
    <w:rsid w:val="00296AA7"/>
    <w:rsid w:val="002B2905"/>
    <w:rsid w:val="002C356D"/>
    <w:rsid w:val="002C4639"/>
    <w:rsid w:val="002D0046"/>
    <w:rsid w:val="002D6976"/>
    <w:rsid w:val="002E0256"/>
    <w:rsid w:val="002E313C"/>
    <w:rsid w:val="002E76E2"/>
    <w:rsid w:val="0030182A"/>
    <w:rsid w:val="0030552D"/>
    <w:rsid w:val="00312D11"/>
    <w:rsid w:val="003205D9"/>
    <w:rsid w:val="00322832"/>
    <w:rsid w:val="003236AD"/>
    <w:rsid w:val="003272B3"/>
    <w:rsid w:val="00340FC3"/>
    <w:rsid w:val="003526EA"/>
    <w:rsid w:val="00374392"/>
    <w:rsid w:val="00381971"/>
    <w:rsid w:val="003933BF"/>
    <w:rsid w:val="00394A42"/>
    <w:rsid w:val="00396F47"/>
    <w:rsid w:val="003A21AF"/>
    <w:rsid w:val="003B6818"/>
    <w:rsid w:val="003C19E0"/>
    <w:rsid w:val="003D77A9"/>
    <w:rsid w:val="004007C1"/>
    <w:rsid w:val="0041287A"/>
    <w:rsid w:val="00417692"/>
    <w:rsid w:val="004224DA"/>
    <w:rsid w:val="00433E03"/>
    <w:rsid w:val="00437FB7"/>
    <w:rsid w:val="00444FF9"/>
    <w:rsid w:val="004616FE"/>
    <w:rsid w:val="00463AB4"/>
    <w:rsid w:val="00465D37"/>
    <w:rsid w:val="00473949"/>
    <w:rsid w:val="00481C7B"/>
    <w:rsid w:val="0048528D"/>
    <w:rsid w:val="004A02D5"/>
    <w:rsid w:val="004A536E"/>
    <w:rsid w:val="004B0A92"/>
    <w:rsid w:val="004B5D6A"/>
    <w:rsid w:val="004B72C3"/>
    <w:rsid w:val="004D2D15"/>
    <w:rsid w:val="004E3461"/>
    <w:rsid w:val="004E3486"/>
    <w:rsid w:val="004E529B"/>
    <w:rsid w:val="004F4EF7"/>
    <w:rsid w:val="00502999"/>
    <w:rsid w:val="00504E0A"/>
    <w:rsid w:val="005575F5"/>
    <w:rsid w:val="005653D5"/>
    <w:rsid w:val="00584BF4"/>
    <w:rsid w:val="00585092"/>
    <w:rsid w:val="005A2DE4"/>
    <w:rsid w:val="005A4744"/>
    <w:rsid w:val="005B332E"/>
    <w:rsid w:val="005C2106"/>
    <w:rsid w:val="005D082A"/>
    <w:rsid w:val="0061210E"/>
    <w:rsid w:val="00614655"/>
    <w:rsid w:val="00623011"/>
    <w:rsid w:val="00623063"/>
    <w:rsid w:val="00635186"/>
    <w:rsid w:val="0064780F"/>
    <w:rsid w:val="006573F8"/>
    <w:rsid w:val="00661F58"/>
    <w:rsid w:val="0066268F"/>
    <w:rsid w:val="00675643"/>
    <w:rsid w:val="0068098B"/>
    <w:rsid w:val="00681621"/>
    <w:rsid w:val="00683600"/>
    <w:rsid w:val="00687C58"/>
    <w:rsid w:val="006912DF"/>
    <w:rsid w:val="00694E18"/>
    <w:rsid w:val="006B59DC"/>
    <w:rsid w:val="006B742D"/>
    <w:rsid w:val="006C04F0"/>
    <w:rsid w:val="006C5527"/>
    <w:rsid w:val="006D49E9"/>
    <w:rsid w:val="006D4AA8"/>
    <w:rsid w:val="006E3DDF"/>
    <w:rsid w:val="007241A8"/>
    <w:rsid w:val="00746265"/>
    <w:rsid w:val="007518BD"/>
    <w:rsid w:val="0075277A"/>
    <w:rsid w:val="00766C10"/>
    <w:rsid w:val="007718D6"/>
    <w:rsid w:val="00784354"/>
    <w:rsid w:val="00787BC7"/>
    <w:rsid w:val="00796537"/>
    <w:rsid w:val="00796ACF"/>
    <w:rsid w:val="007A0270"/>
    <w:rsid w:val="007C3428"/>
    <w:rsid w:val="007D59A2"/>
    <w:rsid w:val="007E1801"/>
    <w:rsid w:val="007E7FEA"/>
    <w:rsid w:val="007F0080"/>
    <w:rsid w:val="007F345E"/>
    <w:rsid w:val="00806FCD"/>
    <w:rsid w:val="00807468"/>
    <w:rsid w:val="00812A0A"/>
    <w:rsid w:val="00822774"/>
    <w:rsid w:val="008554AE"/>
    <w:rsid w:val="00872467"/>
    <w:rsid w:val="00875C1C"/>
    <w:rsid w:val="00881718"/>
    <w:rsid w:val="008836A6"/>
    <w:rsid w:val="00885AC5"/>
    <w:rsid w:val="00893BFB"/>
    <w:rsid w:val="008A2E44"/>
    <w:rsid w:val="008D7BF1"/>
    <w:rsid w:val="008E4B15"/>
    <w:rsid w:val="008F3052"/>
    <w:rsid w:val="009162E2"/>
    <w:rsid w:val="009218D5"/>
    <w:rsid w:val="00923756"/>
    <w:rsid w:val="0094407B"/>
    <w:rsid w:val="00983BEE"/>
    <w:rsid w:val="00995E45"/>
    <w:rsid w:val="009E5DDB"/>
    <w:rsid w:val="009F2E9F"/>
    <w:rsid w:val="009F63FC"/>
    <w:rsid w:val="00A002E6"/>
    <w:rsid w:val="00A02EE3"/>
    <w:rsid w:val="00A30472"/>
    <w:rsid w:val="00A32A57"/>
    <w:rsid w:val="00A405F3"/>
    <w:rsid w:val="00A41FAD"/>
    <w:rsid w:val="00A47545"/>
    <w:rsid w:val="00A56754"/>
    <w:rsid w:val="00A57103"/>
    <w:rsid w:val="00A61D0A"/>
    <w:rsid w:val="00A7703D"/>
    <w:rsid w:val="00AA2157"/>
    <w:rsid w:val="00AA3748"/>
    <w:rsid w:val="00AC3658"/>
    <w:rsid w:val="00AD5F57"/>
    <w:rsid w:val="00AD7B62"/>
    <w:rsid w:val="00AF0698"/>
    <w:rsid w:val="00AF39F7"/>
    <w:rsid w:val="00B03F88"/>
    <w:rsid w:val="00B3751E"/>
    <w:rsid w:val="00B43B50"/>
    <w:rsid w:val="00B8657F"/>
    <w:rsid w:val="00B9669E"/>
    <w:rsid w:val="00BA240F"/>
    <w:rsid w:val="00BE39D8"/>
    <w:rsid w:val="00BE6043"/>
    <w:rsid w:val="00BF7C2D"/>
    <w:rsid w:val="00C25360"/>
    <w:rsid w:val="00C27E74"/>
    <w:rsid w:val="00C40165"/>
    <w:rsid w:val="00C50838"/>
    <w:rsid w:val="00C511CA"/>
    <w:rsid w:val="00C54339"/>
    <w:rsid w:val="00C619A1"/>
    <w:rsid w:val="00C62064"/>
    <w:rsid w:val="00C664C6"/>
    <w:rsid w:val="00C66DCD"/>
    <w:rsid w:val="00C70334"/>
    <w:rsid w:val="00C84B84"/>
    <w:rsid w:val="00C9250E"/>
    <w:rsid w:val="00C96276"/>
    <w:rsid w:val="00CA0201"/>
    <w:rsid w:val="00CB55C5"/>
    <w:rsid w:val="00CB799E"/>
    <w:rsid w:val="00D03B91"/>
    <w:rsid w:val="00D04ACE"/>
    <w:rsid w:val="00D20076"/>
    <w:rsid w:val="00D22CDB"/>
    <w:rsid w:val="00D421C8"/>
    <w:rsid w:val="00D47F16"/>
    <w:rsid w:val="00D57F12"/>
    <w:rsid w:val="00D62052"/>
    <w:rsid w:val="00D631E7"/>
    <w:rsid w:val="00D90A0B"/>
    <w:rsid w:val="00D95618"/>
    <w:rsid w:val="00DA439D"/>
    <w:rsid w:val="00DB17EF"/>
    <w:rsid w:val="00DC72B0"/>
    <w:rsid w:val="00DE4D18"/>
    <w:rsid w:val="00DF088C"/>
    <w:rsid w:val="00DF3E44"/>
    <w:rsid w:val="00E226F2"/>
    <w:rsid w:val="00E41542"/>
    <w:rsid w:val="00E44642"/>
    <w:rsid w:val="00E56D0A"/>
    <w:rsid w:val="00E642DB"/>
    <w:rsid w:val="00E76F2A"/>
    <w:rsid w:val="00EB3E16"/>
    <w:rsid w:val="00ED7108"/>
    <w:rsid w:val="00EE13B9"/>
    <w:rsid w:val="00EF6B91"/>
    <w:rsid w:val="00F20984"/>
    <w:rsid w:val="00F22B21"/>
    <w:rsid w:val="00F316B9"/>
    <w:rsid w:val="00F3211E"/>
    <w:rsid w:val="00F40FD0"/>
    <w:rsid w:val="00F42DBA"/>
    <w:rsid w:val="00F4469A"/>
    <w:rsid w:val="00F616DD"/>
    <w:rsid w:val="00F6470B"/>
    <w:rsid w:val="00F80688"/>
    <w:rsid w:val="00F81B51"/>
    <w:rsid w:val="00F81CCA"/>
    <w:rsid w:val="00FB6C6D"/>
    <w:rsid w:val="00FC38FC"/>
    <w:rsid w:val="00FE5310"/>
    <w:rsid w:val="00FF7D73"/>
    <w:rsid w:val="00FF7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D849"/>
  <w15:chartTrackingRefBased/>
  <w15:docId w15:val="{8254CAF3-4CAA-498B-8072-AE1CBBEC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B15"/>
    <w:pPr>
      <w:widowControl w:val="0"/>
      <w:autoSpaceDE w:val="0"/>
      <w:autoSpaceDN w:val="0"/>
      <w:adjustRightInd w:val="0"/>
      <w:spacing w:after="0" w:line="360" w:lineRule="auto"/>
    </w:pPr>
    <w:rPr>
      <w:rFonts w:ascii="Times New Roman" w:eastAsiaTheme="minorEastAsia" w:hAnsi="Times New Roman" w:cs="Arial"/>
      <w:kern w:val="0"/>
      <w:szCs w:val="20"/>
      <w:lang w:eastAsia="pl-PL"/>
      <w14:ligatures w14:val="none"/>
    </w:rPr>
  </w:style>
  <w:style w:type="paragraph" w:styleId="Nagwek1">
    <w:name w:val="heading 1"/>
    <w:basedOn w:val="Normalny"/>
    <w:next w:val="Normalny"/>
    <w:link w:val="Nagwek1Znak"/>
    <w:uiPriority w:val="9"/>
    <w:qFormat/>
    <w:rsid w:val="008E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E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E4B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E4B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E4B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E4B1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4B1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4B1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4B1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B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E4B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E4B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E4B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E4B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E4B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E4B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E4B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E4B15"/>
    <w:rPr>
      <w:rFonts w:eastAsiaTheme="majorEastAsia" w:cstheme="majorBidi"/>
      <w:color w:val="272727" w:themeColor="text1" w:themeTint="D8"/>
    </w:rPr>
  </w:style>
  <w:style w:type="paragraph" w:styleId="Tytu">
    <w:name w:val="Title"/>
    <w:basedOn w:val="Normalny"/>
    <w:next w:val="Normalny"/>
    <w:link w:val="TytuZnak"/>
    <w:uiPriority w:val="10"/>
    <w:qFormat/>
    <w:rsid w:val="008E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E4B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E4B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E4B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E4B15"/>
    <w:pPr>
      <w:spacing w:before="160"/>
      <w:jc w:val="center"/>
    </w:pPr>
    <w:rPr>
      <w:i/>
      <w:iCs/>
      <w:color w:val="404040" w:themeColor="text1" w:themeTint="BF"/>
    </w:rPr>
  </w:style>
  <w:style w:type="character" w:customStyle="1" w:styleId="CytatZnak">
    <w:name w:val="Cytat Znak"/>
    <w:basedOn w:val="Domylnaczcionkaakapitu"/>
    <w:link w:val="Cytat"/>
    <w:uiPriority w:val="29"/>
    <w:rsid w:val="008E4B15"/>
    <w:rPr>
      <w:i/>
      <w:iCs/>
      <w:color w:val="404040" w:themeColor="text1" w:themeTint="BF"/>
    </w:rPr>
  </w:style>
  <w:style w:type="paragraph" w:styleId="Akapitzlist">
    <w:name w:val="List Paragraph"/>
    <w:basedOn w:val="Normalny"/>
    <w:uiPriority w:val="34"/>
    <w:qFormat/>
    <w:rsid w:val="008E4B15"/>
    <w:pPr>
      <w:ind w:left="720"/>
      <w:contextualSpacing/>
    </w:pPr>
  </w:style>
  <w:style w:type="character" w:styleId="Wyrnienieintensywne">
    <w:name w:val="Intense Emphasis"/>
    <w:basedOn w:val="Domylnaczcionkaakapitu"/>
    <w:uiPriority w:val="21"/>
    <w:qFormat/>
    <w:rsid w:val="008E4B15"/>
    <w:rPr>
      <w:i/>
      <w:iCs/>
      <w:color w:val="0F4761" w:themeColor="accent1" w:themeShade="BF"/>
    </w:rPr>
  </w:style>
  <w:style w:type="paragraph" w:styleId="Cytatintensywny">
    <w:name w:val="Intense Quote"/>
    <w:basedOn w:val="Normalny"/>
    <w:next w:val="Normalny"/>
    <w:link w:val="CytatintensywnyZnak"/>
    <w:uiPriority w:val="30"/>
    <w:qFormat/>
    <w:rsid w:val="008E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E4B15"/>
    <w:rPr>
      <w:i/>
      <w:iCs/>
      <w:color w:val="0F4761" w:themeColor="accent1" w:themeShade="BF"/>
    </w:rPr>
  </w:style>
  <w:style w:type="character" w:styleId="Odwoanieintensywne">
    <w:name w:val="Intense Reference"/>
    <w:basedOn w:val="Domylnaczcionkaakapitu"/>
    <w:uiPriority w:val="32"/>
    <w:qFormat/>
    <w:rsid w:val="008E4B15"/>
    <w:rPr>
      <w:b/>
      <w:bCs/>
      <w:smallCaps/>
      <w:color w:val="0F4761" w:themeColor="accent1" w:themeShade="BF"/>
      <w:spacing w:val="5"/>
    </w:rPr>
  </w:style>
  <w:style w:type="paragraph" w:styleId="Nagwek">
    <w:name w:val="header"/>
    <w:basedOn w:val="Normalny"/>
    <w:link w:val="NagwekZnak"/>
    <w:uiPriority w:val="99"/>
    <w:semiHidden/>
    <w:rsid w:val="008E4B15"/>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E4B15"/>
    <w:rPr>
      <w:rFonts w:ascii="Times" w:eastAsia="Times New Roman" w:hAnsi="Times" w:cs="Times New Roman"/>
      <w:kern w:val="1"/>
      <w:lang w:eastAsia="ar-SA"/>
      <w14:ligatures w14:val="none"/>
    </w:rPr>
  </w:style>
  <w:style w:type="paragraph" w:customStyle="1" w:styleId="USTustnpkodeksu">
    <w:name w:val="UST(§) – ust. (§ np. kodeksu)"/>
    <w:basedOn w:val="Normalny"/>
    <w:uiPriority w:val="12"/>
    <w:qFormat/>
    <w:rsid w:val="008E4B15"/>
    <w:pPr>
      <w:widowControl/>
      <w:suppressAutoHyphens/>
      <w:ind w:firstLine="510"/>
      <w:jc w:val="both"/>
    </w:pPr>
    <w:rPr>
      <w:rFonts w:ascii="Times" w:hAnsi="Times"/>
      <w:bCs/>
    </w:rPr>
  </w:style>
  <w:style w:type="table" w:styleId="Tabela-Siatka">
    <w:name w:val="Table Grid"/>
    <w:basedOn w:val="Standardowy"/>
    <w:uiPriority w:val="39"/>
    <w:rsid w:val="008E4B15"/>
    <w:pPr>
      <w:spacing w:after="0" w:line="240" w:lineRule="auto"/>
    </w:pPr>
    <w:rPr>
      <w:rFonts w:ascii="Times" w:eastAsia="Times New Roman" w:hAnsi="Times"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E4B15"/>
    <w:pPr>
      <w:spacing w:after="0" w:line="240" w:lineRule="auto"/>
    </w:pPr>
    <w:rPr>
      <w:rFonts w:ascii="Times New Roman" w:eastAsiaTheme="minorEastAsia" w:hAnsi="Times New Roman" w:cs="Arial"/>
      <w:kern w:val="0"/>
      <w:szCs w:val="20"/>
      <w:lang w:eastAsia="pl-PL"/>
      <w14:ligatures w14:val="none"/>
    </w:rPr>
  </w:style>
  <w:style w:type="paragraph" w:styleId="Tekstprzypisukocowego">
    <w:name w:val="endnote text"/>
    <w:basedOn w:val="Normalny"/>
    <w:link w:val="TekstprzypisukocowegoZnak"/>
    <w:uiPriority w:val="99"/>
    <w:semiHidden/>
    <w:unhideWhenUsed/>
    <w:rsid w:val="00EE13B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EE13B9"/>
    <w:rPr>
      <w:rFonts w:ascii="Times New Roman" w:eastAsiaTheme="minorEastAsia" w:hAnsi="Times New Roman" w:cs="Arial"/>
      <w:kern w:val="0"/>
      <w:sz w:val="20"/>
      <w:szCs w:val="20"/>
      <w:lang w:eastAsia="pl-PL"/>
      <w14:ligatures w14:val="none"/>
    </w:rPr>
  </w:style>
  <w:style w:type="character" w:styleId="Odwoanieprzypisukocowego">
    <w:name w:val="endnote reference"/>
    <w:basedOn w:val="Domylnaczcionkaakapitu"/>
    <w:uiPriority w:val="99"/>
    <w:semiHidden/>
    <w:unhideWhenUsed/>
    <w:rsid w:val="00EE13B9"/>
    <w:rPr>
      <w:vertAlign w:val="superscript"/>
    </w:rPr>
  </w:style>
  <w:style w:type="paragraph" w:customStyle="1" w:styleId="NAZORGWYDnazwaorganuwydajcegoprojektowanyakt">
    <w:name w:val="NAZ_ORG_WYD – nazwa organu wydającego projektowany akt"/>
    <w:basedOn w:val="Normalny"/>
    <w:uiPriority w:val="27"/>
    <w:qFormat/>
    <w:rsid w:val="00A30472"/>
    <w:pPr>
      <w:keepNext/>
      <w:widowControl/>
      <w:suppressAutoHyphens/>
      <w:autoSpaceDE/>
      <w:autoSpaceDN/>
      <w:adjustRightInd/>
      <w:spacing w:after="120"/>
      <w:ind w:left="4820"/>
      <w:jc w:val="center"/>
    </w:pPr>
    <w:rPr>
      <w:rFonts w:ascii="Times" w:eastAsia="Times New Roman" w:hAnsi="Times" w:cs="Times New Roman"/>
      <w:b/>
      <w:bCs/>
      <w:caps/>
      <w:kern w:val="24"/>
      <w:szCs w:val="24"/>
    </w:rPr>
  </w:style>
  <w:style w:type="character" w:customStyle="1" w:styleId="Ppogrubienie">
    <w:name w:val="_P_ – pogrubienie"/>
    <w:basedOn w:val="Domylnaczcionkaakapitu"/>
    <w:uiPriority w:val="1"/>
    <w:qFormat/>
    <w:rsid w:val="00A30472"/>
    <w:rPr>
      <w:b/>
    </w:rPr>
  </w:style>
  <w:style w:type="character" w:styleId="Odwoaniedokomentarza">
    <w:name w:val="annotation reference"/>
    <w:basedOn w:val="Domylnaczcionkaakapitu"/>
    <w:uiPriority w:val="99"/>
    <w:semiHidden/>
    <w:unhideWhenUsed/>
    <w:rsid w:val="00A30472"/>
    <w:rPr>
      <w:sz w:val="16"/>
      <w:szCs w:val="16"/>
    </w:rPr>
  </w:style>
  <w:style w:type="paragraph" w:styleId="Tekstkomentarza">
    <w:name w:val="annotation text"/>
    <w:basedOn w:val="Normalny"/>
    <w:link w:val="TekstkomentarzaZnak"/>
    <w:uiPriority w:val="99"/>
    <w:unhideWhenUsed/>
    <w:rsid w:val="00A30472"/>
    <w:pPr>
      <w:spacing w:line="240" w:lineRule="auto"/>
    </w:pPr>
    <w:rPr>
      <w:sz w:val="20"/>
    </w:rPr>
  </w:style>
  <w:style w:type="character" w:customStyle="1" w:styleId="TekstkomentarzaZnak">
    <w:name w:val="Tekst komentarza Znak"/>
    <w:basedOn w:val="Domylnaczcionkaakapitu"/>
    <w:link w:val="Tekstkomentarza"/>
    <w:uiPriority w:val="99"/>
    <w:rsid w:val="00A30472"/>
    <w:rPr>
      <w:rFonts w:ascii="Times New Roman" w:eastAsiaTheme="minorEastAsia"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30472"/>
    <w:rPr>
      <w:b/>
      <w:bCs/>
    </w:rPr>
  </w:style>
  <w:style w:type="character" w:customStyle="1" w:styleId="TematkomentarzaZnak">
    <w:name w:val="Temat komentarza Znak"/>
    <w:basedOn w:val="TekstkomentarzaZnak"/>
    <w:link w:val="Tematkomentarza"/>
    <w:uiPriority w:val="99"/>
    <w:semiHidden/>
    <w:rsid w:val="00A30472"/>
    <w:rPr>
      <w:rFonts w:ascii="Times New Roman" w:eastAsiaTheme="minorEastAsia" w:hAnsi="Times New Roman" w:cs="Arial"/>
      <w:b/>
      <w:bCs/>
      <w:kern w:val="0"/>
      <w:sz w:val="20"/>
      <w:szCs w:val="20"/>
      <w:lang w:eastAsia="pl-PL"/>
      <w14:ligatures w14:val="none"/>
    </w:rPr>
  </w:style>
  <w:style w:type="paragraph" w:styleId="Stopka">
    <w:name w:val="footer"/>
    <w:basedOn w:val="Normalny"/>
    <w:link w:val="StopkaZnak"/>
    <w:uiPriority w:val="99"/>
    <w:unhideWhenUsed/>
    <w:rsid w:val="00A56754"/>
    <w:pPr>
      <w:tabs>
        <w:tab w:val="center" w:pos="4536"/>
        <w:tab w:val="right" w:pos="9072"/>
      </w:tabs>
      <w:spacing w:line="240" w:lineRule="auto"/>
    </w:pPr>
  </w:style>
  <w:style w:type="character" w:customStyle="1" w:styleId="StopkaZnak">
    <w:name w:val="Stopka Znak"/>
    <w:basedOn w:val="Domylnaczcionkaakapitu"/>
    <w:link w:val="Stopka"/>
    <w:uiPriority w:val="99"/>
    <w:rsid w:val="00A56754"/>
    <w:rPr>
      <w:rFonts w:ascii="Times New Roman" w:eastAsiaTheme="minorEastAsia" w:hAnsi="Times New Roman" w:cs="Arial"/>
      <w:kern w:val="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93752">
      <w:bodyDiv w:val="1"/>
      <w:marLeft w:val="0"/>
      <w:marRight w:val="0"/>
      <w:marTop w:val="0"/>
      <w:marBottom w:val="0"/>
      <w:divBdr>
        <w:top w:val="none" w:sz="0" w:space="0" w:color="auto"/>
        <w:left w:val="none" w:sz="0" w:space="0" w:color="auto"/>
        <w:bottom w:val="none" w:sz="0" w:space="0" w:color="auto"/>
        <w:right w:val="none" w:sz="0" w:space="0" w:color="auto"/>
      </w:divBdr>
    </w:div>
    <w:div w:id="16403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64BB-A527-4668-9E23-F2FCD097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4140</Words>
  <Characters>24846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Ossowski Medard  (DPK)</dc:creator>
  <cp:keywords/>
  <dc:description/>
  <cp:lastModifiedBy>Wójcik Aleksandra</cp:lastModifiedBy>
  <cp:revision>3</cp:revision>
  <dcterms:created xsi:type="dcterms:W3CDTF">2025-07-01T14:20:00Z</dcterms:created>
  <dcterms:modified xsi:type="dcterms:W3CDTF">2025-07-01T14:23:00Z</dcterms:modified>
</cp:coreProperties>
</file>