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EDB4" w14:textId="23D9A59A" w:rsidR="0039123C" w:rsidRPr="008949BA" w:rsidRDefault="00C569E8" w:rsidP="008949BA">
      <w:pPr>
        <w:pStyle w:val="OZNPROJEKTUwskazaniedatylubwersjiprojektu"/>
      </w:pPr>
      <w:r>
        <w:t>P</w:t>
      </w:r>
      <w:r w:rsidR="0039123C" w:rsidRPr="008949BA">
        <w:t>rojekt</w:t>
      </w:r>
    </w:p>
    <w:p w14:paraId="51CDCB69" w14:textId="77777777" w:rsidR="0039123C" w:rsidRDefault="0039123C" w:rsidP="0039123C">
      <w:pPr>
        <w:pStyle w:val="OZNRODZAKTUtznustawalubrozporzdzenieiorganwydajcy"/>
      </w:pPr>
      <w:r>
        <w:t>USTAWA</w:t>
      </w:r>
    </w:p>
    <w:p w14:paraId="5F015DC0" w14:textId="6FB2D617" w:rsidR="0039123C" w:rsidRDefault="0039123C" w:rsidP="0039123C">
      <w:pPr>
        <w:pStyle w:val="DATAAKTUdatauchwalenialubwydaniaaktu"/>
      </w:pPr>
      <w:r>
        <w:t>z dnia</w:t>
      </w:r>
    </w:p>
    <w:p w14:paraId="52766A16" w14:textId="77777777" w:rsidR="0039123C" w:rsidRDefault="0039123C" w:rsidP="0039123C">
      <w:pPr>
        <w:pStyle w:val="TYTUAKTUprzedmiotregulacjiustawylubrozporzdzenia"/>
      </w:pPr>
      <w:r>
        <w:t xml:space="preserve">o zmianie ustawy </w:t>
      </w:r>
      <w:r w:rsidRPr="009F588F">
        <w:t>o organizacji i funkcjonowaniu funduszy emerytalnych</w:t>
      </w:r>
    </w:p>
    <w:p w14:paraId="23D0B7F1" w14:textId="3ACC25B2" w:rsidR="0039123C" w:rsidRDefault="0039123C" w:rsidP="008949BA">
      <w:pPr>
        <w:pStyle w:val="ARTartustawynprozporzdzenia"/>
      </w:pPr>
      <w:r w:rsidRPr="008949BA">
        <w:rPr>
          <w:rStyle w:val="Ppogrubienie"/>
        </w:rPr>
        <w:t>Art. 1.</w:t>
      </w:r>
      <w:r w:rsidR="001649DB">
        <w:t> </w:t>
      </w:r>
      <w:r>
        <w:t>W ustawie z dnia 28 sierpnia 1997 r. o organizacji i funkcjonowaniu funduszy emerytalnych (Dz. U. z 2024 r. poz. 1113) wprowadza się następujące zmiany:</w:t>
      </w:r>
    </w:p>
    <w:p w14:paraId="192D6C40" w14:textId="1C569964" w:rsidR="0039123C" w:rsidRPr="0039123C" w:rsidRDefault="0039123C" w:rsidP="009454DE">
      <w:pPr>
        <w:pStyle w:val="PKTpunkt"/>
      </w:pPr>
      <w:r>
        <w:t>1)</w:t>
      </w:r>
      <w:r w:rsidR="00EE32EB">
        <w:tab/>
      </w:r>
      <w:r>
        <w:t>w art. 13:</w:t>
      </w:r>
    </w:p>
    <w:p w14:paraId="7E9E829A" w14:textId="66FEFACE" w:rsidR="0039123C" w:rsidRPr="00365165" w:rsidRDefault="0039123C" w:rsidP="009454DE">
      <w:pPr>
        <w:pStyle w:val="LITlitera"/>
      </w:pPr>
      <w:r>
        <w:t>a)</w:t>
      </w:r>
      <w:r w:rsidR="00EE32EB">
        <w:tab/>
      </w:r>
      <w:r>
        <w:t>w ust. 3</w:t>
      </w:r>
      <w:r w:rsidR="001C5DB8">
        <w:t xml:space="preserve"> </w:t>
      </w:r>
      <w:r w:rsidRPr="00365165">
        <w:t>pkt 1 otrzymuje brzmienie:</w:t>
      </w:r>
    </w:p>
    <w:p w14:paraId="2205465B" w14:textId="6AD789B2" w:rsidR="0039123C" w:rsidRDefault="0039123C" w:rsidP="00EE32EB">
      <w:pPr>
        <w:pStyle w:val="ZLITPKTzmpktliter"/>
      </w:pPr>
      <w:r>
        <w:t>„1)</w:t>
      </w:r>
      <w:r w:rsidR="00EE32EB">
        <w:tab/>
      </w:r>
      <w:r>
        <w:t xml:space="preserve">ogólnodostępną stronę </w:t>
      </w:r>
      <w:r w:rsidR="00055EDD">
        <w:t>i</w:t>
      </w:r>
      <w:r>
        <w:t>nternetową przeznaczoną do ogłoszeń funduszu</w:t>
      </w:r>
      <w:r w:rsidR="001C5DB8">
        <w:t>;</w:t>
      </w:r>
      <w:r>
        <w:t>”</w:t>
      </w:r>
      <w:r w:rsidR="001C5DB8">
        <w:t>,</w:t>
      </w:r>
    </w:p>
    <w:p w14:paraId="3F68E700" w14:textId="1F7802D5" w:rsidR="0039123C" w:rsidRDefault="0039123C" w:rsidP="009454DE">
      <w:pPr>
        <w:pStyle w:val="LITlitera"/>
      </w:pPr>
      <w:r>
        <w:t>b)</w:t>
      </w:r>
      <w:r w:rsidR="00EE32EB">
        <w:tab/>
      </w:r>
      <w:r>
        <w:t>w ust. 4</w:t>
      </w:r>
      <w:r w:rsidR="001C5DB8">
        <w:t xml:space="preserve"> </w:t>
      </w:r>
      <w:r>
        <w:t xml:space="preserve">w pkt 5 kropkę zastępuje się </w:t>
      </w:r>
      <w:r w:rsidR="001C5DB8">
        <w:t xml:space="preserve">średnikiem </w:t>
      </w:r>
      <w:r>
        <w:t>i dodaje się pkt 6 w brzmieniu:</w:t>
      </w:r>
    </w:p>
    <w:p w14:paraId="3672D1F4" w14:textId="27A17EE5" w:rsidR="0039123C" w:rsidRDefault="0039123C" w:rsidP="00EE32EB">
      <w:pPr>
        <w:pStyle w:val="ZLITPKTzmpktliter"/>
      </w:pPr>
      <w:r>
        <w:t>„6)</w:t>
      </w:r>
      <w:r w:rsidR="00EE32EB">
        <w:tab/>
      </w:r>
      <w:r>
        <w:t xml:space="preserve">ogólnodostępną stronę </w:t>
      </w:r>
      <w:r w:rsidR="00996D67">
        <w:t>i</w:t>
      </w:r>
      <w:r>
        <w:t>nternetową przeznaczoną do ogłoszeń funduszu.”</w:t>
      </w:r>
      <w:r w:rsidR="001C5DB8">
        <w:t>,</w:t>
      </w:r>
    </w:p>
    <w:p w14:paraId="6DED4725" w14:textId="159C0D8A" w:rsidR="0039123C" w:rsidRDefault="0039123C" w:rsidP="009454DE">
      <w:pPr>
        <w:pStyle w:val="LITlitera"/>
      </w:pPr>
      <w:r>
        <w:t>c)</w:t>
      </w:r>
      <w:r w:rsidR="00EE32EB">
        <w:tab/>
      </w:r>
      <w:r>
        <w:t>w ust. 4a</w:t>
      </w:r>
      <w:r w:rsidR="001C5DB8">
        <w:t xml:space="preserve"> </w:t>
      </w:r>
      <w:r>
        <w:t xml:space="preserve">w pkt 4 kropkę zastępuje się </w:t>
      </w:r>
      <w:r w:rsidR="001C5DB8">
        <w:t xml:space="preserve">średnikiem </w:t>
      </w:r>
      <w:r>
        <w:t>i dodaje się pkt 5 w brzmieniu:</w:t>
      </w:r>
    </w:p>
    <w:p w14:paraId="42CF378C" w14:textId="42B1E2B2" w:rsidR="0039123C" w:rsidRDefault="0039123C" w:rsidP="009F27C5">
      <w:pPr>
        <w:pStyle w:val="ZLITPKTzmpktliter"/>
      </w:pPr>
      <w:r>
        <w:t>„5)</w:t>
      </w:r>
      <w:r w:rsidR="009F27C5">
        <w:tab/>
      </w:r>
      <w:r>
        <w:t xml:space="preserve">ogólnodostępną stronę </w:t>
      </w:r>
      <w:r w:rsidR="00996D67">
        <w:t>i</w:t>
      </w:r>
      <w:r>
        <w:t>nternetową przeznaczoną do ogłoszeń funduszu.”</w:t>
      </w:r>
      <w:r w:rsidR="001C5DB8">
        <w:t>;</w:t>
      </w:r>
    </w:p>
    <w:p w14:paraId="2292DF49" w14:textId="50B5E782" w:rsidR="0039123C" w:rsidRDefault="0039123C" w:rsidP="009454DE">
      <w:pPr>
        <w:pStyle w:val="PKTpunkt"/>
      </w:pPr>
      <w:r>
        <w:t>2)</w:t>
      </w:r>
      <w:r w:rsidR="00EE32EB">
        <w:tab/>
      </w:r>
      <w:r>
        <w:t>w art. 23 ust. 1 otrzymuje brzmienie:</w:t>
      </w:r>
    </w:p>
    <w:p w14:paraId="778CBCCC" w14:textId="44CEE286" w:rsidR="0039123C" w:rsidRDefault="0039123C" w:rsidP="00EE32EB">
      <w:pPr>
        <w:pStyle w:val="ZUSTzmustartykuempunktem"/>
      </w:pPr>
      <w:r>
        <w:t>„</w:t>
      </w:r>
      <w:r w:rsidRPr="00676703">
        <w:t>1. Zmianę statutu otwarty fundusz ogłasza na ogólnodostępnej stronie internetowej przeznaczonej do ogłoszeń funduszu, nie później niż w terminie 2 miesięcy od dnia doręczenia otwartemu funduszowi zezwolenia na zmianę statutu</w:t>
      </w:r>
      <w:r w:rsidR="001C5DB8">
        <w:t>.</w:t>
      </w:r>
      <w:r w:rsidR="008A526C">
        <w:t xml:space="preserve"> Wraz z ogłoszeniem o</w:t>
      </w:r>
      <w:r w:rsidR="00535653">
        <w:t> </w:t>
      </w:r>
      <w:r w:rsidR="008A526C">
        <w:t>zmianie statutu otwarty fundusz</w:t>
      </w:r>
      <w:r w:rsidR="006E0B73">
        <w:t xml:space="preserve"> każdorazowo</w:t>
      </w:r>
      <w:r w:rsidR="008A526C">
        <w:t xml:space="preserve"> </w:t>
      </w:r>
      <w:r w:rsidR="006D3D69">
        <w:t>zamieszcza</w:t>
      </w:r>
      <w:r w:rsidR="008A526C">
        <w:t xml:space="preserve"> na tej stronie tekst jednolity statutu.</w:t>
      </w:r>
      <w:r>
        <w:t>”</w:t>
      </w:r>
      <w:r w:rsidR="001C5DB8">
        <w:t>;</w:t>
      </w:r>
    </w:p>
    <w:p w14:paraId="6D33D0AC" w14:textId="4FD505BF" w:rsidR="005F1051" w:rsidRDefault="0039123C" w:rsidP="009454DE">
      <w:pPr>
        <w:pStyle w:val="PKTpunkt"/>
      </w:pPr>
      <w:r>
        <w:t>3)</w:t>
      </w:r>
      <w:r w:rsidR="00EE32EB">
        <w:tab/>
      </w:r>
      <w:r>
        <w:t>w art. 49</w:t>
      </w:r>
      <w:r w:rsidR="005F1051">
        <w:t>:</w:t>
      </w:r>
    </w:p>
    <w:p w14:paraId="77D94C58" w14:textId="12EF4DA2" w:rsidR="0039123C" w:rsidRDefault="005F1051" w:rsidP="009454DE">
      <w:pPr>
        <w:pStyle w:val="LITlitera"/>
      </w:pPr>
      <w:r>
        <w:t>a</w:t>
      </w:r>
      <w:bookmarkStart w:id="0" w:name="_Hlk200716219"/>
      <w:r>
        <w:t>)</w:t>
      </w:r>
      <w:r w:rsidR="00EE32EB">
        <w:tab/>
      </w:r>
      <w:r w:rsidR="0039123C">
        <w:t>w ust. 1</w:t>
      </w:r>
      <w:r w:rsidR="001C5DB8">
        <w:t xml:space="preserve"> </w:t>
      </w:r>
      <w:r w:rsidR="0039123C">
        <w:t xml:space="preserve">w pkt 4 kropkę zastępuje się </w:t>
      </w:r>
      <w:r w:rsidR="001C5DB8">
        <w:t xml:space="preserve">średnikiem </w:t>
      </w:r>
      <w:r w:rsidR="0039123C">
        <w:t>i dodaje się pkt 5 i 6 w brzmieniu:</w:t>
      </w:r>
    </w:p>
    <w:p w14:paraId="6652C187" w14:textId="303736B2" w:rsidR="0039123C" w:rsidRDefault="0039123C" w:rsidP="001948DD">
      <w:pPr>
        <w:pStyle w:val="ZLITPKTzmpktliter"/>
      </w:pPr>
      <w:r>
        <w:t>„</w:t>
      </w:r>
      <w:r w:rsidRPr="00676703">
        <w:t>5)</w:t>
      </w:r>
      <w:r w:rsidR="00EE32EB">
        <w:tab/>
      </w:r>
      <w:r w:rsidR="00C641AA">
        <w:t>osoby</w:t>
      </w:r>
      <w:r w:rsidRPr="00676703">
        <w:t xml:space="preserve"> </w:t>
      </w:r>
      <w:bookmarkStart w:id="1" w:name="_Hlk200718546"/>
      <w:r w:rsidRPr="00676703">
        <w:t>pozostając</w:t>
      </w:r>
      <w:r w:rsidR="003B2F53">
        <w:t>e</w:t>
      </w:r>
      <w:r w:rsidRPr="00676703">
        <w:t xml:space="preserve"> z </w:t>
      </w:r>
      <w:r w:rsidR="00F85F99">
        <w:t>osobami</w:t>
      </w:r>
      <w:r w:rsidRPr="00676703">
        <w:t>, o których mowa w pkt 3, w stosunku zlecenia lub innym stosunku prawnym o podobnym charakterze</w:t>
      </w:r>
      <w:r w:rsidR="005F1051">
        <w:t>;</w:t>
      </w:r>
      <w:bookmarkEnd w:id="1"/>
    </w:p>
    <w:p w14:paraId="0FD75819" w14:textId="3A4A4CC6" w:rsidR="0039123C" w:rsidRDefault="0039123C" w:rsidP="00EE32EB">
      <w:pPr>
        <w:pStyle w:val="ZLITPKTzmpktliter"/>
      </w:pPr>
      <w:r w:rsidRPr="00676703">
        <w:t>6)</w:t>
      </w:r>
      <w:r w:rsidR="00EE32EB">
        <w:tab/>
      </w:r>
      <w:r w:rsidRPr="00676703">
        <w:t xml:space="preserve">pracownicy </w:t>
      </w:r>
      <w:r w:rsidR="00F85F99">
        <w:t xml:space="preserve">osób </w:t>
      </w:r>
      <w:r w:rsidR="00F85F99" w:rsidRPr="00676703">
        <w:t>pozostając</w:t>
      </w:r>
      <w:r w:rsidR="00F85F99">
        <w:t>ych</w:t>
      </w:r>
      <w:r w:rsidR="00F85F99" w:rsidRPr="00676703">
        <w:t xml:space="preserve"> z </w:t>
      </w:r>
      <w:r w:rsidR="00F85F99">
        <w:t>osobami</w:t>
      </w:r>
      <w:r w:rsidR="00F85F99" w:rsidRPr="00676703">
        <w:t>, o których mowa w pkt 3, w</w:t>
      </w:r>
      <w:r w:rsidR="00B3351C">
        <w:t> </w:t>
      </w:r>
      <w:r w:rsidR="00F85F99" w:rsidRPr="00676703">
        <w:t>stosunku zlecenia lub innym stosunku prawnym o podobnym charakterze</w:t>
      </w:r>
      <w:r w:rsidR="005F1051">
        <w:t>.</w:t>
      </w:r>
      <w:r>
        <w:t>”</w:t>
      </w:r>
      <w:r w:rsidR="005F1051">
        <w:t>,</w:t>
      </w:r>
    </w:p>
    <w:bookmarkEnd w:id="0"/>
    <w:p w14:paraId="535B7AD1" w14:textId="0C3FAB67" w:rsidR="0039123C" w:rsidRDefault="0039123C" w:rsidP="009454DE">
      <w:pPr>
        <w:pStyle w:val="LITlitera"/>
      </w:pPr>
      <w:r>
        <w:t>b)</w:t>
      </w:r>
      <w:r w:rsidR="00EE32EB">
        <w:tab/>
      </w:r>
      <w:r>
        <w:t>po ust. 3a dodaje się ust. 3b w brzmieniu:</w:t>
      </w:r>
    </w:p>
    <w:p w14:paraId="7783858E" w14:textId="77777777" w:rsidR="0039123C" w:rsidRDefault="0039123C" w:rsidP="00EE32EB">
      <w:pPr>
        <w:pStyle w:val="ZLITUSTzmustliter"/>
      </w:pPr>
      <w:r>
        <w:t>„</w:t>
      </w:r>
      <w:r w:rsidRPr="00676703">
        <w:t>3b. Przepisu ust. 1 nie stosuje się w przypadku udostępnienia informacji objętej tajemnicą zawodową na żądanie komornika sądowego w związku z toczącym się postępowaniem egzekucyjnym lub zabezpieczającym albo wykonywaniem postanowienia o zabezpieczeniu spadku lub ze sporządzaniem spisu inwentarza, jeżeli są niezbędne w tym postępowaniu</w:t>
      </w:r>
      <w:r w:rsidR="005F1051">
        <w:t>.</w:t>
      </w:r>
      <w:r>
        <w:t>”</w:t>
      </w:r>
      <w:r w:rsidR="005F1051">
        <w:t>;</w:t>
      </w:r>
    </w:p>
    <w:p w14:paraId="0BA78C6E" w14:textId="3F1B7496" w:rsidR="0039123C" w:rsidRDefault="0039123C" w:rsidP="001948DD">
      <w:pPr>
        <w:pStyle w:val="PKTpunkt"/>
        <w:keepNext/>
      </w:pPr>
      <w:r>
        <w:lastRenderedPageBreak/>
        <w:t>4)</w:t>
      </w:r>
      <w:r w:rsidR="00EE32EB">
        <w:tab/>
      </w:r>
      <w:r>
        <w:t>w art. 70</w:t>
      </w:r>
      <w:r w:rsidR="00697153">
        <w:t xml:space="preserve"> </w:t>
      </w:r>
      <w:r>
        <w:t>ust. 1 otrzymuje brzmienie:</w:t>
      </w:r>
    </w:p>
    <w:p w14:paraId="35C3048B" w14:textId="77777777" w:rsidR="0039123C" w:rsidRDefault="0039123C" w:rsidP="00EE32EB">
      <w:pPr>
        <w:pStyle w:val="ZUSTzmustartykuempunktem"/>
      </w:pPr>
      <w:r>
        <w:t>„</w:t>
      </w:r>
      <w:r w:rsidRPr="00676703">
        <w:t>1. Treść zezwolenia organu nadzoru na przejęcie zarządzania otwartym funduszem lub połączenie powszechnych towarzystw otwarty fundusz ogłasza niezwłocznie na ogólnodostępnej stronie internetowej przeznaczonej do ogłoszeń funduszu</w:t>
      </w:r>
      <w:r w:rsidR="005F1051">
        <w:t>.</w:t>
      </w:r>
      <w:r>
        <w:t>”</w:t>
      </w:r>
      <w:r w:rsidR="005F1051">
        <w:t>;</w:t>
      </w:r>
    </w:p>
    <w:p w14:paraId="15922543" w14:textId="290F04E2" w:rsidR="0039123C" w:rsidRDefault="0039123C" w:rsidP="00697153">
      <w:pPr>
        <w:pStyle w:val="PKTpunkt"/>
      </w:pPr>
      <w:r>
        <w:t>5)</w:t>
      </w:r>
      <w:r w:rsidR="00EE32EB">
        <w:tab/>
      </w:r>
      <w:r>
        <w:t>w art. 81</w:t>
      </w:r>
      <w:r w:rsidR="00E22E90">
        <w:t xml:space="preserve"> </w:t>
      </w:r>
      <w:r>
        <w:t>ust. 1a otrzymuje brzmienie:</w:t>
      </w:r>
    </w:p>
    <w:p w14:paraId="22AC29DF" w14:textId="75E74AAD" w:rsidR="0039123C" w:rsidRDefault="0039123C" w:rsidP="005F1051">
      <w:pPr>
        <w:pStyle w:val="ZUSTzmustartykuempunktem"/>
      </w:pPr>
      <w:r>
        <w:t>„</w:t>
      </w:r>
      <w:r w:rsidRPr="00676703">
        <w:t xml:space="preserve">1a. Umowa z otwartym funduszem może zostać zawarta </w:t>
      </w:r>
      <w:r w:rsidR="00C641AA">
        <w:t>w trybie korespondencyjnym</w:t>
      </w:r>
      <w:r w:rsidR="00E30B6A">
        <w:t xml:space="preserve">, </w:t>
      </w:r>
      <w:r w:rsidR="00EC4A51">
        <w:t xml:space="preserve">w </w:t>
      </w:r>
      <w:r w:rsidRPr="00676703">
        <w:t>formie pisemnej lub w formie elektronicznej pozwalającej na utrwalenie jej treści na trwałym nośniku, lub</w:t>
      </w:r>
      <w:r w:rsidR="005F1051">
        <w:t xml:space="preserve"> </w:t>
      </w:r>
      <w:r w:rsidRPr="00676703">
        <w:t>w formie dokumentowej pozwalającej na utrwalenie jej treści na trwałym nośniku</w:t>
      </w:r>
      <w:r w:rsidR="005E392B">
        <w:t>.</w:t>
      </w:r>
      <w:r>
        <w:t>”</w:t>
      </w:r>
      <w:r w:rsidR="005E392B">
        <w:t>;</w:t>
      </w:r>
    </w:p>
    <w:p w14:paraId="41CF2222" w14:textId="560C8220" w:rsidR="0039123C" w:rsidRDefault="0039123C" w:rsidP="00697153">
      <w:pPr>
        <w:pStyle w:val="PKTpunkt"/>
      </w:pPr>
      <w:r>
        <w:t>6)</w:t>
      </w:r>
      <w:r w:rsidR="00EE32EB">
        <w:tab/>
      </w:r>
      <w:r>
        <w:t>art. 82a otrzymuje brzmienie:</w:t>
      </w:r>
    </w:p>
    <w:p w14:paraId="425D4F30" w14:textId="5A46ED29" w:rsidR="0039123C" w:rsidRDefault="0039123C" w:rsidP="00E30B6A">
      <w:pPr>
        <w:pStyle w:val="ZARTzmartartykuempunktem"/>
      </w:pPr>
      <w:r>
        <w:t>„</w:t>
      </w:r>
      <w:r w:rsidRPr="00676703">
        <w:t>Art. 82a</w:t>
      </w:r>
      <w:r w:rsidR="00EC4A51">
        <w:t>.</w:t>
      </w:r>
      <w:r w:rsidRPr="00676703">
        <w:t xml:space="preserve"> Zawierając umowę z otwartym funduszem, osoba występująca z</w:t>
      </w:r>
      <w:r w:rsidR="00B3351C">
        <w:t> </w:t>
      </w:r>
      <w:r w:rsidRPr="00676703">
        <w:t>wnioskiem o przyjęcie d</w:t>
      </w:r>
      <w:r w:rsidR="00EC4A51">
        <w:t xml:space="preserve">o otwartego </w:t>
      </w:r>
      <w:r w:rsidRPr="00676703">
        <w:t>funduszu składa oświadczenie o zapoznaniu się z</w:t>
      </w:r>
      <w:r w:rsidR="00B3351C">
        <w:t> </w:t>
      </w:r>
      <w:r w:rsidRPr="00676703">
        <w:t>treścią aktualnej informacji dotyczącej otwartych funduszy w formie pisemnej lub w</w:t>
      </w:r>
      <w:r w:rsidR="00B3351C">
        <w:t> </w:t>
      </w:r>
      <w:r w:rsidRPr="00676703">
        <w:t>formie elektronicznej pozwalającej na utrwalenie jej treści na trwałym nośniku</w:t>
      </w:r>
      <w:r w:rsidR="004D2410">
        <w:t>,</w:t>
      </w:r>
      <w:r w:rsidRPr="00676703">
        <w:t xml:space="preserve"> lub w</w:t>
      </w:r>
      <w:r w:rsidR="00B3351C">
        <w:t> </w:t>
      </w:r>
      <w:r w:rsidRPr="00676703">
        <w:t>formie dokumentowej pozwalającej na utrwalenie jej treści na trwałym nośniku</w:t>
      </w:r>
      <w:r w:rsidR="005E392B">
        <w:t>.</w:t>
      </w:r>
      <w:r>
        <w:t>”</w:t>
      </w:r>
      <w:r w:rsidR="005E392B">
        <w:t>;</w:t>
      </w:r>
    </w:p>
    <w:p w14:paraId="5AE517F9" w14:textId="1906D7D3" w:rsidR="0039123C" w:rsidRDefault="0039123C" w:rsidP="00EE32EB">
      <w:pPr>
        <w:pStyle w:val="PKTpunkt"/>
      </w:pPr>
      <w:r>
        <w:t>7)</w:t>
      </w:r>
      <w:r w:rsidR="00EE32EB">
        <w:tab/>
      </w:r>
      <w:r>
        <w:t>w art. 83</w:t>
      </w:r>
      <w:r w:rsidR="00EE32EB">
        <w:t xml:space="preserve"> ust. 1 i 2</w:t>
      </w:r>
      <w:r>
        <w:t xml:space="preserve"> otrzymuj</w:t>
      </w:r>
      <w:r w:rsidR="00EE32EB">
        <w:t>ą</w:t>
      </w:r>
      <w:r>
        <w:t xml:space="preserve"> brzmienie:</w:t>
      </w:r>
    </w:p>
    <w:p w14:paraId="21D588AC" w14:textId="55E4E807" w:rsidR="0039123C" w:rsidRDefault="0039123C" w:rsidP="0039123C">
      <w:pPr>
        <w:pStyle w:val="ZUSTzmustartykuempunktem"/>
      </w:pPr>
      <w:r>
        <w:t>„</w:t>
      </w:r>
      <w:r w:rsidRPr="00A07C16">
        <w:t>1. Zawierając umowę z otwartym funduszem, osoba występująca z wnioskiem o</w:t>
      </w:r>
      <w:r w:rsidR="00B3351C">
        <w:t> </w:t>
      </w:r>
      <w:r w:rsidRPr="00A07C16">
        <w:t>przyjęcie do funduszu jest ponadto obowiązana złożyć w formie pisemnej lub w formie elektronicznej pozwalającej na utrwalenie jej treści na trwałym nośniku</w:t>
      </w:r>
      <w:r w:rsidR="002A6A4A">
        <w:t>,</w:t>
      </w:r>
      <w:r w:rsidRPr="00A07C16">
        <w:t xml:space="preserve"> lub w formie dokumentowej pozwalającej na utrwalenie jej treści na trwałym nośniku oświadczenie o</w:t>
      </w:r>
      <w:r w:rsidR="00B3351C">
        <w:t> </w:t>
      </w:r>
      <w:r w:rsidRPr="00A07C16">
        <w:t>stosunkach majątkowych istniejących między nią a jej małżonkiem, a jeżeli między małżonkami nie istnieje wspólność ustawowa – udokumentować także sposób uregulowania tych stosunków. Powyższy obowiązek ciąży także na członku otwartego funduszu, który zawarł związek małżeński po zawarciu umowy z funduszem.</w:t>
      </w:r>
    </w:p>
    <w:p w14:paraId="5BF7EEA0" w14:textId="06D57CB5" w:rsidR="0039123C" w:rsidRDefault="0039123C" w:rsidP="0039123C">
      <w:pPr>
        <w:pStyle w:val="ZUSTzmustartykuempunktem"/>
      </w:pPr>
      <w:r w:rsidRPr="0074077C">
        <w:t>2. Członek otwartego funduszu jest obowiązany zawiadomić fundusz o</w:t>
      </w:r>
      <w:r w:rsidR="00B3351C">
        <w:t> </w:t>
      </w:r>
      <w:r w:rsidRPr="0074077C">
        <w:t>każdorazowej zmianie w stosunku do treści oświadczenia, o którym mowa w ust. 1, o</w:t>
      </w:r>
      <w:r w:rsidR="00B3351C">
        <w:t> </w:t>
      </w:r>
      <w:r w:rsidRPr="0074077C">
        <w:t xml:space="preserve">ile zmiana taka obejmuje środki zgromadzone na jego rachunku. Zawiadomienie o zmianie treści oświadczenia składa się </w:t>
      </w:r>
      <w:bookmarkStart w:id="2" w:name="_Hlk200954109"/>
      <w:r w:rsidRPr="0074077C">
        <w:t>w formie pisemnej lub w formie elektronicznej pozwalającej na utrwalenie jej treści na trwałym nośniku</w:t>
      </w:r>
      <w:r w:rsidR="00FF49BD">
        <w:t>,</w:t>
      </w:r>
      <w:r w:rsidRPr="0074077C">
        <w:t xml:space="preserve"> </w:t>
      </w:r>
      <w:bookmarkEnd w:id="2"/>
      <w:r w:rsidRPr="0074077C">
        <w:t>lub w formie dokumentowej pozwalającej na utrwalenie jej treści na trwałym nośniku. Na żądanie funduszu należy przedstawić dowód takiej zmiany</w:t>
      </w:r>
      <w:r w:rsidR="005E392B">
        <w:t>.</w:t>
      </w:r>
      <w:r>
        <w:t>”</w:t>
      </w:r>
      <w:r w:rsidR="005E392B">
        <w:t>;</w:t>
      </w:r>
    </w:p>
    <w:p w14:paraId="72A3DE5C" w14:textId="59507D61" w:rsidR="000D1C29" w:rsidRDefault="0039123C" w:rsidP="001948DD">
      <w:pPr>
        <w:pStyle w:val="PKTpunkt"/>
        <w:keepNext/>
      </w:pPr>
      <w:r>
        <w:lastRenderedPageBreak/>
        <w:t>8)</w:t>
      </w:r>
      <w:r w:rsidR="00EE32EB">
        <w:tab/>
      </w:r>
      <w:r w:rsidR="00042137" w:rsidRPr="00042137">
        <w:t xml:space="preserve">w art. </w:t>
      </w:r>
      <w:r w:rsidR="00042137">
        <w:t xml:space="preserve">89 </w:t>
      </w:r>
      <w:r w:rsidR="00042137" w:rsidRPr="00042137">
        <w:t xml:space="preserve">po ust. 3 dodaje się ust. </w:t>
      </w:r>
      <w:r w:rsidR="00042137">
        <w:t>3a</w:t>
      </w:r>
      <w:r w:rsidR="00EE32EB">
        <w:t>–</w:t>
      </w:r>
      <w:r w:rsidR="00042137">
        <w:t xml:space="preserve">3c </w:t>
      </w:r>
      <w:r w:rsidR="00042137" w:rsidRPr="00042137">
        <w:t>w brzmieniu:</w:t>
      </w:r>
    </w:p>
    <w:p w14:paraId="08183CC7" w14:textId="5CB956AC" w:rsidR="00042137" w:rsidRPr="00042137" w:rsidRDefault="00042137" w:rsidP="00042137">
      <w:pPr>
        <w:pStyle w:val="ZUSTzmustartykuempunktem"/>
      </w:pPr>
      <w:r w:rsidRPr="00042137">
        <w:t>„3a.</w:t>
      </w:r>
      <w:r>
        <w:t xml:space="preserve"> </w:t>
      </w:r>
      <w:r w:rsidRPr="00042137">
        <w:t>Osoba trzecia, której fundusz powierzył prowadzenie rejestru członków funduszu, o którym mowa w ust. 3, może powierzyć wykonywanie czynności związanych z jego prowadzeniem innej osobie trzeciej za zgodą funduszu i towarzystwa.</w:t>
      </w:r>
    </w:p>
    <w:p w14:paraId="587E39A3" w14:textId="798F2FBF" w:rsidR="00042137" w:rsidRPr="00042137" w:rsidRDefault="00042137" w:rsidP="00042137">
      <w:pPr>
        <w:pStyle w:val="ZUSTzmustartykuempunktem"/>
      </w:pPr>
      <w:r w:rsidRPr="00042137">
        <w:t>3b. W przypadku powierzenia wykonywania czynności, o którym mowa w ust. 3a, osoba trzecia jest obowiązana do bieżącego nadzorowania ich wykonywania przez osobę, której powierzyła ich wykonywanie.</w:t>
      </w:r>
    </w:p>
    <w:p w14:paraId="452284DE" w14:textId="623FA954" w:rsidR="00042137" w:rsidRDefault="00042137" w:rsidP="00042137">
      <w:pPr>
        <w:pStyle w:val="ZUSTzmustartykuempunktem"/>
      </w:pPr>
      <w:r w:rsidRPr="00042137">
        <w:t>3c.</w:t>
      </w:r>
      <w:r>
        <w:t xml:space="preserve"> </w:t>
      </w:r>
      <w:r w:rsidRPr="00042137">
        <w:t>Powierzenie czynności, o którym mowa w ust. 3a, nie zwalnia towarzystwa z</w:t>
      </w:r>
      <w:r w:rsidR="00B3351C">
        <w:t> </w:t>
      </w:r>
      <w:r w:rsidRPr="00042137">
        <w:t>odpowiedzialności, o której mowa w art. 48 ust. 5.”</w:t>
      </w:r>
      <w:r>
        <w:t>;</w:t>
      </w:r>
    </w:p>
    <w:p w14:paraId="518A4F35" w14:textId="546C4A39" w:rsidR="00BA135D" w:rsidRDefault="000D1C29" w:rsidP="00697153">
      <w:pPr>
        <w:pStyle w:val="PKTpunkt"/>
      </w:pPr>
      <w:r>
        <w:t>9)</w:t>
      </w:r>
      <w:r w:rsidR="00EE32EB">
        <w:tab/>
      </w:r>
      <w:r w:rsidR="00BA135D">
        <w:t>w art. 114 ust. 3 otrzymuje brzmienie:</w:t>
      </w:r>
    </w:p>
    <w:p w14:paraId="420D915A" w14:textId="4EF5C8E3" w:rsidR="00BA135D" w:rsidRDefault="00BA135D" w:rsidP="00BA135D">
      <w:pPr>
        <w:pStyle w:val="ZUSTzmustartykuempunktem"/>
      </w:pPr>
      <w:r w:rsidRPr="00BA135D">
        <w:t>„</w:t>
      </w:r>
      <w:r>
        <w:t xml:space="preserve">3. </w:t>
      </w:r>
      <w:r w:rsidRPr="00BA135D">
        <w:t>Wypłata środków w obu formach lub w jednej z nich następuje na żądanie członka funduszu</w:t>
      </w:r>
      <w:r w:rsidR="0091666B" w:rsidRPr="0091666B">
        <w:t xml:space="preserve"> </w:t>
      </w:r>
      <w:r w:rsidR="0091666B">
        <w:t xml:space="preserve">złożone </w:t>
      </w:r>
      <w:bookmarkStart w:id="3" w:name="_Hlk200954235"/>
      <w:r w:rsidR="00311045" w:rsidRPr="00311045">
        <w:t>w formie pisemnej lub w formie elektronicznej pozwalającej na utrwalenie jej treści na trwałym nośnik</w:t>
      </w:r>
      <w:r w:rsidR="00311045">
        <w:t>u</w:t>
      </w:r>
      <w:bookmarkEnd w:id="3"/>
      <w:r w:rsidR="00311045">
        <w:t>.</w:t>
      </w:r>
      <w:r w:rsidRPr="00BA135D">
        <w:t>”;</w:t>
      </w:r>
    </w:p>
    <w:p w14:paraId="676C7C2D" w14:textId="031E3642" w:rsidR="0039123C" w:rsidRDefault="00400EF0" w:rsidP="00BD3E9C">
      <w:pPr>
        <w:pStyle w:val="PKTpunkt"/>
      </w:pPr>
      <w:r>
        <w:t>1</w:t>
      </w:r>
      <w:r w:rsidR="0061329B">
        <w:t>0</w:t>
      </w:r>
      <w:r>
        <w:t>)</w:t>
      </w:r>
      <w:r w:rsidR="009F27C5">
        <w:tab/>
      </w:r>
      <w:r w:rsidR="0039123C">
        <w:t>w art. 132</w:t>
      </w:r>
      <w:r w:rsidR="00697153">
        <w:t xml:space="preserve"> </w:t>
      </w:r>
      <w:r w:rsidR="0039123C">
        <w:t>ust. 4 otrzymuje brzmienie:</w:t>
      </w:r>
    </w:p>
    <w:p w14:paraId="47E4C049" w14:textId="39144184" w:rsidR="0039123C" w:rsidRDefault="0039123C" w:rsidP="00612E59">
      <w:pPr>
        <w:pStyle w:val="ZUSTzmustartykuempunktem"/>
      </w:pPr>
      <w:bookmarkStart w:id="4" w:name="_Hlk200445661"/>
      <w:r>
        <w:t>„</w:t>
      </w:r>
      <w:bookmarkEnd w:id="4"/>
      <w:r w:rsidRPr="00467284">
        <w:t xml:space="preserve">4. Wypłata </w:t>
      </w:r>
      <w:r w:rsidRPr="00612E59">
        <w:t>dokonywana</w:t>
      </w:r>
      <w:r w:rsidRPr="00467284">
        <w:t xml:space="preserve"> bezpośrednio na rzecz osoby wskazanej przez zmarłego następuje w formie wypłaty jednorazowej lub w formie wypłaty w ratach płatnych przez okres nie dłuższy niż 2 lata, zgodnie z dyspozycją osoby uprawnionej</w:t>
      </w:r>
      <w:r w:rsidR="00311045">
        <w:t xml:space="preserve"> złożoną w</w:t>
      </w:r>
      <w:r w:rsidR="00311045" w:rsidRPr="00311045">
        <w:t xml:space="preserve"> formie pisemnej lub w formie elektronicznej pozwalającej na utrwalenie jej treści na trwałym nośniku</w:t>
      </w:r>
      <w:r w:rsidR="005E392B">
        <w:t>.</w:t>
      </w:r>
      <w:r>
        <w:t>”</w:t>
      </w:r>
      <w:r w:rsidR="005E392B">
        <w:t>;</w:t>
      </w:r>
    </w:p>
    <w:p w14:paraId="46436C93" w14:textId="11FDD85B" w:rsidR="0039123C" w:rsidRDefault="00BD3E9C" w:rsidP="00697153">
      <w:pPr>
        <w:pStyle w:val="PKTpunkt"/>
      </w:pPr>
      <w:r>
        <w:t>1</w:t>
      </w:r>
      <w:r w:rsidR="0061329B">
        <w:t>1</w:t>
      </w:r>
      <w:r>
        <w:t>)</w:t>
      </w:r>
      <w:r w:rsidR="009F27C5">
        <w:tab/>
      </w:r>
      <w:r w:rsidR="0039123C">
        <w:t>w art. 137</w:t>
      </w:r>
      <w:r w:rsidR="00ED57C1">
        <w:t xml:space="preserve"> </w:t>
      </w:r>
      <w:r w:rsidR="0039123C">
        <w:t>dodaje się ust. 4</w:t>
      </w:r>
      <w:r w:rsidR="009F27C5">
        <w:t>–</w:t>
      </w:r>
      <w:r w:rsidR="0039123C">
        <w:t>6 w brzmieniu:</w:t>
      </w:r>
    </w:p>
    <w:p w14:paraId="23A92543" w14:textId="7584EC8C" w:rsidR="005E392B" w:rsidRDefault="005E392B" w:rsidP="001948DD">
      <w:pPr>
        <w:pStyle w:val="ZUSTzmustartykuempunktem"/>
      </w:pPr>
      <w:r>
        <w:t>„</w:t>
      </w:r>
      <w:r w:rsidR="0039123C" w:rsidRPr="00467284">
        <w:t xml:space="preserve">4. W przypadku </w:t>
      </w:r>
      <w:r w:rsidR="00826AC7">
        <w:t>wydania</w:t>
      </w:r>
      <w:r w:rsidR="0039123C" w:rsidRPr="00467284">
        <w:t xml:space="preserve"> prawomocnego </w:t>
      </w:r>
      <w:r w:rsidR="00E30B6A">
        <w:t>orzeczenia</w:t>
      </w:r>
      <w:r w:rsidR="00E30B6A" w:rsidRPr="00467284">
        <w:t xml:space="preserve"> </w:t>
      </w:r>
      <w:r w:rsidR="0039123C" w:rsidRPr="00467284">
        <w:t>sądowego uwzględniającego powództwo funduszu</w:t>
      </w:r>
      <w:r w:rsidR="009D47FE">
        <w:t xml:space="preserve"> fundusz</w:t>
      </w:r>
      <w:r w:rsidR="0039123C" w:rsidRPr="00467284">
        <w:t xml:space="preserve"> jest obowiązany do </w:t>
      </w:r>
      <w:r w:rsidR="0029487C">
        <w:t>zwrotu</w:t>
      </w:r>
      <w:r w:rsidR="0039123C" w:rsidRPr="00467284">
        <w:t xml:space="preserve"> towarzystwu emerytalnemu:</w:t>
      </w:r>
    </w:p>
    <w:p w14:paraId="2B07375C" w14:textId="07739E90" w:rsidR="005E392B" w:rsidRDefault="0039123C" w:rsidP="009F27C5">
      <w:pPr>
        <w:pStyle w:val="ZPKTzmpktartykuempunktem"/>
      </w:pPr>
      <w:r w:rsidRPr="00467284">
        <w:t>1)</w:t>
      </w:r>
      <w:r w:rsidR="009F27C5">
        <w:tab/>
      </w:r>
      <w:r w:rsidR="000235C2">
        <w:t>kwot zasądzonych</w:t>
      </w:r>
      <w:r w:rsidR="009D47FE">
        <w:t xml:space="preserve"> na rzecz funduszu</w:t>
      </w:r>
      <w:r w:rsidR="000235C2">
        <w:t xml:space="preserve"> tytułem zwrotu </w:t>
      </w:r>
      <w:r w:rsidRPr="00467284">
        <w:t>kosztów procesu,</w:t>
      </w:r>
    </w:p>
    <w:p w14:paraId="4EE38ADB" w14:textId="7996BCC5" w:rsidR="0029487C" w:rsidRDefault="0039123C" w:rsidP="009F27C5">
      <w:pPr>
        <w:pStyle w:val="ZPKTzmpktartykuempunktem"/>
      </w:pPr>
      <w:r w:rsidRPr="00467284">
        <w:t>2)</w:t>
      </w:r>
      <w:r w:rsidR="009F27C5">
        <w:tab/>
      </w:r>
      <w:r w:rsidRPr="00467284">
        <w:t>innych kosztów, związanych z wnoszonym powództwem, proporcjonalnie do zakresu uwzględnionego powództwa</w:t>
      </w:r>
    </w:p>
    <w:p w14:paraId="0A52C383" w14:textId="26D4D631" w:rsidR="0039123C" w:rsidRDefault="0039123C" w:rsidP="00E30B6A">
      <w:pPr>
        <w:pStyle w:val="ZCZWSPPKTzmczciwsppktartykuempunktem"/>
      </w:pPr>
      <w:r w:rsidRPr="00467284">
        <w:t xml:space="preserve">– </w:t>
      </w:r>
      <w:r w:rsidR="0029487C">
        <w:t xml:space="preserve">tytułem </w:t>
      </w:r>
      <w:r w:rsidRPr="00467284">
        <w:t xml:space="preserve">poniesionych przez towarzystwo </w:t>
      </w:r>
      <w:r w:rsidR="0029487C">
        <w:t>emerytalne wydatków związanych z</w:t>
      </w:r>
      <w:r w:rsidR="00B3351C">
        <w:t> </w:t>
      </w:r>
      <w:r w:rsidR="0029487C">
        <w:t>postępowaniem sądowym do</w:t>
      </w:r>
      <w:r w:rsidRPr="00467284">
        <w:t xml:space="preserve"> </w:t>
      </w:r>
      <w:r w:rsidR="0029487C">
        <w:t xml:space="preserve">dnia </w:t>
      </w:r>
      <w:r w:rsidRPr="00467284">
        <w:t xml:space="preserve">wydania prawomocnego </w:t>
      </w:r>
      <w:r w:rsidR="00E30B6A">
        <w:t>orzeczenia</w:t>
      </w:r>
      <w:r w:rsidR="00E30B6A" w:rsidRPr="00467284">
        <w:t xml:space="preserve"> </w:t>
      </w:r>
      <w:r w:rsidRPr="00467284">
        <w:t>sądowego.</w:t>
      </w:r>
    </w:p>
    <w:p w14:paraId="242324CD" w14:textId="12CBEE8A" w:rsidR="0039123C" w:rsidRDefault="0039123C" w:rsidP="0039123C">
      <w:pPr>
        <w:pStyle w:val="ZUSTzmustartykuempunktem"/>
      </w:pPr>
      <w:r w:rsidRPr="00467284">
        <w:t>5. W przypadku, o którym mowa w ust. 4, wysokość kosztów zwracanych towarzystwu emerytalnemu nie może być wyższa od wartości zasądzon</w:t>
      </w:r>
      <w:r w:rsidR="009D47FE">
        <w:t xml:space="preserve">ego </w:t>
      </w:r>
      <w:r w:rsidR="00E30B6A">
        <w:t xml:space="preserve">orzeczeniem </w:t>
      </w:r>
      <w:r w:rsidR="009D47FE">
        <w:t>świadczenia</w:t>
      </w:r>
      <w:r w:rsidRPr="00467284">
        <w:t>.</w:t>
      </w:r>
    </w:p>
    <w:p w14:paraId="73478664" w14:textId="4E29DCC2" w:rsidR="0039123C" w:rsidRDefault="0039123C" w:rsidP="0039123C">
      <w:pPr>
        <w:pStyle w:val="ZUSTzmustartykuempunktem"/>
      </w:pPr>
      <w:r w:rsidRPr="00467284">
        <w:t xml:space="preserve">6. W przypadku wydania prawomocnego </w:t>
      </w:r>
      <w:r w:rsidR="00E30B6A">
        <w:t>orzeczenia</w:t>
      </w:r>
      <w:r w:rsidR="00E30B6A" w:rsidRPr="00467284">
        <w:t xml:space="preserve"> </w:t>
      </w:r>
      <w:r w:rsidRPr="00467284">
        <w:t xml:space="preserve">sądowego uwzględniającego powództwo funduszu fundusz, w terminie 7 dni od dnia uzyskania informacji o treści prawomocnego </w:t>
      </w:r>
      <w:r w:rsidR="00E30B6A">
        <w:t>orzeczenia</w:t>
      </w:r>
      <w:r w:rsidRPr="00467284">
        <w:t xml:space="preserve">, informuje Komisję Nadzoru Finansowego o treści tego </w:t>
      </w:r>
      <w:r w:rsidR="00E30B6A">
        <w:lastRenderedPageBreak/>
        <w:t>orzeczenia</w:t>
      </w:r>
      <w:r w:rsidR="00E30B6A" w:rsidRPr="00467284">
        <w:t xml:space="preserve"> </w:t>
      </w:r>
      <w:r w:rsidRPr="00467284">
        <w:t xml:space="preserve">oraz o wysokości kosztów zwracanych </w:t>
      </w:r>
      <w:r w:rsidR="0040741E">
        <w:t>towarzystwu emerytalnemu</w:t>
      </w:r>
      <w:r w:rsidRPr="00467284">
        <w:t xml:space="preserve"> z aktywów funduszu</w:t>
      </w:r>
      <w:r w:rsidR="005E392B">
        <w:t>.</w:t>
      </w:r>
      <w:r>
        <w:t>”</w:t>
      </w:r>
      <w:r w:rsidR="005E392B">
        <w:t>;</w:t>
      </w:r>
    </w:p>
    <w:p w14:paraId="19FB93D4" w14:textId="0D6E0D3F" w:rsidR="0039123C" w:rsidRPr="0039123C" w:rsidRDefault="0039123C" w:rsidP="00697153">
      <w:pPr>
        <w:pStyle w:val="PKTpunkt"/>
      </w:pPr>
      <w:r>
        <w:t>1</w:t>
      </w:r>
      <w:r w:rsidR="0061329B">
        <w:t>2</w:t>
      </w:r>
      <w:r>
        <w:t>)</w:t>
      </w:r>
      <w:r w:rsidR="009F27C5">
        <w:tab/>
      </w:r>
      <w:r w:rsidRPr="006B29C9">
        <w:t>w art. 189</w:t>
      </w:r>
      <w:r w:rsidR="00697153">
        <w:t xml:space="preserve"> </w:t>
      </w:r>
      <w:r>
        <w:t>ust. 1 otrzymuje brzmienie:</w:t>
      </w:r>
    </w:p>
    <w:p w14:paraId="6362FC43" w14:textId="4EF6A076" w:rsidR="0039123C" w:rsidRPr="0039123C" w:rsidRDefault="0039123C" w:rsidP="009F27C5">
      <w:pPr>
        <w:pStyle w:val="ZUSTzmustartykuempunktem"/>
      </w:pPr>
      <w:r>
        <w:t>„1. Otwarty fundusz i dobrowolny fundusz są obowiązane, raz w roku, ogłaszać prospekt informacyjny na ogólnodostępnej</w:t>
      </w:r>
      <w:r w:rsidR="005E392B">
        <w:t xml:space="preserve"> s</w:t>
      </w:r>
      <w:r>
        <w:t>tronie internetowej przeznaczonej do ogłoszeń funduszu</w:t>
      </w:r>
      <w:r w:rsidR="00D74749">
        <w:t>.</w:t>
      </w:r>
      <w:r>
        <w:t>”.</w:t>
      </w:r>
    </w:p>
    <w:p w14:paraId="7AA1B7D8" w14:textId="154416B6" w:rsidR="008361B5" w:rsidRPr="004916C7" w:rsidRDefault="008361B5" w:rsidP="004916C7">
      <w:pPr>
        <w:pStyle w:val="ARTartustawynprozporzdzenia"/>
        <w:rPr>
          <w:rStyle w:val="Ppogrubienie"/>
          <w:b w:val="0"/>
        </w:rPr>
      </w:pPr>
      <w:r w:rsidRPr="008361B5">
        <w:rPr>
          <w:rStyle w:val="Ppogrubienie"/>
        </w:rPr>
        <w:t>Art.</w:t>
      </w:r>
      <w:r w:rsidR="001649DB">
        <w:rPr>
          <w:rStyle w:val="Ppogrubienie"/>
        </w:rPr>
        <w:t> </w:t>
      </w:r>
      <w:r w:rsidR="009C1770">
        <w:rPr>
          <w:rStyle w:val="Ppogrubienie"/>
        </w:rPr>
        <w:t>2</w:t>
      </w:r>
      <w:r w:rsidRPr="008361B5">
        <w:rPr>
          <w:rStyle w:val="Ppogrubienie"/>
        </w:rPr>
        <w:t>.</w:t>
      </w:r>
      <w:r w:rsidR="001649DB">
        <w:t> </w:t>
      </w:r>
      <w:r>
        <w:t>Zwrot kosztów, o którym mowa w art. 137 ust. 4</w:t>
      </w:r>
      <w:r w:rsidR="009C1770">
        <w:t>–</w:t>
      </w:r>
      <w:r>
        <w:t xml:space="preserve">6 ustawy zmienianej w art. 1, ma zastosowanie do </w:t>
      </w:r>
      <w:r w:rsidR="00E30B6A">
        <w:t xml:space="preserve">orzeczeń </w:t>
      </w:r>
      <w:r>
        <w:t xml:space="preserve">sądowych, które uprawomocniły się </w:t>
      </w:r>
      <w:r w:rsidR="00523B5A">
        <w:t>od</w:t>
      </w:r>
      <w:r>
        <w:t xml:space="preserve"> dni</w:t>
      </w:r>
      <w:r w:rsidR="00523B5A">
        <w:t>a</w:t>
      </w:r>
      <w:r>
        <w:t xml:space="preserve"> wejścia w życie </w:t>
      </w:r>
      <w:r w:rsidR="006F2687">
        <w:t xml:space="preserve">niniejszej </w:t>
      </w:r>
      <w:r>
        <w:t>ustawy.</w:t>
      </w:r>
    </w:p>
    <w:p w14:paraId="7C16E2D1" w14:textId="786318BC" w:rsidR="00261A16" w:rsidRPr="00737F6A" w:rsidRDefault="007244E5" w:rsidP="001948DD">
      <w:pPr>
        <w:pStyle w:val="ARTartustawynprozporzdzenia"/>
      </w:pPr>
      <w:r>
        <w:rPr>
          <w:rStyle w:val="Ppogrubienie"/>
        </w:rPr>
        <w:t>Art.</w:t>
      </w:r>
      <w:r w:rsidR="001649DB">
        <w:rPr>
          <w:rStyle w:val="Ppogrubienie"/>
        </w:rPr>
        <w:t> </w:t>
      </w:r>
      <w:r w:rsidR="009C1770">
        <w:rPr>
          <w:rStyle w:val="Ppogrubienie"/>
        </w:rPr>
        <w:t>3</w:t>
      </w:r>
      <w:r>
        <w:rPr>
          <w:rStyle w:val="Ppogrubienie"/>
        </w:rPr>
        <w:t>.</w:t>
      </w:r>
      <w:r w:rsidR="001649DB">
        <w:rPr>
          <w:rStyle w:val="Ppogrubienie"/>
        </w:rPr>
        <w:t> </w:t>
      </w:r>
      <w:r w:rsidRPr="005E392B">
        <w:t>Ustawa wchodzi</w:t>
      </w:r>
      <w:r>
        <w:t xml:space="preserve"> w życie z dniem 1 stycznia 2026 r.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9E7F" w14:textId="77777777" w:rsidR="00B86219" w:rsidRDefault="00B86219">
      <w:r>
        <w:separator/>
      </w:r>
    </w:p>
  </w:endnote>
  <w:endnote w:type="continuationSeparator" w:id="0">
    <w:p w14:paraId="039FF238" w14:textId="77777777" w:rsidR="00B86219" w:rsidRDefault="00B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E079" w14:textId="77777777" w:rsidR="00B86219" w:rsidRDefault="00B86219">
      <w:r>
        <w:separator/>
      </w:r>
    </w:p>
  </w:footnote>
  <w:footnote w:type="continuationSeparator" w:id="0">
    <w:p w14:paraId="5A378DBC" w14:textId="77777777" w:rsidR="00B86219" w:rsidRDefault="00B8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F19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5467713">
    <w:abstractNumId w:val="23"/>
  </w:num>
  <w:num w:numId="2" w16cid:durableId="396560998">
    <w:abstractNumId w:val="23"/>
  </w:num>
  <w:num w:numId="3" w16cid:durableId="1159885871">
    <w:abstractNumId w:val="18"/>
  </w:num>
  <w:num w:numId="4" w16cid:durableId="655499450">
    <w:abstractNumId w:val="18"/>
  </w:num>
  <w:num w:numId="5" w16cid:durableId="934366762">
    <w:abstractNumId w:val="35"/>
  </w:num>
  <w:num w:numId="6" w16cid:durableId="571280526">
    <w:abstractNumId w:val="31"/>
  </w:num>
  <w:num w:numId="7" w16cid:durableId="2110077095">
    <w:abstractNumId w:val="35"/>
  </w:num>
  <w:num w:numId="8" w16cid:durableId="2125032695">
    <w:abstractNumId w:val="31"/>
  </w:num>
  <w:num w:numId="9" w16cid:durableId="1608271953">
    <w:abstractNumId w:val="35"/>
  </w:num>
  <w:num w:numId="10" w16cid:durableId="1228688220">
    <w:abstractNumId w:val="31"/>
  </w:num>
  <w:num w:numId="11" w16cid:durableId="1615095612">
    <w:abstractNumId w:val="14"/>
  </w:num>
  <w:num w:numId="12" w16cid:durableId="520826290">
    <w:abstractNumId w:val="10"/>
  </w:num>
  <w:num w:numId="13" w16cid:durableId="1218662680">
    <w:abstractNumId w:val="15"/>
  </w:num>
  <w:num w:numId="14" w16cid:durableId="2104917040">
    <w:abstractNumId w:val="26"/>
  </w:num>
  <w:num w:numId="15" w16cid:durableId="1774670838">
    <w:abstractNumId w:val="14"/>
  </w:num>
  <w:num w:numId="16" w16cid:durableId="2119637540">
    <w:abstractNumId w:val="16"/>
  </w:num>
  <w:num w:numId="17" w16cid:durableId="2066903463">
    <w:abstractNumId w:val="8"/>
  </w:num>
  <w:num w:numId="18" w16cid:durableId="1820145503">
    <w:abstractNumId w:val="3"/>
  </w:num>
  <w:num w:numId="19" w16cid:durableId="906453442">
    <w:abstractNumId w:val="2"/>
  </w:num>
  <w:num w:numId="20" w16cid:durableId="1220898602">
    <w:abstractNumId w:val="1"/>
  </w:num>
  <w:num w:numId="21" w16cid:durableId="1365669665">
    <w:abstractNumId w:val="0"/>
  </w:num>
  <w:num w:numId="22" w16cid:durableId="1145513565">
    <w:abstractNumId w:val="9"/>
  </w:num>
  <w:num w:numId="23" w16cid:durableId="101611283">
    <w:abstractNumId w:val="7"/>
  </w:num>
  <w:num w:numId="24" w16cid:durableId="1590888257">
    <w:abstractNumId w:val="6"/>
  </w:num>
  <w:num w:numId="25" w16cid:durableId="2042434929">
    <w:abstractNumId w:val="5"/>
  </w:num>
  <w:num w:numId="26" w16cid:durableId="1741559726">
    <w:abstractNumId w:val="4"/>
  </w:num>
  <w:num w:numId="27" w16cid:durableId="811288875">
    <w:abstractNumId w:val="33"/>
  </w:num>
  <w:num w:numId="28" w16cid:durableId="1041319028">
    <w:abstractNumId w:val="25"/>
  </w:num>
  <w:num w:numId="29" w16cid:durableId="1773042577">
    <w:abstractNumId w:val="36"/>
  </w:num>
  <w:num w:numId="30" w16cid:durableId="1062100496">
    <w:abstractNumId w:val="32"/>
  </w:num>
  <w:num w:numId="31" w16cid:durableId="153617530">
    <w:abstractNumId w:val="19"/>
  </w:num>
  <w:num w:numId="32" w16cid:durableId="1086607649">
    <w:abstractNumId w:val="11"/>
  </w:num>
  <w:num w:numId="33" w16cid:durableId="1997756736">
    <w:abstractNumId w:val="30"/>
  </w:num>
  <w:num w:numId="34" w16cid:durableId="1503623644">
    <w:abstractNumId w:val="20"/>
  </w:num>
  <w:num w:numId="35" w16cid:durableId="302857653">
    <w:abstractNumId w:val="17"/>
  </w:num>
  <w:num w:numId="36" w16cid:durableId="473452685">
    <w:abstractNumId w:val="22"/>
  </w:num>
  <w:num w:numId="37" w16cid:durableId="1843616657">
    <w:abstractNumId w:val="27"/>
  </w:num>
  <w:num w:numId="38" w16cid:durableId="144127797">
    <w:abstractNumId w:val="24"/>
  </w:num>
  <w:num w:numId="39" w16cid:durableId="643319545">
    <w:abstractNumId w:val="13"/>
  </w:num>
  <w:num w:numId="40" w16cid:durableId="559631092">
    <w:abstractNumId w:val="29"/>
  </w:num>
  <w:num w:numId="41" w16cid:durableId="244656475">
    <w:abstractNumId w:val="28"/>
  </w:num>
  <w:num w:numId="42" w16cid:durableId="1366061315">
    <w:abstractNumId w:val="21"/>
  </w:num>
  <w:num w:numId="43" w16cid:durableId="993416455">
    <w:abstractNumId w:val="34"/>
  </w:num>
  <w:num w:numId="44" w16cid:durableId="377364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3C"/>
    <w:rsid w:val="000012DA"/>
    <w:rsid w:val="0000246E"/>
    <w:rsid w:val="00003862"/>
    <w:rsid w:val="00012A35"/>
    <w:rsid w:val="00016099"/>
    <w:rsid w:val="00017DC2"/>
    <w:rsid w:val="00021522"/>
    <w:rsid w:val="00023471"/>
    <w:rsid w:val="000235C2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2137"/>
    <w:rsid w:val="00043495"/>
    <w:rsid w:val="00046A75"/>
    <w:rsid w:val="00047312"/>
    <w:rsid w:val="000508BD"/>
    <w:rsid w:val="000517AB"/>
    <w:rsid w:val="0005339C"/>
    <w:rsid w:val="0005571B"/>
    <w:rsid w:val="00055EDD"/>
    <w:rsid w:val="00057AB3"/>
    <w:rsid w:val="00060076"/>
    <w:rsid w:val="00060432"/>
    <w:rsid w:val="00060D87"/>
    <w:rsid w:val="00061411"/>
    <w:rsid w:val="000615A5"/>
    <w:rsid w:val="00062E44"/>
    <w:rsid w:val="00064E4C"/>
    <w:rsid w:val="00066901"/>
    <w:rsid w:val="00071BEE"/>
    <w:rsid w:val="000736CD"/>
    <w:rsid w:val="00074460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AFE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C29"/>
    <w:rsid w:val="000D2468"/>
    <w:rsid w:val="000D318A"/>
    <w:rsid w:val="000D6173"/>
    <w:rsid w:val="000D6F83"/>
    <w:rsid w:val="000E0DE6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503D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3C06"/>
    <w:rsid w:val="00147A47"/>
    <w:rsid w:val="00147AA1"/>
    <w:rsid w:val="001520CF"/>
    <w:rsid w:val="0015667C"/>
    <w:rsid w:val="00157110"/>
    <w:rsid w:val="0015742A"/>
    <w:rsid w:val="00157DA1"/>
    <w:rsid w:val="00163147"/>
    <w:rsid w:val="001649DB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308"/>
    <w:rsid w:val="00180F2A"/>
    <w:rsid w:val="00184B91"/>
    <w:rsid w:val="00184D4A"/>
    <w:rsid w:val="00186EC1"/>
    <w:rsid w:val="00191E1F"/>
    <w:rsid w:val="0019473B"/>
    <w:rsid w:val="001948DD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DBA"/>
    <w:rsid w:val="001C1279"/>
    <w:rsid w:val="001C1832"/>
    <w:rsid w:val="001C188C"/>
    <w:rsid w:val="001C5AE1"/>
    <w:rsid w:val="001C5DB8"/>
    <w:rsid w:val="001C7011"/>
    <w:rsid w:val="001D096E"/>
    <w:rsid w:val="001D1783"/>
    <w:rsid w:val="001D53CD"/>
    <w:rsid w:val="001D55A3"/>
    <w:rsid w:val="001D5AF5"/>
    <w:rsid w:val="001E1E73"/>
    <w:rsid w:val="001E22B0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2C9"/>
    <w:rsid w:val="002279C0"/>
    <w:rsid w:val="0023727E"/>
    <w:rsid w:val="00242081"/>
    <w:rsid w:val="00243777"/>
    <w:rsid w:val="002441CD"/>
    <w:rsid w:val="0024573F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87C"/>
    <w:rsid w:val="00294FA6"/>
    <w:rsid w:val="00295A6F"/>
    <w:rsid w:val="00296F0C"/>
    <w:rsid w:val="002A20C4"/>
    <w:rsid w:val="002A570F"/>
    <w:rsid w:val="002A6A4A"/>
    <w:rsid w:val="002A7292"/>
    <w:rsid w:val="002A7358"/>
    <w:rsid w:val="002A7902"/>
    <w:rsid w:val="002B0F6B"/>
    <w:rsid w:val="002B23B8"/>
    <w:rsid w:val="002B4429"/>
    <w:rsid w:val="002B68A6"/>
    <w:rsid w:val="002B7FAF"/>
    <w:rsid w:val="002D096C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36A"/>
    <w:rsid w:val="002E5F79"/>
    <w:rsid w:val="002E64FA"/>
    <w:rsid w:val="002F09A2"/>
    <w:rsid w:val="002F0A00"/>
    <w:rsid w:val="002F0CFA"/>
    <w:rsid w:val="002F669F"/>
    <w:rsid w:val="003000FD"/>
    <w:rsid w:val="00301C97"/>
    <w:rsid w:val="0031004C"/>
    <w:rsid w:val="003105F6"/>
    <w:rsid w:val="00311045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1DE"/>
    <w:rsid w:val="00352DAE"/>
    <w:rsid w:val="00354EB9"/>
    <w:rsid w:val="00357262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23C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F53"/>
    <w:rsid w:val="003B4A57"/>
    <w:rsid w:val="003B5B06"/>
    <w:rsid w:val="003C019B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07CC"/>
    <w:rsid w:val="00400EF0"/>
    <w:rsid w:val="00401C84"/>
    <w:rsid w:val="00403210"/>
    <w:rsid w:val="004035BB"/>
    <w:rsid w:val="004035EB"/>
    <w:rsid w:val="00407332"/>
    <w:rsid w:val="0040741E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0BFC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302"/>
    <w:rsid w:val="00480A58"/>
    <w:rsid w:val="00482151"/>
    <w:rsid w:val="00485FAD"/>
    <w:rsid w:val="00487AED"/>
    <w:rsid w:val="004916C7"/>
    <w:rsid w:val="00491EDF"/>
    <w:rsid w:val="00492A3F"/>
    <w:rsid w:val="00494F62"/>
    <w:rsid w:val="004A2001"/>
    <w:rsid w:val="004A2CEB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A7E"/>
    <w:rsid w:val="004C3B06"/>
    <w:rsid w:val="004C3F97"/>
    <w:rsid w:val="004C739F"/>
    <w:rsid w:val="004C7EE7"/>
    <w:rsid w:val="004D2410"/>
    <w:rsid w:val="004D2DEE"/>
    <w:rsid w:val="004D2E1F"/>
    <w:rsid w:val="004D73C1"/>
    <w:rsid w:val="004D7FD9"/>
    <w:rsid w:val="004E1324"/>
    <w:rsid w:val="004E19A5"/>
    <w:rsid w:val="004E37E5"/>
    <w:rsid w:val="004E3FDB"/>
    <w:rsid w:val="004F1F4A"/>
    <w:rsid w:val="004F296D"/>
    <w:rsid w:val="004F4683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B5A"/>
    <w:rsid w:val="00526DFC"/>
    <w:rsid w:val="00526F43"/>
    <w:rsid w:val="00527651"/>
    <w:rsid w:val="00531DE1"/>
    <w:rsid w:val="00535456"/>
    <w:rsid w:val="00535653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523"/>
    <w:rsid w:val="00581983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92B"/>
    <w:rsid w:val="005E4F04"/>
    <w:rsid w:val="005E62C2"/>
    <w:rsid w:val="005E6C71"/>
    <w:rsid w:val="005F0963"/>
    <w:rsid w:val="005F1051"/>
    <w:rsid w:val="005F2824"/>
    <w:rsid w:val="005F2EBA"/>
    <w:rsid w:val="005F35ED"/>
    <w:rsid w:val="005F6802"/>
    <w:rsid w:val="005F7812"/>
    <w:rsid w:val="005F7A88"/>
    <w:rsid w:val="00603A1A"/>
    <w:rsid w:val="006046D5"/>
    <w:rsid w:val="00607A93"/>
    <w:rsid w:val="00610C08"/>
    <w:rsid w:val="00611F74"/>
    <w:rsid w:val="00612E59"/>
    <w:rsid w:val="0061329B"/>
    <w:rsid w:val="00615772"/>
    <w:rsid w:val="00621256"/>
    <w:rsid w:val="00621FCC"/>
    <w:rsid w:val="00622E4B"/>
    <w:rsid w:val="00633104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B0D"/>
    <w:rsid w:val="006946BB"/>
    <w:rsid w:val="006969FA"/>
    <w:rsid w:val="00697153"/>
    <w:rsid w:val="006A35D5"/>
    <w:rsid w:val="006A748A"/>
    <w:rsid w:val="006B29C9"/>
    <w:rsid w:val="006C419E"/>
    <w:rsid w:val="006C4A31"/>
    <w:rsid w:val="006C5AC2"/>
    <w:rsid w:val="006C6AFB"/>
    <w:rsid w:val="006D2735"/>
    <w:rsid w:val="006D3D69"/>
    <w:rsid w:val="006D45B2"/>
    <w:rsid w:val="006E0B73"/>
    <w:rsid w:val="006E0FCC"/>
    <w:rsid w:val="006E1E96"/>
    <w:rsid w:val="006E5E21"/>
    <w:rsid w:val="006F2648"/>
    <w:rsid w:val="006F2687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4E5"/>
    <w:rsid w:val="0072457F"/>
    <w:rsid w:val="00725406"/>
    <w:rsid w:val="0072621B"/>
    <w:rsid w:val="00730555"/>
    <w:rsid w:val="007312CC"/>
    <w:rsid w:val="00736A64"/>
    <w:rsid w:val="00737D97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6F93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72D"/>
    <w:rsid w:val="00776C7C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6579"/>
    <w:rsid w:val="007A16E8"/>
    <w:rsid w:val="007A1F2F"/>
    <w:rsid w:val="007A2A5C"/>
    <w:rsid w:val="007A5150"/>
    <w:rsid w:val="007A5373"/>
    <w:rsid w:val="007A789F"/>
    <w:rsid w:val="007B4698"/>
    <w:rsid w:val="007B75BC"/>
    <w:rsid w:val="007C0BD6"/>
    <w:rsid w:val="007C3806"/>
    <w:rsid w:val="007C5BB7"/>
    <w:rsid w:val="007D07D5"/>
    <w:rsid w:val="007D1C64"/>
    <w:rsid w:val="007D32DD"/>
    <w:rsid w:val="007D6107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43C1"/>
    <w:rsid w:val="00812BE5"/>
    <w:rsid w:val="00817429"/>
    <w:rsid w:val="00821514"/>
    <w:rsid w:val="00821E35"/>
    <w:rsid w:val="00824591"/>
    <w:rsid w:val="00824AED"/>
    <w:rsid w:val="00826AC7"/>
    <w:rsid w:val="00827820"/>
    <w:rsid w:val="00831B8B"/>
    <w:rsid w:val="0083405D"/>
    <w:rsid w:val="008352D4"/>
    <w:rsid w:val="008361B5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ECA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9BA"/>
    <w:rsid w:val="00894F19"/>
    <w:rsid w:val="00896A10"/>
    <w:rsid w:val="008971B5"/>
    <w:rsid w:val="008A526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FB1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66B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54DE"/>
    <w:rsid w:val="00946DD0"/>
    <w:rsid w:val="00947EC0"/>
    <w:rsid w:val="009509E6"/>
    <w:rsid w:val="00952018"/>
    <w:rsid w:val="00952800"/>
    <w:rsid w:val="0095300D"/>
    <w:rsid w:val="009567A5"/>
    <w:rsid w:val="00956812"/>
    <w:rsid w:val="00956B71"/>
    <w:rsid w:val="0095719A"/>
    <w:rsid w:val="009623E9"/>
    <w:rsid w:val="009630DC"/>
    <w:rsid w:val="00963EEB"/>
    <w:rsid w:val="009648BC"/>
    <w:rsid w:val="00964B69"/>
    <w:rsid w:val="00964C2F"/>
    <w:rsid w:val="0096583E"/>
    <w:rsid w:val="00965F88"/>
    <w:rsid w:val="00984E03"/>
    <w:rsid w:val="00987E85"/>
    <w:rsid w:val="00996D67"/>
    <w:rsid w:val="009A0D12"/>
    <w:rsid w:val="009A1987"/>
    <w:rsid w:val="009A2BEE"/>
    <w:rsid w:val="009A5289"/>
    <w:rsid w:val="009A6946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770"/>
    <w:rsid w:val="009C328C"/>
    <w:rsid w:val="009C4444"/>
    <w:rsid w:val="009C79AD"/>
    <w:rsid w:val="009C7CA6"/>
    <w:rsid w:val="009D3316"/>
    <w:rsid w:val="009D47FE"/>
    <w:rsid w:val="009D55AA"/>
    <w:rsid w:val="009E2F9C"/>
    <w:rsid w:val="009E3E77"/>
    <w:rsid w:val="009E3FAB"/>
    <w:rsid w:val="009E5B3F"/>
    <w:rsid w:val="009E7D90"/>
    <w:rsid w:val="009F1AB0"/>
    <w:rsid w:val="009F27C5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182"/>
    <w:rsid w:val="00A17C06"/>
    <w:rsid w:val="00A2126E"/>
    <w:rsid w:val="00A21706"/>
    <w:rsid w:val="00A2256A"/>
    <w:rsid w:val="00A24FCC"/>
    <w:rsid w:val="00A26A90"/>
    <w:rsid w:val="00A26B27"/>
    <w:rsid w:val="00A30E4F"/>
    <w:rsid w:val="00A32253"/>
    <w:rsid w:val="00A3310E"/>
    <w:rsid w:val="00A333A0"/>
    <w:rsid w:val="00A37E70"/>
    <w:rsid w:val="00A41258"/>
    <w:rsid w:val="00A41AB7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AF6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01"/>
    <w:rsid w:val="00A97084"/>
    <w:rsid w:val="00AA1C2C"/>
    <w:rsid w:val="00AA35F6"/>
    <w:rsid w:val="00AA6343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584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51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4CC7"/>
    <w:rsid w:val="00B76EE6"/>
    <w:rsid w:val="00B774CB"/>
    <w:rsid w:val="00B80402"/>
    <w:rsid w:val="00B80B9A"/>
    <w:rsid w:val="00B830B7"/>
    <w:rsid w:val="00B848EA"/>
    <w:rsid w:val="00B84B2B"/>
    <w:rsid w:val="00B86219"/>
    <w:rsid w:val="00B90500"/>
    <w:rsid w:val="00B9176C"/>
    <w:rsid w:val="00B935A4"/>
    <w:rsid w:val="00BA135D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B10"/>
    <w:rsid w:val="00BC4BC6"/>
    <w:rsid w:val="00BC52FD"/>
    <w:rsid w:val="00BC6E62"/>
    <w:rsid w:val="00BC7443"/>
    <w:rsid w:val="00BC7C3B"/>
    <w:rsid w:val="00BD0648"/>
    <w:rsid w:val="00BD1040"/>
    <w:rsid w:val="00BD34AA"/>
    <w:rsid w:val="00BD3E9C"/>
    <w:rsid w:val="00BD50AD"/>
    <w:rsid w:val="00BE0C44"/>
    <w:rsid w:val="00BE1B8B"/>
    <w:rsid w:val="00BE2A18"/>
    <w:rsid w:val="00BE2C01"/>
    <w:rsid w:val="00BE41EC"/>
    <w:rsid w:val="00BE56FB"/>
    <w:rsid w:val="00BF0734"/>
    <w:rsid w:val="00BF3DDE"/>
    <w:rsid w:val="00BF6589"/>
    <w:rsid w:val="00BF6F7F"/>
    <w:rsid w:val="00C00647"/>
    <w:rsid w:val="00C02764"/>
    <w:rsid w:val="00C04CEF"/>
    <w:rsid w:val="00C0662F"/>
    <w:rsid w:val="00C107A9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69E8"/>
    <w:rsid w:val="00C641AA"/>
    <w:rsid w:val="00C667BE"/>
    <w:rsid w:val="00C6766B"/>
    <w:rsid w:val="00C72223"/>
    <w:rsid w:val="00C7417F"/>
    <w:rsid w:val="00C76417"/>
    <w:rsid w:val="00C7726F"/>
    <w:rsid w:val="00C823DA"/>
    <w:rsid w:val="00C8259F"/>
    <w:rsid w:val="00C825F5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1902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7D6"/>
    <w:rsid w:val="00D07A7B"/>
    <w:rsid w:val="00D10E06"/>
    <w:rsid w:val="00D15197"/>
    <w:rsid w:val="00D1563B"/>
    <w:rsid w:val="00D16820"/>
    <w:rsid w:val="00D169C8"/>
    <w:rsid w:val="00D16EF2"/>
    <w:rsid w:val="00D1793F"/>
    <w:rsid w:val="00D22AF5"/>
    <w:rsid w:val="00D235EA"/>
    <w:rsid w:val="00D247A9"/>
    <w:rsid w:val="00D32721"/>
    <w:rsid w:val="00D328DC"/>
    <w:rsid w:val="00D33387"/>
    <w:rsid w:val="00D34F8D"/>
    <w:rsid w:val="00D350C4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749"/>
    <w:rsid w:val="00D76EC9"/>
    <w:rsid w:val="00D80E7D"/>
    <w:rsid w:val="00D81397"/>
    <w:rsid w:val="00D84865"/>
    <w:rsid w:val="00D848B9"/>
    <w:rsid w:val="00D90E69"/>
    <w:rsid w:val="00D91368"/>
    <w:rsid w:val="00D92CB2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4DE1"/>
    <w:rsid w:val="00DB5206"/>
    <w:rsid w:val="00DB6276"/>
    <w:rsid w:val="00DB63F5"/>
    <w:rsid w:val="00DC1C6B"/>
    <w:rsid w:val="00DC2C2E"/>
    <w:rsid w:val="00DC4AF0"/>
    <w:rsid w:val="00DC7886"/>
    <w:rsid w:val="00DD0CF2"/>
    <w:rsid w:val="00DD42E7"/>
    <w:rsid w:val="00DD6CBC"/>
    <w:rsid w:val="00DE1554"/>
    <w:rsid w:val="00DE2901"/>
    <w:rsid w:val="00DE590F"/>
    <w:rsid w:val="00DE7DC1"/>
    <w:rsid w:val="00DF3F7E"/>
    <w:rsid w:val="00DF7648"/>
    <w:rsid w:val="00E002F0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2E90"/>
    <w:rsid w:val="00E2396E"/>
    <w:rsid w:val="00E24728"/>
    <w:rsid w:val="00E276AC"/>
    <w:rsid w:val="00E30B6A"/>
    <w:rsid w:val="00E34A35"/>
    <w:rsid w:val="00E37C2F"/>
    <w:rsid w:val="00E40771"/>
    <w:rsid w:val="00E41C28"/>
    <w:rsid w:val="00E46308"/>
    <w:rsid w:val="00E51E17"/>
    <w:rsid w:val="00E52DAB"/>
    <w:rsid w:val="00E539B0"/>
    <w:rsid w:val="00E55994"/>
    <w:rsid w:val="00E55D4F"/>
    <w:rsid w:val="00E60606"/>
    <w:rsid w:val="00E60C66"/>
    <w:rsid w:val="00E6164D"/>
    <w:rsid w:val="00E618C9"/>
    <w:rsid w:val="00E62774"/>
    <w:rsid w:val="00E6307C"/>
    <w:rsid w:val="00E636FA"/>
    <w:rsid w:val="00E65943"/>
    <w:rsid w:val="00E66C50"/>
    <w:rsid w:val="00E679D3"/>
    <w:rsid w:val="00E71208"/>
    <w:rsid w:val="00E71444"/>
    <w:rsid w:val="00E71C91"/>
    <w:rsid w:val="00E720A1"/>
    <w:rsid w:val="00E75DDA"/>
    <w:rsid w:val="00E773E8"/>
    <w:rsid w:val="00E80A00"/>
    <w:rsid w:val="00E83ADD"/>
    <w:rsid w:val="00E84F38"/>
    <w:rsid w:val="00E85623"/>
    <w:rsid w:val="00E87441"/>
    <w:rsid w:val="00E91FAE"/>
    <w:rsid w:val="00E93E2A"/>
    <w:rsid w:val="00E96E3F"/>
    <w:rsid w:val="00EA270C"/>
    <w:rsid w:val="00EA2B61"/>
    <w:rsid w:val="00EA4974"/>
    <w:rsid w:val="00EA532E"/>
    <w:rsid w:val="00EB06D9"/>
    <w:rsid w:val="00EB192B"/>
    <w:rsid w:val="00EB19ED"/>
    <w:rsid w:val="00EB1CAB"/>
    <w:rsid w:val="00EC0F5A"/>
    <w:rsid w:val="00EC4265"/>
    <w:rsid w:val="00EC4A51"/>
    <w:rsid w:val="00EC4CEB"/>
    <w:rsid w:val="00EC659E"/>
    <w:rsid w:val="00ED2072"/>
    <w:rsid w:val="00ED2AE0"/>
    <w:rsid w:val="00ED5553"/>
    <w:rsid w:val="00ED57C1"/>
    <w:rsid w:val="00ED5E36"/>
    <w:rsid w:val="00ED6961"/>
    <w:rsid w:val="00EE32E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BCE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1B7F"/>
    <w:rsid w:val="00F53596"/>
    <w:rsid w:val="00F5486A"/>
    <w:rsid w:val="00F55409"/>
    <w:rsid w:val="00F55BA8"/>
    <w:rsid w:val="00F55DB1"/>
    <w:rsid w:val="00F56ACA"/>
    <w:rsid w:val="00F600FE"/>
    <w:rsid w:val="00F60802"/>
    <w:rsid w:val="00F62E4D"/>
    <w:rsid w:val="00F66B34"/>
    <w:rsid w:val="00F675B9"/>
    <w:rsid w:val="00F711C9"/>
    <w:rsid w:val="00F74C59"/>
    <w:rsid w:val="00F75824"/>
    <w:rsid w:val="00F75C3A"/>
    <w:rsid w:val="00F809BC"/>
    <w:rsid w:val="00F82E30"/>
    <w:rsid w:val="00F831CB"/>
    <w:rsid w:val="00F848A3"/>
    <w:rsid w:val="00F84ACF"/>
    <w:rsid w:val="00F85742"/>
    <w:rsid w:val="00F85BF8"/>
    <w:rsid w:val="00F85F9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1ECA"/>
    <w:rsid w:val="00FD25A7"/>
    <w:rsid w:val="00FD27B6"/>
    <w:rsid w:val="00FD3689"/>
    <w:rsid w:val="00FD42A3"/>
    <w:rsid w:val="00FD7468"/>
    <w:rsid w:val="00FD7CE0"/>
    <w:rsid w:val="00FE0B3B"/>
    <w:rsid w:val="00FE1BE2"/>
    <w:rsid w:val="00FE672F"/>
    <w:rsid w:val="00FE730A"/>
    <w:rsid w:val="00FF1DD7"/>
    <w:rsid w:val="00FF4453"/>
    <w:rsid w:val="00FF49BD"/>
    <w:rsid w:val="00FF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C3D5"/>
  <w15:docId w15:val="{2BF9AC45-CC55-4AEB-ACA0-A381E904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2E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62E4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66558C-B8F3-4F4A-A56D-415E2B73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Chudzik Igor</dc:creator>
  <cp:lastModifiedBy>Wójcik Aleksandra</cp:lastModifiedBy>
  <cp:revision>2</cp:revision>
  <cp:lastPrinted>2012-04-23T06:39:00Z</cp:lastPrinted>
  <dcterms:created xsi:type="dcterms:W3CDTF">2025-07-02T06:39:00Z</dcterms:created>
  <dcterms:modified xsi:type="dcterms:W3CDTF">2025-07-02T06:39:00Z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