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AFD1" w14:textId="77777777" w:rsidR="004A5F49" w:rsidRPr="001044FD" w:rsidRDefault="00712B03" w:rsidP="004A5F49">
      <w:pP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4FD">
        <w:rPr>
          <w:rFonts w:ascii="Times New Roman" w:hAnsi="Times New Roman" w:cs="Times New Roman"/>
          <w:bCs/>
          <w:sz w:val="24"/>
          <w:szCs w:val="24"/>
        </w:rPr>
        <w:t>U</w:t>
      </w:r>
      <w:r w:rsidR="004A5F49" w:rsidRPr="001044FD">
        <w:rPr>
          <w:rFonts w:ascii="Times New Roman" w:hAnsi="Times New Roman" w:cs="Times New Roman"/>
          <w:bCs/>
          <w:sz w:val="24"/>
          <w:szCs w:val="24"/>
        </w:rPr>
        <w:t>ZASADNIENIE</w:t>
      </w:r>
    </w:p>
    <w:p w14:paraId="76B8ADE7" w14:textId="3BB0C753" w:rsidR="002255FA" w:rsidRPr="004D7FC6" w:rsidRDefault="00064CCB" w:rsidP="004A5F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255FA" w:rsidRPr="004D7F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7EFF" w:rsidRPr="004D7FC6">
        <w:rPr>
          <w:rFonts w:ascii="Times New Roman" w:hAnsi="Times New Roman" w:cs="Times New Roman"/>
          <w:b/>
          <w:sz w:val="24"/>
          <w:szCs w:val="24"/>
        </w:rPr>
        <w:t>C</w:t>
      </w:r>
      <w:r w:rsidR="002255FA" w:rsidRPr="004D7FC6">
        <w:rPr>
          <w:rFonts w:ascii="Times New Roman" w:hAnsi="Times New Roman" w:cs="Times New Roman"/>
          <w:b/>
          <w:sz w:val="24"/>
          <w:szCs w:val="24"/>
        </w:rPr>
        <w:t>el i potrzeba wprowadzenia nowych przepisów</w:t>
      </w:r>
    </w:p>
    <w:p w14:paraId="25F473FA" w14:textId="188277F2" w:rsidR="00374685" w:rsidRPr="004A5F49" w:rsidRDefault="00374685" w:rsidP="004A5F49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 xml:space="preserve">Rozwiązania zawarte w </w:t>
      </w:r>
      <w:r w:rsidR="00061EBD" w:rsidRPr="004A5F49">
        <w:rPr>
          <w:rFonts w:ascii="Times New Roman" w:hAnsi="Times New Roman" w:cs="Times New Roman"/>
          <w:sz w:val="24"/>
          <w:szCs w:val="24"/>
        </w:rPr>
        <w:t>projek</w:t>
      </w:r>
      <w:r w:rsidRPr="004A5F49">
        <w:rPr>
          <w:rFonts w:ascii="Times New Roman" w:hAnsi="Times New Roman" w:cs="Times New Roman"/>
          <w:sz w:val="24"/>
          <w:szCs w:val="24"/>
        </w:rPr>
        <w:t>cie</w:t>
      </w:r>
      <w:r w:rsidR="00061EBD" w:rsidRPr="004A5F49">
        <w:rPr>
          <w:rFonts w:ascii="Times New Roman" w:hAnsi="Times New Roman" w:cs="Times New Roman"/>
          <w:sz w:val="24"/>
          <w:szCs w:val="24"/>
        </w:rPr>
        <w:t xml:space="preserve"> ustawy o zmianie ustawy </w:t>
      </w:r>
      <w:r w:rsidR="00A36A74" w:rsidRPr="004A5F49">
        <w:rPr>
          <w:rFonts w:ascii="Times New Roman" w:hAnsi="Times New Roman" w:cs="Times New Roman"/>
          <w:sz w:val="24"/>
          <w:szCs w:val="24"/>
        </w:rPr>
        <w:t>o organizacji i funkcjonowaniu funduszy emerytalnych</w:t>
      </w:r>
      <w:r w:rsidR="004D3F74">
        <w:rPr>
          <w:rFonts w:ascii="Times New Roman" w:hAnsi="Times New Roman" w:cs="Times New Roman"/>
          <w:sz w:val="24"/>
          <w:szCs w:val="24"/>
        </w:rPr>
        <w:t xml:space="preserve"> </w:t>
      </w:r>
      <w:r w:rsidRPr="004A5F49">
        <w:rPr>
          <w:rFonts w:ascii="Times New Roman" w:hAnsi="Times New Roman" w:cs="Times New Roman"/>
          <w:sz w:val="24"/>
          <w:szCs w:val="24"/>
        </w:rPr>
        <w:t>zmierzają do usprawnienia działania funduszy emerytalnych i</w:t>
      </w:r>
      <w:r w:rsidR="00F2518E">
        <w:rPr>
          <w:rFonts w:ascii="Times New Roman" w:hAnsi="Times New Roman" w:cs="Times New Roman"/>
          <w:sz w:val="24"/>
          <w:szCs w:val="24"/>
        </w:rPr>
        <w:t> </w:t>
      </w:r>
      <w:r w:rsidRPr="004A5F49">
        <w:rPr>
          <w:rFonts w:ascii="Times New Roman" w:hAnsi="Times New Roman" w:cs="Times New Roman"/>
          <w:sz w:val="24"/>
          <w:szCs w:val="24"/>
        </w:rPr>
        <w:t>dostosowania istniejących rozwiązań do standardów obowiązujących dziś na rynku finansowym, w tym przede wszystkim dotyczą wprowadzenia nowoczesnych sposobów komunikacji z klientami.</w:t>
      </w:r>
    </w:p>
    <w:p w14:paraId="2E11F771" w14:textId="2079B152" w:rsidR="00374685" w:rsidRPr="004A5F49" w:rsidRDefault="00FD405C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>Z</w:t>
      </w:r>
      <w:r w:rsidR="00374685" w:rsidRPr="004A5F49">
        <w:rPr>
          <w:rFonts w:ascii="Times New Roman" w:hAnsi="Times New Roman" w:cs="Times New Roman"/>
          <w:sz w:val="24"/>
          <w:szCs w:val="24"/>
        </w:rPr>
        <w:t xml:space="preserve">miany </w:t>
      </w:r>
      <w:r w:rsidRPr="004A5F49">
        <w:rPr>
          <w:rFonts w:ascii="Times New Roman" w:hAnsi="Times New Roman" w:cs="Times New Roman"/>
          <w:sz w:val="24"/>
          <w:szCs w:val="24"/>
        </w:rPr>
        <w:t xml:space="preserve">te </w:t>
      </w:r>
      <w:r w:rsidR="00374685" w:rsidRPr="004A5F49">
        <w:rPr>
          <w:rFonts w:ascii="Times New Roman" w:hAnsi="Times New Roman" w:cs="Times New Roman"/>
          <w:sz w:val="24"/>
          <w:szCs w:val="24"/>
        </w:rPr>
        <w:t xml:space="preserve">koncentrują się w szczególności na </w:t>
      </w:r>
      <w:r w:rsidR="00BC5705" w:rsidRPr="004A5F49">
        <w:rPr>
          <w:rFonts w:ascii="Times New Roman" w:hAnsi="Times New Roman" w:cs="Times New Roman"/>
          <w:sz w:val="24"/>
          <w:szCs w:val="24"/>
        </w:rPr>
        <w:t xml:space="preserve">deregulacji i cyfryzacji procesów, w tym </w:t>
      </w:r>
      <w:r w:rsidR="00374685" w:rsidRPr="004A5F49">
        <w:rPr>
          <w:rFonts w:ascii="Times New Roman" w:hAnsi="Times New Roman" w:cs="Times New Roman"/>
          <w:sz w:val="24"/>
          <w:szCs w:val="24"/>
        </w:rPr>
        <w:t xml:space="preserve">przeniesieniu obowiązkowych ogłoszeń i publikacji z prasy ogólnokrajowej do Internetu oraz umożliwieniu elektronicznego zawierania umów i składania oświadczeń dotyczących otwartych funduszy emerytalnych. </w:t>
      </w:r>
      <w:r w:rsidR="00E05867">
        <w:rPr>
          <w:rFonts w:ascii="Times New Roman" w:hAnsi="Times New Roman" w:cs="Times New Roman"/>
          <w:sz w:val="24"/>
          <w:szCs w:val="24"/>
        </w:rPr>
        <w:t>Celem tych zmian jest</w:t>
      </w:r>
      <w:r w:rsidR="00374685" w:rsidRPr="004A5F49">
        <w:rPr>
          <w:rFonts w:ascii="Times New Roman" w:hAnsi="Times New Roman" w:cs="Times New Roman"/>
          <w:sz w:val="24"/>
          <w:szCs w:val="24"/>
        </w:rPr>
        <w:t xml:space="preserve"> wprowadzenie dodatkowych </w:t>
      </w:r>
      <w:r w:rsidR="00E05867">
        <w:rPr>
          <w:rFonts w:ascii="Times New Roman" w:hAnsi="Times New Roman" w:cs="Times New Roman"/>
          <w:sz w:val="24"/>
          <w:szCs w:val="24"/>
        </w:rPr>
        <w:t>form</w:t>
      </w:r>
      <w:r w:rsidR="00374685" w:rsidRPr="004A5F49">
        <w:rPr>
          <w:rFonts w:ascii="Times New Roman" w:hAnsi="Times New Roman" w:cs="Times New Roman"/>
          <w:sz w:val="24"/>
          <w:szCs w:val="24"/>
        </w:rPr>
        <w:t xml:space="preserve"> kontaktu klientów z OFE oraz ułatwienie dostępu do informacji, </w:t>
      </w:r>
      <w:r w:rsidR="00E05867">
        <w:rPr>
          <w:rFonts w:ascii="Times New Roman" w:hAnsi="Times New Roman" w:cs="Times New Roman"/>
          <w:sz w:val="24"/>
          <w:szCs w:val="24"/>
        </w:rPr>
        <w:t>unowocześniając</w:t>
      </w:r>
      <w:r w:rsidR="00374685" w:rsidRPr="004A5F49">
        <w:rPr>
          <w:rFonts w:ascii="Times New Roman" w:hAnsi="Times New Roman" w:cs="Times New Roman"/>
          <w:sz w:val="24"/>
          <w:szCs w:val="24"/>
        </w:rPr>
        <w:t xml:space="preserve"> zasady funkcjonowania OFE i dostosowując je do aktualnych standardów </w:t>
      </w:r>
      <w:bookmarkStart w:id="0" w:name="_Hlk200111120"/>
      <w:r w:rsidR="00374685" w:rsidRPr="004A5F49">
        <w:rPr>
          <w:rFonts w:ascii="Times New Roman" w:hAnsi="Times New Roman" w:cs="Times New Roman"/>
          <w:sz w:val="24"/>
          <w:szCs w:val="24"/>
        </w:rPr>
        <w:t xml:space="preserve">technologicznych </w:t>
      </w:r>
      <w:bookmarkEnd w:id="0"/>
      <w:r w:rsidR="00374685" w:rsidRPr="004A5F49">
        <w:rPr>
          <w:rFonts w:ascii="Times New Roman" w:hAnsi="Times New Roman" w:cs="Times New Roman"/>
          <w:sz w:val="24"/>
          <w:szCs w:val="24"/>
        </w:rPr>
        <w:t>i</w:t>
      </w:r>
      <w:r w:rsidR="000A531F">
        <w:rPr>
          <w:rFonts w:ascii="Times New Roman" w:hAnsi="Times New Roman" w:cs="Times New Roman"/>
          <w:sz w:val="24"/>
          <w:szCs w:val="24"/>
        </w:rPr>
        <w:t> </w:t>
      </w:r>
      <w:r w:rsidR="00374685" w:rsidRPr="004A5F49">
        <w:rPr>
          <w:rFonts w:ascii="Times New Roman" w:hAnsi="Times New Roman" w:cs="Times New Roman"/>
          <w:sz w:val="24"/>
          <w:szCs w:val="24"/>
        </w:rPr>
        <w:t>rynkowych.</w:t>
      </w:r>
    </w:p>
    <w:p w14:paraId="024E77AE" w14:textId="3B2A43A0" w:rsidR="00042C59" w:rsidRPr="004A5F49" w:rsidRDefault="00042C59" w:rsidP="004A5F49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>Obecn</w:t>
      </w:r>
      <w:r w:rsidR="00315900" w:rsidRPr="004A5F49">
        <w:rPr>
          <w:rFonts w:ascii="Times New Roman" w:hAnsi="Times New Roman" w:cs="Times New Roman"/>
          <w:sz w:val="24"/>
          <w:szCs w:val="24"/>
        </w:rPr>
        <w:t>e</w:t>
      </w:r>
      <w:r w:rsidRPr="004A5F49">
        <w:rPr>
          <w:rFonts w:ascii="Times New Roman" w:hAnsi="Times New Roman" w:cs="Times New Roman"/>
          <w:sz w:val="24"/>
          <w:szCs w:val="24"/>
        </w:rPr>
        <w:t xml:space="preserve"> zasady regulujące kontakt </w:t>
      </w:r>
      <w:r w:rsidR="00A36A74" w:rsidRPr="004A5F49">
        <w:rPr>
          <w:rFonts w:ascii="Times New Roman" w:hAnsi="Times New Roman" w:cs="Times New Roman"/>
          <w:sz w:val="24"/>
          <w:szCs w:val="24"/>
        </w:rPr>
        <w:t xml:space="preserve">instytucji finansowych </w:t>
      </w:r>
      <w:r w:rsidRPr="004A5F49">
        <w:rPr>
          <w:rFonts w:ascii="Times New Roman" w:hAnsi="Times New Roman" w:cs="Times New Roman"/>
          <w:sz w:val="24"/>
          <w:szCs w:val="24"/>
        </w:rPr>
        <w:t xml:space="preserve">z klientami OFE </w:t>
      </w:r>
      <w:r w:rsidR="007E3266" w:rsidRPr="004A5F49">
        <w:rPr>
          <w:rFonts w:ascii="Times New Roman" w:hAnsi="Times New Roman" w:cs="Times New Roman"/>
          <w:sz w:val="24"/>
          <w:szCs w:val="24"/>
        </w:rPr>
        <w:t xml:space="preserve">były </w:t>
      </w:r>
      <w:r w:rsidRPr="004A5F49">
        <w:rPr>
          <w:rFonts w:ascii="Times New Roman" w:hAnsi="Times New Roman" w:cs="Times New Roman"/>
          <w:sz w:val="24"/>
          <w:szCs w:val="24"/>
        </w:rPr>
        <w:t>wprowadzone w latach 90</w:t>
      </w:r>
      <w:r w:rsidR="007E3266">
        <w:rPr>
          <w:rFonts w:ascii="Times New Roman" w:hAnsi="Times New Roman" w:cs="Times New Roman"/>
          <w:sz w:val="24"/>
          <w:szCs w:val="24"/>
        </w:rPr>
        <w:t>.</w:t>
      </w:r>
      <w:r w:rsidR="00315900" w:rsidRPr="004A5F49">
        <w:rPr>
          <w:rFonts w:ascii="Times New Roman" w:hAnsi="Times New Roman" w:cs="Times New Roman"/>
          <w:sz w:val="24"/>
          <w:szCs w:val="24"/>
        </w:rPr>
        <w:t xml:space="preserve"> ubiegłego stulecia</w:t>
      </w:r>
      <w:r w:rsidRPr="004A5F49">
        <w:rPr>
          <w:rFonts w:ascii="Times New Roman" w:hAnsi="Times New Roman" w:cs="Times New Roman"/>
          <w:sz w:val="24"/>
          <w:szCs w:val="24"/>
        </w:rPr>
        <w:t xml:space="preserve">. Od tego czasu </w:t>
      </w:r>
      <w:r w:rsidR="004A5F70">
        <w:rPr>
          <w:rFonts w:ascii="Times New Roman" w:hAnsi="Times New Roman" w:cs="Times New Roman"/>
          <w:sz w:val="24"/>
          <w:szCs w:val="24"/>
        </w:rPr>
        <w:t>nastąpiły zmiany technologiczne</w:t>
      </w:r>
      <w:r w:rsidRPr="004A5F49">
        <w:rPr>
          <w:rFonts w:ascii="Times New Roman" w:hAnsi="Times New Roman" w:cs="Times New Roman"/>
          <w:sz w:val="24"/>
          <w:szCs w:val="24"/>
        </w:rPr>
        <w:t>, które wprowadziły nowe sposoby komunikowania się</w:t>
      </w:r>
      <w:r w:rsidR="00A36A74" w:rsidRPr="004A5F49">
        <w:rPr>
          <w:rFonts w:ascii="Times New Roman" w:hAnsi="Times New Roman" w:cs="Times New Roman"/>
          <w:sz w:val="24"/>
          <w:szCs w:val="24"/>
        </w:rPr>
        <w:t xml:space="preserve"> tych</w:t>
      </w:r>
      <w:r w:rsidRPr="004A5F49">
        <w:rPr>
          <w:rFonts w:ascii="Times New Roman" w:hAnsi="Times New Roman" w:cs="Times New Roman"/>
          <w:sz w:val="24"/>
          <w:szCs w:val="24"/>
        </w:rPr>
        <w:t xml:space="preserve"> instytucji </w:t>
      </w:r>
      <w:r w:rsidR="00315900" w:rsidRPr="004A5F49">
        <w:rPr>
          <w:rFonts w:ascii="Times New Roman" w:hAnsi="Times New Roman" w:cs="Times New Roman"/>
          <w:sz w:val="24"/>
          <w:szCs w:val="24"/>
        </w:rPr>
        <w:t>z</w:t>
      </w:r>
      <w:r w:rsidRPr="004A5F49">
        <w:rPr>
          <w:rFonts w:ascii="Times New Roman" w:hAnsi="Times New Roman" w:cs="Times New Roman"/>
          <w:sz w:val="24"/>
          <w:szCs w:val="24"/>
        </w:rPr>
        <w:t xml:space="preserve"> klientami. </w:t>
      </w:r>
      <w:r w:rsidR="001B1F17" w:rsidRPr="004A5F49">
        <w:rPr>
          <w:rFonts w:ascii="Times New Roman" w:hAnsi="Times New Roman" w:cs="Times New Roman"/>
          <w:sz w:val="24"/>
          <w:szCs w:val="24"/>
        </w:rPr>
        <w:t>S</w:t>
      </w:r>
      <w:r w:rsidRPr="004A5F49">
        <w:rPr>
          <w:rFonts w:ascii="Times New Roman" w:hAnsi="Times New Roman" w:cs="Times New Roman"/>
          <w:sz w:val="24"/>
          <w:szCs w:val="24"/>
        </w:rPr>
        <w:t xml:space="preserve">ystematycznie </w:t>
      </w:r>
      <w:r w:rsidR="007E3266" w:rsidRPr="004A5F49">
        <w:rPr>
          <w:rFonts w:ascii="Times New Roman" w:hAnsi="Times New Roman" w:cs="Times New Roman"/>
          <w:sz w:val="24"/>
          <w:szCs w:val="24"/>
        </w:rPr>
        <w:t xml:space="preserve">były </w:t>
      </w:r>
      <w:r w:rsidRPr="004A5F49">
        <w:rPr>
          <w:rFonts w:ascii="Times New Roman" w:hAnsi="Times New Roman" w:cs="Times New Roman"/>
          <w:sz w:val="24"/>
          <w:szCs w:val="24"/>
        </w:rPr>
        <w:t xml:space="preserve">aktualizowane </w:t>
      </w:r>
      <w:r w:rsidR="001B1F17" w:rsidRPr="004A5F49">
        <w:rPr>
          <w:rFonts w:ascii="Times New Roman" w:hAnsi="Times New Roman" w:cs="Times New Roman"/>
          <w:sz w:val="24"/>
          <w:szCs w:val="24"/>
        </w:rPr>
        <w:t>w tym zakresie</w:t>
      </w:r>
      <w:r w:rsidRPr="004A5F49">
        <w:rPr>
          <w:rFonts w:ascii="Times New Roman" w:hAnsi="Times New Roman" w:cs="Times New Roman"/>
          <w:sz w:val="24"/>
          <w:szCs w:val="24"/>
        </w:rPr>
        <w:t xml:space="preserve"> przepisy określające </w:t>
      </w:r>
      <w:r w:rsidR="00A36A74" w:rsidRPr="004A5F49">
        <w:rPr>
          <w:rFonts w:ascii="Times New Roman" w:hAnsi="Times New Roman" w:cs="Times New Roman"/>
          <w:sz w:val="24"/>
          <w:szCs w:val="24"/>
        </w:rPr>
        <w:t xml:space="preserve">np. </w:t>
      </w:r>
      <w:r w:rsidRPr="004A5F49">
        <w:rPr>
          <w:rFonts w:ascii="Times New Roman" w:hAnsi="Times New Roman" w:cs="Times New Roman"/>
          <w:sz w:val="24"/>
          <w:szCs w:val="24"/>
        </w:rPr>
        <w:t xml:space="preserve">zasady funkcjonowania </w:t>
      </w:r>
      <w:r w:rsidR="0017321B">
        <w:rPr>
          <w:rFonts w:ascii="Times New Roman" w:hAnsi="Times New Roman" w:cs="Times New Roman"/>
          <w:sz w:val="24"/>
          <w:szCs w:val="24"/>
        </w:rPr>
        <w:t>t</w:t>
      </w:r>
      <w:r w:rsidR="00315900" w:rsidRPr="004A5F49">
        <w:rPr>
          <w:rFonts w:ascii="Times New Roman" w:hAnsi="Times New Roman" w:cs="Times New Roman"/>
          <w:sz w:val="24"/>
          <w:szCs w:val="24"/>
        </w:rPr>
        <w:t xml:space="preserve">owarzystw </w:t>
      </w:r>
      <w:r w:rsidR="0017321B">
        <w:rPr>
          <w:rFonts w:ascii="Times New Roman" w:hAnsi="Times New Roman" w:cs="Times New Roman"/>
          <w:sz w:val="24"/>
          <w:szCs w:val="24"/>
        </w:rPr>
        <w:t>f</w:t>
      </w:r>
      <w:r w:rsidR="00315900" w:rsidRPr="004A5F49">
        <w:rPr>
          <w:rFonts w:ascii="Times New Roman" w:hAnsi="Times New Roman" w:cs="Times New Roman"/>
          <w:sz w:val="24"/>
          <w:szCs w:val="24"/>
        </w:rPr>
        <w:t xml:space="preserve">unduszy </w:t>
      </w:r>
      <w:r w:rsidR="0017321B">
        <w:rPr>
          <w:rFonts w:ascii="Times New Roman" w:hAnsi="Times New Roman" w:cs="Times New Roman"/>
          <w:sz w:val="24"/>
          <w:szCs w:val="24"/>
        </w:rPr>
        <w:t>i</w:t>
      </w:r>
      <w:r w:rsidR="00315900" w:rsidRPr="004A5F49">
        <w:rPr>
          <w:rFonts w:ascii="Times New Roman" w:hAnsi="Times New Roman" w:cs="Times New Roman"/>
          <w:sz w:val="24"/>
          <w:szCs w:val="24"/>
        </w:rPr>
        <w:t>nwestycyjnych (</w:t>
      </w:r>
      <w:r w:rsidRPr="004A5F49">
        <w:rPr>
          <w:rFonts w:ascii="Times New Roman" w:hAnsi="Times New Roman" w:cs="Times New Roman"/>
          <w:sz w:val="24"/>
          <w:szCs w:val="24"/>
        </w:rPr>
        <w:t>TFI</w:t>
      </w:r>
      <w:r w:rsidR="00315900" w:rsidRPr="004A5F49">
        <w:rPr>
          <w:rFonts w:ascii="Times New Roman" w:hAnsi="Times New Roman" w:cs="Times New Roman"/>
          <w:sz w:val="24"/>
          <w:szCs w:val="24"/>
        </w:rPr>
        <w:t>)</w:t>
      </w:r>
      <w:r w:rsidRPr="004A5F49">
        <w:rPr>
          <w:rFonts w:ascii="Times New Roman" w:hAnsi="Times New Roman" w:cs="Times New Roman"/>
          <w:sz w:val="24"/>
          <w:szCs w:val="24"/>
        </w:rPr>
        <w:t xml:space="preserve">, ubezpieczycieli czy banków. </w:t>
      </w:r>
      <w:r w:rsidR="00A36A74" w:rsidRPr="004A5F49">
        <w:rPr>
          <w:rFonts w:ascii="Times New Roman" w:hAnsi="Times New Roman" w:cs="Times New Roman"/>
          <w:sz w:val="24"/>
          <w:szCs w:val="24"/>
        </w:rPr>
        <w:t xml:space="preserve">Analogiczne </w:t>
      </w:r>
      <w:r w:rsidRPr="004A5F49">
        <w:rPr>
          <w:rFonts w:ascii="Times New Roman" w:hAnsi="Times New Roman" w:cs="Times New Roman"/>
          <w:sz w:val="24"/>
          <w:szCs w:val="24"/>
        </w:rPr>
        <w:t>zmian</w:t>
      </w:r>
      <w:r w:rsidR="00A36A74" w:rsidRPr="004A5F49">
        <w:rPr>
          <w:rFonts w:ascii="Times New Roman" w:hAnsi="Times New Roman" w:cs="Times New Roman"/>
          <w:sz w:val="24"/>
          <w:szCs w:val="24"/>
        </w:rPr>
        <w:t xml:space="preserve">y nie były </w:t>
      </w:r>
      <w:r w:rsidR="00AF7977" w:rsidRPr="004A5F49">
        <w:rPr>
          <w:rFonts w:ascii="Times New Roman" w:hAnsi="Times New Roman" w:cs="Times New Roman"/>
          <w:sz w:val="24"/>
          <w:szCs w:val="24"/>
        </w:rPr>
        <w:t xml:space="preserve">jednak </w:t>
      </w:r>
      <w:r w:rsidR="00A36A74" w:rsidRPr="004A5F49">
        <w:rPr>
          <w:rFonts w:ascii="Times New Roman" w:hAnsi="Times New Roman" w:cs="Times New Roman"/>
          <w:sz w:val="24"/>
          <w:szCs w:val="24"/>
        </w:rPr>
        <w:t>przeprowadzane</w:t>
      </w:r>
      <w:r w:rsidRPr="004A5F49">
        <w:rPr>
          <w:rFonts w:ascii="Times New Roman" w:hAnsi="Times New Roman" w:cs="Times New Roman"/>
          <w:sz w:val="24"/>
          <w:szCs w:val="24"/>
        </w:rPr>
        <w:t xml:space="preserve"> w zakresie OFE</w:t>
      </w:r>
      <w:r w:rsidR="003F1745">
        <w:rPr>
          <w:rFonts w:ascii="Times New Roman" w:hAnsi="Times New Roman" w:cs="Times New Roman"/>
          <w:sz w:val="24"/>
          <w:szCs w:val="24"/>
        </w:rPr>
        <w:t>, zarządzanych przez powszechne towarzystwa emerytalne (PTE)</w:t>
      </w:r>
      <w:r w:rsidRPr="004A5F49">
        <w:rPr>
          <w:rFonts w:ascii="Times New Roman" w:hAnsi="Times New Roman" w:cs="Times New Roman"/>
          <w:sz w:val="24"/>
          <w:szCs w:val="24"/>
        </w:rPr>
        <w:t>. W konsekwencji</w:t>
      </w:r>
      <w:r w:rsidR="00A36A74" w:rsidRPr="004A5F49">
        <w:rPr>
          <w:rFonts w:ascii="Times New Roman" w:hAnsi="Times New Roman" w:cs="Times New Roman"/>
          <w:sz w:val="24"/>
          <w:szCs w:val="24"/>
        </w:rPr>
        <w:t xml:space="preserve"> obecnie</w:t>
      </w:r>
      <w:r w:rsidRPr="004A5F49">
        <w:rPr>
          <w:rFonts w:ascii="Times New Roman" w:hAnsi="Times New Roman" w:cs="Times New Roman"/>
          <w:sz w:val="24"/>
          <w:szCs w:val="24"/>
        </w:rPr>
        <w:t xml:space="preserve"> funkcjonuje szereg rozwiązań, które są archaiczne i </w:t>
      </w:r>
      <w:r w:rsidR="003F1745">
        <w:rPr>
          <w:rFonts w:ascii="Times New Roman" w:hAnsi="Times New Roman" w:cs="Times New Roman"/>
          <w:sz w:val="24"/>
          <w:szCs w:val="24"/>
        </w:rPr>
        <w:t>nie przystają do</w:t>
      </w:r>
      <w:r w:rsidRPr="004A5F49">
        <w:rPr>
          <w:rFonts w:ascii="Times New Roman" w:hAnsi="Times New Roman" w:cs="Times New Roman"/>
          <w:sz w:val="24"/>
          <w:szCs w:val="24"/>
        </w:rPr>
        <w:t xml:space="preserve"> obowiązujących standardów rynkowych, utrudniając możliwość pozyskiwania informacji</w:t>
      </w:r>
      <w:r w:rsidR="00831308" w:rsidRPr="004A5F49">
        <w:rPr>
          <w:rFonts w:ascii="Times New Roman" w:hAnsi="Times New Roman" w:cs="Times New Roman"/>
          <w:sz w:val="24"/>
          <w:szCs w:val="24"/>
        </w:rPr>
        <w:t xml:space="preserve"> i </w:t>
      </w:r>
      <w:r w:rsidRPr="004A5F49">
        <w:rPr>
          <w:rFonts w:ascii="Times New Roman" w:hAnsi="Times New Roman" w:cs="Times New Roman"/>
          <w:sz w:val="24"/>
          <w:szCs w:val="24"/>
        </w:rPr>
        <w:t>podejmowania decyzji w innych formach niż papierow</w:t>
      </w:r>
      <w:r w:rsidR="003F1745">
        <w:rPr>
          <w:rFonts w:ascii="Times New Roman" w:hAnsi="Times New Roman" w:cs="Times New Roman"/>
          <w:sz w:val="24"/>
          <w:szCs w:val="24"/>
        </w:rPr>
        <w:t>a</w:t>
      </w:r>
      <w:r w:rsidRPr="004A5F49">
        <w:rPr>
          <w:rFonts w:ascii="Times New Roman" w:hAnsi="Times New Roman" w:cs="Times New Roman"/>
          <w:sz w:val="24"/>
          <w:szCs w:val="24"/>
        </w:rPr>
        <w:t>.</w:t>
      </w:r>
    </w:p>
    <w:p w14:paraId="17520895" w14:textId="6C4D6531" w:rsidR="00167A19" w:rsidRPr="004A5F49" w:rsidRDefault="00042C59" w:rsidP="004A5F49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 xml:space="preserve">Pozostawienie przepisów </w:t>
      </w:r>
      <w:r w:rsidR="00DB54D9" w:rsidRPr="004A5F49">
        <w:rPr>
          <w:rFonts w:ascii="Times New Roman" w:hAnsi="Times New Roman" w:cs="Times New Roman"/>
          <w:sz w:val="24"/>
          <w:szCs w:val="24"/>
        </w:rPr>
        <w:t>ustawy z dnia 28 sierpnia 1997 r. o organizacji i funkcjonowaniu funduszy emerytalnych (Dz. U. z 2024 r. poz. 1113)</w:t>
      </w:r>
      <w:r w:rsidR="00DB54D9">
        <w:rPr>
          <w:rFonts w:ascii="Times New Roman" w:hAnsi="Times New Roman" w:cs="Times New Roman"/>
          <w:sz w:val="24"/>
          <w:szCs w:val="24"/>
        </w:rPr>
        <w:t>, zwanej dalej „</w:t>
      </w:r>
      <w:r w:rsidR="00A36A74" w:rsidRPr="004A5F49">
        <w:rPr>
          <w:rFonts w:ascii="Times New Roman" w:hAnsi="Times New Roman" w:cs="Times New Roman"/>
          <w:sz w:val="24"/>
          <w:szCs w:val="24"/>
        </w:rPr>
        <w:t>ustaw</w:t>
      </w:r>
      <w:r w:rsidR="00DB54D9">
        <w:rPr>
          <w:rFonts w:ascii="Times New Roman" w:hAnsi="Times New Roman" w:cs="Times New Roman"/>
          <w:sz w:val="24"/>
          <w:szCs w:val="24"/>
        </w:rPr>
        <w:t>ą</w:t>
      </w:r>
      <w:r w:rsidR="00A36A74" w:rsidRPr="004A5F4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36A74" w:rsidRPr="004A5F49">
        <w:rPr>
          <w:rFonts w:ascii="Times New Roman" w:hAnsi="Times New Roman" w:cs="Times New Roman"/>
          <w:sz w:val="24"/>
          <w:szCs w:val="24"/>
        </w:rPr>
        <w:t>ofe</w:t>
      </w:r>
      <w:proofErr w:type="spellEnd"/>
      <w:r w:rsidR="00DB54D9">
        <w:rPr>
          <w:rFonts w:ascii="Times New Roman" w:hAnsi="Times New Roman" w:cs="Times New Roman"/>
          <w:sz w:val="24"/>
          <w:szCs w:val="24"/>
        </w:rPr>
        <w:t>”,</w:t>
      </w:r>
      <w:r w:rsidR="00A36A74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Pr="004A5F49">
        <w:rPr>
          <w:rFonts w:ascii="Times New Roman" w:hAnsi="Times New Roman" w:cs="Times New Roman"/>
          <w:sz w:val="24"/>
          <w:szCs w:val="24"/>
        </w:rPr>
        <w:t>bez zmian ogranicz</w:t>
      </w:r>
      <w:r w:rsidR="00706B87">
        <w:rPr>
          <w:rFonts w:ascii="Times New Roman" w:hAnsi="Times New Roman" w:cs="Times New Roman"/>
          <w:sz w:val="24"/>
          <w:szCs w:val="24"/>
        </w:rPr>
        <w:t xml:space="preserve">ałoby możliwości prowadzenia sprawnej i efektywnej </w:t>
      </w:r>
      <w:r w:rsidRPr="004A5F49">
        <w:rPr>
          <w:rFonts w:ascii="Times New Roman" w:hAnsi="Times New Roman" w:cs="Times New Roman"/>
          <w:sz w:val="24"/>
          <w:szCs w:val="24"/>
        </w:rPr>
        <w:t>komunikacj</w:t>
      </w:r>
      <w:r w:rsidR="00706B87">
        <w:rPr>
          <w:rFonts w:ascii="Times New Roman" w:hAnsi="Times New Roman" w:cs="Times New Roman"/>
          <w:sz w:val="24"/>
          <w:szCs w:val="24"/>
        </w:rPr>
        <w:t>i</w:t>
      </w:r>
      <w:r w:rsidR="00A36A74" w:rsidRPr="004A5F49">
        <w:rPr>
          <w:rFonts w:ascii="Times New Roman" w:hAnsi="Times New Roman" w:cs="Times New Roman"/>
          <w:sz w:val="24"/>
          <w:szCs w:val="24"/>
        </w:rPr>
        <w:t xml:space="preserve"> instytucji finansowych z</w:t>
      </w:r>
      <w:r w:rsidRPr="004A5F49">
        <w:rPr>
          <w:rFonts w:ascii="Times New Roman" w:hAnsi="Times New Roman" w:cs="Times New Roman"/>
          <w:sz w:val="24"/>
          <w:szCs w:val="24"/>
        </w:rPr>
        <w:t xml:space="preserve"> klient</w:t>
      </w:r>
      <w:r w:rsidR="00A36A74" w:rsidRPr="004A5F49">
        <w:rPr>
          <w:rFonts w:ascii="Times New Roman" w:hAnsi="Times New Roman" w:cs="Times New Roman"/>
          <w:sz w:val="24"/>
          <w:szCs w:val="24"/>
        </w:rPr>
        <w:t>ami</w:t>
      </w:r>
      <w:r w:rsidRPr="004A5F49">
        <w:rPr>
          <w:rFonts w:ascii="Times New Roman" w:hAnsi="Times New Roman" w:cs="Times New Roman"/>
          <w:sz w:val="24"/>
          <w:szCs w:val="24"/>
        </w:rPr>
        <w:t xml:space="preserve"> OFE</w:t>
      </w:r>
      <w:r w:rsidR="00831308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167A19" w:rsidRPr="004A5F49">
        <w:rPr>
          <w:rFonts w:ascii="Times New Roman" w:hAnsi="Times New Roman" w:cs="Times New Roman"/>
          <w:sz w:val="24"/>
          <w:szCs w:val="24"/>
        </w:rPr>
        <w:t>oraz</w:t>
      </w:r>
      <w:r w:rsidRPr="004A5F49">
        <w:rPr>
          <w:rFonts w:ascii="Times New Roman" w:hAnsi="Times New Roman" w:cs="Times New Roman"/>
          <w:sz w:val="24"/>
          <w:szCs w:val="24"/>
        </w:rPr>
        <w:t xml:space="preserve"> utrudni</w:t>
      </w:r>
      <w:r w:rsidR="00706B87">
        <w:rPr>
          <w:rFonts w:ascii="Times New Roman" w:hAnsi="Times New Roman" w:cs="Times New Roman"/>
          <w:sz w:val="24"/>
          <w:szCs w:val="24"/>
        </w:rPr>
        <w:t>a</w:t>
      </w:r>
      <w:r w:rsidR="00831308" w:rsidRPr="004A5F49">
        <w:rPr>
          <w:rFonts w:ascii="Times New Roman" w:hAnsi="Times New Roman" w:cs="Times New Roman"/>
          <w:sz w:val="24"/>
          <w:szCs w:val="24"/>
        </w:rPr>
        <w:t>łoby</w:t>
      </w:r>
      <w:r w:rsidRPr="004A5F49">
        <w:rPr>
          <w:rFonts w:ascii="Times New Roman" w:hAnsi="Times New Roman" w:cs="Times New Roman"/>
          <w:sz w:val="24"/>
          <w:szCs w:val="24"/>
        </w:rPr>
        <w:t xml:space="preserve"> wykorzystanie elektronicznych form nawiązywania umów oraz dokonywania innych działań z</w:t>
      </w:r>
      <w:r w:rsidR="000A531F">
        <w:rPr>
          <w:rFonts w:ascii="Times New Roman" w:hAnsi="Times New Roman" w:cs="Times New Roman"/>
          <w:sz w:val="24"/>
          <w:szCs w:val="24"/>
        </w:rPr>
        <w:t> </w:t>
      </w:r>
      <w:r w:rsidRPr="004A5F49">
        <w:rPr>
          <w:rFonts w:ascii="Times New Roman" w:hAnsi="Times New Roman" w:cs="Times New Roman"/>
          <w:sz w:val="24"/>
          <w:szCs w:val="24"/>
        </w:rPr>
        <w:t xml:space="preserve">wykorzystaniem nowych technologii. Obowiązujące regulacje wymuszają </w:t>
      </w:r>
      <w:r w:rsidR="00FA4E9B" w:rsidRPr="004A5F49">
        <w:rPr>
          <w:rFonts w:ascii="Times New Roman" w:hAnsi="Times New Roman" w:cs="Times New Roman"/>
          <w:sz w:val="24"/>
          <w:szCs w:val="24"/>
        </w:rPr>
        <w:t xml:space="preserve">bowiem </w:t>
      </w:r>
      <w:r w:rsidR="00706B87">
        <w:rPr>
          <w:rFonts w:ascii="Times New Roman" w:hAnsi="Times New Roman" w:cs="Times New Roman"/>
          <w:sz w:val="24"/>
          <w:szCs w:val="24"/>
        </w:rPr>
        <w:t>nieadekwatne do dzisiejszych realiów</w:t>
      </w:r>
      <w:r w:rsidRPr="004A5F49">
        <w:rPr>
          <w:rFonts w:ascii="Times New Roman" w:hAnsi="Times New Roman" w:cs="Times New Roman"/>
          <w:sz w:val="24"/>
          <w:szCs w:val="24"/>
        </w:rPr>
        <w:t xml:space="preserve"> formy publikacji ogłoszeń dotyczących OFE, np.</w:t>
      </w:r>
      <w:r w:rsidR="000A531F">
        <w:rPr>
          <w:rFonts w:ascii="Times New Roman" w:hAnsi="Times New Roman" w:cs="Times New Roman"/>
          <w:sz w:val="24"/>
          <w:szCs w:val="24"/>
        </w:rPr>
        <w:t> </w:t>
      </w:r>
      <w:r w:rsidRPr="004A5F49">
        <w:rPr>
          <w:rFonts w:ascii="Times New Roman" w:hAnsi="Times New Roman" w:cs="Times New Roman"/>
          <w:sz w:val="24"/>
          <w:szCs w:val="24"/>
        </w:rPr>
        <w:t>w</w:t>
      </w:r>
      <w:r w:rsidR="000A531F">
        <w:rPr>
          <w:rFonts w:ascii="Times New Roman" w:hAnsi="Times New Roman" w:cs="Times New Roman"/>
          <w:sz w:val="24"/>
          <w:szCs w:val="24"/>
        </w:rPr>
        <w:t> </w:t>
      </w:r>
      <w:r w:rsidRPr="004A5F49">
        <w:rPr>
          <w:rFonts w:ascii="Times New Roman" w:hAnsi="Times New Roman" w:cs="Times New Roman"/>
          <w:sz w:val="24"/>
          <w:szCs w:val="24"/>
        </w:rPr>
        <w:t>prasie ogólnopolskiej, co utrudnia komunikację z członkami funduszy. Tradycyjne procedury zawierania umów oraz składania oświadczeń są nieefektywne, co powoduje trudności i opóźnienia w obsłudze klientów.</w:t>
      </w:r>
    </w:p>
    <w:p w14:paraId="0414F502" w14:textId="2FCB56C5" w:rsidR="00042C59" w:rsidRPr="004A5F49" w:rsidRDefault="000D6ACA" w:rsidP="004A5F49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uwagi na pojawiające się w praktyce wątpliwości interpretacyjne dotyczące istnienia po stronie komorników sądowych uprawnienia do </w:t>
      </w:r>
      <w:r w:rsidRPr="004A5F49">
        <w:rPr>
          <w:rFonts w:ascii="Times New Roman" w:hAnsi="Times New Roman" w:cs="Times New Roman"/>
          <w:sz w:val="24"/>
          <w:szCs w:val="24"/>
        </w:rPr>
        <w:t xml:space="preserve">zasięgania informacji objętych tajemnicą zawodową dotyczącą działalności funduszu przedmiotowy dokument zawiera doprecyzowanie istniejącego stanu prawnego w tym zakresie. Ze względu na funkcjonujące uwarunkowania rynkowe </w:t>
      </w:r>
      <w:r w:rsidR="006C1FB6">
        <w:rPr>
          <w:rFonts w:ascii="Times New Roman" w:hAnsi="Times New Roman" w:cs="Times New Roman"/>
          <w:sz w:val="24"/>
          <w:szCs w:val="24"/>
        </w:rPr>
        <w:t>projekt zawiera</w:t>
      </w:r>
      <w:r w:rsidRPr="004A5F49">
        <w:rPr>
          <w:rFonts w:ascii="Times New Roman" w:hAnsi="Times New Roman" w:cs="Times New Roman"/>
          <w:sz w:val="24"/>
          <w:szCs w:val="24"/>
        </w:rPr>
        <w:t xml:space="preserve"> także </w:t>
      </w:r>
      <w:r w:rsidR="006C1FB6">
        <w:rPr>
          <w:rFonts w:ascii="Times New Roman" w:hAnsi="Times New Roman" w:cs="Times New Roman"/>
          <w:sz w:val="24"/>
          <w:szCs w:val="24"/>
        </w:rPr>
        <w:t xml:space="preserve">propozycję </w:t>
      </w:r>
      <w:r w:rsidRPr="004A5F49">
        <w:rPr>
          <w:rFonts w:ascii="Times New Roman" w:hAnsi="Times New Roman" w:cs="Times New Roman"/>
          <w:sz w:val="24"/>
          <w:szCs w:val="24"/>
        </w:rPr>
        <w:t>modyfikacj</w:t>
      </w:r>
      <w:r w:rsidR="006C1FB6">
        <w:rPr>
          <w:rFonts w:ascii="Times New Roman" w:hAnsi="Times New Roman" w:cs="Times New Roman"/>
          <w:sz w:val="24"/>
          <w:szCs w:val="24"/>
        </w:rPr>
        <w:t>i</w:t>
      </w:r>
      <w:r w:rsidRPr="004A5F49">
        <w:rPr>
          <w:rFonts w:ascii="Times New Roman" w:hAnsi="Times New Roman" w:cs="Times New Roman"/>
          <w:sz w:val="24"/>
          <w:szCs w:val="24"/>
        </w:rPr>
        <w:t xml:space="preserve"> przepisów w zakresie możliwości i</w:t>
      </w:r>
      <w:r w:rsidR="000A531F">
        <w:rPr>
          <w:rFonts w:ascii="Times New Roman" w:hAnsi="Times New Roman" w:cs="Times New Roman"/>
          <w:sz w:val="24"/>
          <w:szCs w:val="24"/>
        </w:rPr>
        <w:t> </w:t>
      </w:r>
      <w:r w:rsidRPr="004A5F49">
        <w:rPr>
          <w:rFonts w:ascii="Times New Roman" w:hAnsi="Times New Roman" w:cs="Times New Roman"/>
          <w:sz w:val="24"/>
          <w:szCs w:val="24"/>
        </w:rPr>
        <w:t>zasad korzystania w działalności funduszy emerytalnych z usług podwykonawców, w tym przede wszystkim usankcjonowani</w:t>
      </w:r>
      <w:r w:rsidR="006C1FB6">
        <w:rPr>
          <w:rFonts w:ascii="Times New Roman" w:hAnsi="Times New Roman" w:cs="Times New Roman"/>
          <w:sz w:val="24"/>
          <w:szCs w:val="24"/>
        </w:rPr>
        <w:t>a</w:t>
      </w:r>
      <w:r w:rsidRPr="004A5F49">
        <w:rPr>
          <w:rFonts w:ascii="Times New Roman" w:hAnsi="Times New Roman" w:cs="Times New Roman"/>
          <w:sz w:val="24"/>
          <w:szCs w:val="24"/>
        </w:rPr>
        <w:t xml:space="preserve"> obowiązku zachowania przez te podmioty tajemnicy zawodowej dotyczącej działalności fundusz</w:t>
      </w:r>
      <w:r w:rsidR="00A759A9">
        <w:rPr>
          <w:rFonts w:ascii="Times New Roman" w:hAnsi="Times New Roman" w:cs="Times New Roman"/>
          <w:sz w:val="24"/>
          <w:szCs w:val="24"/>
        </w:rPr>
        <w:t>y</w:t>
      </w:r>
      <w:r w:rsidRPr="004A5F49">
        <w:rPr>
          <w:rFonts w:ascii="Times New Roman" w:hAnsi="Times New Roman" w:cs="Times New Roman"/>
          <w:sz w:val="24"/>
          <w:szCs w:val="24"/>
        </w:rPr>
        <w:t>.</w:t>
      </w:r>
      <w:r w:rsidR="00B14A48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042C59" w:rsidRPr="004A5F49">
        <w:rPr>
          <w:rFonts w:ascii="Times New Roman" w:hAnsi="Times New Roman" w:cs="Times New Roman"/>
          <w:sz w:val="24"/>
          <w:szCs w:val="24"/>
        </w:rPr>
        <w:t>Istotn</w:t>
      </w:r>
      <w:r w:rsidR="00FF2869">
        <w:rPr>
          <w:rFonts w:ascii="Times New Roman" w:hAnsi="Times New Roman" w:cs="Times New Roman"/>
          <w:sz w:val="24"/>
          <w:szCs w:val="24"/>
        </w:rPr>
        <w:t>ą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 zmian</w:t>
      </w:r>
      <w:r w:rsidR="00FF2869">
        <w:rPr>
          <w:rFonts w:ascii="Times New Roman" w:hAnsi="Times New Roman" w:cs="Times New Roman"/>
          <w:sz w:val="24"/>
          <w:szCs w:val="24"/>
        </w:rPr>
        <w:t>ą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Pr="004A5F49">
        <w:rPr>
          <w:rFonts w:ascii="Times New Roman" w:hAnsi="Times New Roman" w:cs="Times New Roman"/>
          <w:sz w:val="24"/>
          <w:szCs w:val="24"/>
        </w:rPr>
        <w:t>przepisów</w:t>
      </w:r>
      <w:r w:rsidR="002E68A5" w:rsidRPr="004A5F49">
        <w:rPr>
          <w:rFonts w:ascii="Times New Roman" w:hAnsi="Times New Roman" w:cs="Times New Roman"/>
          <w:sz w:val="24"/>
          <w:szCs w:val="24"/>
        </w:rPr>
        <w:t xml:space="preserve"> w przedmiotowym projekcie ustawy</w:t>
      </w:r>
      <w:r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FD405C" w:rsidRPr="004A5F49">
        <w:rPr>
          <w:rFonts w:ascii="Times New Roman" w:hAnsi="Times New Roman" w:cs="Times New Roman"/>
          <w:sz w:val="24"/>
          <w:szCs w:val="24"/>
        </w:rPr>
        <w:t xml:space="preserve">jest </w:t>
      </w:r>
      <w:r w:rsidRPr="004A5F49">
        <w:rPr>
          <w:rFonts w:ascii="Times New Roman" w:hAnsi="Times New Roman" w:cs="Times New Roman"/>
          <w:sz w:val="24"/>
          <w:szCs w:val="24"/>
        </w:rPr>
        <w:t>również</w:t>
      </w:r>
      <w:r w:rsidR="00FD405C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FF2869">
        <w:rPr>
          <w:rFonts w:ascii="Times New Roman" w:hAnsi="Times New Roman" w:cs="Times New Roman"/>
          <w:sz w:val="24"/>
          <w:szCs w:val="24"/>
        </w:rPr>
        <w:t xml:space="preserve">proponowana możliwość </w:t>
      </w:r>
      <w:r w:rsidR="006C1FB6">
        <w:rPr>
          <w:rFonts w:ascii="Times New Roman" w:hAnsi="Times New Roman" w:cs="Times New Roman"/>
          <w:sz w:val="24"/>
          <w:szCs w:val="24"/>
        </w:rPr>
        <w:t xml:space="preserve">pokrycia 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z aktywów funduszu </w:t>
      </w:r>
      <w:r w:rsidR="00630B88">
        <w:rPr>
          <w:rFonts w:ascii="Times New Roman" w:hAnsi="Times New Roman" w:cs="Times New Roman"/>
          <w:sz w:val="24"/>
          <w:szCs w:val="24"/>
        </w:rPr>
        <w:t xml:space="preserve">poniesionych przez towarzystwo emerytalne </w:t>
      </w:r>
      <w:r w:rsidR="006C1FB6">
        <w:rPr>
          <w:rFonts w:ascii="Times New Roman" w:hAnsi="Times New Roman" w:cs="Times New Roman"/>
          <w:sz w:val="24"/>
          <w:szCs w:val="24"/>
        </w:rPr>
        <w:t xml:space="preserve">kosztów </w:t>
      </w:r>
      <w:r w:rsidR="00AF0C30">
        <w:rPr>
          <w:rFonts w:ascii="Times New Roman" w:hAnsi="Times New Roman" w:cs="Times New Roman"/>
          <w:sz w:val="24"/>
          <w:szCs w:val="24"/>
        </w:rPr>
        <w:t xml:space="preserve">prowadzenia sporu sądowego 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w </w:t>
      </w:r>
      <w:r w:rsidR="00AF0C30">
        <w:rPr>
          <w:rFonts w:ascii="Times New Roman" w:hAnsi="Times New Roman" w:cs="Times New Roman"/>
          <w:sz w:val="24"/>
          <w:szCs w:val="24"/>
        </w:rPr>
        <w:t xml:space="preserve">sytuacji, gdy spór ten zakończył się wygraną </w:t>
      </w:r>
      <w:r w:rsidR="00042C59" w:rsidRPr="004A5F49">
        <w:rPr>
          <w:rFonts w:ascii="Times New Roman" w:hAnsi="Times New Roman" w:cs="Times New Roman"/>
          <w:sz w:val="24"/>
          <w:szCs w:val="24"/>
        </w:rPr>
        <w:t>fundusz</w:t>
      </w:r>
      <w:r w:rsidR="00AF0C30">
        <w:rPr>
          <w:rFonts w:ascii="Times New Roman" w:hAnsi="Times New Roman" w:cs="Times New Roman"/>
          <w:sz w:val="24"/>
          <w:szCs w:val="24"/>
        </w:rPr>
        <w:t>u</w:t>
      </w:r>
      <w:r w:rsidR="00042C59" w:rsidRPr="004A5F49">
        <w:rPr>
          <w:rFonts w:ascii="Times New Roman" w:hAnsi="Times New Roman" w:cs="Times New Roman"/>
          <w:sz w:val="24"/>
          <w:szCs w:val="24"/>
        </w:rPr>
        <w:t>.</w:t>
      </w:r>
    </w:p>
    <w:p w14:paraId="33080EFD" w14:textId="2439DFED" w:rsidR="00042C59" w:rsidRPr="004A5F49" w:rsidRDefault="00FD405C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 xml:space="preserve">Korzyści z proponowanych w </w:t>
      </w:r>
      <w:r w:rsidR="002E68A5" w:rsidRPr="004A5F49">
        <w:rPr>
          <w:rFonts w:ascii="Times New Roman" w:hAnsi="Times New Roman" w:cs="Times New Roman"/>
          <w:sz w:val="24"/>
          <w:szCs w:val="24"/>
        </w:rPr>
        <w:t xml:space="preserve">przedkładanym </w:t>
      </w:r>
      <w:r w:rsidRPr="004A5F49">
        <w:rPr>
          <w:rFonts w:ascii="Times New Roman" w:hAnsi="Times New Roman" w:cs="Times New Roman"/>
          <w:sz w:val="24"/>
          <w:szCs w:val="24"/>
        </w:rPr>
        <w:t xml:space="preserve">projekcie ustawy </w:t>
      </w:r>
      <w:r w:rsidR="00DB54D9">
        <w:rPr>
          <w:rFonts w:ascii="Times New Roman" w:hAnsi="Times New Roman" w:cs="Times New Roman"/>
          <w:sz w:val="24"/>
          <w:szCs w:val="24"/>
        </w:rPr>
        <w:t xml:space="preserve">o zmianie ustawy </w:t>
      </w:r>
      <w:r w:rsidR="00FA4E9B" w:rsidRPr="004A5F49">
        <w:rPr>
          <w:rFonts w:ascii="Times New Roman" w:hAnsi="Times New Roman" w:cs="Times New Roman"/>
          <w:sz w:val="24"/>
          <w:szCs w:val="24"/>
        </w:rPr>
        <w:t xml:space="preserve">o organizacji i funkcjonowaniu funduszy emerytalnych </w:t>
      </w:r>
      <w:r w:rsidRPr="004A5F49">
        <w:rPr>
          <w:rFonts w:ascii="Times New Roman" w:hAnsi="Times New Roman" w:cs="Times New Roman"/>
          <w:sz w:val="24"/>
          <w:szCs w:val="24"/>
        </w:rPr>
        <w:t xml:space="preserve">zmian to przede wszystkim 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dodatkowe możliwości kontaktu klientów z </w:t>
      </w:r>
      <w:r w:rsidR="00FF010C" w:rsidRPr="004A5F49">
        <w:rPr>
          <w:rFonts w:ascii="Times New Roman" w:hAnsi="Times New Roman" w:cs="Times New Roman"/>
          <w:sz w:val="24"/>
          <w:szCs w:val="24"/>
        </w:rPr>
        <w:t>funduszami emerytalnymi</w:t>
      </w:r>
      <w:r w:rsidR="00FA4E9B" w:rsidRPr="004A5F49">
        <w:rPr>
          <w:rFonts w:ascii="Times New Roman" w:hAnsi="Times New Roman" w:cs="Times New Roman"/>
          <w:sz w:val="24"/>
          <w:szCs w:val="24"/>
        </w:rPr>
        <w:t>,</w:t>
      </w:r>
      <w:r w:rsidR="00FF010C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FA4E9B" w:rsidRPr="004A5F49">
        <w:rPr>
          <w:rFonts w:ascii="Times New Roman" w:hAnsi="Times New Roman" w:cs="Times New Roman"/>
          <w:sz w:val="24"/>
          <w:szCs w:val="24"/>
        </w:rPr>
        <w:t>które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 ułatwią im dostęp </w:t>
      </w:r>
      <w:r w:rsidR="00FA4E9B" w:rsidRPr="004A5F49">
        <w:rPr>
          <w:rFonts w:ascii="Times New Roman" w:hAnsi="Times New Roman" w:cs="Times New Roman"/>
          <w:sz w:val="24"/>
          <w:szCs w:val="24"/>
        </w:rPr>
        <w:t xml:space="preserve">tak do </w:t>
      </w:r>
      <w:r w:rsidR="00042C59" w:rsidRPr="004A5F49">
        <w:rPr>
          <w:rFonts w:ascii="Times New Roman" w:hAnsi="Times New Roman" w:cs="Times New Roman"/>
          <w:sz w:val="24"/>
          <w:szCs w:val="24"/>
        </w:rPr>
        <w:t>informacji</w:t>
      </w:r>
      <w:r w:rsidR="00FA4E9B" w:rsidRPr="004A5F49">
        <w:rPr>
          <w:rFonts w:ascii="Times New Roman" w:hAnsi="Times New Roman" w:cs="Times New Roman"/>
          <w:sz w:val="24"/>
          <w:szCs w:val="24"/>
        </w:rPr>
        <w:t>, jak i</w:t>
      </w:r>
      <w:r w:rsidR="00F2518E">
        <w:rPr>
          <w:rFonts w:ascii="Times New Roman" w:hAnsi="Times New Roman" w:cs="Times New Roman"/>
          <w:sz w:val="24"/>
          <w:szCs w:val="24"/>
        </w:rPr>
        <w:t> </w:t>
      </w:r>
      <w:r w:rsidR="00042C59" w:rsidRPr="004A5F49">
        <w:rPr>
          <w:rFonts w:ascii="Times New Roman" w:hAnsi="Times New Roman" w:cs="Times New Roman"/>
          <w:sz w:val="24"/>
          <w:szCs w:val="24"/>
        </w:rPr>
        <w:t>właściwej instytucji finansowej, ujednolicą przy tym zasady obowiązujące w innych przepisach prawa</w:t>
      </w:r>
      <w:r w:rsidR="00030480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FA4E9B" w:rsidRPr="004A5F49">
        <w:rPr>
          <w:rFonts w:ascii="Times New Roman" w:hAnsi="Times New Roman" w:cs="Times New Roman"/>
          <w:sz w:val="24"/>
          <w:szCs w:val="24"/>
        </w:rPr>
        <w:t xml:space="preserve">oraz </w:t>
      </w:r>
      <w:r w:rsidR="00042C59" w:rsidRPr="004A5F49">
        <w:rPr>
          <w:rFonts w:ascii="Times New Roman" w:hAnsi="Times New Roman" w:cs="Times New Roman"/>
          <w:sz w:val="24"/>
          <w:szCs w:val="24"/>
        </w:rPr>
        <w:t>urealnią niektóre z wymogów, które w</w:t>
      </w:r>
      <w:r w:rsidR="001644FE">
        <w:rPr>
          <w:rFonts w:ascii="Times New Roman" w:hAnsi="Times New Roman" w:cs="Times New Roman"/>
          <w:sz w:val="24"/>
          <w:szCs w:val="24"/>
        </w:rPr>
        <w:t> </w:t>
      </w:r>
      <w:r w:rsidR="00042C59" w:rsidRPr="004A5F49">
        <w:rPr>
          <w:rFonts w:ascii="Times New Roman" w:hAnsi="Times New Roman" w:cs="Times New Roman"/>
          <w:sz w:val="24"/>
          <w:szCs w:val="24"/>
        </w:rPr>
        <w:t>wyniku zmian gospodarczych straciły rację bytu.</w:t>
      </w:r>
      <w:r w:rsidR="00FA4E9B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D776BE" w:rsidRPr="004A5F49">
        <w:rPr>
          <w:rFonts w:ascii="Times New Roman" w:hAnsi="Times New Roman" w:cs="Times New Roman"/>
          <w:sz w:val="24"/>
          <w:szCs w:val="24"/>
        </w:rPr>
        <w:t>Uproszczenie procedur taki</w:t>
      </w:r>
      <w:r w:rsidR="0065283E">
        <w:rPr>
          <w:rFonts w:ascii="Times New Roman" w:hAnsi="Times New Roman" w:cs="Times New Roman"/>
          <w:sz w:val="24"/>
          <w:szCs w:val="24"/>
        </w:rPr>
        <w:t>ch</w:t>
      </w:r>
      <w:r w:rsidR="00D776BE" w:rsidRPr="004A5F49">
        <w:rPr>
          <w:rFonts w:ascii="Times New Roman" w:hAnsi="Times New Roman" w:cs="Times New Roman"/>
          <w:sz w:val="24"/>
          <w:szCs w:val="24"/>
        </w:rPr>
        <w:t xml:space="preserve"> jak możliwość zawierania umów i składania oświadczeń w</w:t>
      </w:r>
      <w:r w:rsidR="00F2518E">
        <w:rPr>
          <w:rFonts w:ascii="Times New Roman" w:hAnsi="Times New Roman" w:cs="Times New Roman"/>
          <w:sz w:val="24"/>
          <w:szCs w:val="24"/>
        </w:rPr>
        <w:t xml:space="preserve"> </w:t>
      </w:r>
      <w:r w:rsidR="00D776BE" w:rsidRPr="004A5F49">
        <w:rPr>
          <w:rFonts w:ascii="Times New Roman" w:hAnsi="Times New Roman" w:cs="Times New Roman"/>
          <w:sz w:val="24"/>
          <w:szCs w:val="24"/>
        </w:rPr>
        <w:t>formie elektronicznej ułatwi uczestnikom OFE dopełnianie formalności, a</w:t>
      </w:r>
      <w:r w:rsidR="00F2518E">
        <w:rPr>
          <w:rFonts w:ascii="Times New Roman" w:hAnsi="Times New Roman" w:cs="Times New Roman"/>
          <w:sz w:val="24"/>
          <w:szCs w:val="24"/>
        </w:rPr>
        <w:t> </w:t>
      </w:r>
      <w:r w:rsidR="00D776BE" w:rsidRPr="004A5F49">
        <w:rPr>
          <w:rFonts w:ascii="Times New Roman" w:hAnsi="Times New Roman" w:cs="Times New Roman"/>
          <w:sz w:val="24"/>
          <w:szCs w:val="24"/>
        </w:rPr>
        <w:t>c</w:t>
      </w:r>
      <w:r w:rsidR="00042C59" w:rsidRPr="004A5F49">
        <w:rPr>
          <w:rFonts w:ascii="Times New Roman" w:hAnsi="Times New Roman" w:cs="Times New Roman"/>
          <w:sz w:val="24"/>
          <w:szCs w:val="24"/>
        </w:rPr>
        <w:t>yfrow</w:t>
      </w:r>
      <w:r w:rsidR="00FA4E9B" w:rsidRPr="004A5F49">
        <w:rPr>
          <w:rFonts w:ascii="Times New Roman" w:hAnsi="Times New Roman" w:cs="Times New Roman"/>
          <w:sz w:val="24"/>
          <w:szCs w:val="24"/>
        </w:rPr>
        <w:t>a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 obsług</w:t>
      </w:r>
      <w:r w:rsidR="00FA4E9B" w:rsidRPr="004A5F49">
        <w:rPr>
          <w:rFonts w:ascii="Times New Roman" w:hAnsi="Times New Roman" w:cs="Times New Roman"/>
          <w:sz w:val="24"/>
          <w:szCs w:val="24"/>
        </w:rPr>
        <w:t>a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 klientów obniż</w:t>
      </w:r>
      <w:r w:rsidR="00FA4E9B" w:rsidRPr="004A5F49">
        <w:rPr>
          <w:rFonts w:ascii="Times New Roman" w:hAnsi="Times New Roman" w:cs="Times New Roman"/>
          <w:sz w:val="24"/>
          <w:szCs w:val="24"/>
        </w:rPr>
        <w:t>y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 koszty</w:t>
      </w:r>
      <w:r w:rsidR="00D776BE" w:rsidRPr="004A5F49">
        <w:rPr>
          <w:rFonts w:ascii="Times New Roman" w:hAnsi="Times New Roman" w:cs="Times New Roman"/>
          <w:sz w:val="24"/>
          <w:szCs w:val="24"/>
        </w:rPr>
        <w:t xml:space="preserve"> działalności funduszy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 i zwiększ</w:t>
      </w:r>
      <w:r w:rsidR="00FA4E9B" w:rsidRPr="004A5F49">
        <w:rPr>
          <w:rFonts w:ascii="Times New Roman" w:hAnsi="Times New Roman" w:cs="Times New Roman"/>
          <w:sz w:val="24"/>
          <w:szCs w:val="24"/>
        </w:rPr>
        <w:t>y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5603C0">
        <w:rPr>
          <w:rFonts w:ascii="Times New Roman" w:hAnsi="Times New Roman" w:cs="Times New Roman"/>
          <w:sz w:val="24"/>
          <w:szCs w:val="24"/>
        </w:rPr>
        <w:t xml:space="preserve">jej </w:t>
      </w:r>
      <w:r w:rsidR="00042C59" w:rsidRPr="004A5F49">
        <w:rPr>
          <w:rFonts w:ascii="Times New Roman" w:hAnsi="Times New Roman" w:cs="Times New Roman"/>
          <w:sz w:val="24"/>
          <w:szCs w:val="24"/>
        </w:rPr>
        <w:t xml:space="preserve">efektywność, bez ryzyka dla bezpieczeństwa uczestników czy budżetu </w:t>
      </w:r>
      <w:r w:rsidR="00FA4E9B" w:rsidRPr="004A5F49">
        <w:rPr>
          <w:rFonts w:ascii="Times New Roman" w:hAnsi="Times New Roman" w:cs="Times New Roman"/>
          <w:sz w:val="24"/>
          <w:szCs w:val="24"/>
        </w:rPr>
        <w:t>p</w:t>
      </w:r>
      <w:r w:rsidR="00042C59" w:rsidRPr="004A5F49">
        <w:rPr>
          <w:rFonts w:ascii="Times New Roman" w:hAnsi="Times New Roman" w:cs="Times New Roman"/>
          <w:sz w:val="24"/>
          <w:szCs w:val="24"/>
        </w:rPr>
        <w:t>aństwa.</w:t>
      </w:r>
    </w:p>
    <w:p w14:paraId="62FB86EC" w14:textId="40E96D59" w:rsidR="005B3925" w:rsidRPr="004A5F49" w:rsidRDefault="00064CCB" w:rsidP="004A5F4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2255FA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A72DD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Szczegółowe </w:t>
      </w:r>
      <w:r w:rsidR="002255FA" w:rsidRPr="004A5F49">
        <w:rPr>
          <w:rFonts w:ascii="Times New Roman" w:hAnsi="Times New Roman" w:cs="Times New Roman"/>
          <w:b/>
          <w:bCs/>
          <w:sz w:val="24"/>
          <w:szCs w:val="24"/>
        </w:rPr>
        <w:t>zmian</w:t>
      </w:r>
      <w:r w:rsidR="00752F6E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2255FA" w:rsidRPr="004A5F49">
        <w:rPr>
          <w:rFonts w:ascii="Times New Roman" w:hAnsi="Times New Roman" w:cs="Times New Roman"/>
          <w:b/>
          <w:bCs/>
          <w:sz w:val="24"/>
          <w:szCs w:val="24"/>
        </w:rPr>
        <w:t>zawart</w:t>
      </w:r>
      <w:r w:rsidR="00752F6E" w:rsidRPr="004A5F4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255FA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w projekcie ustawy</w:t>
      </w:r>
    </w:p>
    <w:p w14:paraId="6674020B" w14:textId="12DEF99F" w:rsidR="002255FA" w:rsidRPr="004A5F49" w:rsidRDefault="002255FA" w:rsidP="004A5F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Zmiana brzmienia art. 13 ustawy o </w:t>
      </w:r>
      <w:proofErr w:type="spellStart"/>
      <w:r w:rsidRPr="004A5F49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="00F42019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(art. 1 pkt 1 projektowanej ustawy)</w:t>
      </w:r>
    </w:p>
    <w:p w14:paraId="0B7F58EF" w14:textId="0F1B115F" w:rsidR="002255FA" w:rsidRPr="004A5F49" w:rsidRDefault="002255FA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434109"/>
      <w:r w:rsidRPr="004A5F49">
        <w:rPr>
          <w:rFonts w:ascii="Times New Roman" w:hAnsi="Times New Roman" w:cs="Times New Roman"/>
          <w:sz w:val="24"/>
          <w:szCs w:val="24"/>
        </w:rPr>
        <w:t>Proponowana</w:t>
      </w:r>
      <w:r w:rsidR="00A87A14">
        <w:rPr>
          <w:rFonts w:ascii="Times New Roman" w:hAnsi="Times New Roman" w:cs="Times New Roman"/>
          <w:sz w:val="24"/>
          <w:szCs w:val="24"/>
        </w:rPr>
        <w:t xml:space="preserve"> zmiana odnosi się do</w:t>
      </w:r>
      <w:r w:rsidR="001515EE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A87A14">
        <w:rPr>
          <w:rFonts w:ascii="Times New Roman" w:hAnsi="Times New Roman" w:cs="Times New Roman"/>
          <w:sz w:val="24"/>
          <w:szCs w:val="24"/>
        </w:rPr>
        <w:t>modyfikacji dotychczasowego</w:t>
      </w:r>
      <w:r w:rsidR="001515EE" w:rsidRPr="004A5F49">
        <w:rPr>
          <w:rFonts w:ascii="Times New Roman" w:hAnsi="Times New Roman" w:cs="Times New Roman"/>
          <w:sz w:val="24"/>
          <w:szCs w:val="24"/>
        </w:rPr>
        <w:t xml:space="preserve"> sposobu </w:t>
      </w:r>
      <w:r w:rsidRPr="004A5F49">
        <w:rPr>
          <w:rFonts w:ascii="Times New Roman" w:hAnsi="Times New Roman" w:cs="Times New Roman"/>
          <w:sz w:val="24"/>
          <w:szCs w:val="24"/>
        </w:rPr>
        <w:t>publikacji ogłoszeń o zmianie statutu OFE oraz prospektu OFE</w:t>
      </w:r>
      <w:r w:rsidR="001515EE" w:rsidRPr="004A5F49">
        <w:rPr>
          <w:rFonts w:ascii="Times New Roman" w:hAnsi="Times New Roman" w:cs="Times New Roman"/>
          <w:sz w:val="24"/>
          <w:szCs w:val="24"/>
        </w:rPr>
        <w:t xml:space="preserve"> – z publikacji w dzienniku </w:t>
      </w:r>
      <w:r w:rsidR="00807E64" w:rsidRPr="004A5F49">
        <w:rPr>
          <w:rFonts w:ascii="Times New Roman" w:hAnsi="Times New Roman" w:cs="Times New Roman"/>
          <w:sz w:val="24"/>
          <w:szCs w:val="24"/>
        </w:rPr>
        <w:t xml:space="preserve">o zasięgu krajowym </w:t>
      </w:r>
      <w:r w:rsidR="001515EE" w:rsidRPr="004A5F49">
        <w:rPr>
          <w:rFonts w:ascii="Times New Roman" w:hAnsi="Times New Roman" w:cs="Times New Roman"/>
          <w:sz w:val="24"/>
          <w:szCs w:val="24"/>
        </w:rPr>
        <w:t xml:space="preserve">na </w:t>
      </w:r>
      <w:r w:rsidRPr="004A5F49">
        <w:rPr>
          <w:rFonts w:ascii="Times New Roman" w:hAnsi="Times New Roman" w:cs="Times New Roman"/>
          <w:sz w:val="24"/>
          <w:szCs w:val="24"/>
        </w:rPr>
        <w:t>ogólnodostępn</w:t>
      </w:r>
      <w:r w:rsidR="001515EE" w:rsidRPr="004A5F49">
        <w:rPr>
          <w:rFonts w:ascii="Times New Roman" w:hAnsi="Times New Roman" w:cs="Times New Roman"/>
          <w:sz w:val="24"/>
          <w:szCs w:val="24"/>
        </w:rPr>
        <w:t>ą</w:t>
      </w:r>
      <w:r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1515EE" w:rsidRPr="004A5F49">
        <w:rPr>
          <w:rFonts w:ascii="Times New Roman" w:hAnsi="Times New Roman" w:cs="Times New Roman"/>
          <w:sz w:val="24"/>
          <w:szCs w:val="24"/>
        </w:rPr>
        <w:t xml:space="preserve">stronę internetową przeznaczoną </w:t>
      </w:r>
      <w:r w:rsidRPr="004A5F49">
        <w:rPr>
          <w:rFonts w:ascii="Times New Roman" w:hAnsi="Times New Roman" w:cs="Times New Roman"/>
          <w:sz w:val="24"/>
          <w:szCs w:val="24"/>
        </w:rPr>
        <w:t>do ogłoszeń funduszu.</w:t>
      </w:r>
    </w:p>
    <w:p w14:paraId="2F8382BF" w14:textId="7C2605B4" w:rsidR="002255FA" w:rsidRPr="004A5F49" w:rsidRDefault="001515EE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A4C">
        <w:rPr>
          <w:rFonts w:ascii="Times New Roman" w:hAnsi="Times New Roman" w:cs="Times New Roman"/>
          <w:sz w:val="24"/>
          <w:szCs w:val="24"/>
        </w:rPr>
        <w:t xml:space="preserve">Dzięki wprowadzeniu publikacji ogłoszeń </w:t>
      </w:r>
      <w:r w:rsidR="00EF3D42" w:rsidRPr="00CF1A4C">
        <w:rPr>
          <w:rFonts w:ascii="Times New Roman" w:hAnsi="Times New Roman" w:cs="Times New Roman"/>
          <w:sz w:val="24"/>
          <w:szCs w:val="24"/>
        </w:rPr>
        <w:t xml:space="preserve">funduszy emerytalnych </w:t>
      </w:r>
      <w:r w:rsidRPr="00CF1A4C">
        <w:rPr>
          <w:rFonts w:ascii="Times New Roman" w:hAnsi="Times New Roman" w:cs="Times New Roman"/>
          <w:sz w:val="24"/>
          <w:szCs w:val="24"/>
        </w:rPr>
        <w:t xml:space="preserve">na ogólnodostępnych stronach </w:t>
      </w:r>
      <w:r w:rsidR="00577D04" w:rsidRPr="00CF1A4C">
        <w:rPr>
          <w:rFonts w:ascii="Times New Roman" w:hAnsi="Times New Roman" w:cs="Times New Roman"/>
          <w:sz w:val="24"/>
          <w:szCs w:val="24"/>
        </w:rPr>
        <w:t>i</w:t>
      </w:r>
      <w:r w:rsidRPr="00CF1A4C">
        <w:rPr>
          <w:rFonts w:ascii="Times New Roman" w:hAnsi="Times New Roman" w:cs="Times New Roman"/>
          <w:sz w:val="24"/>
          <w:szCs w:val="24"/>
        </w:rPr>
        <w:t xml:space="preserve">nternetowych oszczędzający </w:t>
      </w:r>
      <w:r w:rsidR="00EF3D42" w:rsidRPr="00CF1A4C">
        <w:rPr>
          <w:rFonts w:ascii="Times New Roman" w:hAnsi="Times New Roman" w:cs="Times New Roman"/>
          <w:sz w:val="24"/>
          <w:szCs w:val="24"/>
        </w:rPr>
        <w:t xml:space="preserve">uzyska </w:t>
      </w:r>
      <w:r w:rsidRPr="00CF1A4C">
        <w:rPr>
          <w:rFonts w:ascii="Times New Roman" w:hAnsi="Times New Roman" w:cs="Times New Roman"/>
          <w:sz w:val="24"/>
          <w:szCs w:val="24"/>
        </w:rPr>
        <w:t xml:space="preserve">stały i </w:t>
      </w:r>
      <w:r w:rsidR="00EF3D42" w:rsidRPr="00CF1A4C">
        <w:rPr>
          <w:rFonts w:ascii="Times New Roman" w:hAnsi="Times New Roman" w:cs="Times New Roman"/>
          <w:sz w:val="24"/>
          <w:szCs w:val="24"/>
        </w:rPr>
        <w:t>bieżący</w:t>
      </w:r>
      <w:r w:rsidRPr="00CF1A4C">
        <w:rPr>
          <w:rFonts w:ascii="Times New Roman" w:hAnsi="Times New Roman" w:cs="Times New Roman"/>
          <w:sz w:val="24"/>
          <w:szCs w:val="24"/>
        </w:rPr>
        <w:t xml:space="preserve"> dostęp do </w:t>
      </w:r>
      <w:r w:rsidR="00EF3D42" w:rsidRPr="00CF1A4C">
        <w:rPr>
          <w:rFonts w:ascii="Times New Roman" w:hAnsi="Times New Roman" w:cs="Times New Roman"/>
          <w:sz w:val="24"/>
          <w:szCs w:val="24"/>
        </w:rPr>
        <w:t>informacji w tym zakresie</w:t>
      </w:r>
      <w:r w:rsidR="006D22D4" w:rsidRPr="00CF1A4C">
        <w:rPr>
          <w:rFonts w:ascii="Times New Roman" w:hAnsi="Times New Roman" w:cs="Times New Roman"/>
          <w:sz w:val="24"/>
          <w:szCs w:val="24"/>
        </w:rPr>
        <w:t xml:space="preserve">, jak również – za pośrednictwem ww. stron internetowych – </w:t>
      </w:r>
      <w:r w:rsidR="00CF1A4C" w:rsidRPr="00CF1A4C">
        <w:rPr>
          <w:rFonts w:ascii="Times New Roman" w:hAnsi="Times New Roman" w:cs="Times New Roman"/>
          <w:sz w:val="24"/>
          <w:szCs w:val="24"/>
        </w:rPr>
        <w:t xml:space="preserve">będzie </w:t>
      </w:r>
      <w:r w:rsidR="006D22D4" w:rsidRPr="00CF1A4C">
        <w:rPr>
          <w:rFonts w:ascii="Times New Roman" w:hAnsi="Times New Roman" w:cs="Times New Roman"/>
          <w:sz w:val="24"/>
          <w:szCs w:val="24"/>
        </w:rPr>
        <w:t xml:space="preserve">możliwe dotarcie </w:t>
      </w:r>
      <w:r w:rsidR="00EF3D42" w:rsidRPr="00CF1A4C">
        <w:rPr>
          <w:rFonts w:ascii="Times New Roman" w:hAnsi="Times New Roman" w:cs="Times New Roman"/>
          <w:sz w:val="24"/>
          <w:szCs w:val="24"/>
        </w:rPr>
        <w:t xml:space="preserve">do szerszej </w:t>
      </w:r>
      <w:r w:rsidRPr="00CF1A4C">
        <w:rPr>
          <w:rFonts w:ascii="Times New Roman" w:hAnsi="Times New Roman" w:cs="Times New Roman"/>
          <w:sz w:val="24"/>
          <w:szCs w:val="24"/>
        </w:rPr>
        <w:t>rzeszy odbiorców</w:t>
      </w:r>
      <w:r w:rsidR="006D22D4">
        <w:rPr>
          <w:rFonts w:ascii="Times New Roman" w:hAnsi="Times New Roman" w:cs="Times New Roman"/>
          <w:sz w:val="24"/>
          <w:szCs w:val="24"/>
        </w:rPr>
        <w:t xml:space="preserve">. Celem jej </w:t>
      </w:r>
      <w:r w:rsidR="00503080">
        <w:rPr>
          <w:rFonts w:ascii="Times New Roman" w:hAnsi="Times New Roman" w:cs="Times New Roman"/>
          <w:sz w:val="24"/>
          <w:szCs w:val="24"/>
        </w:rPr>
        <w:t>wprowadzenia</w:t>
      </w:r>
      <w:r w:rsidR="006D22D4">
        <w:rPr>
          <w:rFonts w:ascii="Times New Roman" w:hAnsi="Times New Roman" w:cs="Times New Roman"/>
          <w:sz w:val="24"/>
          <w:szCs w:val="24"/>
        </w:rPr>
        <w:t xml:space="preserve"> jest dostosowanie zasad funkcjonowania </w:t>
      </w:r>
      <w:r w:rsidR="00DC6579">
        <w:rPr>
          <w:rFonts w:ascii="Times New Roman" w:hAnsi="Times New Roman" w:cs="Times New Roman"/>
          <w:sz w:val="24"/>
          <w:szCs w:val="24"/>
        </w:rPr>
        <w:t>funduszy emerytalnych</w:t>
      </w:r>
      <w:r w:rsidR="006D22D4">
        <w:rPr>
          <w:rFonts w:ascii="Times New Roman" w:hAnsi="Times New Roman" w:cs="Times New Roman"/>
          <w:sz w:val="24"/>
          <w:szCs w:val="24"/>
        </w:rPr>
        <w:t xml:space="preserve"> do obecnych standardów </w:t>
      </w:r>
      <w:r w:rsidR="00503080">
        <w:rPr>
          <w:rFonts w:ascii="Times New Roman" w:hAnsi="Times New Roman" w:cs="Times New Roman"/>
          <w:sz w:val="24"/>
          <w:szCs w:val="24"/>
        </w:rPr>
        <w:t>rynkowych, w tym do rozwiązań technologicznych powszechnie wykorzystywanych w obszarze komunikacji z</w:t>
      </w:r>
      <w:r w:rsidR="000A531F">
        <w:rPr>
          <w:rFonts w:ascii="Times New Roman" w:hAnsi="Times New Roman" w:cs="Times New Roman"/>
          <w:sz w:val="24"/>
          <w:szCs w:val="24"/>
        </w:rPr>
        <w:t> </w:t>
      </w:r>
      <w:r w:rsidR="00503080">
        <w:rPr>
          <w:rFonts w:ascii="Times New Roman" w:hAnsi="Times New Roman" w:cs="Times New Roman"/>
          <w:sz w:val="24"/>
          <w:szCs w:val="24"/>
        </w:rPr>
        <w:t>klientami</w:t>
      </w:r>
      <w:r w:rsidRPr="004A5F49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200354064"/>
      <w:r w:rsidR="00503080">
        <w:rPr>
          <w:rFonts w:ascii="Times New Roman" w:hAnsi="Times New Roman" w:cs="Times New Roman"/>
          <w:sz w:val="24"/>
          <w:szCs w:val="24"/>
        </w:rPr>
        <w:t xml:space="preserve">Pozytywnym aspektem wdrażanej zmiany będzie możliwość optymalizacji </w:t>
      </w:r>
      <w:r w:rsidR="005949E1">
        <w:rPr>
          <w:rFonts w:ascii="Times New Roman" w:hAnsi="Times New Roman" w:cs="Times New Roman"/>
          <w:sz w:val="24"/>
          <w:szCs w:val="24"/>
        </w:rPr>
        <w:lastRenderedPageBreak/>
        <w:t>koszt</w:t>
      </w:r>
      <w:r w:rsidR="00503080">
        <w:rPr>
          <w:rFonts w:ascii="Times New Roman" w:hAnsi="Times New Roman" w:cs="Times New Roman"/>
          <w:sz w:val="24"/>
          <w:szCs w:val="24"/>
        </w:rPr>
        <w:t>ów</w:t>
      </w:r>
      <w:r w:rsidR="005949E1">
        <w:rPr>
          <w:rFonts w:ascii="Times New Roman" w:hAnsi="Times New Roman" w:cs="Times New Roman"/>
          <w:sz w:val="24"/>
          <w:szCs w:val="24"/>
        </w:rPr>
        <w:t xml:space="preserve"> operacyjn</w:t>
      </w:r>
      <w:r w:rsidR="00503080">
        <w:rPr>
          <w:rFonts w:ascii="Times New Roman" w:hAnsi="Times New Roman" w:cs="Times New Roman"/>
          <w:sz w:val="24"/>
          <w:szCs w:val="24"/>
        </w:rPr>
        <w:t>ych instytucji finansowych</w:t>
      </w:r>
      <w:r w:rsidR="005949E1">
        <w:rPr>
          <w:rFonts w:ascii="Times New Roman" w:hAnsi="Times New Roman" w:cs="Times New Roman"/>
          <w:sz w:val="24"/>
          <w:szCs w:val="24"/>
        </w:rPr>
        <w:t xml:space="preserve">, </w:t>
      </w:r>
      <w:r w:rsidR="00503080">
        <w:rPr>
          <w:rFonts w:ascii="Times New Roman" w:hAnsi="Times New Roman" w:cs="Times New Roman"/>
          <w:sz w:val="24"/>
          <w:szCs w:val="24"/>
        </w:rPr>
        <w:t>wynikając</w:t>
      </w:r>
      <w:r w:rsidR="00405430">
        <w:rPr>
          <w:rFonts w:ascii="Times New Roman" w:hAnsi="Times New Roman" w:cs="Times New Roman"/>
          <w:sz w:val="24"/>
          <w:szCs w:val="24"/>
        </w:rPr>
        <w:t>a</w:t>
      </w:r>
      <w:r w:rsidR="00503080">
        <w:rPr>
          <w:rFonts w:ascii="Times New Roman" w:hAnsi="Times New Roman" w:cs="Times New Roman"/>
          <w:sz w:val="24"/>
          <w:szCs w:val="24"/>
        </w:rPr>
        <w:t xml:space="preserve"> z wyeliminowania kosztów obowiązkowych ogłoszeń w prasie.</w:t>
      </w:r>
      <w:bookmarkEnd w:id="1"/>
    </w:p>
    <w:bookmarkEnd w:id="2"/>
    <w:p w14:paraId="633B9C85" w14:textId="04608DE0" w:rsidR="002255FA" w:rsidRPr="004A5F49" w:rsidRDefault="002255FA" w:rsidP="00F45F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Zmiana brzmienia art. 23 ust. 1 ustawy o </w:t>
      </w:r>
      <w:proofErr w:type="spellStart"/>
      <w:r w:rsidRPr="004A5F49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="00807E64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(art. 1 pkt 2 projektowanej ustawy)</w:t>
      </w:r>
    </w:p>
    <w:p w14:paraId="00F090EF" w14:textId="6C051D68" w:rsidR="00287078" w:rsidRPr="004A5F49" w:rsidRDefault="00807E64" w:rsidP="0028707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>Proponowana zmiana</w:t>
      </w:r>
      <w:r w:rsidR="006A04A9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2255FA" w:rsidRPr="004A5F49">
        <w:rPr>
          <w:rFonts w:ascii="Times New Roman" w:hAnsi="Times New Roman" w:cs="Times New Roman"/>
          <w:sz w:val="24"/>
          <w:szCs w:val="24"/>
        </w:rPr>
        <w:t>pozwoli wyeliminować obowiązek publikacji zmian statutu OFE w</w:t>
      </w:r>
      <w:r w:rsidR="000A531F">
        <w:rPr>
          <w:rFonts w:ascii="Times New Roman" w:hAnsi="Times New Roman" w:cs="Times New Roman"/>
          <w:sz w:val="24"/>
          <w:szCs w:val="24"/>
        </w:rPr>
        <w:t> 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dzienniku o zasięgu krajowym i </w:t>
      </w:r>
      <w:r w:rsidR="00B41B2E">
        <w:rPr>
          <w:rFonts w:ascii="Times New Roman" w:hAnsi="Times New Roman" w:cs="Times New Roman"/>
          <w:sz w:val="24"/>
          <w:szCs w:val="24"/>
        </w:rPr>
        <w:t xml:space="preserve">– </w:t>
      </w:r>
      <w:r w:rsidR="002255FA" w:rsidRPr="004A5F49">
        <w:rPr>
          <w:rFonts w:ascii="Times New Roman" w:hAnsi="Times New Roman" w:cs="Times New Roman"/>
          <w:sz w:val="24"/>
          <w:szCs w:val="24"/>
        </w:rPr>
        <w:t>przykładem funduszy inwestycyjnych</w:t>
      </w:r>
      <w:r w:rsidR="00B41B2E">
        <w:rPr>
          <w:rFonts w:ascii="Times New Roman" w:hAnsi="Times New Roman" w:cs="Times New Roman"/>
          <w:sz w:val="24"/>
          <w:szCs w:val="24"/>
        </w:rPr>
        <w:t xml:space="preserve"> –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 wprowadzić obowiązek publikacji zmian statutu OFE jedynie na stronie internetowej danego PTE.</w:t>
      </w:r>
      <w:r w:rsidR="00B55101" w:rsidRP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B41B2E">
        <w:rPr>
          <w:rFonts w:ascii="Times New Roman" w:hAnsi="Times New Roman" w:cs="Times New Roman"/>
          <w:sz w:val="24"/>
          <w:szCs w:val="24"/>
        </w:rPr>
        <w:t xml:space="preserve">Uzasadnieniem dla projektowanej zmiany jest powszechny społeczny dostęp </w:t>
      </w:r>
      <w:r w:rsidR="00B41B2E" w:rsidRPr="004A5F49">
        <w:rPr>
          <w:rFonts w:ascii="Times New Roman" w:hAnsi="Times New Roman" w:cs="Times New Roman"/>
          <w:sz w:val="24"/>
          <w:szCs w:val="24"/>
        </w:rPr>
        <w:t>do Internetu</w:t>
      </w:r>
      <w:r w:rsidR="00B41B2E">
        <w:rPr>
          <w:rFonts w:ascii="Times New Roman" w:hAnsi="Times New Roman" w:cs="Times New Roman"/>
          <w:sz w:val="24"/>
          <w:szCs w:val="24"/>
        </w:rPr>
        <w:t xml:space="preserve">, który w łatwiejszy i szybszy sposób będzie umożliwiał </w:t>
      </w:r>
      <w:r w:rsidR="00B41B2E" w:rsidRPr="004A5F49">
        <w:rPr>
          <w:rFonts w:ascii="Times New Roman" w:hAnsi="Times New Roman" w:cs="Times New Roman"/>
          <w:sz w:val="24"/>
          <w:szCs w:val="24"/>
        </w:rPr>
        <w:t>sprawdz</w:t>
      </w:r>
      <w:r w:rsidR="00B41B2E">
        <w:rPr>
          <w:rFonts w:ascii="Times New Roman" w:hAnsi="Times New Roman" w:cs="Times New Roman"/>
          <w:sz w:val="24"/>
          <w:szCs w:val="24"/>
        </w:rPr>
        <w:t>enie</w:t>
      </w:r>
      <w:r w:rsidR="00B41B2E" w:rsidRPr="004A5F49">
        <w:rPr>
          <w:rFonts w:ascii="Times New Roman" w:hAnsi="Times New Roman" w:cs="Times New Roman"/>
          <w:sz w:val="24"/>
          <w:szCs w:val="24"/>
        </w:rPr>
        <w:t xml:space="preserve"> na stronie internetowej PTE wszystki</w:t>
      </w:r>
      <w:r w:rsidR="00B41B2E">
        <w:rPr>
          <w:rFonts w:ascii="Times New Roman" w:hAnsi="Times New Roman" w:cs="Times New Roman"/>
          <w:sz w:val="24"/>
          <w:szCs w:val="24"/>
        </w:rPr>
        <w:t>ch</w:t>
      </w:r>
      <w:r w:rsidR="00B41B2E" w:rsidRPr="004A5F49">
        <w:rPr>
          <w:rFonts w:ascii="Times New Roman" w:hAnsi="Times New Roman" w:cs="Times New Roman"/>
          <w:sz w:val="24"/>
          <w:szCs w:val="24"/>
        </w:rPr>
        <w:t xml:space="preserve"> wprowadzon</w:t>
      </w:r>
      <w:r w:rsidR="00B41B2E">
        <w:rPr>
          <w:rFonts w:ascii="Times New Roman" w:hAnsi="Times New Roman" w:cs="Times New Roman"/>
          <w:sz w:val="24"/>
          <w:szCs w:val="24"/>
        </w:rPr>
        <w:t>ych</w:t>
      </w:r>
      <w:r w:rsidR="00B41B2E" w:rsidRPr="004A5F49">
        <w:rPr>
          <w:rFonts w:ascii="Times New Roman" w:hAnsi="Times New Roman" w:cs="Times New Roman"/>
          <w:sz w:val="24"/>
          <w:szCs w:val="24"/>
        </w:rPr>
        <w:t xml:space="preserve"> zmian statutu OFE niż </w:t>
      </w:r>
      <w:r w:rsidR="00B41B2E">
        <w:rPr>
          <w:rFonts w:ascii="Times New Roman" w:hAnsi="Times New Roman" w:cs="Times New Roman"/>
          <w:sz w:val="24"/>
          <w:szCs w:val="24"/>
        </w:rPr>
        <w:t xml:space="preserve">prenumerata </w:t>
      </w:r>
      <w:r w:rsidR="00B41B2E" w:rsidRPr="004A5F49">
        <w:rPr>
          <w:rFonts w:ascii="Times New Roman" w:hAnsi="Times New Roman" w:cs="Times New Roman"/>
          <w:sz w:val="24"/>
          <w:szCs w:val="24"/>
        </w:rPr>
        <w:t>dostęp</w:t>
      </w:r>
      <w:r w:rsidR="00B41B2E">
        <w:rPr>
          <w:rFonts w:ascii="Times New Roman" w:hAnsi="Times New Roman" w:cs="Times New Roman"/>
          <w:sz w:val="24"/>
          <w:szCs w:val="24"/>
        </w:rPr>
        <w:t>u</w:t>
      </w:r>
      <w:r w:rsidR="00B41B2E" w:rsidRPr="004A5F49">
        <w:rPr>
          <w:rFonts w:ascii="Times New Roman" w:hAnsi="Times New Roman" w:cs="Times New Roman"/>
          <w:sz w:val="24"/>
          <w:szCs w:val="24"/>
        </w:rPr>
        <w:t xml:space="preserve"> do danej gazety ogólnopolskiej. </w:t>
      </w:r>
      <w:r w:rsidR="00287078" w:rsidRPr="00287078">
        <w:rPr>
          <w:rFonts w:ascii="Times New Roman" w:hAnsi="Times New Roman" w:cs="Times New Roman"/>
          <w:sz w:val="24"/>
          <w:szCs w:val="24"/>
        </w:rPr>
        <w:t>Pozytywnym aspektem wdrażanej zmiany będzie możliwość optymalizacji kosztów operacyjnych instytucji finansowych, wynikająca z wyeliminowania kosztów obowiązkowych ogłoszeń w prasie.</w:t>
      </w:r>
    </w:p>
    <w:p w14:paraId="27F4C28B" w14:textId="1B4609C8" w:rsidR="002255FA" w:rsidRDefault="00B41B2E" w:rsidP="00B5510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Równocześnie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ustawy zakłada powstanie po stronie OFE </w:t>
      </w:r>
      <w:r w:rsidR="00B55101">
        <w:rPr>
          <w:rFonts w:ascii="Times New Roman" w:hAnsi="Times New Roman" w:cs="Times New Roman"/>
          <w:sz w:val="24"/>
          <w:szCs w:val="24"/>
        </w:rPr>
        <w:t>obowiązk</w:t>
      </w:r>
      <w:r>
        <w:rPr>
          <w:rFonts w:ascii="Times New Roman" w:hAnsi="Times New Roman" w:cs="Times New Roman"/>
          <w:sz w:val="24"/>
          <w:szCs w:val="24"/>
        </w:rPr>
        <w:t>u</w:t>
      </w:r>
      <w:r w:rsidR="00B55101">
        <w:rPr>
          <w:rFonts w:ascii="Times New Roman" w:hAnsi="Times New Roman" w:cs="Times New Roman"/>
          <w:sz w:val="24"/>
          <w:szCs w:val="24"/>
        </w:rPr>
        <w:t xml:space="preserve"> każdorazowej publikacji </w:t>
      </w:r>
      <w:r w:rsidR="00B55101" w:rsidRPr="00B55101">
        <w:rPr>
          <w:rFonts w:ascii="Times New Roman" w:hAnsi="Times New Roman" w:cs="Times New Roman"/>
          <w:sz w:val="24"/>
          <w:szCs w:val="24"/>
        </w:rPr>
        <w:t xml:space="preserve">na </w:t>
      </w:r>
      <w:r w:rsidR="00B55101">
        <w:rPr>
          <w:rFonts w:ascii="Times New Roman" w:hAnsi="Times New Roman" w:cs="Times New Roman"/>
          <w:sz w:val="24"/>
          <w:szCs w:val="24"/>
        </w:rPr>
        <w:t>ww.</w:t>
      </w:r>
      <w:r w:rsidR="00B55101" w:rsidRPr="00B55101">
        <w:rPr>
          <w:rFonts w:ascii="Times New Roman" w:hAnsi="Times New Roman" w:cs="Times New Roman"/>
          <w:sz w:val="24"/>
          <w:szCs w:val="24"/>
        </w:rPr>
        <w:t xml:space="preserve"> stronie </w:t>
      </w:r>
      <w:r w:rsidR="00B55101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B55101" w:rsidRPr="00B55101">
        <w:rPr>
          <w:rFonts w:ascii="Times New Roman" w:hAnsi="Times New Roman" w:cs="Times New Roman"/>
          <w:sz w:val="24"/>
          <w:szCs w:val="24"/>
        </w:rPr>
        <w:t>tekst</w:t>
      </w:r>
      <w:r w:rsidR="00B55101">
        <w:rPr>
          <w:rFonts w:ascii="Times New Roman" w:hAnsi="Times New Roman" w:cs="Times New Roman"/>
          <w:sz w:val="24"/>
          <w:szCs w:val="24"/>
        </w:rPr>
        <w:t>u</w:t>
      </w:r>
      <w:r w:rsidR="00B55101" w:rsidRPr="00B55101">
        <w:rPr>
          <w:rFonts w:ascii="Times New Roman" w:hAnsi="Times New Roman" w:cs="Times New Roman"/>
          <w:sz w:val="24"/>
          <w:szCs w:val="24"/>
        </w:rPr>
        <w:t xml:space="preserve"> jednolit</w:t>
      </w:r>
      <w:r w:rsidR="00B55101">
        <w:rPr>
          <w:rFonts w:ascii="Times New Roman" w:hAnsi="Times New Roman" w:cs="Times New Roman"/>
          <w:sz w:val="24"/>
          <w:szCs w:val="24"/>
        </w:rPr>
        <w:t>ego</w:t>
      </w:r>
      <w:r w:rsidR="00B55101" w:rsidRPr="00B5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="00B55101" w:rsidRPr="00B55101">
        <w:rPr>
          <w:rFonts w:ascii="Times New Roman" w:hAnsi="Times New Roman" w:cs="Times New Roman"/>
          <w:sz w:val="24"/>
          <w:szCs w:val="24"/>
        </w:rPr>
        <w:t>statutu</w:t>
      </w:r>
      <w:r w:rsidR="00B55101">
        <w:rPr>
          <w:rFonts w:ascii="Times New Roman" w:hAnsi="Times New Roman" w:cs="Times New Roman"/>
          <w:sz w:val="24"/>
          <w:szCs w:val="24"/>
        </w:rPr>
        <w:t xml:space="preserve">. Zamieszczenie zaktualizowanego brzmienia statutu </w:t>
      </w:r>
      <w:r w:rsidR="00386A29">
        <w:rPr>
          <w:rFonts w:ascii="Times New Roman" w:hAnsi="Times New Roman" w:cs="Times New Roman"/>
          <w:sz w:val="24"/>
          <w:szCs w:val="24"/>
        </w:rPr>
        <w:t xml:space="preserve">w następstwie </w:t>
      </w:r>
      <w:r w:rsidR="00B55101">
        <w:rPr>
          <w:rFonts w:ascii="Times New Roman" w:hAnsi="Times New Roman" w:cs="Times New Roman"/>
          <w:sz w:val="24"/>
          <w:szCs w:val="24"/>
        </w:rPr>
        <w:t>ogłoszeni</w:t>
      </w:r>
      <w:r w:rsidR="00386A29">
        <w:rPr>
          <w:rFonts w:ascii="Times New Roman" w:hAnsi="Times New Roman" w:cs="Times New Roman"/>
          <w:sz w:val="24"/>
          <w:szCs w:val="24"/>
        </w:rPr>
        <w:t xml:space="preserve">a </w:t>
      </w:r>
      <w:r w:rsidR="00C818C7">
        <w:rPr>
          <w:rFonts w:ascii="Times New Roman" w:hAnsi="Times New Roman" w:cs="Times New Roman"/>
          <w:sz w:val="24"/>
          <w:szCs w:val="24"/>
        </w:rPr>
        <w:t xml:space="preserve">jego </w:t>
      </w:r>
      <w:r w:rsidR="00B55101">
        <w:rPr>
          <w:rFonts w:ascii="Times New Roman" w:hAnsi="Times New Roman" w:cs="Times New Roman"/>
          <w:sz w:val="24"/>
          <w:szCs w:val="24"/>
        </w:rPr>
        <w:t>zmian</w:t>
      </w:r>
      <w:r w:rsidR="00386A29">
        <w:rPr>
          <w:rFonts w:ascii="Times New Roman" w:hAnsi="Times New Roman" w:cs="Times New Roman"/>
          <w:sz w:val="24"/>
          <w:szCs w:val="24"/>
        </w:rPr>
        <w:t>y</w:t>
      </w:r>
      <w:r w:rsidR="00B55101">
        <w:rPr>
          <w:rFonts w:ascii="Times New Roman" w:hAnsi="Times New Roman" w:cs="Times New Roman"/>
          <w:sz w:val="24"/>
          <w:szCs w:val="24"/>
        </w:rPr>
        <w:t xml:space="preserve"> nie tylko umożliwi </w:t>
      </w:r>
      <w:r w:rsidR="00411DE4">
        <w:rPr>
          <w:rFonts w:ascii="Times New Roman" w:hAnsi="Times New Roman" w:cs="Times New Roman"/>
          <w:sz w:val="24"/>
          <w:szCs w:val="24"/>
        </w:rPr>
        <w:t xml:space="preserve">klientom </w:t>
      </w:r>
      <w:r w:rsidR="00B55101">
        <w:rPr>
          <w:rFonts w:ascii="Times New Roman" w:hAnsi="Times New Roman" w:cs="Times New Roman"/>
          <w:sz w:val="24"/>
          <w:szCs w:val="24"/>
        </w:rPr>
        <w:t xml:space="preserve">pozyskanie wiedzy o </w:t>
      </w:r>
      <w:r w:rsidR="00386A29">
        <w:rPr>
          <w:rFonts w:ascii="Times New Roman" w:hAnsi="Times New Roman" w:cs="Times New Roman"/>
          <w:sz w:val="24"/>
          <w:szCs w:val="24"/>
        </w:rPr>
        <w:t xml:space="preserve">samym </w:t>
      </w:r>
      <w:r w:rsidR="00C818C7">
        <w:rPr>
          <w:rFonts w:ascii="Times New Roman" w:hAnsi="Times New Roman" w:cs="Times New Roman"/>
          <w:sz w:val="24"/>
          <w:szCs w:val="24"/>
        </w:rPr>
        <w:t xml:space="preserve">fakcie </w:t>
      </w:r>
      <w:r w:rsidR="00B55101">
        <w:rPr>
          <w:rFonts w:ascii="Times New Roman" w:hAnsi="Times New Roman" w:cs="Times New Roman"/>
          <w:sz w:val="24"/>
          <w:szCs w:val="24"/>
        </w:rPr>
        <w:t xml:space="preserve">nowelizacji statutu, ale </w:t>
      </w:r>
      <w:r w:rsidR="00386A29">
        <w:rPr>
          <w:rFonts w:ascii="Times New Roman" w:hAnsi="Times New Roman" w:cs="Times New Roman"/>
          <w:sz w:val="24"/>
          <w:szCs w:val="24"/>
        </w:rPr>
        <w:t>jednocześnie</w:t>
      </w:r>
      <w:r w:rsidR="00C818C7">
        <w:rPr>
          <w:rFonts w:ascii="Times New Roman" w:hAnsi="Times New Roman" w:cs="Times New Roman"/>
          <w:sz w:val="24"/>
          <w:szCs w:val="24"/>
        </w:rPr>
        <w:t xml:space="preserve"> </w:t>
      </w:r>
      <w:r w:rsidR="00B55101">
        <w:rPr>
          <w:rFonts w:ascii="Times New Roman" w:hAnsi="Times New Roman" w:cs="Times New Roman"/>
          <w:sz w:val="24"/>
          <w:szCs w:val="24"/>
        </w:rPr>
        <w:t xml:space="preserve">ułatwi </w:t>
      </w:r>
      <w:r w:rsidR="00411DE4">
        <w:rPr>
          <w:rFonts w:ascii="Times New Roman" w:hAnsi="Times New Roman" w:cs="Times New Roman"/>
          <w:sz w:val="24"/>
          <w:szCs w:val="24"/>
        </w:rPr>
        <w:t>im</w:t>
      </w:r>
      <w:r w:rsidR="00B55101">
        <w:rPr>
          <w:rFonts w:ascii="Times New Roman" w:hAnsi="Times New Roman" w:cs="Times New Roman"/>
          <w:sz w:val="24"/>
          <w:szCs w:val="24"/>
        </w:rPr>
        <w:t xml:space="preserve"> ocenę wpływu tych zmian na wzajemne prawa i obowiązki stron.</w:t>
      </w:r>
    </w:p>
    <w:p w14:paraId="73D81E4B" w14:textId="68F1FFD1" w:rsidR="002255FA" w:rsidRPr="004A5F49" w:rsidRDefault="002255FA" w:rsidP="00F45F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FEA">
        <w:rPr>
          <w:rFonts w:ascii="Times New Roman" w:hAnsi="Times New Roman" w:cs="Times New Roman"/>
          <w:b/>
          <w:bCs/>
          <w:sz w:val="24"/>
          <w:szCs w:val="24"/>
        </w:rPr>
        <w:t>Zmiana</w:t>
      </w:r>
      <w:r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brzmienia art. 49 ustawy o </w:t>
      </w:r>
      <w:proofErr w:type="spellStart"/>
      <w:r w:rsidRPr="004A5F49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="00807E64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(art. 1 pkt 3 projektowanej ustawy)</w:t>
      </w:r>
    </w:p>
    <w:p w14:paraId="450F19BF" w14:textId="1E43BDC8" w:rsidR="00541595" w:rsidRPr="004A5F49" w:rsidRDefault="00541595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>Proponowana zmiana ma na celu dostosowanie działalności funduszy emerytalnych i</w:t>
      </w:r>
      <w:r w:rsidR="000A531F">
        <w:rPr>
          <w:rFonts w:ascii="Times New Roman" w:hAnsi="Times New Roman" w:cs="Times New Roman"/>
          <w:sz w:val="24"/>
          <w:szCs w:val="24"/>
        </w:rPr>
        <w:t> </w:t>
      </w:r>
      <w:r w:rsidRPr="004A5F49">
        <w:rPr>
          <w:rFonts w:ascii="Times New Roman" w:hAnsi="Times New Roman" w:cs="Times New Roman"/>
          <w:sz w:val="24"/>
          <w:szCs w:val="24"/>
        </w:rPr>
        <w:t>zarządzających nimi towarzystw do obecnych uwarunkowań rynkowych w obszarze dalszego podzlecania wykonywania niektórych czynności</w:t>
      </w:r>
      <w:r w:rsidR="008F08E7">
        <w:rPr>
          <w:rFonts w:ascii="Times New Roman" w:hAnsi="Times New Roman" w:cs="Times New Roman"/>
          <w:sz w:val="24"/>
          <w:szCs w:val="24"/>
        </w:rPr>
        <w:t>. I</w:t>
      </w:r>
      <w:r w:rsidRPr="004A5F49">
        <w:rPr>
          <w:rFonts w:ascii="Times New Roman" w:hAnsi="Times New Roman" w:cs="Times New Roman"/>
          <w:sz w:val="24"/>
          <w:szCs w:val="24"/>
        </w:rPr>
        <w:t>stotą planowanych w tym zakresie zmian jest stworzenie ram prawnych umożliwiających zlecanie niektórych usług podwykonawcom</w:t>
      </w:r>
      <w:r w:rsidR="00561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61D0F" w:rsidRPr="001044FD">
        <w:rPr>
          <w:rFonts w:ascii="Times New Roman" w:hAnsi="Times New Roman" w:cs="Times New Roman"/>
          <w:i/>
          <w:iCs/>
          <w:sz w:val="24"/>
          <w:szCs w:val="24"/>
        </w:rPr>
        <w:t>podoutsourcing</w:t>
      </w:r>
      <w:proofErr w:type="spellEnd"/>
      <w:r w:rsidR="00561D0F">
        <w:rPr>
          <w:rFonts w:ascii="Times New Roman" w:hAnsi="Times New Roman" w:cs="Times New Roman"/>
          <w:sz w:val="24"/>
          <w:szCs w:val="24"/>
        </w:rPr>
        <w:t xml:space="preserve">), </w:t>
      </w:r>
      <w:r w:rsidRPr="004A5F49">
        <w:rPr>
          <w:rFonts w:ascii="Times New Roman" w:hAnsi="Times New Roman" w:cs="Times New Roman"/>
          <w:sz w:val="24"/>
          <w:szCs w:val="24"/>
        </w:rPr>
        <w:t xml:space="preserve">uregulowanie kwestii odpowiedzialności tych podmiotów za powierzone im czynności, jak również usankcjonowanie w przepisach ustawy </w:t>
      </w:r>
      <w:r w:rsidR="0017444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17444E">
        <w:rPr>
          <w:rFonts w:ascii="Times New Roman" w:hAnsi="Times New Roman" w:cs="Times New Roman"/>
          <w:sz w:val="24"/>
          <w:szCs w:val="24"/>
        </w:rPr>
        <w:t>ofe</w:t>
      </w:r>
      <w:proofErr w:type="spellEnd"/>
      <w:r w:rsidR="0017444E">
        <w:rPr>
          <w:rFonts w:ascii="Times New Roman" w:hAnsi="Times New Roman" w:cs="Times New Roman"/>
          <w:sz w:val="24"/>
          <w:szCs w:val="24"/>
        </w:rPr>
        <w:t xml:space="preserve"> </w:t>
      </w:r>
      <w:r w:rsidRPr="004A5F49">
        <w:rPr>
          <w:rFonts w:ascii="Times New Roman" w:hAnsi="Times New Roman" w:cs="Times New Roman"/>
          <w:sz w:val="24"/>
          <w:szCs w:val="24"/>
        </w:rPr>
        <w:t>obowiązku zachowania tajemnicy zawodowej dotyczącej działalności funduszu w odniesieniu do ww.</w:t>
      </w:r>
      <w:r w:rsidR="000A531F">
        <w:rPr>
          <w:rFonts w:ascii="Times New Roman" w:hAnsi="Times New Roman" w:cs="Times New Roman"/>
          <w:sz w:val="24"/>
          <w:szCs w:val="24"/>
        </w:rPr>
        <w:t> </w:t>
      </w:r>
      <w:r w:rsidRPr="004A5F49">
        <w:rPr>
          <w:rFonts w:ascii="Times New Roman" w:hAnsi="Times New Roman" w:cs="Times New Roman"/>
          <w:sz w:val="24"/>
          <w:szCs w:val="24"/>
        </w:rPr>
        <w:t>podwykonawców i ich pracowników. Charakter świadczonych usług na rzecz funduszu, w</w:t>
      </w:r>
      <w:r w:rsidR="000A531F">
        <w:rPr>
          <w:rFonts w:ascii="Times New Roman" w:hAnsi="Times New Roman" w:cs="Times New Roman"/>
          <w:sz w:val="24"/>
          <w:szCs w:val="24"/>
        </w:rPr>
        <w:t> </w:t>
      </w:r>
      <w:r w:rsidRPr="004A5F49">
        <w:rPr>
          <w:rFonts w:ascii="Times New Roman" w:hAnsi="Times New Roman" w:cs="Times New Roman"/>
          <w:sz w:val="24"/>
          <w:szCs w:val="24"/>
        </w:rPr>
        <w:t xml:space="preserve">szczególności w zakresie prowadzenia rejestru członków funduszu, wymaga po stronie agenta transferowego korzystania z usług wyspecjalizowanych podmiotów z obszaru IT czy zajmujących się masową wysyłką listową i nie jest celowym podtrzymywanie stosowanych obecnie na rynku konstrukcji typu trójstronnych czy wielostronnych umów, kiedy towarzystwo jest stroną umów na świadczenie usług w rzeczywistości zlecanych przez agenta transferowego. </w:t>
      </w:r>
      <w:r w:rsidRPr="008F08E7">
        <w:rPr>
          <w:rFonts w:ascii="Times New Roman" w:hAnsi="Times New Roman" w:cs="Times New Roman"/>
          <w:sz w:val="24"/>
          <w:szCs w:val="24"/>
        </w:rPr>
        <w:t xml:space="preserve">Podobne rozwiązania </w:t>
      </w:r>
      <w:r w:rsidR="008F08E7" w:rsidRPr="008F08E7">
        <w:rPr>
          <w:rFonts w:ascii="Times New Roman" w:hAnsi="Times New Roman" w:cs="Times New Roman"/>
          <w:sz w:val="24"/>
          <w:szCs w:val="24"/>
        </w:rPr>
        <w:t xml:space="preserve">w zakresie obowiązku zachowania tajemnicy zawodowej </w:t>
      </w:r>
      <w:r w:rsidRPr="008F08E7">
        <w:rPr>
          <w:rFonts w:ascii="Times New Roman" w:hAnsi="Times New Roman" w:cs="Times New Roman"/>
          <w:sz w:val="24"/>
          <w:szCs w:val="24"/>
        </w:rPr>
        <w:t xml:space="preserve">od lat już </w:t>
      </w:r>
      <w:r w:rsidRPr="008F08E7">
        <w:rPr>
          <w:rFonts w:ascii="Times New Roman" w:hAnsi="Times New Roman" w:cs="Times New Roman"/>
          <w:sz w:val="24"/>
          <w:szCs w:val="24"/>
        </w:rPr>
        <w:lastRenderedPageBreak/>
        <w:t>funkcjonują w ustawie z dnia 27 maja 2004 r. o funduszach inwestycyjnych i zarządzaniu alternatywnymi funduszami inwestycyjnymi (Dz. U. z 2024 r. poz. 1034</w:t>
      </w:r>
      <w:r w:rsidR="00DB6512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DB651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B6512">
        <w:rPr>
          <w:rFonts w:ascii="Times New Roman" w:hAnsi="Times New Roman" w:cs="Times New Roman"/>
          <w:sz w:val="24"/>
          <w:szCs w:val="24"/>
        </w:rPr>
        <w:t>. zm.</w:t>
      </w:r>
      <w:r w:rsidRPr="008F08E7">
        <w:rPr>
          <w:rFonts w:ascii="Times New Roman" w:hAnsi="Times New Roman" w:cs="Times New Roman"/>
          <w:sz w:val="24"/>
          <w:szCs w:val="24"/>
        </w:rPr>
        <w:t>).</w:t>
      </w:r>
    </w:p>
    <w:p w14:paraId="6F5B853B" w14:textId="0D429CFD" w:rsidR="00541595" w:rsidRPr="004A5F49" w:rsidRDefault="00541595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>Proponowana zmiana art. 49 polega również na jednoznacznym wymienieniu komorników sądowych jako organy uprawnione do zasięgania informacji objętych tajemnicą zawodową</w:t>
      </w:r>
      <w:r w:rsidR="001B1E3A" w:rsidRPr="001B1E3A">
        <w:t xml:space="preserve"> </w:t>
      </w:r>
      <w:r w:rsidR="001B1E3A" w:rsidRPr="001B1E3A">
        <w:rPr>
          <w:rFonts w:ascii="Times New Roman" w:hAnsi="Times New Roman" w:cs="Times New Roman"/>
          <w:sz w:val="24"/>
          <w:szCs w:val="24"/>
        </w:rPr>
        <w:t>dotyczącą działalności funduszu</w:t>
      </w:r>
      <w:r w:rsidRPr="004A5F49">
        <w:rPr>
          <w:rFonts w:ascii="Times New Roman" w:hAnsi="Times New Roman" w:cs="Times New Roman"/>
          <w:sz w:val="24"/>
          <w:szCs w:val="24"/>
        </w:rPr>
        <w:t xml:space="preserve">. Obowiązek udzielenia komornikowi informacji, o których mowa w art. 761 ustawy z dnia 17 listopada 1964 r. – Kodeks </w:t>
      </w:r>
      <w:r w:rsidR="003918A5">
        <w:rPr>
          <w:rFonts w:ascii="Times New Roman" w:hAnsi="Times New Roman" w:cs="Times New Roman"/>
          <w:sz w:val="24"/>
          <w:szCs w:val="24"/>
        </w:rPr>
        <w:t>p</w:t>
      </w:r>
      <w:r w:rsidRPr="004A5F49">
        <w:rPr>
          <w:rFonts w:ascii="Times New Roman" w:hAnsi="Times New Roman" w:cs="Times New Roman"/>
          <w:sz w:val="24"/>
          <w:szCs w:val="24"/>
        </w:rPr>
        <w:t xml:space="preserve">ostępowania </w:t>
      </w:r>
      <w:r w:rsidR="003918A5">
        <w:rPr>
          <w:rFonts w:ascii="Times New Roman" w:hAnsi="Times New Roman" w:cs="Times New Roman"/>
          <w:sz w:val="24"/>
          <w:szCs w:val="24"/>
        </w:rPr>
        <w:t>c</w:t>
      </w:r>
      <w:r w:rsidRPr="004A5F49">
        <w:rPr>
          <w:rFonts w:ascii="Times New Roman" w:hAnsi="Times New Roman" w:cs="Times New Roman"/>
          <w:sz w:val="24"/>
          <w:szCs w:val="24"/>
        </w:rPr>
        <w:t>ywilnego (Dz.</w:t>
      </w:r>
      <w:r w:rsidR="000A531F">
        <w:rPr>
          <w:rFonts w:ascii="Times New Roman" w:hAnsi="Times New Roman" w:cs="Times New Roman"/>
          <w:sz w:val="24"/>
          <w:szCs w:val="24"/>
        </w:rPr>
        <w:t> </w:t>
      </w:r>
      <w:r w:rsidRPr="004A5F49">
        <w:rPr>
          <w:rFonts w:ascii="Times New Roman" w:hAnsi="Times New Roman" w:cs="Times New Roman"/>
          <w:sz w:val="24"/>
          <w:szCs w:val="24"/>
        </w:rPr>
        <w:t>U. z 2024 r. poz. 1568</w:t>
      </w:r>
      <w:r w:rsidR="00DB6512">
        <w:rPr>
          <w:rFonts w:ascii="Times New Roman" w:hAnsi="Times New Roman" w:cs="Times New Roman"/>
          <w:sz w:val="24"/>
          <w:szCs w:val="24"/>
        </w:rPr>
        <w:t>,</w:t>
      </w:r>
      <w:r w:rsidRPr="004A5F4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A5F4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A5F49">
        <w:rPr>
          <w:rFonts w:ascii="Times New Roman" w:hAnsi="Times New Roman" w:cs="Times New Roman"/>
          <w:sz w:val="24"/>
          <w:szCs w:val="24"/>
        </w:rPr>
        <w:t>. zm.)</w:t>
      </w:r>
      <w:r w:rsidR="001B1E3A">
        <w:rPr>
          <w:rFonts w:ascii="Times New Roman" w:hAnsi="Times New Roman" w:cs="Times New Roman"/>
          <w:sz w:val="24"/>
          <w:szCs w:val="24"/>
        </w:rPr>
        <w:t xml:space="preserve"> – dalej </w:t>
      </w:r>
      <w:r w:rsidR="003918A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B1E3A">
        <w:rPr>
          <w:rFonts w:ascii="Times New Roman" w:hAnsi="Times New Roman" w:cs="Times New Roman"/>
          <w:sz w:val="24"/>
          <w:szCs w:val="24"/>
        </w:rPr>
        <w:t>kpc</w:t>
      </w:r>
      <w:proofErr w:type="spellEnd"/>
      <w:r w:rsidR="003918A5">
        <w:rPr>
          <w:rFonts w:ascii="Times New Roman" w:hAnsi="Times New Roman" w:cs="Times New Roman"/>
          <w:sz w:val="24"/>
          <w:szCs w:val="24"/>
        </w:rPr>
        <w:t>”</w:t>
      </w:r>
      <w:r w:rsidR="001B1E3A">
        <w:rPr>
          <w:rFonts w:ascii="Times New Roman" w:hAnsi="Times New Roman" w:cs="Times New Roman"/>
          <w:sz w:val="24"/>
          <w:szCs w:val="24"/>
        </w:rPr>
        <w:t>,</w:t>
      </w:r>
      <w:r w:rsidRPr="004A5F49">
        <w:rPr>
          <w:rFonts w:ascii="Times New Roman" w:hAnsi="Times New Roman" w:cs="Times New Roman"/>
          <w:sz w:val="24"/>
          <w:szCs w:val="24"/>
        </w:rPr>
        <w:t xml:space="preserve"> tj. niezbędnych do prowadzenia egzekucji – </w:t>
      </w:r>
      <w:r w:rsidR="003918A5" w:rsidRPr="004A5F49">
        <w:rPr>
          <w:rFonts w:ascii="Times New Roman" w:hAnsi="Times New Roman" w:cs="Times New Roman"/>
          <w:sz w:val="24"/>
          <w:szCs w:val="24"/>
        </w:rPr>
        <w:t xml:space="preserve">został </w:t>
      </w:r>
      <w:r w:rsidRPr="004A5F49">
        <w:rPr>
          <w:rFonts w:ascii="Times New Roman" w:hAnsi="Times New Roman" w:cs="Times New Roman"/>
          <w:sz w:val="24"/>
          <w:szCs w:val="24"/>
        </w:rPr>
        <w:t xml:space="preserve">wskazany </w:t>
      </w:r>
      <w:r w:rsidRPr="001B1E3A">
        <w:rPr>
          <w:rFonts w:ascii="Times New Roman" w:hAnsi="Times New Roman" w:cs="Times New Roman"/>
          <w:i/>
          <w:iCs/>
          <w:sz w:val="24"/>
          <w:szCs w:val="24"/>
        </w:rPr>
        <w:t>expressis verbis</w:t>
      </w:r>
      <w:r w:rsidRPr="004A5F49">
        <w:rPr>
          <w:rFonts w:ascii="Times New Roman" w:hAnsi="Times New Roman" w:cs="Times New Roman"/>
          <w:sz w:val="24"/>
          <w:szCs w:val="24"/>
        </w:rPr>
        <w:t xml:space="preserve"> między innymi w: </w:t>
      </w:r>
    </w:p>
    <w:p w14:paraId="25132843" w14:textId="4F8D5573" w:rsidR="00541595" w:rsidRPr="001B1E3A" w:rsidRDefault="00541595" w:rsidP="00F45F85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E3A">
        <w:rPr>
          <w:rFonts w:ascii="Times New Roman" w:hAnsi="Times New Roman" w:cs="Times New Roman"/>
          <w:sz w:val="24"/>
          <w:szCs w:val="24"/>
        </w:rPr>
        <w:t>art. 281 w ust. 1 pkt 10 ustawy z dnia 27 maja 2004 r. o funduszach inwestycyjnych i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1B1E3A">
        <w:rPr>
          <w:rFonts w:ascii="Times New Roman" w:hAnsi="Times New Roman" w:cs="Times New Roman"/>
          <w:sz w:val="24"/>
          <w:szCs w:val="24"/>
        </w:rPr>
        <w:t>zarządzaniu alternatywnymi funduszami inwestycyjnymi</w:t>
      </w:r>
      <w:r w:rsidR="00DB6512">
        <w:rPr>
          <w:rFonts w:ascii="Times New Roman" w:hAnsi="Times New Roman" w:cs="Times New Roman"/>
          <w:sz w:val="24"/>
          <w:szCs w:val="24"/>
        </w:rPr>
        <w:t>,</w:t>
      </w:r>
    </w:p>
    <w:p w14:paraId="6AFC67AE" w14:textId="7C13F7D0" w:rsidR="00541595" w:rsidRPr="001B1E3A" w:rsidRDefault="00541595" w:rsidP="00F45F85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E3A">
        <w:rPr>
          <w:rFonts w:ascii="Times New Roman" w:hAnsi="Times New Roman" w:cs="Times New Roman"/>
          <w:sz w:val="24"/>
          <w:szCs w:val="24"/>
        </w:rPr>
        <w:t xml:space="preserve">art. 15 </w:t>
      </w:r>
      <w:r w:rsidR="005F456B">
        <w:rPr>
          <w:rFonts w:ascii="Times New Roman" w:hAnsi="Times New Roman" w:cs="Times New Roman"/>
          <w:sz w:val="24"/>
          <w:szCs w:val="24"/>
        </w:rPr>
        <w:t xml:space="preserve">w </w:t>
      </w:r>
      <w:r w:rsidRPr="001B1E3A">
        <w:rPr>
          <w:rFonts w:ascii="Times New Roman" w:hAnsi="Times New Roman" w:cs="Times New Roman"/>
          <w:sz w:val="24"/>
          <w:szCs w:val="24"/>
        </w:rPr>
        <w:t>ust. 2 pkt 1c ustawy z dnia 13 października 1995 r. o zasadach ewidencji i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1B1E3A">
        <w:rPr>
          <w:rFonts w:ascii="Times New Roman" w:hAnsi="Times New Roman" w:cs="Times New Roman"/>
          <w:sz w:val="24"/>
          <w:szCs w:val="24"/>
        </w:rPr>
        <w:t>identyfikacji podatników i płatników (Dz. U. z 2025 r. poz. 237</w:t>
      </w:r>
      <w:r w:rsidR="00DB6512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DB651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B6512">
        <w:rPr>
          <w:rFonts w:ascii="Times New Roman" w:hAnsi="Times New Roman" w:cs="Times New Roman"/>
          <w:sz w:val="24"/>
          <w:szCs w:val="24"/>
        </w:rPr>
        <w:t>. zm.</w:t>
      </w:r>
      <w:r w:rsidRPr="001B1E3A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0227A24" w14:textId="5DEB8E4E" w:rsidR="00541595" w:rsidRPr="001B1E3A" w:rsidRDefault="00541595" w:rsidP="00F45F85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E3A">
        <w:rPr>
          <w:rFonts w:ascii="Times New Roman" w:hAnsi="Times New Roman" w:cs="Times New Roman"/>
          <w:sz w:val="24"/>
          <w:szCs w:val="24"/>
        </w:rPr>
        <w:t xml:space="preserve">art. 105 w ust. 1 pkt 2 lit. ł ustawy z dnia 29 sierpnia 1997 r. </w:t>
      </w:r>
      <w:r w:rsidR="001B1E3A">
        <w:rPr>
          <w:rFonts w:ascii="Times New Roman" w:hAnsi="Times New Roman" w:cs="Times New Roman"/>
          <w:sz w:val="24"/>
          <w:szCs w:val="24"/>
        </w:rPr>
        <w:t>–</w:t>
      </w:r>
      <w:r w:rsidRPr="001B1E3A">
        <w:rPr>
          <w:rFonts w:ascii="Times New Roman" w:hAnsi="Times New Roman" w:cs="Times New Roman"/>
          <w:sz w:val="24"/>
          <w:szCs w:val="24"/>
        </w:rPr>
        <w:t xml:space="preserve"> Prawo bankowe (Dz. U. z 2024 r. poz. 1646</w:t>
      </w:r>
      <w:r w:rsidR="008F6505">
        <w:rPr>
          <w:rFonts w:ascii="Times New Roman" w:hAnsi="Times New Roman" w:cs="Times New Roman"/>
          <w:sz w:val="24"/>
          <w:szCs w:val="24"/>
        </w:rPr>
        <w:t>,</w:t>
      </w:r>
      <w:r w:rsidRPr="001B1E3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B1E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B1E3A">
        <w:rPr>
          <w:rFonts w:ascii="Times New Roman" w:hAnsi="Times New Roman" w:cs="Times New Roman"/>
          <w:sz w:val="24"/>
          <w:szCs w:val="24"/>
        </w:rPr>
        <w:t>. zm.),</w:t>
      </w:r>
    </w:p>
    <w:p w14:paraId="75B4A1B3" w14:textId="2516DB01" w:rsidR="00541595" w:rsidRPr="001B1E3A" w:rsidRDefault="00541595" w:rsidP="00F45F85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E3A">
        <w:rPr>
          <w:rFonts w:ascii="Times New Roman" w:hAnsi="Times New Roman" w:cs="Times New Roman"/>
          <w:sz w:val="24"/>
          <w:szCs w:val="24"/>
        </w:rPr>
        <w:t>art. 54 w ust. 1 pkt 8 ustawy z dnia 26 października 2000 r. o giełdach towarowych (Dz.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1B1E3A">
        <w:rPr>
          <w:rFonts w:ascii="Times New Roman" w:hAnsi="Times New Roman" w:cs="Times New Roman"/>
          <w:sz w:val="24"/>
          <w:szCs w:val="24"/>
        </w:rPr>
        <w:t>U. z 2024 r. poz. 910</w:t>
      </w:r>
      <w:r w:rsidR="008F6505">
        <w:rPr>
          <w:rFonts w:ascii="Times New Roman" w:hAnsi="Times New Roman" w:cs="Times New Roman"/>
          <w:sz w:val="24"/>
          <w:szCs w:val="24"/>
        </w:rPr>
        <w:t>,</w:t>
      </w:r>
      <w:r w:rsidRPr="001B1E3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B1E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B1E3A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2DAC3C26" w14:textId="255702AB" w:rsidR="00541595" w:rsidRDefault="00541595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 xml:space="preserve">Ze względu na pojawiające się w praktyce wątpliwości dotyczące relacji art. 761 </w:t>
      </w:r>
      <w:proofErr w:type="spellStart"/>
      <w:r w:rsidRPr="004A5F49">
        <w:rPr>
          <w:rFonts w:ascii="Times New Roman" w:hAnsi="Times New Roman" w:cs="Times New Roman"/>
          <w:sz w:val="24"/>
          <w:szCs w:val="24"/>
        </w:rPr>
        <w:t>kpc</w:t>
      </w:r>
      <w:proofErr w:type="spellEnd"/>
      <w:r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Pr="001B1E3A">
        <w:rPr>
          <w:rFonts w:ascii="Times New Roman" w:hAnsi="Times New Roman" w:cs="Times New Roman"/>
          <w:i/>
          <w:iCs/>
          <w:sz w:val="24"/>
          <w:szCs w:val="24"/>
        </w:rPr>
        <w:t>versus</w:t>
      </w:r>
      <w:r w:rsidRPr="004A5F49">
        <w:rPr>
          <w:rFonts w:ascii="Times New Roman" w:hAnsi="Times New Roman" w:cs="Times New Roman"/>
          <w:sz w:val="24"/>
          <w:szCs w:val="24"/>
        </w:rPr>
        <w:t xml:space="preserve"> art. 49 ustawy</w:t>
      </w:r>
      <w:r w:rsidR="004B2F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B2F27">
        <w:rPr>
          <w:rFonts w:ascii="Times New Roman" w:hAnsi="Times New Roman" w:cs="Times New Roman"/>
          <w:sz w:val="24"/>
          <w:szCs w:val="24"/>
        </w:rPr>
        <w:t>ofe</w:t>
      </w:r>
      <w:proofErr w:type="spellEnd"/>
      <w:r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D84FAF" w:rsidRPr="004A5F49">
        <w:rPr>
          <w:rFonts w:ascii="Times New Roman" w:hAnsi="Times New Roman" w:cs="Times New Roman"/>
          <w:sz w:val="24"/>
          <w:szCs w:val="24"/>
        </w:rPr>
        <w:t xml:space="preserve">jest </w:t>
      </w:r>
      <w:r w:rsidRPr="004A5F49">
        <w:rPr>
          <w:rFonts w:ascii="Times New Roman" w:hAnsi="Times New Roman" w:cs="Times New Roman"/>
          <w:sz w:val="24"/>
          <w:szCs w:val="24"/>
        </w:rPr>
        <w:t xml:space="preserve">uzasadnione jednoznaczne </w:t>
      </w:r>
      <w:r w:rsidR="001B1E3A">
        <w:rPr>
          <w:rFonts w:ascii="Times New Roman" w:hAnsi="Times New Roman" w:cs="Times New Roman"/>
          <w:sz w:val="24"/>
          <w:szCs w:val="24"/>
        </w:rPr>
        <w:t>ujęcie</w:t>
      </w:r>
      <w:r w:rsidRPr="004A5F49">
        <w:rPr>
          <w:rFonts w:ascii="Times New Roman" w:hAnsi="Times New Roman" w:cs="Times New Roman"/>
          <w:sz w:val="24"/>
          <w:szCs w:val="24"/>
        </w:rPr>
        <w:t xml:space="preserve"> komorników sądowych</w:t>
      </w:r>
      <w:r w:rsidR="001B1E3A">
        <w:rPr>
          <w:rFonts w:ascii="Times New Roman" w:hAnsi="Times New Roman" w:cs="Times New Roman"/>
          <w:sz w:val="24"/>
          <w:szCs w:val="24"/>
        </w:rPr>
        <w:t xml:space="preserve"> 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1B1E3A">
        <w:rPr>
          <w:rFonts w:ascii="Times New Roman" w:hAnsi="Times New Roman" w:cs="Times New Roman"/>
          <w:sz w:val="24"/>
          <w:szCs w:val="24"/>
        </w:rPr>
        <w:t xml:space="preserve">katalogu podmiotów </w:t>
      </w:r>
      <w:r w:rsidRPr="004A5F49">
        <w:rPr>
          <w:rFonts w:ascii="Times New Roman" w:hAnsi="Times New Roman" w:cs="Times New Roman"/>
          <w:sz w:val="24"/>
          <w:szCs w:val="24"/>
        </w:rPr>
        <w:t>uprawnion</w:t>
      </w:r>
      <w:r w:rsidR="001B1E3A">
        <w:rPr>
          <w:rFonts w:ascii="Times New Roman" w:hAnsi="Times New Roman" w:cs="Times New Roman"/>
          <w:sz w:val="24"/>
          <w:szCs w:val="24"/>
        </w:rPr>
        <w:t>ych</w:t>
      </w:r>
      <w:r w:rsidRPr="004A5F49">
        <w:rPr>
          <w:rFonts w:ascii="Times New Roman" w:hAnsi="Times New Roman" w:cs="Times New Roman"/>
          <w:sz w:val="24"/>
          <w:szCs w:val="24"/>
        </w:rPr>
        <w:t xml:space="preserve"> do zasięgania informacji objętych tajemnicą zawodową</w:t>
      </w:r>
      <w:r w:rsidR="001B1E3A" w:rsidRPr="001B1E3A">
        <w:t xml:space="preserve"> </w:t>
      </w:r>
      <w:r w:rsidR="001B1E3A" w:rsidRPr="001B1E3A">
        <w:rPr>
          <w:rFonts w:ascii="Times New Roman" w:hAnsi="Times New Roman" w:cs="Times New Roman"/>
          <w:sz w:val="24"/>
          <w:szCs w:val="24"/>
        </w:rPr>
        <w:t>dotyczącą działalności funduszu</w:t>
      </w:r>
      <w:r w:rsidR="00143319" w:rsidRPr="004A5F49">
        <w:rPr>
          <w:rFonts w:ascii="Times New Roman" w:hAnsi="Times New Roman" w:cs="Times New Roman"/>
          <w:sz w:val="24"/>
          <w:szCs w:val="24"/>
        </w:rPr>
        <w:t>.</w:t>
      </w:r>
    </w:p>
    <w:p w14:paraId="438C5BD7" w14:textId="160E1F5C" w:rsidR="002255FA" w:rsidRPr="004A5F49" w:rsidRDefault="002255FA" w:rsidP="00F45F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FEA">
        <w:rPr>
          <w:rFonts w:ascii="Times New Roman" w:hAnsi="Times New Roman" w:cs="Times New Roman"/>
          <w:b/>
          <w:bCs/>
          <w:sz w:val="24"/>
          <w:szCs w:val="24"/>
        </w:rPr>
        <w:t>Zmiana</w:t>
      </w:r>
      <w:r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brzmienia art. 70 ust. 1 ustawy o </w:t>
      </w:r>
      <w:proofErr w:type="spellStart"/>
      <w:r w:rsidRPr="004A5F49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="00807E64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(art. 1 pkt 4 projektowanej ustawy)</w:t>
      </w:r>
    </w:p>
    <w:p w14:paraId="7AAC1F5E" w14:textId="77777777" w:rsidR="00CD1F24" w:rsidRPr="004A5F49" w:rsidRDefault="002255FA" w:rsidP="00765AE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 xml:space="preserve">Zmiana </w:t>
      </w:r>
      <w:r w:rsidR="00765AE8">
        <w:rPr>
          <w:rFonts w:ascii="Times New Roman" w:hAnsi="Times New Roman" w:cs="Times New Roman"/>
          <w:sz w:val="24"/>
          <w:szCs w:val="24"/>
        </w:rPr>
        <w:t xml:space="preserve">o charakterze dostosowawczym, będąca konsekwencją zaproponowanej modyfikacji </w:t>
      </w:r>
      <w:r w:rsidR="00160243">
        <w:rPr>
          <w:rFonts w:ascii="Times New Roman" w:hAnsi="Times New Roman" w:cs="Times New Roman"/>
          <w:sz w:val="24"/>
          <w:szCs w:val="24"/>
        </w:rPr>
        <w:t xml:space="preserve">wykorzystywanej dotychczas </w:t>
      </w:r>
      <w:r w:rsidR="00765AE8">
        <w:rPr>
          <w:rFonts w:ascii="Times New Roman" w:hAnsi="Times New Roman" w:cs="Times New Roman"/>
          <w:sz w:val="24"/>
          <w:szCs w:val="24"/>
        </w:rPr>
        <w:t>formy ogłoszeń w odniesieni</w:t>
      </w:r>
      <w:r w:rsidR="003B2F68">
        <w:rPr>
          <w:rFonts w:ascii="Times New Roman" w:hAnsi="Times New Roman" w:cs="Times New Roman"/>
          <w:sz w:val="24"/>
          <w:szCs w:val="24"/>
        </w:rPr>
        <w:t>u</w:t>
      </w:r>
      <w:r w:rsidR="00765AE8">
        <w:rPr>
          <w:rFonts w:ascii="Times New Roman" w:hAnsi="Times New Roman" w:cs="Times New Roman"/>
          <w:sz w:val="24"/>
          <w:szCs w:val="24"/>
        </w:rPr>
        <w:t xml:space="preserve"> do zmiany statutu OFE oraz prospektu OFE</w:t>
      </w:r>
      <w:r w:rsidR="005255F7">
        <w:rPr>
          <w:rFonts w:ascii="Times New Roman" w:hAnsi="Times New Roman" w:cs="Times New Roman"/>
          <w:sz w:val="24"/>
          <w:szCs w:val="24"/>
        </w:rPr>
        <w:t xml:space="preserve">. Polega ona na </w:t>
      </w:r>
      <w:r w:rsidR="005255F7" w:rsidRPr="005255F7">
        <w:rPr>
          <w:rFonts w:ascii="Times New Roman" w:hAnsi="Times New Roman" w:cs="Times New Roman"/>
          <w:sz w:val="24"/>
          <w:szCs w:val="24"/>
        </w:rPr>
        <w:t>rezygnacj</w:t>
      </w:r>
      <w:r w:rsidR="005255F7">
        <w:rPr>
          <w:rFonts w:ascii="Times New Roman" w:hAnsi="Times New Roman" w:cs="Times New Roman"/>
          <w:sz w:val="24"/>
          <w:szCs w:val="24"/>
        </w:rPr>
        <w:t>i</w:t>
      </w:r>
      <w:r w:rsidR="005255F7" w:rsidRPr="005255F7">
        <w:rPr>
          <w:rFonts w:ascii="Times New Roman" w:hAnsi="Times New Roman" w:cs="Times New Roman"/>
          <w:sz w:val="24"/>
          <w:szCs w:val="24"/>
        </w:rPr>
        <w:t xml:space="preserve"> z dotychczasowego obowiązku ogłaszania treści zezwolenia organu nadzoru na przejęcie zarządzania otwartym funduszem lub połączenie powszechnych towarzystw w dzienniku o zasięgu krajowym przeznaczonym do ogłoszeń funduszu</w:t>
      </w:r>
      <w:r w:rsidR="005255F7">
        <w:rPr>
          <w:rFonts w:ascii="Times New Roman" w:hAnsi="Times New Roman" w:cs="Times New Roman"/>
          <w:sz w:val="24"/>
          <w:szCs w:val="24"/>
        </w:rPr>
        <w:t xml:space="preserve"> i pozostawieniu w tym zakresie jako dotychczasowego kanału komunikacji z klientem – ogłoszenia na ogólnodostępnej stronie internetowej.</w:t>
      </w:r>
    </w:p>
    <w:p w14:paraId="383C584D" w14:textId="6B83454C" w:rsidR="001134A4" w:rsidRDefault="00A5384F" w:rsidP="004A5F49">
      <w:pPr>
        <w:autoSpaceDE w:val="0"/>
        <w:autoSpaceDN w:val="0"/>
        <w:adjustRightInd w:val="0"/>
        <w:spacing w:after="12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>Jest to kolejna zmiana</w:t>
      </w:r>
      <w:r w:rsidR="00B46D65" w:rsidRPr="004A5F49">
        <w:rPr>
          <w:rFonts w:ascii="Times New Roman" w:hAnsi="Times New Roman" w:cs="Times New Roman"/>
          <w:sz w:val="24"/>
          <w:szCs w:val="24"/>
        </w:rPr>
        <w:t xml:space="preserve"> w przedmiotowym projekcie ustawy</w:t>
      </w:r>
      <w:r w:rsidRPr="004A5F49">
        <w:rPr>
          <w:rFonts w:ascii="Times New Roman" w:hAnsi="Times New Roman" w:cs="Times New Roman"/>
          <w:sz w:val="24"/>
          <w:szCs w:val="24"/>
        </w:rPr>
        <w:t xml:space="preserve"> będąca następstwem informatyzacji i powszechnego dostępu do </w:t>
      </w:r>
      <w:r w:rsidR="001134A4">
        <w:rPr>
          <w:rFonts w:ascii="Times New Roman" w:hAnsi="Times New Roman" w:cs="Times New Roman"/>
          <w:sz w:val="24"/>
          <w:szCs w:val="24"/>
        </w:rPr>
        <w:t xml:space="preserve">Internetu i </w:t>
      </w:r>
      <w:r w:rsidRPr="004A5F49">
        <w:rPr>
          <w:rFonts w:ascii="Times New Roman" w:hAnsi="Times New Roman" w:cs="Times New Roman"/>
          <w:sz w:val="24"/>
          <w:szCs w:val="24"/>
        </w:rPr>
        <w:t>technologii informacyjnych, ułatwiająca dostęp do dokumentów funduszy emerytalnych.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1134A4">
        <w:rPr>
          <w:rFonts w:ascii="Times New Roman" w:hAnsi="Times New Roman" w:cs="Times New Roman"/>
          <w:sz w:val="24"/>
          <w:szCs w:val="24"/>
        </w:rPr>
        <w:t xml:space="preserve">Zapoznanie się z ogłoszeniami przez stronę internetową </w:t>
      </w:r>
      <w:r w:rsidR="00160243">
        <w:rPr>
          <w:rFonts w:ascii="Times New Roman" w:hAnsi="Times New Roman" w:cs="Times New Roman"/>
          <w:sz w:val="24"/>
          <w:szCs w:val="24"/>
        </w:rPr>
        <w:t>jest</w:t>
      </w:r>
      <w:r w:rsidR="001134A4">
        <w:rPr>
          <w:rFonts w:ascii="Times New Roman" w:hAnsi="Times New Roman" w:cs="Times New Roman"/>
          <w:sz w:val="24"/>
          <w:szCs w:val="24"/>
        </w:rPr>
        <w:t xml:space="preserve"> możliwe w każdym czasie i nie wymaga </w:t>
      </w:r>
      <w:r w:rsidR="001134A4" w:rsidRPr="001134A4">
        <w:rPr>
          <w:rFonts w:ascii="Times New Roman" w:hAnsi="Times New Roman" w:cs="Times New Roman"/>
          <w:sz w:val="24"/>
          <w:szCs w:val="24"/>
        </w:rPr>
        <w:t>prenumerowa</w:t>
      </w:r>
      <w:r w:rsidR="001134A4">
        <w:rPr>
          <w:rFonts w:ascii="Times New Roman" w:hAnsi="Times New Roman" w:cs="Times New Roman"/>
          <w:sz w:val="24"/>
          <w:szCs w:val="24"/>
        </w:rPr>
        <w:t>nia</w:t>
      </w:r>
      <w:r w:rsidR="001134A4" w:rsidRPr="001134A4">
        <w:rPr>
          <w:rFonts w:ascii="Times New Roman" w:hAnsi="Times New Roman" w:cs="Times New Roman"/>
          <w:sz w:val="24"/>
          <w:szCs w:val="24"/>
        </w:rPr>
        <w:t xml:space="preserve"> dostęp</w:t>
      </w:r>
      <w:r w:rsidR="001134A4">
        <w:rPr>
          <w:rFonts w:ascii="Times New Roman" w:hAnsi="Times New Roman" w:cs="Times New Roman"/>
          <w:sz w:val="24"/>
          <w:szCs w:val="24"/>
        </w:rPr>
        <w:t>u</w:t>
      </w:r>
      <w:r w:rsidR="001134A4" w:rsidRPr="001134A4">
        <w:rPr>
          <w:rFonts w:ascii="Times New Roman" w:hAnsi="Times New Roman" w:cs="Times New Roman"/>
          <w:sz w:val="24"/>
          <w:szCs w:val="24"/>
        </w:rPr>
        <w:t xml:space="preserve"> do danej gazety </w:t>
      </w:r>
      <w:r w:rsidR="001134A4" w:rsidRPr="001134A4">
        <w:rPr>
          <w:rFonts w:ascii="Times New Roman" w:hAnsi="Times New Roman" w:cs="Times New Roman"/>
          <w:sz w:val="24"/>
          <w:szCs w:val="24"/>
        </w:rPr>
        <w:lastRenderedPageBreak/>
        <w:t>ogólnopolskiej</w:t>
      </w:r>
      <w:r w:rsidR="001134A4">
        <w:rPr>
          <w:rFonts w:ascii="Times New Roman" w:hAnsi="Times New Roman" w:cs="Times New Roman"/>
          <w:sz w:val="24"/>
          <w:szCs w:val="24"/>
        </w:rPr>
        <w:t xml:space="preserve"> lub prób pozyskania konkretnego („jednorazowego”) jej wydania</w:t>
      </w:r>
      <w:r w:rsidR="001134A4" w:rsidRPr="001134A4">
        <w:rPr>
          <w:rFonts w:ascii="Times New Roman" w:hAnsi="Times New Roman" w:cs="Times New Roman"/>
          <w:sz w:val="24"/>
          <w:szCs w:val="24"/>
        </w:rPr>
        <w:t>. Tym samym proponowan</w:t>
      </w:r>
      <w:r w:rsidR="00765AE8">
        <w:rPr>
          <w:rFonts w:ascii="Times New Roman" w:hAnsi="Times New Roman" w:cs="Times New Roman"/>
          <w:sz w:val="24"/>
          <w:szCs w:val="24"/>
        </w:rPr>
        <w:t xml:space="preserve">a </w:t>
      </w:r>
      <w:r w:rsidR="005255F7">
        <w:rPr>
          <w:rFonts w:ascii="Times New Roman" w:hAnsi="Times New Roman" w:cs="Times New Roman"/>
          <w:sz w:val="24"/>
          <w:szCs w:val="24"/>
        </w:rPr>
        <w:t xml:space="preserve">modyfikacja przepisu </w:t>
      </w:r>
      <w:r w:rsidR="001134A4" w:rsidRPr="001134A4">
        <w:rPr>
          <w:rFonts w:ascii="Times New Roman" w:hAnsi="Times New Roman" w:cs="Times New Roman"/>
          <w:sz w:val="24"/>
          <w:szCs w:val="24"/>
        </w:rPr>
        <w:t>nie będzie sprzeczna z interesem członków OFE.</w:t>
      </w:r>
    </w:p>
    <w:p w14:paraId="7E146540" w14:textId="36D5B99B" w:rsidR="002255FA" w:rsidRPr="004A5F49" w:rsidRDefault="002255FA" w:rsidP="00F45F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Zmiana brzmienia art. 81 ust. 1a ustawy o </w:t>
      </w:r>
      <w:proofErr w:type="spellStart"/>
      <w:r w:rsidRPr="004A5F49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="00807E64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(art. 1 pkt 5 projektowanej ustawy)</w:t>
      </w:r>
    </w:p>
    <w:p w14:paraId="6F7D3BF0" w14:textId="77777777" w:rsidR="00911F90" w:rsidRPr="00911F90" w:rsidRDefault="000C4B18" w:rsidP="00911F90">
      <w:pPr>
        <w:autoSpaceDE w:val="0"/>
        <w:autoSpaceDN w:val="0"/>
        <w:adjustRightInd w:val="0"/>
        <w:spacing w:after="12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>C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elem </w:t>
      </w:r>
      <w:r w:rsidRPr="004A5F49">
        <w:rPr>
          <w:rFonts w:ascii="Times New Roman" w:hAnsi="Times New Roman" w:cs="Times New Roman"/>
          <w:sz w:val="24"/>
          <w:szCs w:val="24"/>
        </w:rPr>
        <w:t xml:space="preserve">zmiany proponowanej w art. 81 ust. 1a 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jest </w:t>
      </w:r>
      <w:r w:rsidR="00EA41F1">
        <w:rPr>
          <w:rFonts w:ascii="Times New Roman" w:hAnsi="Times New Roman" w:cs="Times New Roman"/>
          <w:sz w:val="24"/>
          <w:szCs w:val="24"/>
        </w:rPr>
        <w:t xml:space="preserve">umożliwienie 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osobom zainteresowanym uczestnictwem w OFE </w:t>
      </w:r>
      <w:r w:rsidR="00506508" w:rsidRPr="004A5F49">
        <w:rPr>
          <w:rFonts w:ascii="Times New Roman" w:hAnsi="Times New Roman" w:cs="Times New Roman"/>
          <w:sz w:val="24"/>
          <w:szCs w:val="24"/>
        </w:rPr>
        <w:t xml:space="preserve">zawarcia umowy </w:t>
      </w:r>
      <w:r w:rsidR="00EA41F1">
        <w:rPr>
          <w:rFonts w:ascii="Times New Roman" w:hAnsi="Times New Roman" w:cs="Times New Roman"/>
          <w:sz w:val="24"/>
          <w:szCs w:val="24"/>
        </w:rPr>
        <w:t>w alternatywnej do papierowej formie</w:t>
      </w:r>
      <w:r w:rsidRPr="004A5F49">
        <w:rPr>
          <w:rFonts w:ascii="Times New Roman" w:hAnsi="Times New Roman" w:cs="Times New Roman"/>
          <w:sz w:val="24"/>
          <w:szCs w:val="24"/>
        </w:rPr>
        <w:t xml:space="preserve">, co </w:t>
      </w:r>
      <w:r w:rsidR="00EA41F1">
        <w:rPr>
          <w:rFonts w:ascii="Times New Roman" w:hAnsi="Times New Roman" w:cs="Times New Roman"/>
          <w:sz w:val="24"/>
          <w:szCs w:val="24"/>
        </w:rPr>
        <w:t xml:space="preserve">powinno </w:t>
      </w:r>
      <w:r w:rsidRPr="004A5F49">
        <w:rPr>
          <w:rFonts w:ascii="Times New Roman" w:hAnsi="Times New Roman" w:cs="Times New Roman"/>
          <w:sz w:val="24"/>
          <w:szCs w:val="24"/>
        </w:rPr>
        <w:t>znacznie ułatwi</w:t>
      </w:r>
      <w:r w:rsidR="00EA41F1">
        <w:rPr>
          <w:rFonts w:ascii="Times New Roman" w:hAnsi="Times New Roman" w:cs="Times New Roman"/>
          <w:sz w:val="24"/>
          <w:szCs w:val="24"/>
        </w:rPr>
        <w:t>ć</w:t>
      </w:r>
      <w:r w:rsidRPr="004A5F49">
        <w:rPr>
          <w:rFonts w:ascii="Times New Roman" w:hAnsi="Times New Roman" w:cs="Times New Roman"/>
          <w:sz w:val="24"/>
          <w:szCs w:val="24"/>
        </w:rPr>
        <w:t xml:space="preserve"> i przyspieszy</w:t>
      </w:r>
      <w:r w:rsidR="00EA41F1">
        <w:rPr>
          <w:rFonts w:ascii="Times New Roman" w:hAnsi="Times New Roman" w:cs="Times New Roman"/>
          <w:sz w:val="24"/>
          <w:szCs w:val="24"/>
        </w:rPr>
        <w:t>ć</w:t>
      </w:r>
      <w:r w:rsidRPr="004A5F49">
        <w:rPr>
          <w:rFonts w:ascii="Times New Roman" w:hAnsi="Times New Roman" w:cs="Times New Roman"/>
          <w:sz w:val="24"/>
          <w:szCs w:val="24"/>
        </w:rPr>
        <w:t xml:space="preserve"> ten proces zarówno </w:t>
      </w:r>
      <w:r w:rsidR="00FF188E">
        <w:rPr>
          <w:rFonts w:ascii="Times New Roman" w:hAnsi="Times New Roman" w:cs="Times New Roman"/>
          <w:sz w:val="24"/>
          <w:szCs w:val="24"/>
        </w:rPr>
        <w:t>z perspektywy</w:t>
      </w:r>
      <w:r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FF188E">
        <w:rPr>
          <w:rFonts w:ascii="Times New Roman" w:hAnsi="Times New Roman" w:cs="Times New Roman"/>
          <w:sz w:val="24"/>
          <w:szCs w:val="24"/>
        </w:rPr>
        <w:t>k</w:t>
      </w:r>
      <w:r w:rsidRPr="004A5F49">
        <w:rPr>
          <w:rFonts w:ascii="Times New Roman" w:hAnsi="Times New Roman" w:cs="Times New Roman"/>
          <w:sz w:val="24"/>
          <w:szCs w:val="24"/>
        </w:rPr>
        <w:t>lienta, jak i instytucji finansowej.</w:t>
      </w:r>
      <w:r w:rsidR="0084118B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5E2CE9">
        <w:rPr>
          <w:rFonts w:ascii="Times New Roman" w:hAnsi="Times New Roman" w:cs="Times New Roman"/>
          <w:sz w:val="24"/>
          <w:szCs w:val="24"/>
        </w:rPr>
        <w:t>nowym</w:t>
      </w:r>
      <w:r w:rsidR="0084118B">
        <w:rPr>
          <w:rFonts w:ascii="Times New Roman" w:hAnsi="Times New Roman" w:cs="Times New Roman"/>
          <w:sz w:val="24"/>
          <w:szCs w:val="24"/>
        </w:rPr>
        <w:t xml:space="preserve"> brzmieniem tego przepisu u</w:t>
      </w:r>
      <w:r w:rsidR="0084118B" w:rsidRPr="0084118B">
        <w:rPr>
          <w:rFonts w:ascii="Times New Roman" w:hAnsi="Times New Roman" w:cs="Times New Roman"/>
          <w:sz w:val="24"/>
          <w:szCs w:val="24"/>
        </w:rPr>
        <w:t xml:space="preserve">mowa z otwartym funduszem </w:t>
      </w:r>
      <w:r w:rsidR="0084118B">
        <w:rPr>
          <w:rFonts w:ascii="Times New Roman" w:hAnsi="Times New Roman" w:cs="Times New Roman"/>
          <w:sz w:val="24"/>
          <w:szCs w:val="24"/>
        </w:rPr>
        <w:t>będzie mogła</w:t>
      </w:r>
      <w:r w:rsidR="0084118B" w:rsidRPr="0084118B">
        <w:rPr>
          <w:rFonts w:ascii="Times New Roman" w:hAnsi="Times New Roman" w:cs="Times New Roman"/>
          <w:sz w:val="24"/>
          <w:szCs w:val="24"/>
        </w:rPr>
        <w:t xml:space="preserve"> zostać zawarta w formie pisemnej lub w formie elektronicznej pozwalającej na utrwalenie jej treści na trwałym nośniku, lub w formie</w:t>
      </w:r>
      <w:r w:rsidR="00911F90" w:rsidRPr="00911F90">
        <w:rPr>
          <w:rFonts w:ascii="Times New Roman" w:hAnsi="Times New Roman" w:cs="Times New Roman"/>
          <w:sz w:val="24"/>
          <w:szCs w:val="24"/>
        </w:rPr>
        <w:t xml:space="preserve"> </w:t>
      </w:r>
      <w:r w:rsidR="00911F90" w:rsidRPr="0084118B">
        <w:rPr>
          <w:rFonts w:ascii="Times New Roman" w:hAnsi="Times New Roman" w:cs="Times New Roman"/>
          <w:sz w:val="24"/>
          <w:szCs w:val="24"/>
        </w:rPr>
        <w:t>dokumentowej pozwalającej na utrwalenie jej treści na trwałym nośniku</w:t>
      </w:r>
      <w:r w:rsidR="00911F90">
        <w:rPr>
          <w:rFonts w:ascii="Times New Roman" w:hAnsi="Times New Roman" w:cs="Times New Roman"/>
          <w:sz w:val="24"/>
          <w:szCs w:val="24"/>
        </w:rPr>
        <w:t xml:space="preserve">. Postulowana modyfikacja </w:t>
      </w:r>
      <w:r w:rsidR="00911F90" w:rsidRPr="00911F90">
        <w:rPr>
          <w:rFonts w:ascii="Times New Roman" w:hAnsi="Times New Roman" w:cs="Times New Roman"/>
          <w:sz w:val="24"/>
          <w:szCs w:val="24"/>
        </w:rPr>
        <w:t xml:space="preserve">odpowiada </w:t>
      </w:r>
      <w:r w:rsidR="00911F90">
        <w:rPr>
          <w:rFonts w:ascii="Times New Roman" w:hAnsi="Times New Roman" w:cs="Times New Roman"/>
          <w:sz w:val="24"/>
          <w:szCs w:val="24"/>
        </w:rPr>
        <w:t xml:space="preserve">zasadom </w:t>
      </w:r>
      <w:r w:rsidR="00911F90" w:rsidRPr="00911F90">
        <w:rPr>
          <w:rFonts w:ascii="Times New Roman" w:hAnsi="Times New Roman" w:cs="Times New Roman"/>
          <w:sz w:val="24"/>
          <w:szCs w:val="24"/>
        </w:rPr>
        <w:t xml:space="preserve">zawierania umów </w:t>
      </w:r>
      <w:r w:rsidR="00911F90">
        <w:rPr>
          <w:rFonts w:ascii="Times New Roman" w:hAnsi="Times New Roman" w:cs="Times New Roman"/>
          <w:sz w:val="24"/>
          <w:szCs w:val="24"/>
        </w:rPr>
        <w:t>o prowadzenie IKE lub IKZE</w:t>
      </w:r>
      <w:r w:rsidR="00E06942">
        <w:rPr>
          <w:rFonts w:ascii="Times New Roman" w:hAnsi="Times New Roman" w:cs="Times New Roman"/>
          <w:sz w:val="24"/>
          <w:szCs w:val="24"/>
        </w:rPr>
        <w:t xml:space="preserve">, </w:t>
      </w:r>
      <w:r w:rsidR="00911F90">
        <w:rPr>
          <w:rFonts w:ascii="Times New Roman" w:hAnsi="Times New Roman" w:cs="Times New Roman"/>
          <w:sz w:val="24"/>
          <w:szCs w:val="24"/>
        </w:rPr>
        <w:t xml:space="preserve">przewidzianym w </w:t>
      </w:r>
      <w:r w:rsidR="00E06942">
        <w:rPr>
          <w:rFonts w:ascii="Times New Roman" w:hAnsi="Times New Roman" w:cs="Times New Roman"/>
          <w:sz w:val="24"/>
          <w:szCs w:val="24"/>
        </w:rPr>
        <w:t xml:space="preserve">art. 8 ust. 1 </w:t>
      </w:r>
      <w:r w:rsidR="00911F90">
        <w:rPr>
          <w:rFonts w:ascii="Times New Roman" w:hAnsi="Times New Roman" w:cs="Times New Roman"/>
          <w:sz w:val="24"/>
          <w:szCs w:val="24"/>
        </w:rPr>
        <w:t>ustaw</w:t>
      </w:r>
      <w:r w:rsidR="00E06942">
        <w:rPr>
          <w:rFonts w:ascii="Times New Roman" w:hAnsi="Times New Roman" w:cs="Times New Roman"/>
          <w:sz w:val="24"/>
          <w:szCs w:val="24"/>
        </w:rPr>
        <w:t>y</w:t>
      </w:r>
      <w:r w:rsidR="00911F90">
        <w:rPr>
          <w:rFonts w:ascii="Times New Roman" w:hAnsi="Times New Roman" w:cs="Times New Roman"/>
          <w:sz w:val="24"/>
          <w:szCs w:val="24"/>
        </w:rPr>
        <w:t xml:space="preserve"> z </w:t>
      </w:r>
      <w:r w:rsidR="00911F90" w:rsidRPr="00911F90">
        <w:rPr>
          <w:rFonts w:ascii="Times New Roman" w:hAnsi="Times New Roman" w:cs="Times New Roman"/>
          <w:sz w:val="24"/>
          <w:szCs w:val="24"/>
        </w:rPr>
        <w:t>dnia 20 kwietnia 2004 r. o indywidualnych kontach emerytalnych oraz indywidualnych kontach zabezpieczenia emerytalnego (Dz. U. z 20</w:t>
      </w:r>
      <w:r w:rsidR="00910123">
        <w:rPr>
          <w:rFonts w:ascii="Times New Roman" w:hAnsi="Times New Roman" w:cs="Times New Roman"/>
          <w:sz w:val="24"/>
          <w:szCs w:val="24"/>
        </w:rPr>
        <w:t>24</w:t>
      </w:r>
      <w:r w:rsidR="00911F90" w:rsidRPr="00911F90">
        <w:rPr>
          <w:rFonts w:ascii="Times New Roman" w:hAnsi="Times New Roman" w:cs="Times New Roman"/>
          <w:sz w:val="24"/>
          <w:szCs w:val="24"/>
        </w:rPr>
        <w:t xml:space="preserve"> r. poz. </w:t>
      </w:r>
      <w:r w:rsidR="00910123">
        <w:rPr>
          <w:rFonts w:ascii="Times New Roman" w:hAnsi="Times New Roman" w:cs="Times New Roman"/>
          <w:sz w:val="24"/>
          <w:szCs w:val="24"/>
        </w:rPr>
        <w:t>707</w:t>
      </w:r>
      <w:r w:rsidR="00911F90" w:rsidRPr="00911F90">
        <w:rPr>
          <w:rFonts w:ascii="Times New Roman" w:hAnsi="Times New Roman" w:cs="Times New Roman"/>
          <w:sz w:val="24"/>
          <w:szCs w:val="24"/>
        </w:rPr>
        <w:t>)</w:t>
      </w:r>
      <w:r w:rsidR="00911F90">
        <w:rPr>
          <w:rFonts w:ascii="Times New Roman" w:hAnsi="Times New Roman" w:cs="Times New Roman"/>
          <w:sz w:val="24"/>
          <w:szCs w:val="24"/>
        </w:rPr>
        <w:t>.</w:t>
      </w:r>
    </w:p>
    <w:p w14:paraId="32715169" w14:textId="403E3717" w:rsidR="002255FA" w:rsidRPr="004A5F49" w:rsidRDefault="002255FA" w:rsidP="00F45F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Zmiana brzmienia art. 82a ustawy o </w:t>
      </w:r>
      <w:proofErr w:type="spellStart"/>
      <w:r w:rsidRPr="004A5F49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="00807E64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(art. 1 pkt 6 projektowanej ustawy)</w:t>
      </w:r>
    </w:p>
    <w:p w14:paraId="404D0049" w14:textId="3804D87A" w:rsidR="002255FA" w:rsidRPr="004A5F49" w:rsidRDefault="00B46D65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>To kolejna z</w:t>
      </w:r>
      <w:r w:rsidR="002255FA" w:rsidRPr="004A5F49">
        <w:rPr>
          <w:rFonts w:ascii="Times New Roman" w:hAnsi="Times New Roman" w:cs="Times New Roman"/>
          <w:sz w:val="24"/>
          <w:szCs w:val="24"/>
        </w:rPr>
        <w:t>miana</w:t>
      </w:r>
      <w:r w:rsidRPr="004A5F49">
        <w:rPr>
          <w:rFonts w:ascii="Times New Roman" w:hAnsi="Times New Roman" w:cs="Times New Roman"/>
          <w:sz w:val="24"/>
          <w:szCs w:val="24"/>
        </w:rPr>
        <w:t xml:space="preserve"> w przedkładanym projekcie ustawy, która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 umożliwi </w:t>
      </w:r>
      <w:r w:rsidR="0007311A">
        <w:rPr>
          <w:rFonts w:ascii="Times New Roman" w:hAnsi="Times New Roman" w:cs="Times New Roman"/>
          <w:sz w:val="24"/>
          <w:szCs w:val="24"/>
        </w:rPr>
        <w:t xml:space="preserve">klientom OFE </w:t>
      </w:r>
      <w:r w:rsidR="002255FA" w:rsidRPr="004A5F49">
        <w:rPr>
          <w:rFonts w:ascii="Times New Roman" w:hAnsi="Times New Roman" w:cs="Times New Roman"/>
          <w:sz w:val="24"/>
          <w:szCs w:val="24"/>
        </w:rPr>
        <w:t>składanie</w:t>
      </w:r>
      <w:r w:rsidRPr="004A5F49">
        <w:rPr>
          <w:rFonts w:ascii="Times New Roman" w:hAnsi="Times New Roman" w:cs="Times New Roman"/>
          <w:sz w:val="24"/>
          <w:szCs w:val="24"/>
        </w:rPr>
        <w:t xml:space="preserve"> dokumentów, w tym </w:t>
      </w:r>
      <w:r w:rsidR="00E92620">
        <w:rPr>
          <w:rFonts w:ascii="Times New Roman" w:hAnsi="Times New Roman" w:cs="Times New Roman"/>
          <w:sz w:val="24"/>
          <w:szCs w:val="24"/>
        </w:rPr>
        <w:t>przypadku</w:t>
      </w:r>
      <w:r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2255FA" w:rsidRPr="004A5F49">
        <w:rPr>
          <w:rFonts w:ascii="Times New Roman" w:hAnsi="Times New Roman" w:cs="Times New Roman"/>
          <w:sz w:val="24"/>
          <w:szCs w:val="24"/>
        </w:rPr>
        <w:t>oświadcze</w:t>
      </w:r>
      <w:r w:rsidR="0007311A">
        <w:rPr>
          <w:rFonts w:ascii="Times New Roman" w:hAnsi="Times New Roman" w:cs="Times New Roman"/>
          <w:sz w:val="24"/>
          <w:szCs w:val="24"/>
        </w:rPr>
        <w:t>nia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F15231" w:rsidRPr="004A5F49">
        <w:rPr>
          <w:rStyle w:val="Teksttreci10ptBezpogrubieniaKursywa"/>
          <w:rFonts w:eastAsiaTheme="minorHAnsi"/>
          <w:b w:val="0"/>
          <w:bCs w:val="0"/>
          <w:i w:val="0"/>
          <w:iCs w:val="0"/>
          <w:sz w:val="24"/>
          <w:szCs w:val="24"/>
        </w:rPr>
        <w:t>o zapoznaniu się z treścią aktualnej informacji dotyczącej otwartych funduszy</w:t>
      </w:r>
      <w:r w:rsidR="0007311A">
        <w:rPr>
          <w:rStyle w:val="Teksttreci10ptBezpogrubieniaKursywa"/>
          <w:rFonts w:eastAsiaTheme="minorHAnsi"/>
          <w:b w:val="0"/>
          <w:bCs w:val="0"/>
          <w:i w:val="0"/>
          <w:iCs w:val="0"/>
          <w:sz w:val="24"/>
          <w:szCs w:val="24"/>
        </w:rPr>
        <w:t>,</w:t>
      </w:r>
      <w:r w:rsidR="00C22426" w:rsidRPr="004A5F49">
        <w:rPr>
          <w:rFonts w:ascii="Times New Roman" w:hAnsi="Times New Roman" w:cs="Times New Roman"/>
          <w:sz w:val="24"/>
          <w:szCs w:val="24"/>
        </w:rPr>
        <w:t xml:space="preserve"> również w innej </w:t>
      </w:r>
      <w:r w:rsidR="0007311A" w:rsidRPr="004A5F49">
        <w:rPr>
          <w:rFonts w:ascii="Times New Roman" w:hAnsi="Times New Roman" w:cs="Times New Roman"/>
          <w:sz w:val="24"/>
          <w:szCs w:val="24"/>
        </w:rPr>
        <w:t xml:space="preserve">formie </w:t>
      </w:r>
      <w:r w:rsidR="00C22426" w:rsidRPr="004A5F49">
        <w:rPr>
          <w:rFonts w:ascii="Times New Roman" w:hAnsi="Times New Roman" w:cs="Times New Roman"/>
          <w:sz w:val="24"/>
          <w:szCs w:val="24"/>
        </w:rPr>
        <w:t xml:space="preserve">niż </w:t>
      </w:r>
      <w:r w:rsidR="0007311A">
        <w:rPr>
          <w:rFonts w:ascii="Times New Roman" w:hAnsi="Times New Roman" w:cs="Times New Roman"/>
          <w:sz w:val="24"/>
          <w:szCs w:val="24"/>
        </w:rPr>
        <w:t>tradycyjna (</w:t>
      </w:r>
      <w:r w:rsidR="00C22426" w:rsidRPr="004A5F49">
        <w:rPr>
          <w:rFonts w:ascii="Times New Roman" w:hAnsi="Times New Roman" w:cs="Times New Roman"/>
          <w:sz w:val="24"/>
          <w:szCs w:val="24"/>
        </w:rPr>
        <w:t>papierowa</w:t>
      </w:r>
      <w:r w:rsidR="0007311A">
        <w:rPr>
          <w:rFonts w:ascii="Times New Roman" w:hAnsi="Times New Roman" w:cs="Times New Roman"/>
          <w:sz w:val="24"/>
          <w:szCs w:val="24"/>
        </w:rPr>
        <w:t>)</w:t>
      </w:r>
      <w:r w:rsidR="00C22426" w:rsidRPr="004A5F49">
        <w:rPr>
          <w:rFonts w:ascii="Times New Roman" w:hAnsi="Times New Roman" w:cs="Times New Roman"/>
          <w:sz w:val="24"/>
          <w:szCs w:val="24"/>
        </w:rPr>
        <w:t xml:space="preserve">. </w:t>
      </w:r>
      <w:r w:rsidR="00DC5DE3">
        <w:rPr>
          <w:rFonts w:ascii="Times New Roman" w:hAnsi="Times New Roman" w:cs="Times New Roman"/>
          <w:sz w:val="24"/>
          <w:szCs w:val="24"/>
        </w:rPr>
        <w:t>Zgodnie z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DC5DE3">
        <w:rPr>
          <w:rFonts w:ascii="Times New Roman" w:hAnsi="Times New Roman" w:cs="Times New Roman"/>
          <w:sz w:val="24"/>
          <w:szCs w:val="24"/>
        </w:rPr>
        <w:t>proponowanym brzmieniem tego przepisu przedmiotowe oświadczenie będzie mogło zostać</w:t>
      </w:r>
      <w:r w:rsidR="00DC5DE3" w:rsidRPr="0084118B">
        <w:rPr>
          <w:rFonts w:ascii="Times New Roman" w:hAnsi="Times New Roman" w:cs="Times New Roman"/>
          <w:sz w:val="24"/>
          <w:szCs w:val="24"/>
        </w:rPr>
        <w:t xml:space="preserve"> </w:t>
      </w:r>
      <w:r w:rsidR="00DC5DE3">
        <w:rPr>
          <w:rFonts w:ascii="Times New Roman" w:hAnsi="Times New Roman" w:cs="Times New Roman"/>
          <w:sz w:val="24"/>
          <w:szCs w:val="24"/>
        </w:rPr>
        <w:t xml:space="preserve">złożone </w:t>
      </w:r>
      <w:r w:rsidR="00DC5DE3" w:rsidRPr="0084118B">
        <w:rPr>
          <w:rFonts w:ascii="Times New Roman" w:hAnsi="Times New Roman" w:cs="Times New Roman"/>
          <w:sz w:val="24"/>
          <w:szCs w:val="24"/>
        </w:rPr>
        <w:t>w formie pisemnej lub w formie elektronicznej pozwalającej na utrwalenie jej treści na trwałym nośniku, lub w formie dokumentowej pozwalającej na utrwalenie jej treści na trwałym nośniku</w:t>
      </w:r>
      <w:r w:rsidR="00DC5DE3">
        <w:rPr>
          <w:rFonts w:ascii="Times New Roman" w:hAnsi="Times New Roman" w:cs="Times New Roman"/>
          <w:sz w:val="24"/>
          <w:szCs w:val="24"/>
        </w:rPr>
        <w:t>.</w:t>
      </w:r>
    </w:p>
    <w:p w14:paraId="6510D3DF" w14:textId="2CF190CB" w:rsidR="002255FA" w:rsidRPr="004A5F49" w:rsidRDefault="002255FA" w:rsidP="00F45F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Zmiana brzmienia art. 83 ust. 1 i 2 ustawy o </w:t>
      </w:r>
      <w:proofErr w:type="spellStart"/>
      <w:r w:rsidRPr="004A5F49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="00807E64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(art. 1 pkt 7 projektowanej ustawy)</w:t>
      </w:r>
    </w:p>
    <w:p w14:paraId="519D0CAB" w14:textId="778C27BB" w:rsidR="002255FA" w:rsidRPr="004A5F49" w:rsidRDefault="00180F5B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Proponowana modyfikacja przepisu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6C41F1">
        <w:rPr>
          <w:rFonts w:ascii="Times New Roman" w:hAnsi="Times New Roman" w:cs="Times New Roman"/>
          <w:sz w:val="24"/>
          <w:szCs w:val="24"/>
        </w:rPr>
        <w:t>usankcjonuje możliwość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9044CE">
        <w:rPr>
          <w:rFonts w:ascii="Times New Roman" w:hAnsi="Times New Roman" w:cs="Times New Roman"/>
          <w:sz w:val="24"/>
          <w:szCs w:val="24"/>
        </w:rPr>
        <w:t>poinformowani</w:t>
      </w:r>
      <w:r w:rsidR="006C41F1">
        <w:rPr>
          <w:rFonts w:ascii="Times New Roman" w:hAnsi="Times New Roman" w:cs="Times New Roman"/>
          <w:sz w:val="24"/>
          <w:szCs w:val="24"/>
        </w:rPr>
        <w:t>a</w:t>
      </w:r>
      <w:r w:rsidR="009044CE">
        <w:rPr>
          <w:rFonts w:ascii="Times New Roman" w:hAnsi="Times New Roman" w:cs="Times New Roman"/>
          <w:sz w:val="24"/>
          <w:szCs w:val="24"/>
        </w:rPr>
        <w:t xml:space="preserve"> OFE </w:t>
      </w:r>
      <w:r w:rsidR="007C1320" w:rsidRPr="004A5F49">
        <w:rPr>
          <w:rFonts w:ascii="Times New Roman" w:hAnsi="Times New Roman" w:cs="Times New Roman"/>
          <w:sz w:val="24"/>
          <w:szCs w:val="24"/>
        </w:rPr>
        <w:t>o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7C1320" w:rsidRPr="004A5F49">
        <w:rPr>
          <w:rFonts w:ascii="Times New Roman" w:hAnsi="Times New Roman" w:cs="Times New Roman"/>
          <w:sz w:val="24"/>
          <w:szCs w:val="24"/>
        </w:rPr>
        <w:t xml:space="preserve">stosunkach majątkowych istniejących między </w:t>
      </w:r>
      <w:r w:rsidR="002B479C" w:rsidRPr="004A5F49">
        <w:rPr>
          <w:rFonts w:ascii="Times New Roman" w:hAnsi="Times New Roman" w:cs="Times New Roman"/>
          <w:sz w:val="24"/>
          <w:szCs w:val="24"/>
        </w:rPr>
        <w:t>małżonkami</w:t>
      </w:r>
      <w:r w:rsidR="007C1320" w:rsidRPr="004A5F49" w:rsidDel="007C1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złożenie stosownego oświadczenia także </w:t>
      </w:r>
      <w:r w:rsidR="00AE3607">
        <w:rPr>
          <w:rFonts w:ascii="Times New Roman" w:hAnsi="Times New Roman" w:cs="Times New Roman"/>
          <w:sz w:val="24"/>
          <w:szCs w:val="24"/>
        </w:rPr>
        <w:t xml:space="preserve">w innej niż papierowa </w:t>
      </w:r>
      <w:r w:rsidR="002255FA" w:rsidRPr="004A5F49">
        <w:rPr>
          <w:rFonts w:ascii="Times New Roman" w:hAnsi="Times New Roman" w:cs="Times New Roman"/>
          <w:sz w:val="24"/>
          <w:szCs w:val="24"/>
        </w:rPr>
        <w:t>formie</w:t>
      </w:r>
      <w:r w:rsidR="00AE3607">
        <w:rPr>
          <w:rFonts w:ascii="Times New Roman" w:hAnsi="Times New Roman" w:cs="Times New Roman"/>
          <w:sz w:val="24"/>
          <w:szCs w:val="24"/>
        </w:rPr>
        <w:t xml:space="preserve">. </w:t>
      </w:r>
      <w:r w:rsidR="006C41F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elem </w:t>
      </w:r>
      <w:r w:rsidR="006C41F1">
        <w:rPr>
          <w:rFonts w:ascii="Times New Roman" w:hAnsi="Times New Roman" w:cs="Times New Roman"/>
          <w:sz w:val="24"/>
          <w:szCs w:val="24"/>
        </w:rPr>
        <w:t xml:space="preserve">zmiany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73331F">
        <w:rPr>
          <w:rFonts w:ascii="Times New Roman" w:hAnsi="Times New Roman" w:cs="Times New Roman"/>
          <w:sz w:val="24"/>
          <w:szCs w:val="24"/>
        </w:rPr>
        <w:t xml:space="preserve">zrównanie </w:t>
      </w:r>
      <w:r w:rsidR="002255FA" w:rsidRPr="004A5F49">
        <w:rPr>
          <w:rFonts w:ascii="Times New Roman" w:hAnsi="Times New Roman" w:cs="Times New Roman"/>
          <w:sz w:val="24"/>
          <w:szCs w:val="24"/>
        </w:rPr>
        <w:t>form</w:t>
      </w:r>
      <w:r w:rsidR="0073331F">
        <w:rPr>
          <w:rFonts w:ascii="Times New Roman" w:hAnsi="Times New Roman" w:cs="Times New Roman"/>
          <w:sz w:val="24"/>
          <w:szCs w:val="24"/>
        </w:rPr>
        <w:t>y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 pisemn</w:t>
      </w:r>
      <w:r w:rsidR="0073331F">
        <w:rPr>
          <w:rFonts w:ascii="Times New Roman" w:hAnsi="Times New Roman" w:cs="Times New Roman"/>
          <w:sz w:val="24"/>
          <w:szCs w:val="24"/>
        </w:rPr>
        <w:t>ej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 z formą elektroniczną</w:t>
      </w:r>
      <w:r>
        <w:rPr>
          <w:rFonts w:ascii="Times New Roman" w:hAnsi="Times New Roman" w:cs="Times New Roman"/>
          <w:sz w:val="24"/>
          <w:szCs w:val="24"/>
        </w:rPr>
        <w:t xml:space="preserve"> i pozostawienie </w:t>
      </w:r>
      <w:r w:rsidR="006C41F1">
        <w:rPr>
          <w:rFonts w:ascii="Times New Roman" w:hAnsi="Times New Roman" w:cs="Times New Roman"/>
          <w:sz w:val="24"/>
          <w:szCs w:val="24"/>
        </w:rPr>
        <w:t>swobody wyboru formy kontaktu</w:t>
      </w:r>
      <w:r>
        <w:rPr>
          <w:rFonts w:ascii="Times New Roman" w:hAnsi="Times New Roman" w:cs="Times New Roman"/>
          <w:sz w:val="24"/>
          <w:szCs w:val="24"/>
        </w:rPr>
        <w:t xml:space="preserve"> preferencjom klientów, co uwzględnia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oczekiwania społeczne wynikające z </w:t>
      </w:r>
      <w:r w:rsidR="002255FA" w:rsidRPr="004A5F49">
        <w:rPr>
          <w:rFonts w:ascii="Times New Roman" w:hAnsi="Times New Roman" w:cs="Times New Roman"/>
          <w:sz w:val="24"/>
          <w:szCs w:val="24"/>
        </w:rPr>
        <w:t>upowszechnieni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 dostępu do Internetu i poczty elektronicznej</w:t>
      </w:r>
      <w:r w:rsidR="0073331F">
        <w:rPr>
          <w:rFonts w:ascii="Times New Roman" w:hAnsi="Times New Roman" w:cs="Times New Roman"/>
          <w:sz w:val="24"/>
          <w:szCs w:val="24"/>
        </w:rPr>
        <w:t xml:space="preserve">. Korzyścią rozszerzenia katalogu stosowanych form składania oświadczeń będzie możliwość </w:t>
      </w:r>
      <w:r w:rsidR="002255FA" w:rsidRPr="004A5F49">
        <w:rPr>
          <w:rFonts w:ascii="Times New Roman" w:hAnsi="Times New Roman" w:cs="Times New Roman"/>
          <w:sz w:val="24"/>
          <w:szCs w:val="24"/>
        </w:rPr>
        <w:t>przyspieszeni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 całego procesu zarówno </w:t>
      </w:r>
      <w:r w:rsidR="0073331F" w:rsidRPr="004A5F49">
        <w:rPr>
          <w:rFonts w:ascii="Times New Roman" w:hAnsi="Times New Roman" w:cs="Times New Roman"/>
          <w:sz w:val="24"/>
          <w:szCs w:val="24"/>
        </w:rPr>
        <w:t xml:space="preserve">po stronie </w:t>
      </w:r>
      <w:r w:rsidR="002255FA" w:rsidRPr="004A5F49">
        <w:rPr>
          <w:rFonts w:ascii="Times New Roman" w:hAnsi="Times New Roman" w:cs="Times New Roman"/>
          <w:sz w:val="24"/>
          <w:szCs w:val="24"/>
        </w:rPr>
        <w:t>klienta, jak i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instytucji finansowej. </w:t>
      </w:r>
      <w:r w:rsidR="00047FF7">
        <w:rPr>
          <w:rFonts w:ascii="Times New Roman" w:hAnsi="Times New Roman" w:cs="Times New Roman"/>
          <w:sz w:val="24"/>
          <w:szCs w:val="24"/>
        </w:rPr>
        <w:t xml:space="preserve">Projektowane przepisy </w:t>
      </w:r>
      <w:r w:rsidR="00663F86">
        <w:rPr>
          <w:rFonts w:ascii="Times New Roman" w:hAnsi="Times New Roman" w:cs="Times New Roman"/>
          <w:sz w:val="24"/>
          <w:szCs w:val="24"/>
        </w:rPr>
        <w:t>w odniesieniu do oświadczenia pierwszorazowego</w:t>
      </w:r>
      <w:r w:rsidR="00D40748">
        <w:rPr>
          <w:rFonts w:ascii="Times New Roman" w:hAnsi="Times New Roman" w:cs="Times New Roman"/>
          <w:sz w:val="24"/>
          <w:szCs w:val="24"/>
        </w:rPr>
        <w:t>, jak również jego aktualizacji</w:t>
      </w:r>
      <w:r w:rsidR="00E82402">
        <w:rPr>
          <w:rFonts w:ascii="Times New Roman" w:hAnsi="Times New Roman" w:cs="Times New Roman"/>
          <w:sz w:val="24"/>
          <w:szCs w:val="24"/>
        </w:rPr>
        <w:t xml:space="preserve"> w drodze zawiadomienia o zmianie treści oświadczenia</w:t>
      </w:r>
      <w:r w:rsidR="00D40748">
        <w:rPr>
          <w:rFonts w:ascii="Times New Roman" w:hAnsi="Times New Roman" w:cs="Times New Roman"/>
          <w:sz w:val="24"/>
          <w:szCs w:val="24"/>
        </w:rPr>
        <w:t xml:space="preserve">, przewidują </w:t>
      </w:r>
      <w:r w:rsidR="00047FF7">
        <w:rPr>
          <w:rFonts w:ascii="Times New Roman" w:hAnsi="Times New Roman" w:cs="Times New Roman"/>
          <w:sz w:val="24"/>
          <w:szCs w:val="24"/>
        </w:rPr>
        <w:t xml:space="preserve">możliwość wykorzystania </w:t>
      </w:r>
      <w:r w:rsidR="00047FF7" w:rsidRPr="0084118B">
        <w:rPr>
          <w:rFonts w:ascii="Times New Roman" w:hAnsi="Times New Roman" w:cs="Times New Roman"/>
          <w:sz w:val="24"/>
          <w:szCs w:val="24"/>
        </w:rPr>
        <w:t>form</w:t>
      </w:r>
      <w:r w:rsidR="00047FF7">
        <w:rPr>
          <w:rFonts w:ascii="Times New Roman" w:hAnsi="Times New Roman" w:cs="Times New Roman"/>
          <w:sz w:val="24"/>
          <w:szCs w:val="24"/>
        </w:rPr>
        <w:t>y</w:t>
      </w:r>
      <w:r w:rsidR="00047FF7" w:rsidRPr="0084118B">
        <w:rPr>
          <w:rFonts w:ascii="Times New Roman" w:hAnsi="Times New Roman" w:cs="Times New Roman"/>
          <w:sz w:val="24"/>
          <w:szCs w:val="24"/>
        </w:rPr>
        <w:t xml:space="preserve"> pisemnej lub form</w:t>
      </w:r>
      <w:r w:rsidR="00047FF7">
        <w:rPr>
          <w:rFonts w:ascii="Times New Roman" w:hAnsi="Times New Roman" w:cs="Times New Roman"/>
          <w:sz w:val="24"/>
          <w:szCs w:val="24"/>
        </w:rPr>
        <w:t>y</w:t>
      </w:r>
      <w:r w:rsidR="00047FF7" w:rsidRPr="0084118B">
        <w:rPr>
          <w:rFonts w:ascii="Times New Roman" w:hAnsi="Times New Roman" w:cs="Times New Roman"/>
          <w:sz w:val="24"/>
          <w:szCs w:val="24"/>
        </w:rPr>
        <w:t xml:space="preserve"> elektronicznej </w:t>
      </w:r>
      <w:r w:rsidR="00047FF7" w:rsidRPr="0084118B">
        <w:rPr>
          <w:rFonts w:ascii="Times New Roman" w:hAnsi="Times New Roman" w:cs="Times New Roman"/>
          <w:sz w:val="24"/>
          <w:szCs w:val="24"/>
        </w:rPr>
        <w:lastRenderedPageBreak/>
        <w:t>pozwalającej na utrwalenie jej treści na trwałym nośniku, lub form</w:t>
      </w:r>
      <w:r w:rsidR="00047FF7">
        <w:rPr>
          <w:rFonts w:ascii="Times New Roman" w:hAnsi="Times New Roman" w:cs="Times New Roman"/>
          <w:sz w:val="24"/>
          <w:szCs w:val="24"/>
        </w:rPr>
        <w:t>y</w:t>
      </w:r>
      <w:r w:rsidR="00047FF7" w:rsidRPr="0084118B">
        <w:rPr>
          <w:rFonts w:ascii="Times New Roman" w:hAnsi="Times New Roman" w:cs="Times New Roman"/>
          <w:sz w:val="24"/>
          <w:szCs w:val="24"/>
        </w:rPr>
        <w:t xml:space="preserve"> dokumentowej pozwalającej na utrwalenie jej treści na trwałym nośniku</w:t>
      </w:r>
      <w:r w:rsidR="00047FF7">
        <w:rPr>
          <w:rFonts w:ascii="Times New Roman" w:hAnsi="Times New Roman" w:cs="Times New Roman"/>
          <w:sz w:val="24"/>
          <w:szCs w:val="24"/>
        </w:rPr>
        <w:t xml:space="preserve">. </w:t>
      </w:r>
      <w:r w:rsidR="00462659">
        <w:rPr>
          <w:rFonts w:ascii="Times New Roman" w:hAnsi="Times New Roman" w:cs="Times New Roman"/>
          <w:sz w:val="24"/>
          <w:szCs w:val="24"/>
        </w:rPr>
        <w:t>O</w:t>
      </w:r>
      <w:r w:rsidR="003C3189">
        <w:rPr>
          <w:rFonts w:ascii="Times New Roman" w:hAnsi="Times New Roman" w:cs="Times New Roman"/>
          <w:sz w:val="24"/>
          <w:szCs w:val="24"/>
        </w:rPr>
        <w:t>bowiązujące przepisy przewid</w:t>
      </w:r>
      <w:r w:rsidR="00462659">
        <w:rPr>
          <w:rFonts w:ascii="Times New Roman" w:hAnsi="Times New Roman" w:cs="Times New Roman"/>
          <w:sz w:val="24"/>
          <w:szCs w:val="24"/>
        </w:rPr>
        <w:t xml:space="preserve">ują </w:t>
      </w:r>
      <w:r w:rsidR="003C3189">
        <w:rPr>
          <w:rFonts w:ascii="Times New Roman" w:hAnsi="Times New Roman" w:cs="Times New Roman"/>
          <w:sz w:val="24"/>
          <w:szCs w:val="24"/>
        </w:rPr>
        <w:t>wprawdzie przy skł</w:t>
      </w:r>
      <w:r w:rsidR="008567EA">
        <w:rPr>
          <w:rFonts w:ascii="Times New Roman" w:hAnsi="Times New Roman" w:cs="Times New Roman"/>
          <w:sz w:val="24"/>
          <w:szCs w:val="24"/>
        </w:rPr>
        <w:t xml:space="preserve">adaniu ww. </w:t>
      </w:r>
      <w:r w:rsidR="003C3189">
        <w:rPr>
          <w:rFonts w:ascii="Times New Roman" w:hAnsi="Times New Roman" w:cs="Times New Roman"/>
          <w:sz w:val="24"/>
          <w:szCs w:val="24"/>
        </w:rPr>
        <w:t>zawiadomieni</w:t>
      </w:r>
      <w:r w:rsidR="008567EA">
        <w:rPr>
          <w:rFonts w:ascii="Times New Roman" w:hAnsi="Times New Roman" w:cs="Times New Roman"/>
          <w:sz w:val="24"/>
          <w:szCs w:val="24"/>
        </w:rPr>
        <w:t>a</w:t>
      </w:r>
      <w:r w:rsidR="003C3189">
        <w:rPr>
          <w:rFonts w:ascii="Times New Roman" w:hAnsi="Times New Roman" w:cs="Times New Roman"/>
          <w:sz w:val="24"/>
          <w:szCs w:val="24"/>
        </w:rPr>
        <w:t xml:space="preserve"> </w:t>
      </w:r>
      <w:r w:rsidR="008567EA">
        <w:rPr>
          <w:rFonts w:ascii="Times New Roman" w:hAnsi="Times New Roman" w:cs="Times New Roman"/>
          <w:sz w:val="24"/>
          <w:szCs w:val="24"/>
        </w:rPr>
        <w:t xml:space="preserve">o zmianie treści oświadczenia możliwość </w:t>
      </w:r>
      <w:r w:rsidR="00462659">
        <w:rPr>
          <w:rFonts w:ascii="Times New Roman" w:hAnsi="Times New Roman" w:cs="Times New Roman"/>
          <w:sz w:val="24"/>
          <w:szCs w:val="24"/>
        </w:rPr>
        <w:t>skorzystania ze</w:t>
      </w:r>
      <w:r w:rsidR="008567EA">
        <w:rPr>
          <w:rFonts w:ascii="Times New Roman" w:hAnsi="Times New Roman" w:cs="Times New Roman"/>
          <w:sz w:val="24"/>
          <w:szCs w:val="24"/>
        </w:rPr>
        <w:t xml:space="preserve"> środków komunikacji elektronicznej, jednakże uprawnienie to </w:t>
      </w:r>
      <w:r w:rsidR="00462659">
        <w:rPr>
          <w:rFonts w:ascii="Times New Roman" w:hAnsi="Times New Roman" w:cs="Times New Roman"/>
          <w:sz w:val="24"/>
          <w:szCs w:val="24"/>
        </w:rPr>
        <w:t>jest</w:t>
      </w:r>
      <w:r w:rsidR="008567EA">
        <w:rPr>
          <w:rFonts w:ascii="Times New Roman" w:hAnsi="Times New Roman" w:cs="Times New Roman"/>
          <w:sz w:val="24"/>
          <w:szCs w:val="24"/>
        </w:rPr>
        <w:t xml:space="preserve"> realizowane na wniosek członka otwartego funduszu emerytalnego. </w:t>
      </w:r>
      <w:r w:rsidR="00462659">
        <w:rPr>
          <w:rFonts w:ascii="Times New Roman" w:hAnsi="Times New Roman" w:cs="Times New Roman"/>
          <w:sz w:val="24"/>
          <w:szCs w:val="24"/>
        </w:rPr>
        <w:t xml:space="preserve">Poszerzenie katalogu dopuszczalnych form kontaktu oraz rezygnacja z trybu wnioskowego </w:t>
      </w:r>
      <w:r w:rsidR="008567EA">
        <w:rPr>
          <w:rFonts w:ascii="Times New Roman" w:hAnsi="Times New Roman" w:cs="Times New Roman"/>
          <w:sz w:val="24"/>
          <w:szCs w:val="24"/>
        </w:rPr>
        <w:t xml:space="preserve">zapewni zatem większą swobodę </w:t>
      </w:r>
      <w:r w:rsidR="00462659">
        <w:rPr>
          <w:rFonts w:ascii="Times New Roman" w:hAnsi="Times New Roman" w:cs="Times New Roman"/>
          <w:sz w:val="24"/>
          <w:szCs w:val="24"/>
        </w:rPr>
        <w:t>klientom OFE.</w:t>
      </w:r>
    </w:p>
    <w:p w14:paraId="35309FD5" w14:textId="56DD1D0E" w:rsidR="008B0BB5" w:rsidRDefault="008B0BB5" w:rsidP="001044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B5">
        <w:rPr>
          <w:rFonts w:ascii="Times New Roman" w:hAnsi="Times New Roman" w:cs="Times New Roman"/>
          <w:b/>
          <w:bCs/>
          <w:sz w:val="24"/>
          <w:szCs w:val="24"/>
        </w:rPr>
        <w:t xml:space="preserve">Zmiana brzmienia art. </w:t>
      </w:r>
      <w:r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Pr="008B0BB5">
        <w:rPr>
          <w:rFonts w:ascii="Times New Roman" w:hAnsi="Times New Roman" w:cs="Times New Roman"/>
          <w:b/>
          <w:bCs/>
          <w:sz w:val="24"/>
          <w:szCs w:val="24"/>
        </w:rPr>
        <w:t xml:space="preserve"> ustawy o </w:t>
      </w:r>
      <w:proofErr w:type="spellStart"/>
      <w:r w:rsidRPr="008B0BB5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Pr="008B0BB5">
        <w:rPr>
          <w:rFonts w:ascii="Times New Roman" w:hAnsi="Times New Roman" w:cs="Times New Roman"/>
          <w:b/>
          <w:bCs/>
          <w:sz w:val="24"/>
          <w:szCs w:val="24"/>
        </w:rPr>
        <w:t xml:space="preserve"> przez dodanie ust</w:t>
      </w:r>
      <w:r>
        <w:rPr>
          <w:rFonts w:ascii="Times New Roman" w:hAnsi="Times New Roman" w:cs="Times New Roman"/>
          <w:b/>
          <w:bCs/>
          <w:sz w:val="24"/>
          <w:szCs w:val="24"/>
        </w:rPr>
        <w:t>. 3a</w:t>
      </w:r>
      <w:r w:rsidR="00A32120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>3c</w:t>
      </w:r>
      <w:r w:rsidRPr="008B0BB5">
        <w:rPr>
          <w:rFonts w:ascii="Times New Roman" w:hAnsi="Times New Roman" w:cs="Times New Roman"/>
          <w:b/>
          <w:bCs/>
          <w:sz w:val="24"/>
          <w:szCs w:val="24"/>
        </w:rPr>
        <w:t xml:space="preserve"> (art. 1 pkt 8 projektowanej ustawy)</w:t>
      </w:r>
    </w:p>
    <w:p w14:paraId="09B9AD4E" w14:textId="3D2FFD87" w:rsidR="008B0BB5" w:rsidRPr="000624A6" w:rsidRDefault="008B0BB5" w:rsidP="004A5F49">
      <w:pPr>
        <w:autoSpaceDE w:val="0"/>
        <w:autoSpaceDN w:val="0"/>
        <w:adjustRightInd w:val="0"/>
        <w:spacing w:after="12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24A6">
        <w:rPr>
          <w:rFonts w:ascii="Times New Roman" w:hAnsi="Times New Roman" w:cs="Times New Roman"/>
          <w:sz w:val="24"/>
          <w:szCs w:val="24"/>
        </w:rPr>
        <w:t xml:space="preserve">Przedmiotowa zmiana jest powiązana z modyfikacją w zakresie art. 49 ustawy o </w:t>
      </w:r>
      <w:proofErr w:type="spellStart"/>
      <w:r w:rsidRPr="000624A6">
        <w:rPr>
          <w:rFonts w:ascii="Times New Roman" w:hAnsi="Times New Roman" w:cs="Times New Roman"/>
          <w:sz w:val="24"/>
          <w:szCs w:val="24"/>
        </w:rPr>
        <w:t>ofe</w:t>
      </w:r>
      <w:proofErr w:type="spellEnd"/>
      <w:r w:rsidR="000624A6" w:rsidRPr="000624A6">
        <w:rPr>
          <w:rFonts w:ascii="Times New Roman" w:hAnsi="Times New Roman" w:cs="Times New Roman"/>
          <w:sz w:val="24"/>
          <w:szCs w:val="24"/>
        </w:rPr>
        <w:t xml:space="preserve">, który </w:t>
      </w:r>
      <w:r w:rsidR="000624A6">
        <w:rPr>
          <w:rFonts w:ascii="Times New Roman" w:hAnsi="Times New Roman" w:cs="Times New Roman"/>
          <w:sz w:val="24"/>
          <w:szCs w:val="24"/>
        </w:rPr>
        <w:t>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0624A6" w:rsidRPr="000624A6">
        <w:rPr>
          <w:rFonts w:ascii="Times New Roman" w:hAnsi="Times New Roman" w:cs="Times New Roman"/>
          <w:sz w:val="24"/>
          <w:szCs w:val="24"/>
        </w:rPr>
        <w:t>zakresie przepisów dotyczących obowiązku zachowania tajemnicy zawodowej uwzględnia kwestie związane z podzleceniem czynności przez osobę trzecią</w:t>
      </w:r>
      <w:r w:rsidR="000624A6">
        <w:rPr>
          <w:rFonts w:ascii="Times New Roman" w:hAnsi="Times New Roman" w:cs="Times New Roman"/>
          <w:sz w:val="24"/>
          <w:szCs w:val="24"/>
        </w:rPr>
        <w:t xml:space="preserve"> (pkt 3 niniejszego uzasadnienia). Niniejszym projektem wprowadza się </w:t>
      </w:r>
      <w:r w:rsidR="000624A6" w:rsidRPr="000624A6">
        <w:rPr>
          <w:rFonts w:ascii="Times New Roman" w:hAnsi="Times New Roman" w:cs="Times New Roman"/>
          <w:sz w:val="24"/>
          <w:szCs w:val="24"/>
        </w:rPr>
        <w:t>możliwoś</w:t>
      </w:r>
      <w:r w:rsidR="000624A6">
        <w:rPr>
          <w:rFonts w:ascii="Times New Roman" w:hAnsi="Times New Roman" w:cs="Times New Roman"/>
          <w:sz w:val="24"/>
          <w:szCs w:val="24"/>
        </w:rPr>
        <w:t xml:space="preserve">ć </w:t>
      </w:r>
      <w:r w:rsidR="000624A6" w:rsidRPr="000624A6">
        <w:rPr>
          <w:rFonts w:ascii="Times New Roman" w:hAnsi="Times New Roman" w:cs="Times New Roman"/>
          <w:sz w:val="24"/>
          <w:szCs w:val="24"/>
        </w:rPr>
        <w:t xml:space="preserve">dalszego </w:t>
      </w:r>
      <w:r w:rsidR="000624A6">
        <w:rPr>
          <w:rFonts w:ascii="Times New Roman" w:hAnsi="Times New Roman" w:cs="Times New Roman"/>
          <w:sz w:val="24"/>
          <w:szCs w:val="24"/>
        </w:rPr>
        <w:t xml:space="preserve">podzlecania </w:t>
      </w:r>
      <w:r w:rsidR="00155103">
        <w:rPr>
          <w:rFonts w:ascii="Times New Roman" w:hAnsi="Times New Roman" w:cs="Times New Roman"/>
          <w:sz w:val="24"/>
          <w:szCs w:val="24"/>
        </w:rPr>
        <w:t xml:space="preserve">przez osobę trzecią </w:t>
      </w:r>
      <w:r w:rsidR="000624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24A6" w:rsidRPr="001044FD">
        <w:rPr>
          <w:rFonts w:ascii="Times New Roman" w:hAnsi="Times New Roman" w:cs="Times New Roman"/>
          <w:i/>
          <w:iCs/>
          <w:sz w:val="24"/>
          <w:szCs w:val="24"/>
        </w:rPr>
        <w:t>podoutsourcing</w:t>
      </w:r>
      <w:proofErr w:type="spellEnd"/>
      <w:r w:rsidR="000624A6">
        <w:rPr>
          <w:rFonts w:ascii="Times New Roman" w:hAnsi="Times New Roman" w:cs="Times New Roman"/>
          <w:sz w:val="24"/>
          <w:szCs w:val="24"/>
        </w:rPr>
        <w:t xml:space="preserve">) czynności wskazanych w art. 89 ustawy o </w:t>
      </w:r>
      <w:proofErr w:type="spellStart"/>
      <w:r w:rsidR="000624A6">
        <w:rPr>
          <w:rFonts w:ascii="Times New Roman" w:hAnsi="Times New Roman" w:cs="Times New Roman"/>
          <w:sz w:val="24"/>
          <w:szCs w:val="24"/>
        </w:rPr>
        <w:t>ofe</w:t>
      </w:r>
      <w:proofErr w:type="spellEnd"/>
      <w:r w:rsidR="000624A6">
        <w:rPr>
          <w:rFonts w:ascii="Times New Roman" w:hAnsi="Times New Roman" w:cs="Times New Roman"/>
          <w:sz w:val="24"/>
          <w:szCs w:val="24"/>
        </w:rPr>
        <w:t>, tj. w zakresie p</w:t>
      </w:r>
      <w:r w:rsidR="000624A6" w:rsidRPr="000624A6">
        <w:rPr>
          <w:rFonts w:ascii="Times New Roman" w:hAnsi="Times New Roman" w:cs="Times New Roman"/>
          <w:sz w:val="24"/>
          <w:szCs w:val="24"/>
        </w:rPr>
        <w:t>rowadzeni</w:t>
      </w:r>
      <w:r w:rsidR="000624A6">
        <w:rPr>
          <w:rFonts w:ascii="Times New Roman" w:hAnsi="Times New Roman" w:cs="Times New Roman"/>
          <w:sz w:val="24"/>
          <w:szCs w:val="24"/>
        </w:rPr>
        <w:t>a</w:t>
      </w:r>
      <w:r w:rsidR="000624A6" w:rsidRPr="000624A6">
        <w:rPr>
          <w:rFonts w:ascii="Times New Roman" w:hAnsi="Times New Roman" w:cs="Times New Roman"/>
          <w:sz w:val="24"/>
          <w:szCs w:val="24"/>
        </w:rPr>
        <w:t xml:space="preserve"> rejestru członków funduszu</w:t>
      </w:r>
      <w:r w:rsidR="000624A6">
        <w:rPr>
          <w:rFonts w:ascii="Times New Roman" w:hAnsi="Times New Roman" w:cs="Times New Roman"/>
          <w:sz w:val="24"/>
          <w:szCs w:val="24"/>
        </w:rPr>
        <w:t xml:space="preserve">. Z tego też względu zaprojektowano przepisy </w:t>
      </w:r>
      <w:r w:rsidR="000624A6" w:rsidRPr="000624A6">
        <w:rPr>
          <w:rFonts w:ascii="Times New Roman" w:hAnsi="Times New Roman" w:cs="Times New Roman"/>
          <w:sz w:val="24"/>
          <w:szCs w:val="24"/>
        </w:rPr>
        <w:t>dotyczące obowiązk</w:t>
      </w:r>
      <w:r w:rsidR="000624A6">
        <w:rPr>
          <w:rFonts w:ascii="Times New Roman" w:hAnsi="Times New Roman" w:cs="Times New Roman"/>
          <w:sz w:val="24"/>
          <w:szCs w:val="24"/>
        </w:rPr>
        <w:t>u</w:t>
      </w:r>
      <w:r w:rsidR="000624A6" w:rsidRPr="000624A6">
        <w:rPr>
          <w:rFonts w:ascii="Times New Roman" w:hAnsi="Times New Roman" w:cs="Times New Roman"/>
          <w:sz w:val="24"/>
          <w:szCs w:val="24"/>
        </w:rPr>
        <w:t xml:space="preserve"> uzyskania </w:t>
      </w:r>
      <w:r w:rsidR="00155103">
        <w:rPr>
          <w:rFonts w:ascii="Times New Roman" w:hAnsi="Times New Roman" w:cs="Times New Roman"/>
          <w:sz w:val="24"/>
          <w:szCs w:val="24"/>
        </w:rPr>
        <w:t xml:space="preserve">przez osobę trzecią </w:t>
      </w:r>
      <w:r w:rsidR="000624A6" w:rsidRPr="000624A6">
        <w:rPr>
          <w:rFonts w:ascii="Times New Roman" w:hAnsi="Times New Roman" w:cs="Times New Roman"/>
          <w:sz w:val="24"/>
          <w:szCs w:val="24"/>
        </w:rPr>
        <w:t xml:space="preserve">zgody </w:t>
      </w:r>
      <w:r w:rsidR="00155103">
        <w:rPr>
          <w:rFonts w:ascii="Times New Roman" w:hAnsi="Times New Roman" w:cs="Times New Roman"/>
          <w:sz w:val="24"/>
          <w:szCs w:val="24"/>
        </w:rPr>
        <w:t xml:space="preserve">funduszu i </w:t>
      </w:r>
      <w:r w:rsidR="000624A6" w:rsidRPr="000624A6">
        <w:rPr>
          <w:rFonts w:ascii="Times New Roman" w:hAnsi="Times New Roman" w:cs="Times New Roman"/>
          <w:sz w:val="24"/>
          <w:szCs w:val="24"/>
        </w:rPr>
        <w:t xml:space="preserve">towarzystwa na </w:t>
      </w:r>
      <w:proofErr w:type="spellStart"/>
      <w:r w:rsidR="000624A6" w:rsidRPr="001044FD">
        <w:rPr>
          <w:rFonts w:ascii="Times New Roman" w:hAnsi="Times New Roman" w:cs="Times New Roman"/>
          <w:i/>
          <w:iCs/>
          <w:sz w:val="24"/>
          <w:szCs w:val="24"/>
        </w:rPr>
        <w:t>podoutsourcing</w:t>
      </w:r>
      <w:proofErr w:type="spellEnd"/>
      <w:r w:rsidR="000624A6">
        <w:rPr>
          <w:rFonts w:ascii="Times New Roman" w:hAnsi="Times New Roman" w:cs="Times New Roman"/>
          <w:sz w:val="24"/>
          <w:szCs w:val="24"/>
        </w:rPr>
        <w:t>, jak również</w:t>
      </w:r>
      <w:r w:rsidR="000624A6" w:rsidRPr="000624A6">
        <w:rPr>
          <w:rFonts w:ascii="Times New Roman" w:hAnsi="Times New Roman" w:cs="Times New Roman"/>
          <w:sz w:val="24"/>
          <w:szCs w:val="24"/>
        </w:rPr>
        <w:t xml:space="preserve"> </w:t>
      </w:r>
      <w:r w:rsidR="00155103">
        <w:rPr>
          <w:rFonts w:ascii="Times New Roman" w:hAnsi="Times New Roman" w:cs="Times New Roman"/>
          <w:sz w:val="24"/>
          <w:szCs w:val="24"/>
        </w:rPr>
        <w:t xml:space="preserve">przepisy potwierdzające </w:t>
      </w:r>
      <w:r w:rsidR="000624A6" w:rsidRPr="000624A6">
        <w:rPr>
          <w:rFonts w:ascii="Times New Roman" w:hAnsi="Times New Roman" w:cs="Times New Roman"/>
          <w:sz w:val="24"/>
          <w:szCs w:val="24"/>
        </w:rPr>
        <w:t>odpowiedzialnoś</w:t>
      </w:r>
      <w:r w:rsidR="00155103">
        <w:rPr>
          <w:rFonts w:ascii="Times New Roman" w:hAnsi="Times New Roman" w:cs="Times New Roman"/>
          <w:sz w:val="24"/>
          <w:szCs w:val="24"/>
        </w:rPr>
        <w:t>ć</w:t>
      </w:r>
      <w:r w:rsidR="000624A6" w:rsidRPr="000624A6">
        <w:rPr>
          <w:rFonts w:ascii="Times New Roman" w:hAnsi="Times New Roman" w:cs="Times New Roman"/>
          <w:sz w:val="24"/>
          <w:szCs w:val="24"/>
        </w:rPr>
        <w:t xml:space="preserve"> </w:t>
      </w:r>
      <w:r w:rsidR="00155103">
        <w:rPr>
          <w:rFonts w:ascii="Times New Roman" w:hAnsi="Times New Roman" w:cs="Times New Roman"/>
          <w:sz w:val="24"/>
          <w:szCs w:val="24"/>
        </w:rPr>
        <w:t xml:space="preserve">towarzystwa </w:t>
      </w:r>
      <w:r w:rsidR="000624A6" w:rsidRPr="000624A6">
        <w:rPr>
          <w:rFonts w:ascii="Times New Roman" w:hAnsi="Times New Roman" w:cs="Times New Roman"/>
          <w:sz w:val="24"/>
          <w:szCs w:val="24"/>
        </w:rPr>
        <w:t xml:space="preserve">za prawidłowe wykonywanie </w:t>
      </w:r>
      <w:r w:rsidR="00155103">
        <w:rPr>
          <w:rFonts w:ascii="Times New Roman" w:hAnsi="Times New Roman" w:cs="Times New Roman"/>
          <w:sz w:val="24"/>
          <w:szCs w:val="24"/>
        </w:rPr>
        <w:t>powierzonych czynności</w:t>
      </w:r>
      <w:r w:rsidR="000624A6" w:rsidRPr="000624A6">
        <w:rPr>
          <w:rFonts w:ascii="Times New Roman" w:hAnsi="Times New Roman" w:cs="Times New Roman"/>
          <w:sz w:val="24"/>
          <w:szCs w:val="24"/>
        </w:rPr>
        <w:t>.</w:t>
      </w:r>
      <w:r w:rsidR="00155103">
        <w:rPr>
          <w:rFonts w:ascii="Times New Roman" w:hAnsi="Times New Roman" w:cs="Times New Roman"/>
          <w:sz w:val="24"/>
          <w:szCs w:val="24"/>
        </w:rPr>
        <w:t xml:space="preserve"> </w:t>
      </w:r>
      <w:r w:rsidR="001D00B1">
        <w:rPr>
          <w:rFonts w:ascii="Times New Roman" w:hAnsi="Times New Roman" w:cs="Times New Roman"/>
          <w:sz w:val="24"/>
          <w:szCs w:val="24"/>
        </w:rPr>
        <w:t>P</w:t>
      </w:r>
      <w:r w:rsidR="00155103" w:rsidRPr="00155103">
        <w:rPr>
          <w:rFonts w:ascii="Times New Roman" w:hAnsi="Times New Roman" w:cs="Times New Roman"/>
          <w:sz w:val="24"/>
          <w:szCs w:val="24"/>
        </w:rPr>
        <w:t>owierzeni</w:t>
      </w:r>
      <w:r w:rsidR="001D00B1">
        <w:rPr>
          <w:rFonts w:ascii="Times New Roman" w:hAnsi="Times New Roman" w:cs="Times New Roman"/>
          <w:sz w:val="24"/>
          <w:szCs w:val="24"/>
        </w:rPr>
        <w:t>e</w:t>
      </w:r>
      <w:r w:rsidR="00155103" w:rsidRPr="00155103">
        <w:rPr>
          <w:rFonts w:ascii="Times New Roman" w:hAnsi="Times New Roman" w:cs="Times New Roman"/>
          <w:sz w:val="24"/>
          <w:szCs w:val="24"/>
        </w:rPr>
        <w:t xml:space="preserve"> </w:t>
      </w:r>
      <w:r w:rsidR="001D00B1" w:rsidRPr="00155103">
        <w:rPr>
          <w:rFonts w:ascii="Times New Roman" w:hAnsi="Times New Roman" w:cs="Times New Roman"/>
          <w:sz w:val="24"/>
          <w:szCs w:val="24"/>
        </w:rPr>
        <w:t xml:space="preserve">wykonywania niektórych obowiązków </w:t>
      </w:r>
      <w:r w:rsidR="001D00B1">
        <w:rPr>
          <w:rFonts w:ascii="Times New Roman" w:hAnsi="Times New Roman" w:cs="Times New Roman"/>
          <w:sz w:val="24"/>
          <w:szCs w:val="24"/>
        </w:rPr>
        <w:t xml:space="preserve">związanych z prowadzeniem rejestru członków funduszu przez </w:t>
      </w:r>
      <w:r w:rsidR="00155103" w:rsidRPr="00155103">
        <w:rPr>
          <w:rFonts w:ascii="Times New Roman" w:hAnsi="Times New Roman" w:cs="Times New Roman"/>
          <w:sz w:val="24"/>
          <w:szCs w:val="24"/>
        </w:rPr>
        <w:t>osob</w:t>
      </w:r>
      <w:r w:rsidR="001D00B1">
        <w:rPr>
          <w:rFonts w:ascii="Times New Roman" w:hAnsi="Times New Roman" w:cs="Times New Roman"/>
          <w:sz w:val="24"/>
          <w:szCs w:val="24"/>
        </w:rPr>
        <w:t xml:space="preserve">ą trzecią innej osobie trzeciej </w:t>
      </w:r>
      <w:r w:rsidR="00155103" w:rsidRPr="00155103">
        <w:rPr>
          <w:rFonts w:ascii="Times New Roman" w:hAnsi="Times New Roman" w:cs="Times New Roman"/>
          <w:sz w:val="24"/>
          <w:szCs w:val="24"/>
        </w:rPr>
        <w:t>nie ogranicza odpowiedzialności towarzystwa</w:t>
      </w:r>
      <w:r w:rsidR="00155103">
        <w:rPr>
          <w:rFonts w:ascii="Times New Roman" w:hAnsi="Times New Roman" w:cs="Times New Roman"/>
          <w:sz w:val="24"/>
          <w:szCs w:val="24"/>
        </w:rPr>
        <w:t>.</w:t>
      </w:r>
    </w:p>
    <w:p w14:paraId="10FBE33A" w14:textId="751DFCFB" w:rsidR="00FC2D9E" w:rsidRPr="00B63D61" w:rsidRDefault="00FC2D9E" w:rsidP="00F45F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61">
        <w:rPr>
          <w:rFonts w:ascii="Times New Roman" w:hAnsi="Times New Roman" w:cs="Times New Roman"/>
          <w:b/>
          <w:bCs/>
          <w:sz w:val="24"/>
          <w:szCs w:val="24"/>
        </w:rPr>
        <w:t xml:space="preserve">Zmiana brzmienia art. 114 ust. 3 ustawy o </w:t>
      </w:r>
      <w:proofErr w:type="spellStart"/>
      <w:r w:rsidRPr="00B63D61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Pr="00B63D61">
        <w:rPr>
          <w:rFonts w:ascii="Times New Roman" w:hAnsi="Times New Roman" w:cs="Times New Roman"/>
          <w:b/>
          <w:bCs/>
          <w:sz w:val="24"/>
          <w:szCs w:val="24"/>
        </w:rPr>
        <w:t xml:space="preserve"> (art. 1 pkt </w:t>
      </w:r>
      <w:r w:rsidR="009B511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63D61">
        <w:rPr>
          <w:rFonts w:ascii="Times New Roman" w:hAnsi="Times New Roman" w:cs="Times New Roman"/>
          <w:b/>
          <w:bCs/>
          <w:sz w:val="24"/>
          <w:szCs w:val="24"/>
        </w:rPr>
        <w:t xml:space="preserve"> projektowanej ustawy)</w:t>
      </w:r>
    </w:p>
    <w:p w14:paraId="2A48D926" w14:textId="3FD3BE53" w:rsidR="00FC2D9E" w:rsidRPr="00B63D61" w:rsidRDefault="00FC2D9E" w:rsidP="004A5F49">
      <w:pPr>
        <w:autoSpaceDE w:val="0"/>
        <w:autoSpaceDN w:val="0"/>
        <w:adjustRightInd w:val="0"/>
        <w:spacing w:after="12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63D61">
        <w:rPr>
          <w:rFonts w:ascii="Times New Roman" w:hAnsi="Times New Roman" w:cs="Times New Roman"/>
          <w:sz w:val="24"/>
          <w:szCs w:val="24"/>
        </w:rPr>
        <w:t xml:space="preserve">Przedmiotowa zmiana ma na celu </w:t>
      </w:r>
      <w:r w:rsidR="009B5110">
        <w:rPr>
          <w:rFonts w:ascii="Times New Roman" w:hAnsi="Times New Roman" w:cs="Times New Roman"/>
          <w:sz w:val="24"/>
          <w:szCs w:val="24"/>
        </w:rPr>
        <w:t xml:space="preserve">rozszerzenie katalogu dopuszczalnych form, w których członek funduszu może żądać wypłaty środków. </w:t>
      </w:r>
      <w:r w:rsidR="009935FE" w:rsidRPr="00B63D61">
        <w:rPr>
          <w:rFonts w:ascii="Times New Roman" w:hAnsi="Times New Roman" w:cs="Times New Roman"/>
          <w:sz w:val="24"/>
          <w:szCs w:val="24"/>
        </w:rPr>
        <w:t>Propozycja ma charakter porządkujący</w:t>
      </w:r>
      <w:r w:rsidR="009B5110">
        <w:rPr>
          <w:rFonts w:ascii="Times New Roman" w:hAnsi="Times New Roman" w:cs="Times New Roman"/>
          <w:sz w:val="24"/>
          <w:szCs w:val="24"/>
        </w:rPr>
        <w:t xml:space="preserve"> i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9B5110">
        <w:rPr>
          <w:rFonts w:ascii="Times New Roman" w:hAnsi="Times New Roman" w:cs="Times New Roman"/>
          <w:sz w:val="24"/>
          <w:szCs w:val="24"/>
        </w:rPr>
        <w:t>usprawniający wymianę korespondencji, tj. wprowadza w tym zakresie obok formy pisemnej również formę elektroniczną pozwalającą na utrwalenie jej treści na trwałym nośniku</w:t>
      </w:r>
      <w:r w:rsidR="009935FE" w:rsidRPr="00B63D61">
        <w:rPr>
          <w:rFonts w:ascii="Times New Roman" w:hAnsi="Times New Roman" w:cs="Times New Roman"/>
          <w:sz w:val="24"/>
          <w:szCs w:val="24"/>
        </w:rPr>
        <w:t>.</w:t>
      </w:r>
    </w:p>
    <w:p w14:paraId="1DBA8618" w14:textId="39393D8F" w:rsidR="00D30874" w:rsidRPr="004A5F49" w:rsidRDefault="00807E64" w:rsidP="00F45F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Zmiana </w:t>
      </w:r>
      <w:r w:rsidR="006D7431" w:rsidRPr="00BE678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D7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132 ust. 4 ustawy o </w:t>
      </w:r>
      <w:proofErr w:type="spellStart"/>
      <w:r w:rsidRPr="004A5F49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="00D30874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(art. 1 pkt </w:t>
      </w:r>
      <w:r w:rsidR="00302D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1E3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30874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projektowanej ustawy)</w:t>
      </w:r>
    </w:p>
    <w:p w14:paraId="1F947524" w14:textId="63FB74C2" w:rsidR="00FD6C55" w:rsidRPr="004A5F49" w:rsidRDefault="007A1C84" w:rsidP="00EF7712">
      <w:pPr>
        <w:spacing w:after="120"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D6C55" w:rsidRPr="00FD6C55">
        <w:rPr>
          <w:rFonts w:ascii="Times New Roman" w:hAnsi="Times New Roman" w:cs="Times New Roman"/>
          <w:sz w:val="24"/>
          <w:szCs w:val="24"/>
        </w:rPr>
        <w:t xml:space="preserve"> celach porządkowych i usprawniających wymianę korespondencji </w:t>
      </w:r>
      <w:r w:rsidR="009207B9" w:rsidRPr="00FD6C55">
        <w:rPr>
          <w:rFonts w:ascii="Times New Roman" w:hAnsi="Times New Roman" w:cs="Times New Roman"/>
          <w:sz w:val="24"/>
          <w:szCs w:val="24"/>
        </w:rPr>
        <w:t xml:space="preserve">został </w:t>
      </w:r>
      <w:r w:rsidR="00FD6C55" w:rsidRPr="00FD6C55">
        <w:rPr>
          <w:rFonts w:ascii="Times New Roman" w:hAnsi="Times New Roman" w:cs="Times New Roman"/>
          <w:sz w:val="24"/>
          <w:szCs w:val="24"/>
        </w:rPr>
        <w:t>zaproponowany rozszerzony katalog form, w których osoba uprawniona może żądać wypłaty pośmiertnej przez dodanie obok formy pisemnej również formy elektronicznej pozwalającej na utrwalenie jej treści na trwałym nośniku</w:t>
      </w:r>
      <w:r w:rsidR="00FD6C55">
        <w:rPr>
          <w:rFonts w:ascii="Times New Roman" w:hAnsi="Times New Roman" w:cs="Times New Roman"/>
          <w:sz w:val="24"/>
          <w:szCs w:val="24"/>
        </w:rPr>
        <w:t>.</w:t>
      </w:r>
    </w:p>
    <w:p w14:paraId="4BE8D988" w14:textId="65CF29AE" w:rsidR="002255FA" w:rsidRPr="00BE6780" w:rsidRDefault="002255FA" w:rsidP="00F2518E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57" w:hanging="357"/>
        <w:contextualSpacing w:val="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7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Zmiana brzmienia art. 137 ustawy o </w:t>
      </w:r>
      <w:proofErr w:type="spellStart"/>
      <w:r w:rsidRPr="00BE6780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Pr="00BE6780">
        <w:rPr>
          <w:rFonts w:ascii="Times New Roman" w:hAnsi="Times New Roman" w:cs="Times New Roman"/>
          <w:b/>
          <w:bCs/>
          <w:sz w:val="24"/>
          <w:szCs w:val="24"/>
        </w:rPr>
        <w:t xml:space="preserve"> przez dodanie ust. 4</w:t>
      </w:r>
      <w:r w:rsidR="006D743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E67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30874" w:rsidRPr="00BE6780">
        <w:rPr>
          <w:rFonts w:ascii="Times New Roman" w:hAnsi="Times New Roman" w:cs="Times New Roman"/>
          <w:b/>
          <w:bCs/>
          <w:sz w:val="24"/>
          <w:szCs w:val="24"/>
        </w:rPr>
        <w:t xml:space="preserve"> (art. 1 pkt 1</w:t>
      </w:r>
      <w:r w:rsidR="002F0D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30874" w:rsidRPr="00BE6780">
        <w:rPr>
          <w:rFonts w:ascii="Times New Roman" w:hAnsi="Times New Roman" w:cs="Times New Roman"/>
          <w:b/>
          <w:bCs/>
          <w:sz w:val="24"/>
          <w:szCs w:val="24"/>
        </w:rPr>
        <w:t xml:space="preserve"> projektowanej ustawy)</w:t>
      </w:r>
    </w:p>
    <w:p w14:paraId="3EEE1DA8" w14:textId="046F920F" w:rsidR="002255FA" w:rsidRDefault="00EA316B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80">
        <w:rPr>
          <w:rFonts w:ascii="Times New Roman" w:hAnsi="Times New Roman" w:cs="Times New Roman"/>
          <w:sz w:val="24"/>
          <w:szCs w:val="24"/>
        </w:rPr>
        <w:t xml:space="preserve">Zmiana </w:t>
      </w:r>
      <w:r w:rsidR="002255FA" w:rsidRPr="00BE6780">
        <w:rPr>
          <w:rFonts w:ascii="Times New Roman" w:hAnsi="Times New Roman" w:cs="Times New Roman"/>
          <w:sz w:val="24"/>
          <w:szCs w:val="24"/>
        </w:rPr>
        <w:t xml:space="preserve">brzmienia przepisu art. 137 </w:t>
      </w:r>
      <w:r w:rsidRPr="00BE6780">
        <w:rPr>
          <w:rFonts w:ascii="Times New Roman" w:hAnsi="Times New Roman" w:cs="Times New Roman"/>
          <w:sz w:val="24"/>
          <w:szCs w:val="24"/>
        </w:rPr>
        <w:t>ma</w:t>
      </w:r>
      <w:r w:rsidR="002255FA" w:rsidRPr="00BE6780">
        <w:rPr>
          <w:rFonts w:ascii="Times New Roman" w:hAnsi="Times New Roman" w:cs="Times New Roman"/>
          <w:sz w:val="24"/>
          <w:szCs w:val="24"/>
        </w:rPr>
        <w:t xml:space="preserve"> </w:t>
      </w:r>
      <w:r w:rsidR="00DB19E6" w:rsidRPr="00BE6780">
        <w:rPr>
          <w:rFonts w:ascii="Times New Roman" w:hAnsi="Times New Roman" w:cs="Times New Roman"/>
          <w:sz w:val="24"/>
          <w:szCs w:val="24"/>
        </w:rPr>
        <w:t>na celu umożliwi</w:t>
      </w:r>
      <w:r w:rsidR="0044608B">
        <w:rPr>
          <w:rFonts w:ascii="Times New Roman" w:hAnsi="Times New Roman" w:cs="Times New Roman"/>
          <w:sz w:val="24"/>
          <w:szCs w:val="24"/>
        </w:rPr>
        <w:t>enie</w:t>
      </w:r>
      <w:r w:rsidR="00DB19E6" w:rsidRPr="00BE6780">
        <w:rPr>
          <w:rFonts w:ascii="Times New Roman" w:hAnsi="Times New Roman" w:cs="Times New Roman"/>
          <w:sz w:val="24"/>
          <w:szCs w:val="24"/>
        </w:rPr>
        <w:t xml:space="preserve"> ponoszeni</w:t>
      </w:r>
      <w:r w:rsidR="0044608B">
        <w:rPr>
          <w:rFonts w:ascii="Times New Roman" w:hAnsi="Times New Roman" w:cs="Times New Roman"/>
          <w:sz w:val="24"/>
          <w:szCs w:val="24"/>
        </w:rPr>
        <w:t>a</w:t>
      </w:r>
      <w:r w:rsidR="00DB19E6" w:rsidRPr="00BE6780">
        <w:rPr>
          <w:rFonts w:ascii="Times New Roman" w:hAnsi="Times New Roman" w:cs="Times New Roman"/>
          <w:sz w:val="24"/>
          <w:szCs w:val="24"/>
        </w:rPr>
        <w:t xml:space="preserve"> przez </w:t>
      </w:r>
      <w:r w:rsidR="002255FA" w:rsidRPr="00BE6780">
        <w:rPr>
          <w:rFonts w:ascii="Times New Roman" w:hAnsi="Times New Roman" w:cs="Times New Roman"/>
          <w:sz w:val="24"/>
          <w:szCs w:val="24"/>
        </w:rPr>
        <w:t>fundusz emerytalny</w:t>
      </w:r>
      <w:r w:rsidR="000C3AB6" w:rsidRPr="00BE6780">
        <w:rPr>
          <w:rFonts w:ascii="Times New Roman" w:hAnsi="Times New Roman" w:cs="Times New Roman"/>
          <w:sz w:val="24"/>
          <w:szCs w:val="24"/>
        </w:rPr>
        <w:t xml:space="preserve"> </w:t>
      </w:r>
      <w:r w:rsidR="00DB19E6" w:rsidRPr="00BE6780">
        <w:rPr>
          <w:rFonts w:ascii="Times New Roman" w:hAnsi="Times New Roman" w:cs="Times New Roman"/>
          <w:sz w:val="24"/>
          <w:szCs w:val="24"/>
        </w:rPr>
        <w:t>wydatków</w:t>
      </w:r>
      <w:r w:rsidR="000C3AB6" w:rsidRPr="00BE6780">
        <w:rPr>
          <w:rFonts w:ascii="Times New Roman" w:hAnsi="Times New Roman" w:cs="Times New Roman"/>
          <w:sz w:val="24"/>
          <w:szCs w:val="24"/>
        </w:rPr>
        <w:t xml:space="preserve"> </w:t>
      </w:r>
      <w:r w:rsidR="000C3AB6">
        <w:rPr>
          <w:rFonts w:ascii="Times New Roman" w:hAnsi="Times New Roman" w:cs="Times New Roman"/>
          <w:sz w:val="24"/>
          <w:szCs w:val="24"/>
        </w:rPr>
        <w:t>towarzystw</w:t>
      </w:r>
      <w:r w:rsidR="00DB19E6">
        <w:rPr>
          <w:rFonts w:ascii="Times New Roman" w:hAnsi="Times New Roman" w:cs="Times New Roman"/>
          <w:sz w:val="24"/>
          <w:szCs w:val="24"/>
        </w:rPr>
        <w:t>a</w:t>
      </w:r>
      <w:r w:rsidR="000C3AB6">
        <w:rPr>
          <w:rFonts w:ascii="Times New Roman" w:hAnsi="Times New Roman" w:cs="Times New Roman"/>
          <w:sz w:val="24"/>
          <w:szCs w:val="24"/>
        </w:rPr>
        <w:t xml:space="preserve"> emerytalne</w:t>
      </w:r>
      <w:r w:rsidR="00DB19E6">
        <w:rPr>
          <w:rFonts w:ascii="Times New Roman" w:hAnsi="Times New Roman" w:cs="Times New Roman"/>
          <w:sz w:val="24"/>
          <w:szCs w:val="24"/>
        </w:rPr>
        <w:t>go</w:t>
      </w:r>
      <w:r w:rsidR="000C3AB6">
        <w:rPr>
          <w:rFonts w:ascii="Times New Roman" w:hAnsi="Times New Roman" w:cs="Times New Roman"/>
          <w:sz w:val="24"/>
          <w:szCs w:val="24"/>
        </w:rPr>
        <w:t xml:space="preserve"> </w:t>
      </w:r>
      <w:r w:rsidR="00DB19E6">
        <w:rPr>
          <w:rFonts w:ascii="Times New Roman" w:hAnsi="Times New Roman" w:cs="Times New Roman"/>
          <w:sz w:val="24"/>
          <w:szCs w:val="24"/>
        </w:rPr>
        <w:t>związanych z opłaceniem k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osztów </w:t>
      </w:r>
      <w:r w:rsidR="000C3AB6">
        <w:rPr>
          <w:rFonts w:ascii="Times New Roman" w:hAnsi="Times New Roman" w:cs="Times New Roman"/>
          <w:sz w:val="24"/>
          <w:szCs w:val="24"/>
        </w:rPr>
        <w:t xml:space="preserve">procesu, 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w tym </w:t>
      </w:r>
      <w:r w:rsidR="00DB19E6">
        <w:rPr>
          <w:rFonts w:ascii="Times New Roman" w:hAnsi="Times New Roman" w:cs="Times New Roman"/>
          <w:sz w:val="24"/>
          <w:szCs w:val="24"/>
        </w:rPr>
        <w:t>k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osztów zastępstwa procesowego, </w:t>
      </w:r>
      <w:r w:rsidR="000C3AB6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2255FA" w:rsidRPr="004A5F49">
        <w:rPr>
          <w:rFonts w:ascii="Times New Roman" w:hAnsi="Times New Roman" w:cs="Times New Roman"/>
          <w:sz w:val="24"/>
          <w:szCs w:val="24"/>
        </w:rPr>
        <w:t>w wyroku sądowym lub w zawartej przez fundusz emerytalny umowie z profesjonalnym pełnomocnikiem</w:t>
      </w:r>
      <w:r w:rsidR="00766F92">
        <w:rPr>
          <w:rFonts w:ascii="Times New Roman" w:hAnsi="Times New Roman" w:cs="Times New Roman"/>
          <w:sz w:val="24"/>
          <w:szCs w:val="24"/>
        </w:rPr>
        <w:t xml:space="preserve"> </w:t>
      </w:r>
      <w:r w:rsidR="002255FA" w:rsidRPr="004A5F49">
        <w:rPr>
          <w:rFonts w:ascii="Times New Roman" w:hAnsi="Times New Roman" w:cs="Times New Roman"/>
          <w:sz w:val="24"/>
          <w:szCs w:val="24"/>
        </w:rPr>
        <w:t xml:space="preserve">reprezentującym fundusz </w:t>
      </w:r>
      <w:r w:rsidR="00EE7FD6" w:rsidRPr="004A5F49">
        <w:rPr>
          <w:rFonts w:ascii="Times New Roman" w:hAnsi="Times New Roman" w:cs="Times New Roman"/>
          <w:sz w:val="24"/>
          <w:szCs w:val="24"/>
        </w:rPr>
        <w:t>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2255FA" w:rsidRPr="004A5F49">
        <w:rPr>
          <w:rFonts w:ascii="Times New Roman" w:hAnsi="Times New Roman" w:cs="Times New Roman"/>
          <w:sz w:val="24"/>
          <w:szCs w:val="24"/>
        </w:rPr>
        <w:t>postępowaniu sądowym</w:t>
      </w:r>
      <w:r w:rsidR="000C3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F49B69" w14:textId="45CD8746" w:rsidR="00901F55" w:rsidRPr="00901F55" w:rsidRDefault="00592960" w:rsidP="00901F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Proponowana nowelizacja</w:t>
      </w:r>
      <w:r w:rsidR="003B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wynika z faktu, że f</w:t>
      </w:r>
      <w:r w:rsidR="00901F55" w:rsidRPr="00901F55">
        <w:rPr>
          <w:rFonts w:ascii="Times New Roman" w:hAnsi="Times New Roman" w:cs="Times New Roman"/>
          <w:sz w:val="24"/>
          <w:szCs w:val="24"/>
        </w:rPr>
        <w:t>undusze emerytalne, zarówno otwarte, jak i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dobrowolne, z uwagi na określone w ustawie o </w:t>
      </w:r>
      <w:proofErr w:type="spellStart"/>
      <w:r w:rsidR="00901F55" w:rsidRPr="00901F55">
        <w:rPr>
          <w:rFonts w:ascii="Times New Roman" w:hAnsi="Times New Roman" w:cs="Times New Roman"/>
          <w:sz w:val="24"/>
          <w:szCs w:val="24"/>
        </w:rPr>
        <w:t>ofe</w:t>
      </w:r>
      <w:proofErr w:type="spellEnd"/>
      <w:r w:rsidR="00901F55" w:rsidRPr="00901F55">
        <w:rPr>
          <w:rFonts w:ascii="Times New Roman" w:hAnsi="Times New Roman" w:cs="Times New Roman"/>
          <w:sz w:val="24"/>
          <w:szCs w:val="24"/>
        </w:rPr>
        <w:t xml:space="preserve"> zasady inwestowania, posiadają 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901F55" w:rsidRPr="00901F55">
        <w:rPr>
          <w:rFonts w:ascii="Times New Roman" w:hAnsi="Times New Roman" w:cs="Times New Roman"/>
          <w:sz w:val="24"/>
          <w:szCs w:val="24"/>
        </w:rPr>
        <w:t>portfelach znaczne ilości akcji (średnia alokacja akcji dla OFE wynosi ok. 90%, dla DFE 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901F55" w:rsidRPr="00901F55">
        <w:rPr>
          <w:rFonts w:ascii="Times New Roman" w:hAnsi="Times New Roman" w:cs="Times New Roman"/>
          <w:sz w:val="24"/>
          <w:szCs w:val="24"/>
        </w:rPr>
        <w:t>przedziale 50</w:t>
      </w:r>
      <w:r w:rsidR="009207B9">
        <w:rPr>
          <w:rFonts w:ascii="Times New Roman" w:hAnsi="Times New Roman" w:cs="Times New Roman"/>
          <w:sz w:val="24"/>
          <w:szCs w:val="24"/>
        </w:rPr>
        <w:t>–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60% składu portfeli). Tym samym OFE </w:t>
      </w:r>
      <w:r w:rsidR="009207B9" w:rsidRPr="00901F55">
        <w:rPr>
          <w:rFonts w:ascii="Times New Roman" w:hAnsi="Times New Roman" w:cs="Times New Roman"/>
          <w:sz w:val="24"/>
          <w:szCs w:val="24"/>
        </w:rPr>
        <w:t xml:space="preserve">są 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traktowane w kategorii funduszy akcyjnych, zaś DFE jako mieszane/zrównoważone. Oczekuje się, że zaangażowanie funduszu emerytalnego nie powinno sprowadzać się tylko do zaangażowania kapitałowego (jako pasywnego inwestora), ale </w:t>
      </w:r>
      <w:r w:rsidR="00901F55">
        <w:rPr>
          <w:rFonts w:ascii="Times New Roman" w:hAnsi="Times New Roman" w:cs="Times New Roman"/>
          <w:sz w:val="24"/>
          <w:szCs w:val="24"/>
        </w:rPr>
        <w:t>wyrażać się również przez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aktywn</w:t>
      </w:r>
      <w:r w:rsidR="00901F55">
        <w:rPr>
          <w:rFonts w:ascii="Times New Roman" w:hAnsi="Times New Roman" w:cs="Times New Roman"/>
          <w:sz w:val="24"/>
          <w:szCs w:val="24"/>
        </w:rPr>
        <w:t xml:space="preserve">ą </w:t>
      </w:r>
      <w:r w:rsidR="00901F55" w:rsidRPr="00901F55">
        <w:rPr>
          <w:rFonts w:ascii="Times New Roman" w:hAnsi="Times New Roman" w:cs="Times New Roman"/>
          <w:sz w:val="24"/>
          <w:szCs w:val="24"/>
        </w:rPr>
        <w:t>realiz</w:t>
      </w:r>
      <w:r w:rsidR="00901F55">
        <w:rPr>
          <w:rFonts w:ascii="Times New Roman" w:hAnsi="Times New Roman" w:cs="Times New Roman"/>
          <w:sz w:val="24"/>
          <w:szCs w:val="24"/>
        </w:rPr>
        <w:t xml:space="preserve">ację i egzekwowanie </w:t>
      </w:r>
      <w:r w:rsidR="00901F55" w:rsidRPr="00901F55">
        <w:rPr>
          <w:rFonts w:ascii="Times New Roman" w:hAnsi="Times New Roman" w:cs="Times New Roman"/>
          <w:sz w:val="24"/>
          <w:szCs w:val="24"/>
        </w:rPr>
        <w:t>praw akcjonariusza</w:t>
      </w:r>
      <w:r w:rsidR="00901F55">
        <w:rPr>
          <w:rFonts w:ascii="Times New Roman" w:hAnsi="Times New Roman" w:cs="Times New Roman"/>
          <w:sz w:val="24"/>
          <w:szCs w:val="24"/>
        </w:rPr>
        <w:t>. W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związku z </w:t>
      </w:r>
      <w:r w:rsidR="00901F55">
        <w:rPr>
          <w:rFonts w:ascii="Times New Roman" w:hAnsi="Times New Roman" w:cs="Times New Roman"/>
          <w:sz w:val="24"/>
          <w:szCs w:val="24"/>
        </w:rPr>
        <w:t>tym f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undusz emerytalny powinien „korzystać z dostępnych środków nadzoru korporacyjnego nad podmiotami </w:t>
      </w:r>
      <w:r w:rsidR="00901F55">
        <w:rPr>
          <w:rFonts w:ascii="Times New Roman" w:hAnsi="Times New Roman" w:cs="Times New Roman"/>
          <w:sz w:val="24"/>
          <w:szCs w:val="24"/>
        </w:rPr>
        <w:t>–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emitentami papierów wartościowych będących przedmiotem zarządzania, w szczególności, gdy poziom zaangażowania w papiery wartościowe jest znaczny lub wymaga tego ochrona interesów klienta” (§ 54 ust. 1 „Zasad Ładu Korporacyjnego dla Instytucji Nadzorowanych” wydanych przez Komisję Nadzoru Finansowego). Korzystanie z praw właścicielskich jest istotną częścią procesu inwestycyjnego funduszu emerytalnego. Podstawowy sposób aktywnego wykonywania praw</w:t>
      </w:r>
      <w:r w:rsidR="005D19CF">
        <w:rPr>
          <w:rFonts w:ascii="Times New Roman" w:hAnsi="Times New Roman" w:cs="Times New Roman"/>
          <w:sz w:val="24"/>
          <w:szCs w:val="24"/>
        </w:rPr>
        <w:t>a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własności przez fundusz emerytalny zarządzany przez </w:t>
      </w:r>
      <w:r w:rsidR="006B0D61">
        <w:rPr>
          <w:rFonts w:ascii="Times New Roman" w:hAnsi="Times New Roman" w:cs="Times New Roman"/>
          <w:sz w:val="24"/>
          <w:szCs w:val="24"/>
        </w:rPr>
        <w:t>PTE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polega na wykonywaniu praw</w:t>
      </w:r>
      <w:r w:rsidR="005D19CF">
        <w:rPr>
          <w:rFonts w:ascii="Times New Roman" w:hAnsi="Times New Roman" w:cs="Times New Roman"/>
          <w:sz w:val="24"/>
          <w:szCs w:val="24"/>
        </w:rPr>
        <w:t>a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głosu na walnych zgromadzeniach spółek, w których fundusz posiada akcje. Realizując powyższe </w:t>
      </w:r>
      <w:r w:rsidR="005D19CF">
        <w:rPr>
          <w:rFonts w:ascii="Times New Roman" w:hAnsi="Times New Roman" w:cs="Times New Roman"/>
          <w:sz w:val="24"/>
          <w:szCs w:val="24"/>
        </w:rPr>
        <w:t>kompetencje</w:t>
      </w:r>
      <w:r w:rsidR="0044608B">
        <w:rPr>
          <w:rFonts w:ascii="Times New Roman" w:hAnsi="Times New Roman" w:cs="Times New Roman"/>
          <w:sz w:val="24"/>
          <w:szCs w:val="24"/>
        </w:rPr>
        <w:t>,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fundusz emerytalny </w:t>
      </w:r>
      <w:r w:rsidR="0044608B" w:rsidRPr="00901F55">
        <w:rPr>
          <w:rFonts w:ascii="Times New Roman" w:hAnsi="Times New Roman" w:cs="Times New Roman"/>
          <w:sz w:val="24"/>
          <w:szCs w:val="24"/>
        </w:rPr>
        <w:t xml:space="preserve">jest </w:t>
      </w:r>
      <w:r w:rsidR="00901F55" w:rsidRPr="00901F55">
        <w:rPr>
          <w:rFonts w:ascii="Times New Roman" w:hAnsi="Times New Roman" w:cs="Times New Roman"/>
          <w:sz w:val="24"/>
          <w:szCs w:val="24"/>
        </w:rPr>
        <w:t>zobligowany korzystać z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przysługujących mu uprawnień, w tym określonych w art. 422 § 1 </w:t>
      </w:r>
      <w:r w:rsidR="005D19CF">
        <w:rPr>
          <w:rFonts w:ascii="Times New Roman" w:hAnsi="Times New Roman" w:cs="Times New Roman"/>
          <w:sz w:val="24"/>
          <w:szCs w:val="24"/>
        </w:rPr>
        <w:t xml:space="preserve">ustawy z dnia 15 września 2000 r. – </w:t>
      </w:r>
      <w:r w:rsidR="00901F55" w:rsidRPr="00901F55">
        <w:rPr>
          <w:rFonts w:ascii="Times New Roman" w:hAnsi="Times New Roman" w:cs="Times New Roman"/>
          <w:sz w:val="24"/>
          <w:szCs w:val="24"/>
        </w:rPr>
        <w:t>Kodeks spółek handlowych</w:t>
      </w:r>
      <w:r w:rsidR="005D19CF">
        <w:rPr>
          <w:rFonts w:ascii="Times New Roman" w:hAnsi="Times New Roman" w:cs="Times New Roman"/>
          <w:sz w:val="24"/>
          <w:szCs w:val="24"/>
        </w:rPr>
        <w:t xml:space="preserve"> (Dz. U. z 2024 r. poz. 18</w:t>
      </w:r>
      <w:r w:rsidR="00A32120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A321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32120">
        <w:rPr>
          <w:rFonts w:ascii="Times New Roman" w:hAnsi="Times New Roman" w:cs="Times New Roman"/>
          <w:sz w:val="24"/>
          <w:szCs w:val="24"/>
        </w:rPr>
        <w:t>. zm.</w:t>
      </w:r>
      <w:r w:rsidR="005D19CF">
        <w:rPr>
          <w:rFonts w:ascii="Times New Roman" w:hAnsi="Times New Roman" w:cs="Times New Roman"/>
          <w:sz w:val="24"/>
          <w:szCs w:val="24"/>
        </w:rPr>
        <w:t xml:space="preserve">) – dalej </w:t>
      </w:r>
      <w:r w:rsidR="00154BF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D19CF">
        <w:rPr>
          <w:rFonts w:ascii="Times New Roman" w:hAnsi="Times New Roman" w:cs="Times New Roman"/>
          <w:sz w:val="24"/>
          <w:szCs w:val="24"/>
        </w:rPr>
        <w:t>k.s.h</w:t>
      </w:r>
      <w:proofErr w:type="spellEnd"/>
      <w:r w:rsidR="005D19CF">
        <w:rPr>
          <w:rFonts w:ascii="Times New Roman" w:hAnsi="Times New Roman" w:cs="Times New Roman"/>
          <w:sz w:val="24"/>
          <w:szCs w:val="24"/>
        </w:rPr>
        <w:t>.</w:t>
      </w:r>
      <w:r w:rsidR="00154BFE">
        <w:rPr>
          <w:rFonts w:ascii="Times New Roman" w:hAnsi="Times New Roman" w:cs="Times New Roman"/>
          <w:sz w:val="24"/>
          <w:szCs w:val="24"/>
        </w:rPr>
        <w:t>”.</w:t>
      </w:r>
      <w:r w:rsidR="005D19CF">
        <w:rPr>
          <w:rFonts w:ascii="Times New Roman" w:hAnsi="Times New Roman" w:cs="Times New Roman"/>
          <w:sz w:val="24"/>
          <w:szCs w:val="24"/>
        </w:rPr>
        <w:t xml:space="preserve"> 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5D19CF">
        <w:rPr>
          <w:rFonts w:ascii="Times New Roman" w:hAnsi="Times New Roman" w:cs="Times New Roman"/>
          <w:sz w:val="24"/>
          <w:szCs w:val="24"/>
        </w:rPr>
        <w:t xml:space="preserve">sytuacji gdy </w:t>
      </w:r>
      <w:r w:rsidR="00901F55" w:rsidRPr="00901F55">
        <w:rPr>
          <w:rFonts w:ascii="Times New Roman" w:hAnsi="Times New Roman" w:cs="Times New Roman"/>
          <w:sz w:val="24"/>
          <w:szCs w:val="24"/>
        </w:rPr>
        <w:t>uchwała walnego zgromadzenia jest sprzeczna ze statutem bądź dobrymi obyczajami</w:t>
      </w:r>
      <w:r w:rsidR="005D19CF">
        <w:rPr>
          <w:rFonts w:ascii="Times New Roman" w:hAnsi="Times New Roman" w:cs="Times New Roman"/>
          <w:sz w:val="24"/>
          <w:szCs w:val="24"/>
        </w:rPr>
        <w:t xml:space="preserve"> i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godząca w interes spółki lub mająca na celu pokrzywdzenie akcjonariusza</w:t>
      </w:r>
      <w:r w:rsidR="005D19CF">
        <w:rPr>
          <w:rFonts w:ascii="Times New Roman" w:hAnsi="Times New Roman" w:cs="Times New Roman"/>
          <w:sz w:val="24"/>
          <w:szCs w:val="24"/>
        </w:rPr>
        <w:t xml:space="preserve">, wówczas </w:t>
      </w:r>
      <w:r w:rsidR="00901F55" w:rsidRPr="00901F55">
        <w:rPr>
          <w:rFonts w:ascii="Times New Roman" w:hAnsi="Times New Roman" w:cs="Times New Roman"/>
          <w:sz w:val="24"/>
          <w:szCs w:val="24"/>
        </w:rPr>
        <w:t>fundusz emerytalny</w:t>
      </w:r>
      <w:r w:rsidR="00E92EF3">
        <w:rPr>
          <w:rFonts w:ascii="Times New Roman" w:hAnsi="Times New Roman" w:cs="Times New Roman"/>
          <w:sz w:val="24"/>
          <w:szCs w:val="24"/>
        </w:rPr>
        <w:t>,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realizując ustawowy obowiązek działania w interesie jego członków</w:t>
      </w:r>
      <w:r w:rsidR="00E92EF3">
        <w:rPr>
          <w:rFonts w:ascii="Times New Roman" w:hAnsi="Times New Roman" w:cs="Times New Roman"/>
          <w:sz w:val="24"/>
          <w:szCs w:val="24"/>
        </w:rPr>
        <w:t>,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powinien zaskarżyć ją w drodze wytoczonego przeciwko spółce powództwa o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901F55" w:rsidRPr="00901F55">
        <w:rPr>
          <w:rFonts w:ascii="Times New Roman" w:hAnsi="Times New Roman" w:cs="Times New Roman"/>
          <w:sz w:val="24"/>
          <w:szCs w:val="24"/>
        </w:rPr>
        <w:t>uchylenie uchwały. Dodatkowo w orzecznictwie sądowym (m.in. wyrok SN z 22.06.2012 r., sygn. V CSK 438/11, wyrok Sąd</w:t>
      </w:r>
      <w:r w:rsidR="00E92EF3">
        <w:rPr>
          <w:rFonts w:ascii="Times New Roman" w:hAnsi="Times New Roman" w:cs="Times New Roman"/>
          <w:sz w:val="24"/>
          <w:szCs w:val="24"/>
        </w:rPr>
        <w:t>u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Apelacyjnego we Wrocławiu z 12.04.2011, sygn. I </w:t>
      </w:r>
      <w:proofErr w:type="spellStart"/>
      <w:r w:rsidR="00901F55" w:rsidRPr="00901F55">
        <w:rPr>
          <w:rFonts w:ascii="Times New Roman" w:hAnsi="Times New Roman" w:cs="Times New Roman"/>
          <w:sz w:val="24"/>
          <w:szCs w:val="24"/>
        </w:rPr>
        <w:t>ACa</w:t>
      </w:r>
      <w:proofErr w:type="spellEnd"/>
      <w:r w:rsidR="00901F55" w:rsidRPr="00901F55">
        <w:rPr>
          <w:rFonts w:ascii="Times New Roman" w:hAnsi="Times New Roman" w:cs="Times New Roman"/>
          <w:sz w:val="24"/>
          <w:szCs w:val="24"/>
        </w:rPr>
        <w:t xml:space="preserve"> 719/10) ugruntowała się zasada, że akcjonariusz jest czynnie legitymowany do dochodzenia odszkodowania na skutek doznanej szkody w wyniku </w:t>
      </w:r>
      <w:r w:rsidR="00901F55" w:rsidRPr="00901F55">
        <w:rPr>
          <w:rFonts w:ascii="Times New Roman" w:hAnsi="Times New Roman" w:cs="Times New Roman"/>
          <w:sz w:val="24"/>
          <w:szCs w:val="24"/>
        </w:rPr>
        <w:lastRenderedPageBreak/>
        <w:t>spadku</w:t>
      </w:r>
      <w:r w:rsidR="005D19CF">
        <w:rPr>
          <w:rFonts w:ascii="Times New Roman" w:hAnsi="Times New Roman" w:cs="Times New Roman"/>
          <w:sz w:val="24"/>
          <w:szCs w:val="24"/>
        </w:rPr>
        <w:t xml:space="preserve"> lub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utraty wartości, będącej następstwem szkody doznanej przez spółkę, a które niewątpliwie można rozszerzyć na szkody spowodowane przez spółkę. Należy zauważyć, że zgodnie z art. 490 </w:t>
      </w:r>
      <w:proofErr w:type="spellStart"/>
      <w:r w:rsidR="005D19CF">
        <w:rPr>
          <w:rFonts w:ascii="Times New Roman" w:hAnsi="Times New Roman" w:cs="Times New Roman"/>
          <w:sz w:val="24"/>
          <w:szCs w:val="24"/>
        </w:rPr>
        <w:t>k.s.h</w:t>
      </w:r>
      <w:proofErr w:type="spellEnd"/>
      <w:r w:rsidR="005D19CF">
        <w:rPr>
          <w:rFonts w:ascii="Times New Roman" w:hAnsi="Times New Roman" w:cs="Times New Roman"/>
          <w:sz w:val="24"/>
          <w:szCs w:val="24"/>
        </w:rPr>
        <w:t xml:space="preserve">. – </w:t>
      </w:r>
      <w:r w:rsidR="00901F55" w:rsidRPr="00901F55">
        <w:rPr>
          <w:rFonts w:ascii="Times New Roman" w:hAnsi="Times New Roman" w:cs="Times New Roman"/>
          <w:sz w:val="24"/>
          <w:szCs w:val="24"/>
        </w:rPr>
        <w:t>akcjonariusz spółki może dochodzić naprawienia wyrządzonej mu szkody na zasadach ogólnych określonych 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5D19CF">
        <w:rPr>
          <w:rFonts w:ascii="Times New Roman" w:hAnsi="Times New Roman" w:cs="Times New Roman"/>
          <w:sz w:val="24"/>
          <w:szCs w:val="24"/>
        </w:rPr>
        <w:t xml:space="preserve">ustawie z </w:t>
      </w:r>
      <w:r w:rsidR="004C4B98">
        <w:rPr>
          <w:rFonts w:ascii="Times New Roman" w:hAnsi="Times New Roman" w:cs="Times New Roman"/>
          <w:sz w:val="24"/>
          <w:szCs w:val="24"/>
        </w:rPr>
        <w:t xml:space="preserve">dnia </w:t>
      </w:r>
      <w:r w:rsidR="005D19CF">
        <w:rPr>
          <w:rFonts w:ascii="Times New Roman" w:hAnsi="Times New Roman" w:cs="Times New Roman"/>
          <w:sz w:val="24"/>
          <w:szCs w:val="24"/>
        </w:rPr>
        <w:t xml:space="preserve">23 kwietnia 1964 r. – </w:t>
      </w:r>
      <w:r w:rsidR="00901F55" w:rsidRPr="00901F55">
        <w:rPr>
          <w:rFonts w:ascii="Times New Roman" w:hAnsi="Times New Roman" w:cs="Times New Roman"/>
          <w:sz w:val="24"/>
          <w:szCs w:val="24"/>
        </w:rPr>
        <w:t>Kodek</w:t>
      </w:r>
      <w:r w:rsidR="005D19CF">
        <w:rPr>
          <w:rFonts w:ascii="Times New Roman" w:hAnsi="Times New Roman" w:cs="Times New Roman"/>
          <w:sz w:val="24"/>
          <w:szCs w:val="24"/>
        </w:rPr>
        <w:t>s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cywiln</w:t>
      </w:r>
      <w:r w:rsidR="005D19CF">
        <w:rPr>
          <w:rFonts w:ascii="Times New Roman" w:hAnsi="Times New Roman" w:cs="Times New Roman"/>
          <w:sz w:val="24"/>
          <w:szCs w:val="24"/>
        </w:rPr>
        <w:t>y (Dz. U. z 2024 r. poz. 1061</w:t>
      </w:r>
      <w:r w:rsidR="005958A1">
        <w:rPr>
          <w:rFonts w:ascii="Times New Roman" w:hAnsi="Times New Roman" w:cs="Times New Roman"/>
          <w:sz w:val="24"/>
          <w:szCs w:val="24"/>
        </w:rPr>
        <w:t>,</w:t>
      </w:r>
      <w:r w:rsidR="005D19CF">
        <w:rPr>
          <w:rFonts w:ascii="Times New Roman" w:hAnsi="Times New Roman" w:cs="Times New Roman"/>
          <w:sz w:val="24"/>
          <w:szCs w:val="24"/>
        </w:rPr>
        <w:t xml:space="preserve"> z</w:t>
      </w:r>
      <w:r w:rsidR="007110F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D19C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D19CF">
        <w:rPr>
          <w:rFonts w:ascii="Times New Roman" w:hAnsi="Times New Roman" w:cs="Times New Roman"/>
          <w:sz w:val="24"/>
          <w:szCs w:val="24"/>
        </w:rPr>
        <w:t>.</w:t>
      </w:r>
      <w:r w:rsidR="007110FC">
        <w:rPr>
          <w:rFonts w:ascii="Times New Roman" w:hAnsi="Times New Roman" w:cs="Times New Roman"/>
          <w:sz w:val="24"/>
          <w:szCs w:val="24"/>
        </w:rPr>
        <w:t> </w:t>
      </w:r>
      <w:r w:rsidR="005D19CF">
        <w:rPr>
          <w:rFonts w:ascii="Times New Roman" w:hAnsi="Times New Roman" w:cs="Times New Roman"/>
          <w:sz w:val="24"/>
          <w:szCs w:val="24"/>
        </w:rPr>
        <w:t>zm.).</w:t>
      </w:r>
      <w:r w:rsidR="00901F55" w:rsidRPr="00901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ADBC4" w14:textId="4B02399E" w:rsidR="00592960" w:rsidRDefault="00901F55" w:rsidP="00901F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55">
        <w:rPr>
          <w:rFonts w:ascii="Times New Roman" w:hAnsi="Times New Roman" w:cs="Times New Roman"/>
          <w:sz w:val="24"/>
          <w:szCs w:val="24"/>
        </w:rPr>
        <w:t xml:space="preserve">W związku z inwestycjami </w:t>
      </w:r>
      <w:r w:rsidR="00FF7F90">
        <w:rPr>
          <w:rFonts w:ascii="Times New Roman" w:hAnsi="Times New Roman" w:cs="Times New Roman"/>
          <w:sz w:val="24"/>
          <w:szCs w:val="24"/>
        </w:rPr>
        <w:t xml:space="preserve">dokonywanymi </w:t>
      </w:r>
      <w:r w:rsidRPr="00901F55">
        <w:rPr>
          <w:rFonts w:ascii="Times New Roman" w:hAnsi="Times New Roman" w:cs="Times New Roman"/>
          <w:sz w:val="24"/>
          <w:szCs w:val="24"/>
        </w:rPr>
        <w:t>zarówno w kraju, jak i zagranicą, fundusze emerytalne są, co do zasady, zobligowane do przystępowania do pozwów zbiorowych 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901F55">
        <w:rPr>
          <w:rFonts w:ascii="Times New Roman" w:hAnsi="Times New Roman" w:cs="Times New Roman"/>
          <w:sz w:val="24"/>
          <w:szCs w:val="24"/>
        </w:rPr>
        <w:t xml:space="preserve">sytuacjach, gdy emitent akcji, w które fundusze zainwestowały środki swoich członków, wprowadzał je w błąd lub nie ujawniał istotnych dla wartości akcji informacji, w wyniku czego znacząco spadał ich kurs. W ostatnich latach pozwy zbiorowe były lub są składane przez akcjonariuszy, którzy ponieśli straty, m.in. przeciwko: Volkswagen AG, </w:t>
      </w:r>
      <w:proofErr w:type="spellStart"/>
      <w:r w:rsidRPr="00901F55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901F55">
        <w:rPr>
          <w:rFonts w:ascii="Times New Roman" w:hAnsi="Times New Roman" w:cs="Times New Roman"/>
          <w:sz w:val="24"/>
          <w:szCs w:val="24"/>
        </w:rPr>
        <w:t xml:space="preserve"> Suisse, Apple czy CD Projekt. Działania te, chociaż wykonywane w ramach mandatu powierniczego i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901F55">
        <w:rPr>
          <w:rFonts w:ascii="Times New Roman" w:hAnsi="Times New Roman" w:cs="Times New Roman"/>
          <w:sz w:val="24"/>
          <w:szCs w:val="24"/>
        </w:rPr>
        <w:t>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901F55">
        <w:rPr>
          <w:rFonts w:ascii="Times New Roman" w:hAnsi="Times New Roman" w:cs="Times New Roman"/>
          <w:sz w:val="24"/>
          <w:szCs w:val="24"/>
        </w:rPr>
        <w:t>interesie członków funduszu emerytalnego jako interesariuszy</w:t>
      </w:r>
      <w:r w:rsidR="004C4B98">
        <w:rPr>
          <w:rFonts w:ascii="Times New Roman" w:hAnsi="Times New Roman" w:cs="Times New Roman"/>
          <w:sz w:val="24"/>
          <w:szCs w:val="24"/>
        </w:rPr>
        <w:t>,</w:t>
      </w:r>
      <w:r w:rsidRPr="00901F55">
        <w:rPr>
          <w:rFonts w:ascii="Times New Roman" w:hAnsi="Times New Roman" w:cs="Times New Roman"/>
          <w:sz w:val="24"/>
          <w:szCs w:val="24"/>
        </w:rPr>
        <w:t xml:space="preserve"> niejednokrotnie przekładają się na osiągnięcie przez fundusz emerytalny wymiernej korzyści majątkowej (z reguły wypłata odszkodowania, np. ugoda z CD Projekt). Z drugiej strony wiążą się z koniecznością poniesienia znaczących kosztów sądowych i zewnętrznej pomocy prawnej, które </w:t>
      </w:r>
      <w:r w:rsidR="00727BD5">
        <w:rPr>
          <w:rFonts w:ascii="Times New Roman" w:hAnsi="Times New Roman" w:cs="Times New Roman"/>
          <w:sz w:val="24"/>
          <w:szCs w:val="24"/>
        </w:rPr>
        <w:t>– zgodnie z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727BD5">
        <w:rPr>
          <w:rFonts w:ascii="Times New Roman" w:hAnsi="Times New Roman" w:cs="Times New Roman"/>
          <w:sz w:val="24"/>
          <w:szCs w:val="24"/>
        </w:rPr>
        <w:t xml:space="preserve">aktualnie obowiązującym stanem prawnym – </w:t>
      </w:r>
      <w:r w:rsidRPr="00901F55">
        <w:rPr>
          <w:rFonts w:ascii="Times New Roman" w:hAnsi="Times New Roman" w:cs="Times New Roman"/>
          <w:sz w:val="24"/>
          <w:szCs w:val="24"/>
        </w:rPr>
        <w:t xml:space="preserve">obciążają wyłącznie </w:t>
      </w:r>
      <w:r w:rsidR="00F246FC">
        <w:rPr>
          <w:rFonts w:ascii="Times New Roman" w:hAnsi="Times New Roman" w:cs="Times New Roman"/>
          <w:sz w:val="24"/>
          <w:szCs w:val="24"/>
        </w:rPr>
        <w:t>PTE</w:t>
      </w:r>
      <w:r w:rsidRPr="00901F55">
        <w:rPr>
          <w:rFonts w:ascii="Times New Roman" w:hAnsi="Times New Roman" w:cs="Times New Roman"/>
          <w:sz w:val="24"/>
          <w:szCs w:val="24"/>
        </w:rPr>
        <w:t xml:space="preserve"> zarządzające funduszem. </w:t>
      </w:r>
    </w:p>
    <w:p w14:paraId="33CDD920" w14:textId="6113C1DB" w:rsidR="003B578C" w:rsidRDefault="00901F55" w:rsidP="00901F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55">
        <w:rPr>
          <w:rFonts w:ascii="Times New Roman" w:hAnsi="Times New Roman" w:cs="Times New Roman"/>
          <w:sz w:val="24"/>
          <w:szCs w:val="24"/>
        </w:rPr>
        <w:t xml:space="preserve">Warto nadmienić, że przepisy ustawy </w:t>
      </w:r>
      <w:r w:rsidR="003B578C">
        <w:rPr>
          <w:rFonts w:ascii="Times New Roman" w:hAnsi="Times New Roman" w:cs="Times New Roman"/>
          <w:sz w:val="24"/>
          <w:szCs w:val="24"/>
        </w:rPr>
        <w:t xml:space="preserve">z dnia 27 maja </w:t>
      </w:r>
      <w:r w:rsidR="0021120A">
        <w:rPr>
          <w:rFonts w:ascii="Times New Roman" w:hAnsi="Times New Roman" w:cs="Times New Roman"/>
          <w:sz w:val="24"/>
          <w:szCs w:val="24"/>
        </w:rPr>
        <w:t xml:space="preserve">2004 </w:t>
      </w:r>
      <w:r w:rsidR="003B578C">
        <w:rPr>
          <w:rFonts w:ascii="Times New Roman" w:hAnsi="Times New Roman" w:cs="Times New Roman"/>
          <w:sz w:val="24"/>
          <w:szCs w:val="24"/>
        </w:rPr>
        <w:t xml:space="preserve">r. </w:t>
      </w:r>
      <w:r w:rsidRPr="00901F55">
        <w:rPr>
          <w:rFonts w:ascii="Times New Roman" w:hAnsi="Times New Roman" w:cs="Times New Roman"/>
          <w:sz w:val="24"/>
          <w:szCs w:val="24"/>
        </w:rPr>
        <w:t>o funduszach inwestycyjnych i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901F55">
        <w:rPr>
          <w:rFonts w:ascii="Times New Roman" w:hAnsi="Times New Roman" w:cs="Times New Roman"/>
          <w:sz w:val="24"/>
          <w:szCs w:val="24"/>
        </w:rPr>
        <w:t xml:space="preserve">zarządzaniu alternatywnymi </w:t>
      </w:r>
      <w:r w:rsidR="003B578C">
        <w:rPr>
          <w:rFonts w:ascii="Times New Roman" w:hAnsi="Times New Roman" w:cs="Times New Roman"/>
          <w:sz w:val="24"/>
          <w:szCs w:val="24"/>
        </w:rPr>
        <w:t xml:space="preserve">funduszami inwestycyjnymi </w:t>
      </w:r>
      <w:r w:rsidRPr="00901F55">
        <w:rPr>
          <w:rFonts w:ascii="Times New Roman" w:hAnsi="Times New Roman" w:cs="Times New Roman"/>
          <w:sz w:val="24"/>
          <w:szCs w:val="24"/>
        </w:rPr>
        <w:t>nie zakazują funduszom inwestycyjnym partycypowania w pokrywaniu kosztów zewnętrznej pomocy prawnej, opłat i</w:t>
      </w:r>
      <w:r w:rsidR="00F2518E">
        <w:rPr>
          <w:rFonts w:ascii="Times New Roman" w:hAnsi="Times New Roman" w:cs="Times New Roman"/>
          <w:sz w:val="24"/>
          <w:szCs w:val="24"/>
        </w:rPr>
        <w:t> </w:t>
      </w:r>
      <w:r w:rsidRPr="00901F55">
        <w:rPr>
          <w:rFonts w:ascii="Times New Roman" w:hAnsi="Times New Roman" w:cs="Times New Roman"/>
          <w:sz w:val="24"/>
          <w:szCs w:val="24"/>
        </w:rPr>
        <w:t>kosztów procesowych, a zgodnie z art. 72a ust. 4 tejże ustawy zezwalają nawet na obciążanie członków funduszu kosztami procesu wytoczonego przez depozytariusza (przeciwko TFI). Przywołana praktyka partycypowania przez fundusz inwestycyjny w pokrywaniu z własnych aktywów określonych kosztów, w tym prawnych i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901F55">
        <w:rPr>
          <w:rFonts w:ascii="Times New Roman" w:hAnsi="Times New Roman" w:cs="Times New Roman"/>
          <w:sz w:val="24"/>
          <w:szCs w:val="24"/>
        </w:rPr>
        <w:t xml:space="preserve">procesowych, </w:t>
      </w:r>
      <w:r w:rsidR="004C4B98" w:rsidRPr="00901F55">
        <w:rPr>
          <w:rFonts w:ascii="Times New Roman" w:hAnsi="Times New Roman" w:cs="Times New Roman"/>
          <w:sz w:val="24"/>
          <w:szCs w:val="24"/>
        </w:rPr>
        <w:t xml:space="preserve">jest </w:t>
      </w:r>
      <w:r w:rsidRPr="00901F55">
        <w:rPr>
          <w:rFonts w:ascii="Times New Roman" w:hAnsi="Times New Roman" w:cs="Times New Roman"/>
          <w:sz w:val="24"/>
          <w:szCs w:val="24"/>
        </w:rPr>
        <w:t>związana z faktem, iż przysporzenie zasądzone na rzecz funduszu 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901F55">
        <w:rPr>
          <w:rFonts w:ascii="Times New Roman" w:hAnsi="Times New Roman" w:cs="Times New Roman"/>
          <w:sz w:val="24"/>
          <w:szCs w:val="24"/>
        </w:rPr>
        <w:t xml:space="preserve">znikomym stopniu pokrywa koszty ponoszone przez zarządzające towarzystwo. </w:t>
      </w:r>
      <w:r w:rsidR="00CD763E">
        <w:rPr>
          <w:rFonts w:ascii="Times New Roman" w:hAnsi="Times New Roman" w:cs="Times New Roman"/>
          <w:sz w:val="24"/>
          <w:szCs w:val="24"/>
        </w:rPr>
        <w:t>PTE</w:t>
      </w:r>
      <w:r w:rsidRPr="00901F55">
        <w:rPr>
          <w:rFonts w:ascii="Times New Roman" w:hAnsi="Times New Roman" w:cs="Times New Roman"/>
          <w:sz w:val="24"/>
          <w:szCs w:val="24"/>
        </w:rPr>
        <w:t xml:space="preserve"> są podmiotami gospodarczymi, które oprócz realizacji ustawowych zadań związanych z zarządzaniem funduszami emerytalnymi w interesie ich członków powinny mieć na uwadze także interes akcjonariuszy oraz konieczność zapewnienia środków na prowadzenie zwykłej działalności obejmującej również obowiązek pokrywania szeregu znaczących innych kosztów związanych z działalnością funduszu (m.in. koszty agenta transferowego, obsługi członków funduszu, niektóre koszty depozytariusza). W przypadku wygrania procesu, zwłaszcza zagranicą, wszystkie koszty zastępstwa procesowego na rzecz </w:t>
      </w:r>
      <w:r w:rsidRPr="00901F55">
        <w:rPr>
          <w:rFonts w:ascii="Times New Roman" w:hAnsi="Times New Roman" w:cs="Times New Roman"/>
          <w:sz w:val="24"/>
          <w:szCs w:val="24"/>
        </w:rPr>
        <w:lastRenderedPageBreak/>
        <w:t xml:space="preserve">funduszu emerytalnego, z reguły bardzo wysokie, muszą być obecnie ponoszone przez towarzystwo. </w:t>
      </w:r>
    </w:p>
    <w:p w14:paraId="7B0F8241" w14:textId="61FEDC3D" w:rsidR="00592960" w:rsidRDefault="00592960" w:rsidP="0059296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nowelizacji proponuje się ograniczenie możliwości </w:t>
      </w:r>
      <w:r w:rsidRPr="00AC16B0">
        <w:rPr>
          <w:rFonts w:ascii="Times New Roman" w:hAnsi="Times New Roman" w:cs="Times New Roman"/>
          <w:sz w:val="24"/>
          <w:szCs w:val="24"/>
        </w:rPr>
        <w:t xml:space="preserve">refundacji kosztów </w:t>
      </w:r>
      <w:r>
        <w:rPr>
          <w:rFonts w:ascii="Times New Roman" w:hAnsi="Times New Roman" w:cs="Times New Roman"/>
          <w:sz w:val="24"/>
          <w:szCs w:val="24"/>
        </w:rPr>
        <w:t xml:space="preserve">przez fundusz towarzystwu emerytalnemu </w:t>
      </w:r>
      <w:r w:rsidRPr="00AC16B0">
        <w:rPr>
          <w:rFonts w:ascii="Times New Roman" w:hAnsi="Times New Roman" w:cs="Times New Roman"/>
          <w:sz w:val="24"/>
          <w:szCs w:val="24"/>
        </w:rPr>
        <w:t xml:space="preserve">wyłącznie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AC16B0">
        <w:rPr>
          <w:rFonts w:ascii="Times New Roman" w:hAnsi="Times New Roman" w:cs="Times New Roman"/>
          <w:sz w:val="24"/>
          <w:szCs w:val="24"/>
        </w:rPr>
        <w:t xml:space="preserve">prawomocnie wygranych spraw sądowych, których beneficjentem jest fundusz. W przypadku nieuwzględnienia powództwa funduszu koszty te będą, tak jak obecnie, ponoszone przez </w:t>
      </w:r>
      <w:r w:rsidR="004D4127">
        <w:rPr>
          <w:rFonts w:ascii="Times New Roman" w:hAnsi="Times New Roman" w:cs="Times New Roman"/>
          <w:sz w:val="24"/>
          <w:szCs w:val="24"/>
        </w:rPr>
        <w:t>PTE</w:t>
      </w:r>
      <w:r w:rsidRPr="00AC16B0">
        <w:rPr>
          <w:rFonts w:ascii="Times New Roman" w:hAnsi="Times New Roman" w:cs="Times New Roman"/>
          <w:sz w:val="24"/>
          <w:szCs w:val="24"/>
        </w:rPr>
        <w:t>.</w:t>
      </w:r>
    </w:p>
    <w:p w14:paraId="1D04EB74" w14:textId="784CA532" w:rsidR="00D8041E" w:rsidRPr="00D8041E" w:rsidRDefault="00E21A52" w:rsidP="001044FD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proponowanym rozwiązaniem </w:t>
      </w:r>
      <w:r w:rsidR="00D8041E">
        <w:rPr>
          <w:rFonts w:ascii="Times New Roman" w:hAnsi="Times New Roman" w:cs="Times New Roman"/>
          <w:sz w:val="24"/>
          <w:szCs w:val="24"/>
        </w:rPr>
        <w:t>w</w:t>
      </w:r>
      <w:r w:rsidR="00D8041E" w:rsidRPr="00D8041E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D8041E">
        <w:rPr>
          <w:rFonts w:ascii="Times New Roman" w:hAnsi="Times New Roman" w:cs="Times New Roman"/>
          <w:sz w:val="24"/>
          <w:szCs w:val="24"/>
        </w:rPr>
        <w:t xml:space="preserve">uzyskania prawomocnego </w:t>
      </w:r>
      <w:r w:rsidR="00155A97">
        <w:rPr>
          <w:rFonts w:ascii="Times New Roman" w:hAnsi="Times New Roman" w:cs="Times New Roman"/>
          <w:sz w:val="24"/>
          <w:szCs w:val="24"/>
        </w:rPr>
        <w:t xml:space="preserve">orzeczenia </w:t>
      </w:r>
      <w:r w:rsidR="00D8041E">
        <w:rPr>
          <w:rFonts w:ascii="Times New Roman" w:hAnsi="Times New Roman" w:cs="Times New Roman"/>
          <w:sz w:val="24"/>
          <w:szCs w:val="24"/>
        </w:rPr>
        <w:t xml:space="preserve">uwzględniającego powództwo funduszu będzie on </w:t>
      </w:r>
      <w:r w:rsidR="00D8041E" w:rsidRPr="00D8041E">
        <w:rPr>
          <w:rFonts w:ascii="Times New Roman" w:hAnsi="Times New Roman" w:cs="Times New Roman"/>
          <w:sz w:val="24"/>
          <w:szCs w:val="24"/>
        </w:rPr>
        <w:t xml:space="preserve">obowiązany do </w:t>
      </w:r>
      <w:r w:rsidR="00D8041E">
        <w:rPr>
          <w:rFonts w:ascii="Times New Roman" w:hAnsi="Times New Roman" w:cs="Times New Roman"/>
          <w:sz w:val="24"/>
          <w:szCs w:val="24"/>
        </w:rPr>
        <w:t xml:space="preserve">zwrotu </w:t>
      </w:r>
      <w:r w:rsidR="00D8041E" w:rsidRPr="00D8041E">
        <w:rPr>
          <w:rFonts w:ascii="Times New Roman" w:hAnsi="Times New Roman" w:cs="Times New Roman"/>
          <w:sz w:val="24"/>
          <w:szCs w:val="24"/>
        </w:rPr>
        <w:t>towarzystwu emerytalnemu:</w:t>
      </w:r>
    </w:p>
    <w:p w14:paraId="60C99416" w14:textId="1F4271DD" w:rsidR="00D8041E" w:rsidRPr="00D8041E" w:rsidRDefault="00D8041E" w:rsidP="003E2DAA">
      <w:p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1)</w:t>
      </w:r>
      <w:r w:rsidR="003E2DAA">
        <w:rPr>
          <w:rFonts w:ascii="Times New Roman" w:hAnsi="Times New Roman" w:cs="Times New Roman"/>
          <w:sz w:val="24"/>
          <w:szCs w:val="24"/>
        </w:rPr>
        <w:tab/>
      </w:r>
      <w:r w:rsidRPr="00D8041E">
        <w:rPr>
          <w:rFonts w:ascii="Times New Roman" w:hAnsi="Times New Roman" w:cs="Times New Roman"/>
          <w:sz w:val="24"/>
          <w:szCs w:val="24"/>
        </w:rPr>
        <w:t>kwot zasądzonych na rzecz funduszu tytułem zwrotu kosztów procesu,</w:t>
      </w:r>
    </w:p>
    <w:p w14:paraId="3042ECC1" w14:textId="31863854" w:rsidR="00D8041E" w:rsidRPr="00D8041E" w:rsidRDefault="00D8041E" w:rsidP="001044FD">
      <w:pPr>
        <w:spacing w:after="4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2)</w:t>
      </w:r>
      <w:r w:rsidR="003E2DAA">
        <w:rPr>
          <w:rFonts w:ascii="Times New Roman" w:hAnsi="Times New Roman" w:cs="Times New Roman"/>
          <w:sz w:val="24"/>
          <w:szCs w:val="24"/>
        </w:rPr>
        <w:tab/>
      </w:r>
      <w:r w:rsidRPr="00D8041E">
        <w:rPr>
          <w:rFonts w:ascii="Times New Roman" w:hAnsi="Times New Roman" w:cs="Times New Roman"/>
          <w:sz w:val="24"/>
          <w:szCs w:val="24"/>
        </w:rPr>
        <w:t>innych kosztów, związanych z wnoszonym powództwem, proporcjonalnie do zakresu uwzględnionego powództwa</w:t>
      </w:r>
    </w:p>
    <w:p w14:paraId="12817D03" w14:textId="052BC48A" w:rsidR="00D8041E" w:rsidRDefault="00D8041E" w:rsidP="00D804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1E">
        <w:rPr>
          <w:rFonts w:ascii="Times New Roman" w:hAnsi="Times New Roman" w:cs="Times New Roman"/>
          <w:sz w:val="24"/>
          <w:szCs w:val="24"/>
        </w:rPr>
        <w:t>– tytułem poniesionych przez towarzystwo emerytalne wydatków związanych z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D8041E">
        <w:rPr>
          <w:rFonts w:ascii="Times New Roman" w:hAnsi="Times New Roman" w:cs="Times New Roman"/>
          <w:sz w:val="24"/>
          <w:szCs w:val="24"/>
        </w:rPr>
        <w:t xml:space="preserve">postępowaniem sądowym do dnia wydania prawomocnego </w:t>
      </w:r>
      <w:r w:rsidR="00155A97">
        <w:rPr>
          <w:rFonts w:ascii="Times New Roman" w:hAnsi="Times New Roman" w:cs="Times New Roman"/>
          <w:sz w:val="24"/>
          <w:szCs w:val="24"/>
        </w:rPr>
        <w:t>orzeczenia</w:t>
      </w:r>
      <w:r w:rsidR="00155A97" w:rsidRPr="00D8041E">
        <w:rPr>
          <w:rFonts w:ascii="Times New Roman" w:hAnsi="Times New Roman" w:cs="Times New Roman"/>
          <w:sz w:val="24"/>
          <w:szCs w:val="24"/>
        </w:rPr>
        <w:t xml:space="preserve"> </w:t>
      </w:r>
      <w:r w:rsidRPr="00D8041E">
        <w:rPr>
          <w:rFonts w:ascii="Times New Roman" w:hAnsi="Times New Roman" w:cs="Times New Roman"/>
          <w:sz w:val="24"/>
          <w:szCs w:val="24"/>
        </w:rPr>
        <w:t>sądowego.</w:t>
      </w:r>
    </w:p>
    <w:p w14:paraId="0CA587DA" w14:textId="02FDF2E7" w:rsidR="00E21A52" w:rsidRDefault="00A249C8" w:rsidP="00E21A5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 to uwzględnia treść </w:t>
      </w:r>
      <w:r w:rsidR="00E21A52">
        <w:rPr>
          <w:rFonts w:ascii="Times New Roman" w:hAnsi="Times New Roman" w:cs="Times New Roman"/>
          <w:sz w:val="24"/>
          <w:szCs w:val="24"/>
        </w:rPr>
        <w:t xml:space="preserve">art. 98 § 1, 2 i 3 </w:t>
      </w:r>
      <w:proofErr w:type="spellStart"/>
      <w:r w:rsidR="00E21A52">
        <w:rPr>
          <w:rFonts w:ascii="Times New Roman" w:hAnsi="Times New Roman" w:cs="Times New Roman"/>
          <w:sz w:val="24"/>
          <w:szCs w:val="24"/>
        </w:rPr>
        <w:t>kpc</w:t>
      </w:r>
      <w:proofErr w:type="spellEnd"/>
      <w:r w:rsidR="00E21A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zgodnie z którym </w:t>
      </w:r>
      <w:r w:rsidR="00E21A52">
        <w:rPr>
          <w:rFonts w:ascii="Times New Roman" w:hAnsi="Times New Roman" w:cs="Times New Roman"/>
          <w:sz w:val="24"/>
          <w:szCs w:val="24"/>
        </w:rPr>
        <w:t>s</w:t>
      </w:r>
      <w:r w:rsidR="00E21A52" w:rsidRPr="00A83C13">
        <w:rPr>
          <w:rFonts w:ascii="Times New Roman" w:hAnsi="Times New Roman" w:cs="Times New Roman"/>
          <w:sz w:val="24"/>
          <w:szCs w:val="24"/>
        </w:rPr>
        <w:t>trona przegrywająca sprawę obowiązana jest zwrócić przeciwnikowi na jego żądanie koszty niezbędne do celowego dochodzenia praw i celowej obrony (koszty procesu)</w:t>
      </w:r>
      <w:r w:rsidR="00E21A52">
        <w:rPr>
          <w:rFonts w:ascii="Times New Roman" w:hAnsi="Times New Roman" w:cs="Times New Roman"/>
          <w:sz w:val="24"/>
          <w:szCs w:val="24"/>
        </w:rPr>
        <w:t>, przy czym zasądzone przez sąd 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E21A52">
        <w:rPr>
          <w:rFonts w:ascii="Times New Roman" w:hAnsi="Times New Roman" w:cs="Times New Roman"/>
          <w:sz w:val="24"/>
          <w:szCs w:val="24"/>
        </w:rPr>
        <w:t xml:space="preserve">orzeczeniu kończącym postępowanie sądowe należności tytułem zwrotu </w:t>
      </w:r>
      <w:r w:rsidR="00E21A52" w:rsidRPr="004A5F49">
        <w:rPr>
          <w:rFonts w:ascii="Times New Roman" w:hAnsi="Times New Roman" w:cs="Times New Roman"/>
          <w:sz w:val="24"/>
          <w:szCs w:val="24"/>
        </w:rPr>
        <w:t>wydatków poniesionych przez stronę w toku postępowania sądowego</w:t>
      </w:r>
      <w:r w:rsidR="00E21A52">
        <w:rPr>
          <w:rFonts w:ascii="Times New Roman" w:hAnsi="Times New Roman" w:cs="Times New Roman"/>
          <w:sz w:val="24"/>
          <w:szCs w:val="24"/>
        </w:rPr>
        <w:t xml:space="preserve"> mogą obejmować: </w:t>
      </w:r>
      <w:r w:rsidR="00E21A52" w:rsidRPr="004A5F49">
        <w:rPr>
          <w:rFonts w:ascii="Times New Roman" w:hAnsi="Times New Roman" w:cs="Times New Roman"/>
          <w:sz w:val="24"/>
          <w:szCs w:val="24"/>
        </w:rPr>
        <w:t>opłaty sądowe, wynagrodzenia pełnomocników, koszty podróży do sądu, a także inne wydatki związane z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E21A52" w:rsidRPr="004A5F49">
        <w:rPr>
          <w:rFonts w:ascii="Times New Roman" w:hAnsi="Times New Roman" w:cs="Times New Roman"/>
          <w:sz w:val="24"/>
          <w:szCs w:val="24"/>
        </w:rPr>
        <w:t>procesem</w:t>
      </w:r>
      <w:r w:rsidR="00E21A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96CAB" w14:textId="658A55EA" w:rsidR="00A249C8" w:rsidRPr="00E21A52" w:rsidRDefault="00A249C8" w:rsidP="00E21A5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koszty towarzystwa emerytalnego poniesione w związku z procesem sądowym, a nie</w:t>
      </w:r>
      <w:r w:rsidR="0018578B">
        <w:rPr>
          <w:rFonts w:ascii="Times New Roman" w:hAnsi="Times New Roman" w:cs="Times New Roman"/>
          <w:sz w:val="24"/>
          <w:szCs w:val="24"/>
        </w:rPr>
        <w:t>objęt</w:t>
      </w:r>
      <w:r w:rsidR="004C4B98">
        <w:rPr>
          <w:rFonts w:ascii="Times New Roman" w:hAnsi="Times New Roman" w:cs="Times New Roman"/>
          <w:sz w:val="24"/>
          <w:szCs w:val="24"/>
        </w:rPr>
        <w:t>e</w:t>
      </w:r>
      <w:r w:rsidR="0018578B">
        <w:rPr>
          <w:rFonts w:ascii="Times New Roman" w:hAnsi="Times New Roman" w:cs="Times New Roman"/>
          <w:sz w:val="24"/>
          <w:szCs w:val="24"/>
        </w:rPr>
        <w:t xml:space="preserve"> zakresem</w:t>
      </w:r>
      <w:r>
        <w:rPr>
          <w:rFonts w:ascii="Times New Roman" w:hAnsi="Times New Roman" w:cs="Times New Roman"/>
          <w:sz w:val="24"/>
          <w:szCs w:val="24"/>
        </w:rPr>
        <w:t xml:space="preserve"> zasądzon</w:t>
      </w:r>
      <w:r w:rsidR="0018578B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przez sąd </w:t>
      </w:r>
      <w:r w:rsidR="0018578B">
        <w:rPr>
          <w:rFonts w:ascii="Times New Roman" w:hAnsi="Times New Roman" w:cs="Times New Roman"/>
          <w:sz w:val="24"/>
          <w:szCs w:val="24"/>
        </w:rPr>
        <w:t xml:space="preserve">zwrotu kosztów procesu, w tym </w:t>
      </w:r>
      <w:r>
        <w:rPr>
          <w:rFonts w:ascii="Times New Roman" w:hAnsi="Times New Roman" w:cs="Times New Roman"/>
          <w:sz w:val="24"/>
          <w:szCs w:val="24"/>
        </w:rPr>
        <w:t>zastępstwa procesowego</w:t>
      </w:r>
      <w:r w:rsidR="004C4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mogłyby zostać „zrefundowane” maksymalnie do wartości uzyskanego przez fundusz emerytalny przysporzenia tytułem zasądzonych na jego rzecz świadczeń (innych niż </w:t>
      </w:r>
      <w:r w:rsidR="0018578B">
        <w:rPr>
          <w:rFonts w:ascii="Times New Roman" w:hAnsi="Times New Roman" w:cs="Times New Roman"/>
          <w:sz w:val="24"/>
          <w:szCs w:val="24"/>
        </w:rPr>
        <w:t xml:space="preserve">zwrot </w:t>
      </w:r>
      <w:r>
        <w:rPr>
          <w:rFonts w:ascii="Times New Roman" w:hAnsi="Times New Roman" w:cs="Times New Roman"/>
          <w:sz w:val="24"/>
          <w:szCs w:val="24"/>
        </w:rPr>
        <w:t>koszt</w:t>
      </w:r>
      <w:r w:rsidR="0018578B">
        <w:rPr>
          <w:rFonts w:ascii="Times New Roman" w:hAnsi="Times New Roman" w:cs="Times New Roman"/>
          <w:sz w:val="24"/>
          <w:szCs w:val="24"/>
        </w:rPr>
        <w:t>ów procesu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2AAB7FC" w14:textId="5CF5DC6A" w:rsidR="00AC16B0" w:rsidRDefault="00E640CF" w:rsidP="00E21A5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ustawy wprowadza również </w:t>
      </w:r>
      <w:r w:rsidR="000E26CA">
        <w:rPr>
          <w:rFonts w:ascii="Times New Roman" w:hAnsi="Times New Roman" w:cs="Times New Roman"/>
          <w:sz w:val="24"/>
          <w:szCs w:val="24"/>
        </w:rPr>
        <w:t xml:space="preserve">obowiązek poinformowania </w:t>
      </w:r>
      <w:r w:rsidR="00E21A52" w:rsidRPr="00E21A52">
        <w:rPr>
          <w:rFonts w:ascii="Times New Roman" w:hAnsi="Times New Roman" w:cs="Times New Roman"/>
          <w:sz w:val="24"/>
          <w:szCs w:val="24"/>
        </w:rPr>
        <w:t>Komisj</w:t>
      </w:r>
      <w:r w:rsidR="000E26CA">
        <w:rPr>
          <w:rFonts w:ascii="Times New Roman" w:hAnsi="Times New Roman" w:cs="Times New Roman"/>
          <w:sz w:val="24"/>
          <w:szCs w:val="24"/>
        </w:rPr>
        <w:t>i</w:t>
      </w:r>
      <w:r w:rsidR="00E21A52" w:rsidRPr="00E21A52">
        <w:rPr>
          <w:rFonts w:ascii="Times New Roman" w:hAnsi="Times New Roman" w:cs="Times New Roman"/>
          <w:sz w:val="24"/>
          <w:szCs w:val="24"/>
        </w:rPr>
        <w:t xml:space="preserve"> Nadzoru Finansowego o treści </w:t>
      </w:r>
      <w:r w:rsidR="0018578B">
        <w:rPr>
          <w:rFonts w:ascii="Times New Roman" w:hAnsi="Times New Roman" w:cs="Times New Roman"/>
          <w:sz w:val="24"/>
          <w:szCs w:val="24"/>
        </w:rPr>
        <w:t xml:space="preserve">prawomocnego </w:t>
      </w:r>
      <w:r w:rsidR="00155A97">
        <w:rPr>
          <w:rFonts w:ascii="Times New Roman" w:hAnsi="Times New Roman" w:cs="Times New Roman"/>
          <w:sz w:val="24"/>
          <w:szCs w:val="24"/>
        </w:rPr>
        <w:t>orzeczenia</w:t>
      </w:r>
      <w:r w:rsidR="00155A97" w:rsidRPr="00E21A52">
        <w:rPr>
          <w:rFonts w:ascii="Times New Roman" w:hAnsi="Times New Roman" w:cs="Times New Roman"/>
          <w:sz w:val="24"/>
          <w:szCs w:val="24"/>
        </w:rPr>
        <w:t xml:space="preserve"> </w:t>
      </w:r>
      <w:r w:rsidR="00E21A52" w:rsidRPr="00E21A52">
        <w:rPr>
          <w:rFonts w:ascii="Times New Roman" w:hAnsi="Times New Roman" w:cs="Times New Roman"/>
          <w:sz w:val="24"/>
          <w:szCs w:val="24"/>
        </w:rPr>
        <w:t>oraz o wysokości kosztów zwracanych towarzystwu emerytalnemu z aktywów funduszu</w:t>
      </w:r>
      <w:r w:rsidR="0018578B">
        <w:rPr>
          <w:rFonts w:ascii="Times New Roman" w:hAnsi="Times New Roman" w:cs="Times New Roman"/>
          <w:sz w:val="24"/>
          <w:szCs w:val="24"/>
        </w:rPr>
        <w:t xml:space="preserve">, przewidując, że na wykonanie tego obowiązku fundusz ma </w:t>
      </w:r>
      <w:r w:rsidR="0018578B" w:rsidRPr="00E21A52">
        <w:rPr>
          <w:rFonts w:ascii="Times New Roman" w:hAnsi="Times New Roman" w:cs="Times New Roman"/>
          <w:sz w:val="24"/>
          <w:szCs w:val="24"/>
        </w:rPr>
        <w:t xml:space="preserve">7 dni od dnia uzyskania informacji o treści prawomocnego </w:t>
      </w:r>
      <w:r w:rsidR="00155A97">
        <w:rPr>
          <w:rFonts w:ascii="Times New Roman" w:hAnsi="Times New Roman" w:cs="Times New Roman"/>
          <w:sz w:val="24"/>
          <w:szCs w:val="24"/>
        </w:rPr>
        <w:t>orzeczenia</w:t>
      </w:r>
      <w:r w:rsidR="0018578B">
        <w:rPr>
          <w:rFonts w:ascii="Times New Roman" w:hAnsi="Times New Roman" w:cs="Times New Roman"/>
          <w:sz w:val="24"/>
          <w:szCs w:val="24"/>
        </w:rPr>
        <w:t>.</w:t>
      </w:r>
    </w:p>
    <w:p w14:paraId="3A610C8C" w14:textId="601359F5" w:rsidR="007B0841" w:rsidRPr="004A5F49" w:rsidRDefault="007B0841" w:rsidP="00F2518E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F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Zmiana brzmienia art. 189 ust. 1 ustawy o </w:t>
      </w:r>
      <w:proofErr w:type="spellStart"/>
      <w:r w:rsidRPr="004A5F49">
        <w:rPr>
          <w:rFonts w:ascii="Times New Roman" w:hAnsi="Times New Roman" w:cs="Times New Roman"/>
          <w:b/>
          <w:bCs/>
          <w:sz w:val="24"/>
          <w:szCs w:val="24"/>
        </w:rPr>
        <w:t>ofe</w:t>
      </w:r>
      <w:proofErr w:type="spellEnd"/>
      <w:r w:rsidR="006A04A9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(art. 1 pkt 1</w:t>
      </w:r>
      <w:r w:rsidR="002F0D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04A9" w:rsidRPr="004A5F49">
        <w:rPr>
          <w:rFonts w:ascii="Times New Roman" w:hAnsi="Times New Roman" w:cs="Times New Roman"/>
          <w:b/>
          <w:bCs/>
          <w:sz w:val="24"/>
          <w:szCs w:val="24"/>
        </w:rPr>
        <w:t xml:space="preserve"> projektowanej ustawy)</w:t>
      </w:r>
    </w:p>
    <w:p w14:paraId="382B3412" w14:textId="77777777" w:rsidR="00A5384F" w:rsidRPr="004A5F49" w:rsidRDefault="003B2F68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Proponowana zmiana </w:t>
      </w:r>
      <w:r w:rsidR="007B0841" w:rsidRPr="004A5F49">
        <w:rPr>
          <w:rFonts w:ascii="Times New Roman" w:hAnsi="Times New Roman" w:cs="Times New Roman"/>
          <w:sz w:val="24"/>
          <w:szCs w:val="24"/>
        </w:rPr>
        <w:t xml:space="preserve">dotyczy zastąpienia </w:t>
      </w:r>
      <w:r>
        <w:rPr>
          <w:rFonts w:ascii="Times New Roman" w:hAnsi="Times New Roman" w:cs="Times New Roman"/>
          <w:sz w:val="24"/>
          <w:szCs w:val="24"/>
        </w:rPr>
        <w:t xml:space="preserve">przewidzianego w tym przepisie </w:t>
      </w:r>
      <w:r w:rsidR="007B0841" w:rsidRPr="004A5F49">
        <w:rPr>
          <w:rFonts w:ascii="Times New Roman" w:hAnsi="Times New Roman" w:cs="Times New Roman"/>
          <w:sz w:val="24"/>
          <w:szCs w:val="24"/>
        </w:rPr>
        <w:t>obowiązku corocznej publikacji prospektu informacyjnego w dzienniku o zasięgu krajowym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841" w:rsidRPr="004A5F49">
        <w:rPr>
          <w:rFonts w:ascii="Times New Roman" w:hAnsi="Times New Roman" w:cs="Times New Roman"/>
          <w:sz w:val="24"/>
          <w:szCs w:val="24"/>
        </w:rPr>
        <w:t xml:space="preserve">obowiązkiem publikacji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="007B0841" w:rsidRPr="004A5F49">
        <w:rPr>
          <w:rFonts w:ascii="Times New Roman" w:hAnsi="Times New Roman" w:cs="Times New Roman"/>
          <w:sz w:val="24"/>
          <w:szCs w:val="24"/>
        </w:rPr>
        <w:t>prospektu na ogólnodostępnej stronie internetowej przeznaczonej do ogłoszeń funduszu.</w:t>
      </w:r>
    </w:p>
    <w:p w14:paraId="6C796EE1" w14:textId="616EE9F6" w:rsidR="00A555CA" w:rsidRDefault="002C49B7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Podobnie jak w odniesieniu do propozycji unowocześnienia form kontaktu z klientami </w:t>
      </w:r>
      <w:r w:rsidR="003B2F68">
        <w:rPr>
          <w:rFonts w:ascii="Times New Roman" w:hAnsi="Times New Roman" w:cs="Times New Roman"/>
          <w:sz w:val="24"/>
          <w:szCs w:val="24"/>
        </w:rPr>
        <w:t xml:space="preserve">m.in.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zakresie ogłoszeń o zmianie statutu OFE</w:t>
      </w:r>
      <w:r w:rsidR="003B2F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przedmiotowa </w:t>
      </w:r>
      <w:r w:rsidR="003B2F68">
        <w:rPr>
          <w:rFonts w:ascii="Times New Roman" w:hAnsi="Times New Roman" w:cs="Times New Roman"/>
          <w:sz w:val="24"/>
          <w:szCs w:val="24"/>
        </w:rPr>
        <w:t>propozycja</w:t>
      </w:r>
      <w:r>
        <w:rPr>
          <w:rFonts w:ascii="Times New Roman" w:hAnsi="Times New Roman" w:cs="Times New Roman"/>
          <w:sz w:val="24"/>
          <w:szCs w:val="24"/>
        </w:rPr>
        <w:t xml:space="preserve"> ma na celu usprawnienie przepływu informacji i zapewnienie klientom stałego i nieograniczonego do nich dostępu.</w:t>
      </w:r>
      <w:r w:rsid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A555CA" w:rsidRPr="00A555CA">
        <w:rPr>
          <w:rFonts w:ascii="Times New Roman" w:hAnsi="Times New Roman" w:cs="Times New Roman"/>
          <w:sz w:val="24"/>
          <w:szCs w:val="24"/>
        </w:rPr>
        <w:t>Zapoznanie się z ogłoszeniami przez stronę internetową jest możliwe w każdym czasie i nie wymaga prenumerowania dostępu do danej gazety ogólnopolskiej lub prób pozyskania konkretnego („jednorazowego”) jej wydania.</w:t>
      </w:r>
    </w:p>
    <w:p w14:paraId="099F8D80" w14:textId="77127A06" w:rsidR="003B2F68" w:rsidRDefault="003B2F68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Dodatkową </w:t>
      </w:r>
      <w:r w:rsidR="00A555CA">
        <w:rPr>
          <w:rFonts w:ascii="Times New Roman" w:hAnsi="Times New Roman" w:cs="Times New Roman"/>
          <w:sz w:val="24"/>
          <w:szCs w:val="24"/>
        </w:rPr>
        <w:t xml:space="preserve">korzyścią </w:t>
      </w:r>
      <w:r w:rsidR="00A555CA" w:rsidRPr="00A555CA">
        <w:rPr>
          <w:rFonts w:ascii="Times New Roman" w:hAnsi="Times New Roman" w:cs="Times New Roman"/>
          <w:sz w:val="24"/>
          <w:szCs w:val="24"/>
        </w:rPr>
        <w:t>wdrażanej zmiany będzie możliwość optymalizacji kosztów operacyjnych instytucji finansowych, wynikająca z wyeliminowania kosztów obowiązkowych ogłoszeń w prasie.</w:t>
      </w:r>
    </w:p>
    <w:p w14:paraId="4904205F" w14:textId="1AE03B75" w:rsidR="00A555CA" w:rsidRDefault="00BD0D74" w:rsidP="00FD3F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Przepis przejściow</w:t>
      </w:r>
      <w:r w:rsidR="00206796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D74">
        <w:rPr>
          <w:rFonts w:ascii="Times New Roman" w:hAnsi="Times New Roman" w:cs="Times New Roman"/>
          <w:b/>
          <w:bCs/>
          <w:sz w:val="24"/>
          <w:szCs w:val="24"/>
        </w:rPr>
        <w:t xml:space="preserve">(art.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0D74">
        <w:rPr>
          <w:rFonts w:ascii="Times New Roman" w:hAnsi="Times New Roman" w:cs="Times New Roman"/>
          <w:b/>
          <w:bCs/>
          <w:sz w:val="24"/>
          <w:szCs w:val="24"/>
        </w:rPr>
        <w:t xml:space="preserve"> projektowanej ustawy)</w:t>
      </w:r>
    </w:p>
    <w:p w14:paraId="211169D0" w14:textId="2099BDD4" w:rsidR="00BD0D74" w:rsidRPr="00BD0D74" w:rsidRDefault="00774F0D" w:rsidP="00BD0D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proponowanym art. </w:t>
      </w:r>
      <w:r w:rsidR="002067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fundusz będzie obowiązany do z</w:t>
      </w:r>
      <w:r w:rsidR="00BD0D74" w:rsidRPr="00BD0D74">
        <w:rPr>
          <w:rFonts w:ascii="Times New Roman" w:hAnsi="Times New Roman" w:cs="Times New Roman"/>
          <w:sz w:val="24"/>
          <w:szCs w:val="24"/>
        </w:rPr>
        <w:t>wrot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BD0D74" w:rsidRPr="00BD0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towarzystwu emerytalnemu </w:t>
      </w:r>
      <w:r w:rsidR="00BD0D74" w:rsidRPr="00BD0D74">
        <w:rPr>
          <w:rFonts w:ascii="Times New Roman" w:hAnsi="Times New Roman" w:cs="Times New Roman"/>
          <w:sz w:val="24"/>
          <w:szCs w:val="24"/>
        </w:rPr>
        <w:t>kosztów, o który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D0D74" w:rsidRPr="00BD0D74">
        <w:rPr>
          <w:rFonts w:ascii="Times New Roman" w:hAnsi="Times New Roman" w:cs="Times New Roman"/>
          <w:sz w:val="24"/>
          <w:szCs w:val="24"/>
        </w:rPr>
        <w:t xml:space="preserve"> mowa w art. 137 ust. 4</w:t>
      </w:r>
      <w:r w:rsidR="001644FE">
        <w:rPr>
          <w:rFonts w:ascii="Times New Roman" w:hAnsi="Times New Roman" w:cs="Times New Roman"/>
          <w:sz w:val="24"/>
          <w:szCs w:val="24"/>
        </w:rPr>
        <w:t>–</w:t>
      </w:r>
      <w:r w:rsidR="00BD0D74" w:rsidRPr="00BD0D74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projektowanej </w:t>
      </w:r>
      <w:r w:rsidR="00BD0D74" w:rsidRPr="00BD0D74">
        <w:rPr>
          <w:rFonts w:ascii="Times New Roman" w:hAnsi="Times New Roman" w:cs="Times New Roman"/>
          <w:sz w:val="24"/>
          <w:szCs w:val="24"/>
        </w:rPr>
        <w:t xml:space="preserve">ustawy, </w:t>
      </w:r>
      <w:r>
        <w:rPr>
          <w:rFonts w:ascii="Times New Roman" w:hAnsi="Times New Roman" w:cs="Times New Roman"/>
          <w:sz w:val="24"/>
          <w:szCs w:val="24"/>
        </w:rPr>
        <w:t>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odniesieniu do tych </w:t>
      </w:r>
      <w:r w:rsidR="00F45F85">
        <w:rPr>
          <w:rFonts w:ascii="Times New Roman" w:hAnsi="Times New Roman" w:cs="Times New Roman"/>
          <w:sz w:val="24"/>
          <w:szCs w:val="24"/>
        </w:rPr>
        <w:t>orzeczeń</w:t>
      </w:r>
      <w:r w:rsidR="00F45F85" w:rsidRPr="00BD0D74">
        <w:rPr>
          <w:rFonts w:ascii="Times New Roman" w:hAnsi="Times New Roman" w:cs="Times New Roman"/>
          <w:sz w:val="24"/>
          <w:szCs w:val="24"/>
        </w:rPr>
        <w:t xml:space="preserve"> </w:t>
      </w:r>
      <w:r w:rsidR="00BD0D74" w:rsidRPr="00BD0D74">
        <w:rPr>
          <w:rFonts w:ascii="Times New Roman" w:hAnsi="Times New Roman" w:cs="Times New Roman"/>
          <w:sz w:val="24"/>
          <w:szCs w:val="24"/>
        </w:rPr>
        <w:t xml:space="preserve">sądowych, które uprawomocniły się </w:t>
      </w:r>
      <w:r w:rsidR="00206796">
        <w:rPr>
          <w:rFonts w:ascii="Times New Roman" w:hAnsi="Times New Roman" w:cs="Times New Roman"/>
          <w:sz w:val="24"/>
          <w:szCs w:val="24"/>
        </w:rPr>
        <w:t>od</w:t>
      </w:r>
      <w:r w:rsidR="00BD0D74" w:rsidRPr="00BD0D74">
        <w:rPr>
          <w:rFonts w:ascii="Times New Roman" w:hAnsi="Times New Roman" w:cs="Times New Roman"/>
          <w:sz w:val="24"/>
          <w:szCs w:val="24"/>
        </w:rPr>
        <w:t xml:space="preserve"> dni</w:t>
      </w:r>
      <w:r w:rsidR="00206796">
        <w:rPr>
          <w:rFonts w:ascii="Times New Roman" w:hAnsi="Times New Roman" w:cs="Times New Roman"/>
          <w:sz w:val="24"/>
          <w:szCs w:val="24"/>
        </w:rPr>
        <w:t>a</w:t>
      </w:r>
      <w:r w:rsidR="00BD0D74" w:rsidRPr="00BD0D74">
        <w:rPr>
          <w:rFonts w:ascii="Times New Roman" w:hAnsi="Times New Roman" w:cs="Times New Roman"/>
          <w:sz w:val="24"/>
          <w:szCs w:val="24"/>
        </w:rPr>
        <w:t xml:space="preserve"> wejścia w życie </w:t>
      </w:r>
      <w:r>
        <w:rPr>
          <w:rFonts w:ascii="Times New Roman" w:hAnsi="Times New Roman" w:cs="Times New Roman"/>
          <w:sz w:val="24"/>
          <w:szCs w:val="24"/>
        </w:rPr>
        <w:t xml:space="preserve">projektowanej </w:t>
      </w:r>
      <w:r w:rsidR="00BD0D74" w:rsidRPr="00BD0D74">
        <w:rPr>
          <w:rFonts w:ascii="Times New Roman" w:hAnsi="Times New Roman" w:cs="Times New Roman"/>
          <w:sz w:val="24"/>
          <w:szCs w:val="24"/>
        </w:rPr>
        <w:t>ustawy.</w:t>
      </w:r>
    </w:p>
    <w:p w14:paraId="5E358E8C" w14:textId="12C4F027" w:rsidR="00064CCB" w:rsidRPr="00F45F85" w:rsidRDefault="00064CCB" w:rsidP="001044FD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F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3F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5F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3F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5F85">
        <w:rPr>
          <w:rFonts w:ascii="Times New Roman" w:hAnsi="Times New Roman" w:cs="Times New Roman"/>
          <w:b/>
          <w:bCs/>
          <w:sz w:val="24"/>
          <w:szCs w:val="24"/>
        </w:rPr>
        <w:t>Wejście w życie przepisów</w:t>
      </w:r>
    </w:p>
    <w:p w14:paraId="29F48F82" w14:textId="6393B7C4" w:rsidR="00BD0D74" w:rsidRDefault="00064CCB" w:rsidP="001044FD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85">
        <w:rPr>
          <w:rFonts w:ascii="Times New Roman" w:hAnsi="Times New Roman" w:cs="Times New Roman"/>
          <w:sz w:val="24"/>
          <w:szCs w:val="24"/>
        </w:rPr>
        <w:t xml:space="preserve">Projektowane zmiany będą mogły wejść w życie od </w:t>
      </w:r>
      <w:r w:rsidR="004C6A6D">
        <w:rPr>
          <w:rFonts w:ascii="Times New Roman" w:hAnsi="Times New Roman" w:cs="Times New Roman"/>
          <w:sz w:val="24"/>
          <w:szCs w:val="24"/>
        </w:rPr>
        <w:t xml:space="preserve">dnia </w:t>
      </w:r>
      <w:r w:rsidRPr="00F45F85">
        <w:rPr>
          <w:rFonts w:ascii="Times New Roman" w:hAnsi="Times New Roman" w:cs="Times New Roman"/>
          <w:sz w:val="24"/>
          <w:szCs w:val="24"/>
        </w:rPr>
        <w:t>1 stycznia 2026 r.</w:t>
      </w:r>
      <w:r w:rsidR="004C6A6D">
        <w:rPr>
          <w:rFonts w:ascii="Times New Roman" w:hAnsi="Times New Roman" w:cs="Times New Roman"/>
          <w:sz w:val="24"/>
          <w:szCs w:val="24"/>
        </w:rPr>
        <w:t xml:space="preserve"> –</w:t>
      </w:r>
      <w:r w:rsidRPr="00F45F85">
        <w:rPr>
          <w:rFonts w:ascii="Times New Roman" w:hAnsi="Times New Roman" w:cs="Times New Roman"/>
          <w:sz w:val="24"/>
          <w:szCs w:val="24"/>
        </w:rPr>
        <w:t xml:space="preserve"> umożliwi to przeprowadzenie odpowiednich działań dostosowawczych po stronie instytucji finansowych, jak również pozyskanie wiedzy o nowych regulacjach przez wszystkie zainteresowane podmioty.</w:t>
      </w:r>
    </w:p>
    <w:p w14:paraId="3E5AB12E" w14:textId="77777777" w:rsidR="0078456D" w:rsidRPr="004A5F49" w:rsidRDefault="00A5384F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 xml:space="preserve">Zmiany w przedmiotowym projekcie ustawy </w:t>
      </w:r>
      <w:r w:rsidR="007B0841" w:rsidRPr="004A5F49">
        <w:rPr>
          <w:rFonts w:ascii="Times New Roman" w:hAnsi="Times New Roman" w:cs="Times New Roman"/>
          <w:sz w:val="24"/>
          <w:szCs w:val="24"/>
        </w:rPr>
        <w:t>ma</w:t>
      </w:r>
      <w:r w:rsidRPr="004A5F49">
        <w:rPr>
          <w:rFonts w:ascii="Times New Roman" w:hAnsi="Times New Roman" w:cs="Times New Roman"/>
          <w:sz w:val="24"/>
          <w:szCs w:val="24"/>
        </w:rPr>
        <w:t>ją</w:t>
      </w:r>
      <w:r w:rsidR="007B0841" w:rsidRPr="004A5F49">
        <w:rPr>
          <w:rFonts w:ascii="Times New Roman" w:hAnsi="Times New Roman" w:cs="Times New Roman"/>
          <w:sz w:val="24"/>
          <w:szCs w:val="24"/>
        </w:rPr>
        <w:t xml:space="preserve"> charakter neutralny w zakresie kosztów</w:t>
      </w:r>
      <w:r w:rsidR="00560246" w:rsidRPr="004A5F49">
        <w:rPr>
          <w:rFonts w:ascii="Times New Roman" w:hAnsi="Times New Roman" w:cs="Times New Roman"/>
          <w:sz w:val="24"/>
          <w:szCs w:val="24"/>
        </w:rPr>
        <w:t xml:space="preserve"> dla budżetu państwa</w:t>
      </w:r>
      <w:r w:rsidR="007B0841" w:rsidRPr="004A5F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C154B" w14:textId="222C6586" w:rsidR="0078456D" w:rsidRPr="004A5F49" w:rsidRDefault="0078456D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 xml:space="preserve">Wprowadzenie projektowanych zmian pozwoli wygenerować oszczędności po stronie podmiotów prowadzących OFE przez zmniejszenie kosztów związanych z publikacją ogłoszeń funduszu. </w:t>
      </w:r>
    </w:p>
    <w:p w14:paraId="59D9A115" w14:textId="77777777" w:rsidR="007B0841" w:rsidRPr="004A5F49" w:rsidRDefault="007B0841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 xml:space="preserve">W ocenie projektodawcy przedmiot projektowanej regulacji nie jest sprzeczny z prawem Unii Europejskiej. </w:t>
      </w:r>
    </w:p>
    <w:p w14:paraId="0D057D5F" w14:textId="1C3F98B4" w:rsidR="007B0841" w:rsidRPr="004A5F49" w:rsidRDefault="007B0841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lastRenderedPageBreak/>
        <w:t xml:space="preserve">Projekt </w:t>
      </w:r>
      <w:r w:rsidR="00F15231" w:rsidRPr="004A5F49">
        <w:rPr>
          <w:rFonts w:ascii="Times New Roman" w:hAnsi="Times New Roman" w:cs="Times New Roman"/>
          <w:sz w:val="24"/>
          <w:szCs w:val="24"/>
        </w:rPr>
        <w:t>ustawy</w:t>
      </w:r>
      <w:r w:rsidRPr="004A5F49">
        <w:rPr>
          <w:rFonts w:ascii="Times New Roman" w:hAnsi="Times New Roman" w:cs="Times New Roman"/>
          <w:sz w:val="24"/>
          <w:szCs w:val="24"/>
        </w:rPr>
        <w:t xml:space="preserve"> nie podlega obowiązkowi przedstawienia właściwym organom i instytucjom Unii Europejskiej, w tym Europejskiemu Bankowi Centralnemu, w celu uzyskania opinii, dokonania powiadomienia, konsultacji albo uzgodnienia.</w:t>
      </w:r>
    </w:p>
    <w:p w14:paraId="26A757B7" w14:textId="327486A6" w:rsidR="007B0841" w:rsidRPr="004A5F49" w:rsidRDefault="007B0841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 xml:space="preserve">Zgodnie z art. 5 ustawy z dnia 7 lipca 2005 r. o działalności lobbingowej w procesie stanowienia prawa </w:t>
      </w:r>
      <w:r w:rsidRPr="00512C4D">
        <w:rPr>
          <w:rFonts w:ascii="Times New Roman" w:hAnsi="Times New Roman" w:cs="Times New Roman"/>
          <w:sz w:val="24"/>
          <w:szCs w:val="24"/>
        </w:rPr>
        <w:t>(Dz. U. z 20</w:t>
      </w:r>
      <w:r w:rsidR="00DE129B" w:rsidRPr="00512C4D">
        <w:rPr>
          <w:rFonts w:ascii="Times New Roman" w:hAnsi="Times New Roman" w:cs="Times New Roman"/>
          <w:sz w:val="24"/>
          <w:szCs w:val="24"/>
        </w:rPr>
        <w:t>25</w:t>
      </w:r>
      <w:r w:rsidRPr="00512C4D">
        <w:rPr>
          <w:rFonts w:ascii="Times New Roman" w:hAnsi="Times New Roman" w:cs="Times New Roman"/>
          <w:sz w:val="24"/>
          <w:szCs w:val="24"/>
        </w:rPr>
        <w:t xml:space="preserve"> r. poz. </w:t>
      </w:r>
      <w:r w:rsidR="00DE129B" w:rsidRPr="00512C4D">
        <w:rPr>
          <w:rFonts w:ascii="Times New Roman" w:hAnsi="Times New Roman" w:cs="Times New Roman"/>
          <w:sz w:val="24"/>
          <w:szCs w:val="24"/>
        </w:rPr>
        <w:t>677</w:t>
      </w:r>
      <w:r w:rsidRPr="00512C4D">
        <w:rPr>
          <w:rFonts w:ascii="Times New Roman" w:hAnsi="Times New Roman" w:cs="Times New Roman"/>
          <w:sz w:val="24"/>
          <w:szCs w:val="24"/>
        </w:rPr>
        <w:t>) oraz</w:t>
      </w:r>
      <w:r w:rsidRPr="004A5F49">
        <w:rPr>
          <w:rFonts w:ascii="Times New Roman" w:hAnsi="Times New Roman" w:cs="Times New Roman"/>
          <w:sz w:val="24"/>
          <w:szCs w:val="24"/>
        </w:rPr>
        <w:t xml:space="preserve"> § 52 uchwały nr 190 Rady Ministrów z dnia 29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4A5F49">
        <w:rPr>
          <w:rFonts w:ascii="Times New Roman" w:hAnsi="Times New Roman" w:cs="Times New Roman"/>
          <w:sz w:val="24"/>
          <w:szCs w:val="24"/>
        </w:rPr>
        <w:t>października 2013 r. – Regulamin pracy Rady Ministrów (M.P. z 2024 r. poz. 806</w:t>
      </w:r>
      <w:r w:rsidR="008A05E9">
        <w:rPr>
          <w:rFonts w:ascii="Times New Roman" w:hAnsi="Times New Roman" w:cs="Times New Roman"/>
          <w:sz w:val="24"/>
          <w:szCs w:val="24"/>
        </w:rPr>
        <w:t>,</w:t>
      </w:r>
      <w:r w:rsidR="00512C4D">
        <w:rPr>
          <w:rFonts w:ascii="Times New Roman" w:hAnsi="Times New Roman" w:cs="Times New Roman"/>
          <w:sz w:val="24"/>
          <w:szCs w:val="24"/>
        </w:rPr>
        <w:t xml:space="preserve"> z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12C4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12C4D">
        <w:rPr>
          <w:rFonts w:ascii="Times New Roman" w:hAnsi="Times New Roman" w:cs="Times New Roman"/>
          <w:sz w:val="24"/>
          <w:szCs w:val="24"/>
        </w:rPr>
        <w:t>.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512C4D">
        <w:rPr>
          <w:rFonts w:ascii="Times New Roman" w:hAnsi="Times New Roman" w:cs="Times New Roman"/>
          <w:sz w:val="24"/>
          <w:szCs w:val="24"/>
        </w:rPr>
        <w:t>zm.</w:t>
      </w:r>
      <w:r w:rsidRPr="004A5F49">
        <w:rPr>
          <w:rFonts w:ascii="Times New Roman" w:hAnsi="Times New Roman" w:cs="Times New Roman"/>
          <w:sz w:val="24"/>
          <w:szCs w:val="24"/>
        </w:rPr>
        <w:t>)</w:t>
      </w:r>
      <w:r w:rsidR="00F90DCE">
        <w:rPr>
          <w:rFonts w:ascii="Times New Roman" w:hAnsi="Times New Roman" w:cs="Times New Roman"/>
          <w:sz w:val="24"/>
          <w:szCs w:val="24"/>
        </w:rPr>
        <w:t>,</w:t>
      </w:r>
      <w:r w:rsidRPr="004A5F49">
        <w:rPr>
          <w:rFonts w:ascii="Times New Roman" w:hAnsi="Times New Roman" w:cs="Times New Roman"/>
          <w:sz w:val="24"/>
          <w:szCs w:val="24"/>
        </w:rPr>
        <w:t xml:space="preserve"> projekt </w:t>
      </w:r>
      <w:r w:rsidR="00A5384F" w:rsidRPr="004A5F49">
        <w:rPr>
          <w:rFonts w:ascii="Times New Roman" w:hAnsi="Times New Roman" w:cs="Times New Roman"/>
          <w:sz w:val="24"/>
          <w:szCs w:val="24"/>
        </w:rPr>
        <w:t xml:space="preserve">ustawy </w:t>
      </w:r>
      <w:r w:rsidRPr="004A5F49">
        <w:rPr>
          <w:rFonts w:ascii="Times New Roman" w:hAnsi="Times New Roman" w:cs="Times New Roman"/>
          <w:sz w:val="24"/>
          <w:szCs w:val="24"/>
        </w:rPr>
        <w:t>zosta</w:t>
      </w:r>
      <w:r w:rsidR="004C6A6D">
        <w:rPr>
          <w:rFonts w:ascii="Times New Roman" w:hAnsi="Times New Roman" w:cs="Times New Roman"/>
          <w:sz w:val="24"/>
          <w:szCs w:val="24"/>
        </w:rPr>
        <w:t>ł</w:t>
      </w:r>
      <w:r w:rsidRPr="004A5F49">
        <w:rPr>
          <w:rFonts w:ascii="Times New Roman" w:hAnsi="Times New Roman" w:cs="Times New Roman"/>
          <w:sz w:val="24"/>
          <w:szCs w:val="24"/>
        </w:rPr>
        <w:t xml:space="preserve"> zamieszczony </w:t>
      </w:r>
      <w:r w:rsidR="008C53D2">
        <w:rPr>
          <w:rFonts w:ascii="Times New Roman" w:hAnsi="Times New Roman" w:cs="Times New Roman"/>
          <w:sz w:val="24"/>
          <w:szCs w:val="24"/>
        </w:rPr>
        <w:t xml:space="preserve">w </w:t>
      </w:r>
      <w:r w:rsidR="005958A1" w:rsidRPr="005958A1">
        <w:rPr>
          <w:rFonts w:ascii="Times New Roman" w:hAnsi="Times New Roman" w:cs="Times New Roman"/>
          <w:sz w:val="24"/>
          <w:szCs w:val="24"/>
        </w:rPr>
        <w:t>Biuletynie Informacji Publicznej na stronie podmiotowej Ministra Rodziny, Pracy i Polityki Społecznej oraz w</w:t>
      </w:r>
      <w:r w:rsidR="005958A1">
        <w:rPr>
          <w:rFonts w:ascii="Times New Roman" w:hAnsi="Times New Roman" w:cs="Times New Roman"/>
          <w:sz w:val="24"/>
          <w:szCs w:val="24"/>
        </w:rPr>
        <w:t xml:space="preserve"> </w:t>
      </w:r>
      <w:r w:rsidR="005958A1" w:rsidRPr="005958A1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r w:rsidRPr="004A5F49">
        <w:rPr>
          <w:rFonts w:ascii="Times New Roman" w:hAnsi="Times New Roman" w:cs="Times New Roman"/>
          <w:sz w:val="24"/>
          <w:szCs w:val="24"/>
        </w:rPr>
        <w:t xml:space="preserve">na stronie podmiotowej Rządowego Centrum Legislacji, w serwisie </w:t>
      </w:r>
      <w:r w:rsidR="00F90DCE">
        <w:rPr>
          <w:rFonts w:ascii="Times New Roman" w:hAnsi="Times New Roman" w:cs="Times New Roman"/>
          <w:sz w:val="24"/>
          <w:szCs w:val="24"/>
        </w:rPr>
        <w:t>„</w:t>
      </w:r>
      <w:r w:rsidRPr="004A5F49">
        <w:rPr>
          <w:rFonts w:ascii="Times New Roman" w:hAnsi="Times New Roman" w:cs="Times New Roman"/>
          <w:sz w:val="24"/>
          <w:szCs w:val="24"/>
        </w:rPr>
        <w:t>Rządowy Proces Legislacyjny</w:t>
      </w:r>
      <w:r w:rsidR="00F90DCE">
        <w:rPr>
          <w:rFonts w:ascii="Times New Roman" w:hAnsi="Times New Roman" w:cs="Times New Roman"/>
          <w:sz w:val="24"/>
          <w:szCs w:val="24"/>
        </w:rPr>
        <w:t>”</w:t>
      </w:r>
      <w:r w:rsidRPr="004A5F49">
        <w:rPr>
          <w:rFonts w:ascii="Times New Roman" w:hAnsi="Times New Roman" w:cs="Times New Roman"/>
          <w:sz w:val="24"/>
          <w:szCs w:val="24"/>
        </w:rPr>
        <w:t>.</w:t>
      </w:r>
    </w:p>
    <w:p w14:paraId="7CDCD5C7" w14:textId="2E4FD651" w:rsidR="007B0841" w:rsidRDefault="00A5384F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>Projektowana ustaw</w:t>
      </w:r>
      <w:r w:rsidR="00F15231" w:rsidRPr="004A5F49">
        <w:rPr>
          <w:rFonts w:ascii="Times New Roman" w:hAnsi="Times New Roman" w:cs="Times New Roman"/>
          <w:sz w:val="24"/>
          <w:szCs w:val="24"/>
        </w:rPr>
        <w:t>a</w:t>
      </w:r>
      <w:r w:rsidRPr="004A5F49">
        <w:rPr>
          <w:rFonts w:ascii="Times New Roman" w:hAnsi="Times New Roman" w:cs="Times New Roman"/>
          <w:sz w:val="24"/>
          <w:szCs w:val="24"/>
        </w:rPr>
        <w:t xml:space="preserve"> </w:t>
      </w:r>
      <w:r w:rsidR="007B0841" w:rsidRPr="004A5F49">
        <w:rPr>
          <w:rFonts w:ascii="Times New Roman" w:hAnsi="Times New Roman" w:cs="Times New Roman"/>
          <w:sz w:val="24"/>
          <w:szCs w:val="24"/>
        </w:rPr>
        <w:t xml:space="preserve">nie zawiera przepisów technicznych w rozumieniu przepisów rozporządzenia Rady Ministrów z dnia 23 grudnia 2002 r. w sprawie sposobu funkcjonowania krajowego systemu notyfikacji norm i aktów prawnych (Dz. U. poz. 2039, z </w:t>
      </w:r>
      <w:proofErr w:type="spellStart"/>
      <w:r w:rsidR="007B0841" w:rsidRPr="004A5F4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B0841" w:rsidRPr="004A5F49">
        <w:rPr>
          <w:rFonts w:ascii="Times New Roman" w:hAnsi="Times New Roman" w:cs="Times New Roman"/>
          <w:sz w:val="24"/>
          <w:szCs w:val="24"/>
        </w:rPr>
        <w:t>. zm.) i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7B0841" w:rsidRPr="004A5F49">
        <w:rPr>
          <w:rFonts w:ascii="Times New Roman" w:hAnsi="Times New Roman" w:cs="Times New Roman"/>
          <w:sz w:val="24"/>
          <w:szCs w:val="24"/>
        </w:rPr>
        <w:t>w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="007B0841" w:rsidRPr="004A5F49">
        <w:rPr>
          <w:rFonts w:ascii="Times New Roman" w:hAnsi="Times New Roman" w:cs="Times New Roman"/>
          <w:sz w:val="24"/>
          <w:szCs w:val="24"/>
        </w:rPr>
        <w:t>związku z tym nie podlega notyfikacji.</w:t>
      </w:r>
    </w:p>
    <w:p w14:paraId="79F5427F" w14:textId="1C3B815B" w:rsidR="00AE0D8B" w:rsidRPr="004A5F49" w:rsidRDefault="00AE0D8B" w:rsidP="004A5F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8B">
        <w:rPr>
          <w:rFonts w:ascii="Times New Roman" w:hAnsi="Times New Roman" w:cs="Times New Roman"/>
          <w:sz w:val="24"/>
          <w:szCs w:val="24"/>
        </w:rPr>
        <w:t xml:space="preserve">W ramach oceny przewidywanego wpływu niniejszego projektu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AE0D8B">
        <w:rPr>
          <w:rFonts w:ascii="Times New Roman" w:hAnsi="Times New Roman" w:cs="Times New Roman"/>
          <w:sz w:val="24"/>
          <w:szCs w:val="24"/>
        </w:rPr>
        <w:t xml:space="preserve"> na mikro-, małe i</w:t>
      </w:r>
      <w:r w:rsidR="003E2DAA">
        <w:rPr>
          <w:rFonts w:ascii="Times New Roman" w:hAnsi="Times New Roman" w:cs="Times New Roman"/>
          <w:sz w:val="24"/>
          <w:szCs w:val="24"/>
        </w:rPr>
        <w:t> </w:t>
      </w:r>
      <w:r w:rsidRPr="00AE0D8B">
        <w:rPr>
          <w:rFonts w:ascii="Times New Roman" w:hAnsi="Times New Roman" w:cs="Times New Roman"/>
          <w:sz w:val="24"/>
          <w:szCs w:val="24"/>
        </w:rPr>
        <w:t>średnie przedsiębiorstwa, zgodnie z art. 66</w:t>
      </w:r>
      <w:r w:rsidR="00F90DCE">
        <w:rPr>
          <w:rFonts w:ascii="Times New Roman" w:hAnsi="Times New Roman" w:cs="Times New Roman"/>
          <w:sz w:val="24"/>
          <w:szCs w:val="24"/>
        </w:rPr>
        <w:t>–</w:t>
      </w:r>
      <w:r w:rsidR="0075634E">
        <w:rPr>
          <w:rFonts w:ascii="Times New Roman" w:hAnsi="Times New Roman" w:cs="Times New Roman"/>
          <w:sz w:val="24"/>
          <w:szCs w:val="24"/>
        </w:rPr>
        <w:t>68</w:t>
      </w:r>
      <w:r w:rsidRPr="00AE0D8B">
        <w:rPr>
          <w:rFonts w:ascii="Times New Roman" w:hAnsi="Times New Roman" w:cs="Times New Roman"/>
          <w:sz w:val="24"/>
          <w:szCs w:val="24"/>
        </w:rPr>
        <w:t xml:space="preserve"> ustawy z dnia 6 marca 2018 r. – Prawo przedsiębiorców (Dz. U. z 2024 r. poz. 236, z </w:t>
      </w:r>
      <w:proofErr w:type="spellStart"/>
      <w:r w:rsidRPr="00AE0D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E0D8B">
        <w:rPr>
          <w:rFonts w:ascii="Times New Roman" w:hAnsi="Times New Roman" w:cs="Times New Roman"/>
          <w:sz w:val="24"/>
          <w:szCs w:val="24"/>
        </w:rPr>
        <w:t xml:space="preserve">. zm.), przewiduje się, że proponowane </w:t>
      </w:r>
      <w:r>
        <w:rPr>
          <w:rFonts w:ascii="Times New Roman" w:hAnsi="Times New Roman" w:cs="Times New Roman"/>
          <w:sz w:val="24"/>
          <w:szCs w:val="24"/>
        </w:rPr>
        <w:t>rozwiązania będą miały pozytywny wpływ na ww. kategorię podmiotów.</w:t>
      </w:r>
    </w:p>
    <w:p w14:paraId="3F022C61" w14:textId="38AB159B" w:rsidR="007B0841" w:rsidRPr="004D7FC6" w:rsidRDefault="007B0841" w:rsidP="004A5F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49">
        <w:rPr>
          <w:rFonts w:ascii="Times New Roman" w:hAnsi="Times New Roman" w:cs="Times New Roman"/>
          <w:sz w:val="24"/>
          <w:szCs w:val="24"/>
        </w:rPr>
        <w:t>Projektowana regulacja nie stwar</w:t>
      </w:r>
      <w:r w:rsidRPr="004D7FC6">
        <w:rPr>
          <w:rFonts w:ascii="Times New Roman" w:hAnsi="Times New Roman" w:cs="Times New Roman"/>
          <w:sz w:val="24"/>
          <w:szCs w:val="24"/>
        </w:rPr>
        <w:t>za zagrożeń korupcyjn</w:t>
      </w:r>
      <w:r w:rsidR="00030480" w:rsidRPr="004D7FC6">
        <w:rPr>
          <w:rFonts w:ascii="Times New Roman" w:hAnsi="Times New Roman" w:cs="Times New Roman"/>
          <w:sz w:val="24"/>
          <w:szCs w:val="24"/>
        </w:rPr>
        <w:t>ych</w:t>
      </w:r>
      <w:r w:rsidR="00325CCE">
        <w:rPr>
          <w:rFonts w:ascii="Times New Roman" w:hAnsi="Times New Roman" w:cs="Times New Roman"/>
          <w:sz w:val="24"/>
          <w:szCs w:val="24"/>
        </w:rPr>
        <w:t>.</w:t>
      </w:r>
    </w:p>
    <w:sectPr w:rsidR="007B0841" w:rsidRPr="004D7FC6" w:rsidSect="00171D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1DFBF" w14:textId="77777777" w:rsidR="00923732" w:rsidRDefault="00923732" w:rsidP="007803BB">
      <w:pPr>
        <w:spacing w:after="0" w:line="240" w:lineRule="auto"/>
      </w:pPr>
      <w:r>
        <w:separator/>
      </w:r>
    </w:p>
  </w:endnote>
  <w:endnote w:type="continuationSeparator" w:id="0">
    <w:p w14:paraId="273A328D" w14:textId="77777777" w:rsidR="00923732" w:rsidRDefault="00923732" w:rsidP="0078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857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A16440" w14:textId="318CC537" w:rsidR="00171D42" w:rsidRPr="00171D42" w:rsidRDefault="00171D42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1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1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1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1D42">
          <w:rPr>
            <w:rFonts w:ascii="Times New Roman" w:hAnsi="Times New Roman" w:cs="Times New Roman"/>
            <w:sz w:val="24"/>
            <w:szCs w:val="24"/>
          </w:rPr>
          <w:t>2</w:t>
        </w:r>
        <w:r w:rsidRPr="00171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2A0B" w14:textId="77777777" w:rsidR="00923732" w:rsidRDefault="00923732" w:rsidP="007803BB">
      <w:pPr>
        <w:spacing w:after="0" w:line="240" w:lineRule="auto"/>
      </w:pPr>
      <w:r>
        <w:separator/>
      </w:r>
    </w:p>
  </w:footnote>
  <w:footnote w:type="continuationSeparator" w:id="0">
    <w:p w14:paraId="26B14F37" w14:textId="77777777" w:rsidR="00923732" w:rsidRDefault="00923732" w:rsidP="0078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428"/>
    <w:multiLevelType w:val="hybridMultilevel"/>
    <w:tmpl w:val="92C2A312"/>
    <w:lvl w:ilvl="0" w:tplc="7CDA5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E56"/>
    <w:multiLevelType w:val="hybridMultilevel"/>
    <w:tmpl w:val="EE66778C"/>
    <w:lvl w:ilvl="0" w:tplc="494C37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3FCF"/>
    <w:multiLevelType w:val="hybridMultilevel"/>
    <w:tmpl w:val="307A3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3443"/>
    <w:multiLevelType w:val="hybridMultilevel"/>
    <w:tmpl w:val="3CCEF526"/>
    <w:lvl w:ilvl="0" w:tplc="F64C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7450E"/>
    <w:multiLevelType w:val="hybridMultilevel"/>
    <w:tmpl w:val="BEEAB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F2FC5"/>
    <w:multiLevelType w:val="hybridMultilevel"/>
    <w:tmpl w:val="9E48C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8622246">
    <w:abstractNumId w:val="0"/>
  </w:num>
  <w:num w:numId="2" w16cid:durableId="286933664">
    <w:abstractNumId w:val="5"/>
  </w:num>
  <w:num w:numId="3" w16cid:durableId="1755125572">
    <w:abstractNumId w:val="2"/>
  </w:num>
  <w:num w:numId="4" w16cid:durableId="511147757">
    <w:abstractNumId w:val="4"/>
  </w:num>
  <w:num w:numId="5" w16cid:durableId="2092507678">
    <w:abstractNumId w:val="1"/>
  </w:num>
  <w:num w:numId="6" w16cid:durableId="1988707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03"/>
    <w:rsid w:val="0000354F"/>
    <w:rsid w:val="00010BB2"/>
    <w:rsid w:val="00012944"/>
    <w:rsid w:val="00013A01"/>
    <w:rsid w:val="000146DB"/>
    <w:rsid w:val="00017839"/>
    <w:rsid w:val="00017B56"/>
    <w:rsid w:val="00030480"/>
    <w:rsid w:val="0003114B"/>
    <w:rsid w:val="0004048B"/>
    <w:rsid w:val="00042C59"/>
    <w:rsid w:val="00047FF7"/>
    <w:rsid w:val="00052F30"/>
    <w:rsid w:val="00057220"/>
    <w:rsid w:val="00061EBD"/>
    <w:rsid w:val="000624A6"/>
    <w:rsid w:val="00064CCB"/>
    <w:rsid w:val="00066555"/>
    <w:rsid w:val="0007311A"/>
    <w:rsid w:val="000927D5"/>
    <w:rsid w:val="000A1702"/>
    <w:rsid w:val="000A531F"/>
    <w:rsid w:val="000B1540"/>
    <w:rsid w:val="000C286D"/>
    <w:rsid w:val="000C3AB6"/>
    <w:rsid w:val="000C4B18"/>
    <w:rsid w:val="000D6ACA"/>
    <w:rsid w:val="000D7597"/>
    <w:rsid w:val="000D78D8"/>
    <w:rsid w:val="000E0486"/>
    <w:rsid w:val="000E26CA"/>
    <w:rsid w:val="001044FD"/>
    <w:rsid w:val="00112960"/>
    <w:rsid w:val="001134A4"/>
    <w:rsid w:val="00123D04"/>
    <w:rsid w:val="001306BD"/>
    <w:rsid w:val="00143024"/>
    <w:rsid w:val="00143319"/>
    <w:rsid w:val="001515EE"/>
    <w:rsid w:val="00153960"/>
    <w:rsid w:val="00154BFE"/>
    <w:rsid w:val="00155103"/>
    <w:rsid w:val="00155A97"/>
    <w:rsid w:val="001565A6"/>
    <w:rsid w:val="00160243"/>
    <w:rsid w:val="001644FE"/>
    <w:rsid w:val="00164F0D"/>
    <w:rsid w:val="00167386"/>
    <w:rsid w:val="0016770F"/>
    <w:rsid w:val="00167A19"/>
    <w:rsid w:val="00171D42"/>
    <w:rsid w:val="0017321B"/>
    <w:rsid w:val="0017444E"/>
    <w:rsid w:val="00180F5B"/>
    <w:rsid w:val="0018578B"/>
    <w:rsid w:val="00190EF4"/>
    <w:rsid w:val="00196634"/>
    <w:rsid w:val="001A5AA2"/>
    <w:rsid w:val="001B1E3A"/>
    <w:rsid w:val="001B1F17"/>
    <w:rsid w:val="001C795E"/>
    <w:rsid w:val="001D00B1"/>
    <w:rsid w:val="001E11EB"/>
    <w:rsid w:val="00206796"/>
    <w:rsid w:val="0021120A"/>
    <w:rsid w:val="00211A6B"/>
    <w:rsid w:val="002146DA"/>
    <w:rsid w:val="00220A37"/>
    <w:rsid w:val="002255FA"/>
    <w:rsid w:val="0023217B"/>
    <w:rsid w:val="0023562A"/>
    <w:rsid w:val="00241E3C"/>
    <w:rsid w:val="002440F4"/>
    <w:rsid w:val="00255107"/>
    <w:rsid w:val="002613F6"/>
    <w:rsid w:val="00265E28"/>
    <w:rsid w:val="0027627E"/>
    <w:rsid w:val="00286DF0"/>
    <w:rsid w:val="00287078"/>
    <w:rsid w:val="002A72DD"/>
    <w:rsid w:val="002A75BA"/>
    <w:rsid w:val="002B479C"/>
    <w:rsid w:val="002C49B7"/>
    <w:rsid w:val="002D73FD"/>
    <w:rsid w:val="002E1CB5"/>
    <w:rsid w:val="002E2624"/>
    <w:rsid w:val="002E4433"/>
    <w:rsid w:val="002E68A5"/>
    <w:rsid w:val="002F0D10"/>
    <w:rsid w:val="0030090E"/>
    <w:rsid w:val="00302D6B"/>
    <w:rsid w:val="00315900"/>
    <w:rsid w:val="003244DB"/>
    <w:rsid w:val="00325CCE"/>
    <w:rsid w:val="00330761"/>
    <w:rsid w:val="0033149F"/>
    <w:rsid w:val="00343487"/>
    <w:rsid w:val="00343A48"/>
    <w:rsid w:val="003522BA"/>
    <w:rsid w:val="0035565D"/>
    <w:rsid w:val="00360307"/>
    <w:rsid w:val="0037001D"/>
    <w:rsid w:val="00374685"/>
    <w:rsid w:val="00383A42"/>
    <w:rsid w:val="00386A29"/>
    <w:rsid w:val="003918A5"/>
    <w:rsid w:val="0039384C"/>
    <w:rsid w:val="00396AC1"/>
    <w:rsid w:val="003A5C27"/>
    <w:rsid w:val="003B2F68"/>
    <w:rsid w:val="003B578C"/>
    <w:rsid w:val="003C3189"/>
    <w:rsid w:val="003D099A"/>
    <w:rsid w:val="003D3C40"/>
    <w:rsid w:val="003E2DAA"/>
    <w:rsid w:val="003E35BC"/>
    <w:rsid w:val="003F1745"/>
    <w:rsid w:val="003F3732"/>
    <w:rsid w:val="004018D1"/>
    <w:rsid w:val="00405430"/>
    <w:rsid w:val="00411DE4"/>
    <w:rsid w:val="00412CD6"/>
    <w:rsid w:val="004314EE"/>
    <w:rsid w:val="00441686"/>
    <w:rsid w:val="00443398"/>
    <w:rsid w:val="00445090"/>
    <w:rsid w:val="00445955"/>
    <w:rsid w:val="0044608B"/>
    <w:rsid w:val="00462659"/>
    <w:rsid w:val="00467BAF"/>
    <w:rsid w:val="00475CF4"/>
    <w:rsid w:val="00475DB2"/>
    <w:rsid w:val="00484B39"/>
    <w:rsid w:val="00485D2E"/>
    <w:rsid w:val="00491D48"/>
    <w:rsid w:val="00493EAB"/>
    <w:rsid w:val="00493F9F"/>
    <w:rsid w:val="004A5F49"/>
    <w:rsid w:val="004A5F70"/>
    <w:rsid w:val="004B2F27"/>
    <w:rsid w:val="004B31CE"/>
    <w:rsid w:val="004B4783"/>
    <w:rsid w:val="004C3ECA"/>
    <w:rsid w:val="004C4B98"/>
    <w:rsid w:val="004C6A6D"/>
    <w:rsid w:val="004D3F74"/>
    <w:rsid w:val="004D4127"/>
    <w:rsid w:val="004D7FC6"/>
    <w:rsid w:val="004E33B5"/>
    <w:rsid w:val="004E34B9"/>
    <w:rsid w:val="004F1228"/>
    <w:rsid w:val="0050211D"/>
    <w:rsid w:val="00503080"/>
    <w:rsid w:val="00505955"/>
    <w:rsid w:val="00505A49"/>
    <w:rsid w:val="00506508"/>
    <w:rsid w:val="00512569"/>
    <w:rsid w:val="00512C4D"/>
    <w:rsid w:val="005255F7"/>
    <w:rsid w:val="00525FAF"/>
    <w:rsid w:val="005319AB"/>
    <w:rsid w:val="00541595"/>
    <w:rsid w:val="00544186"/>
    <w:rsid w:val="00546F27"/>
    <w:rsid w:val="00552EA7"/>
    <w:rsid w:val="00560246"/>
    <w:rsid w:val="005603C0"/>
    <w:rsid w:val="00561D0F"/>
    <w:rsid w:val="00572C2C"/>
    <w:rsid w:val="00577D04"/>
    <w:rsid w:val="005851A7"/>
    <w:rsid w:val="00592960"/>
    <w:rsid w:val="00593489"/>
    <w:rsid w:val="005946F9"/>
    <w:rsid w:val="005949E1"/>
    <w:rsid w:val="00595463"/>
    <w:rsid w:val="005958A1"/>
    <w:rsid w:val="005B3925"/>
    <w:rsid w:val="005C30EC"/>
    <w:rsid w:val="005D19CF"/>
    <w:rsid w:val="005E2CE9"/>
    <w:rsid w:val="005E4913"/>
    <w:rsid w:val="005E7E33"/>
    <w:rsid w:val="005F267B"/>
    <w:rsid w:val="005F456B"/>
    <w:rsid w:val="00614EE0"/>
    <w:rsid w:val="00626037"/>
    <w:rsid w:val="006306FC"/>
    <w:rsid w:val="00630B88"/>
    <w:rsid w:val="00631DC5"/>
    <w:rsid w:val="00637A78"/>
    <w:rsid w:val="00651D68"/>
    <w:rsid w:val="00651F32"/>
    <w:rsid w:val="0065283E"/>
    <w:rsid w:val="0065535D"/>
    <w:rsid w:val="006574F2"/>
    <w:rsid w:val="00663F86"/>
    <w:rsid w:val="00675B42"/>
    <w:rsid w:val="0067688C"/>
    <w:rsid w:val="006934E5"/>
    <w:rsid w:val="00695E45"/>
    <w:rsid w:val="006A04A9"/>
    <w:rsid w:val="006B03E4"/>
    <w:rsid w:val="006B0D61"/>
    <w:rsid w:val="006B3897"/>
    <w:rsid w:val="006B4E58"/>
    <w:rsid w:val="006B585B"/>
    <w:rsid w:val="006B6F0A"/>
    <w:rsid w:val="006C09E1"/>
    <w:rsid w:val="006C1FB6"/>
    <w:rsid w:val="006C41F1"/>
    <w:rsid w:val="006C6638"/>
    <w:rsid w:val="006D0174"/>
    <w:rsid w:val="006D22D4"/>
    <w:rsid w:val="006D7431"/>
    <w:rsid w:val="00705BFC"/>
    <w:rsid w:val="00706B87"/>
    <w:rsid w:val="00707DFE"/>
    <w:rsid w:val="007110FC"/>
    <w:rsid w:val="00712B03"/>
    <w:rsid w:val="00714959"/>
    <w:rsid w:val="00714EF9"/>
    <w:rsid w:val="0072797E"/>
    <w:rsid w:val="00727BD5"/>
    <w:rsid w:val="00727F76"/>
    <w:rsid w:val="0073331F"/>
    <w:rsid w:val="00740F90"/>
    <w:rsid w:val="00742CDC"/>
    <w:rsid w:val="00752F6E"/>
    <w:rsid w:val="0075634E"/>
    <w:rsid w:val="00763108"/>
    <w:rsid w:val="00765AE8"/>
    <w:rsid w:val="00766F92"/>
    <w:rsid w:val="00767B96"/>
    <w:rsid w:val="00767EFF"/>
    <w:rsid w:val="00772873"/>
    <w:rsid w:val="00772F26"/>
    <w:rsid w:val="00774F0D"/>
    <w:rsid w:val="007755C0"/>
    <w:rsid w:val="00775F06"/>
    <w:rsid w:val="007803BB"/>
    <w:rsid w:val="0078456D"/>
    <w:rsid w:val="00787A91"/>
    <w:rsid w:val="007A1C84"/>
    <w:rsid w:val="007A6700"/>
    <w:rsid w:val="007A6D14"/>
    <w:rsid w:val="007B0426"/>
    <w:rsid w:val="007B0841"/>
    <w:rsid w:val="007B0FEA"/>
    <w:rsid w:val="007B321F"/>
    <w:rsid w:val="007C1320"/>
    <w:rsid w:val="007C2BD2"/>
    <w:rsid w:val="007E0AEE"/>
    <w:rsid w:val="007E0C86"/>
    <w:rsid w:val="007E3266"/>
    <w:rsid w:val="00807361"/>
    <w:rsid w:val="00807E64"/>
    <w:rsid w:val="00811459"/>
    <w:rsid w:val="00816F56"/>
    <w:rsid w:val="008237BC"/>
    <w:rsid w:val="00827E9E"/>
    <w:rsid w:val="00831308"/>
    <w:rsid w:val="0084118B"/>
    <w:rsid w:val="00850936"/>
    <w:rsid w:val="0085138B"/>
    <w:rsid w:val="00851C6C"/>
    <w:rsid w:val="008567EA"/>
    <w:rsid w:val="00857C1F"/>
    <w:rsid w:val="00866257"/>
    <w:rsid w:val="00875095"/>
    <w:rsid w:val="00884266"/>
    <w:rsid w:val="008A05E9"/>
    <w:rsid w:val="008A2D83"/>
    <w:rsid w:val="008A47CF"/>
    <w:rsid w:val="008B0789"/>
    <w:rsid w:val="008B0BB5"/>
    <w:rsid w:val="008B3F24"/>
    <w:rsid w:val="008B3F37"/>
    <w:rsid w:val="008B47C9"/>
    <w:rsid w:val="008C4311"/>
    <w:rsid w:val="008C53D2"/>
    <w:rsid w:val="008F0005"/>
    <w:rsid w:val="008F072F"/>
    <w:rsid w:val="008F08E7"/>
    <w:rsid w:val="008F6505"/>
    <w:rsid w:val="00901F55"/>
    <w:rsid w:val="009044CE"/>
    <w:rsid w:val="00910123"/>
    <w:rsid w:val="00911F90"/>
    <w:rsid w:val="009207B9"/>
    <w:rsid w:val="00923732"/>
    <w:rsid w:val="00924FE7"/>
    <w:rsid w:val="00926EC8"/>
    <w:rsid w:val="00942026"/>
    <w:rsid w:val="00947EC0"/>
    <w:rsid w:val="0095382A"/>
    <w:rsid w:val="009778C3"/>
    <w:rsid w:val="00980C47"/>
    <w:rsid w:val="009927DE"/>
    <w:rsid w:val="009935FE"/>
    <w:rsid w:val="00994553"/>
    <w:rsid w:val="00996DA1"/>
    <w:rsid w:val="009A2AF2"/>
    <w:rsid w:val="009A6B9A"/>
    <w:rsid w:val="009A73F9"/>
    <w:rsid w:val="009B0BA1"/>
    <w:rsid w:val="009B5110"/>
    <w:rsid w:val="009B5C37"/>
    <w:rsid w:val="009C0A0D"/>
    <w:rsid w:val="009D16B9"/>
    <w:rsid w:val="009D7F77"/>
    <w:rsid w:val="009F258D"/>
    <w:rsid w:val="00A12783"/>
    <w:rsid w:val="00A20D4E"/>
    <w:rsid w:val="00A2252F"/>
    <w:rsid w:val="00A249C8"/>
    <w:rsid w:val="00A32120"/>
    <w:rsid w:val="00A36A74"/>
    <w:rsid w:val="00A410E8"/>
    <w:rsid w:val="00A43520"/>
    <w:rsid w:val="00A525CE"/>
    <w:rsid w:val="00A5384F"/>
    <w:rsid w:val="00A555CA"/>
    <w:rsid w:val="00A57B93"/>
    <w:rsid w:val="00A64179"/>
    <w:rsid w:val="00A658D5"/>
    <w:rsid w:val="00A74E70"/>
    <w:rsid w:val="00A759A9"/>
    <w:rsid w:val="00A83C13"/>
    <w:rsid w:val="00A87A14"/>
    <w:rsid w:val="00AA72EB"/>
    <w:rsid w:val="00AC16B0"/>
    <w:rsid w:val="00AC34E8"/>
    <w:rsid w:val="00AC3B21"/>
    <w:rsid w:val="00AC5E91"/>
    <w:rsid w:val="00AC79BD"/>
    <w:rsid w:val="00AD38F3"/>
    <w:rsid w:val="00AE02D5"/>
    <w:rsid w:val="00AE0D8B"/>
    <w:rsid w:val="00AE3607"/>
    <w:rsid w:val="00AE46C8"/>
    <w:rsid w:val="00AF0C30"/>
    <w:rsid w:val="00AF7977"/>
    <w:rsid w:val="00B03223"/>
    <w:rsid w:val="00B0377C"/>
    <w:rsid w:val="00B109AC"/>
    <w:rsid w:val="00B14A48"/>
    <w:rsid w:val="00B15E96"/>
    <w:rsid w:val="00B1750A"/>
    <w:rsid w:val="00B17633"/>
    <w:rsid w:val="00B41B2E"/>
    <w:rsid w:val="00B42435"/>
    <w:rsid w:val="00B43F5F"/>
    <w:rsid w:val="00B44DE6"/>
    <w:rsid w:val="00B46D65"/>
    <w:rsid w:val="00B55101"/>
    <w:rsid w:val="00B61283"/>
    <w:rsid w:val="00B62002"/>
    <w:rsid w:val="00B63D61"/>
    <w:rsid w:val="00B7731D"/>
    <w:rsid w:val="00B860DB"/>
    <w:rsid w:val="00BB1163"/>
    <w:rsid w:val="00BB3496"/>
    <w:rsid w:val="00BB5925"/>
    <w:rsid w:val="00BC3D1E"/>
    <w:rsid w:val="00BC5705"/>
    <w:rsid w:val="00BD0D74"/>
    <w:rsid w:val="00BE2470"/>
    <w:rsid w:val="00BE3CA8"/>
    <w:rsid w:val="00BE6780"/>
    <w:rsid w:val="00BE6CBC"/>
    <w:rsid w:val="00BF44CD"/>
    <w:rsid w:val="00C1478B"/>
    <w:rsid w:val="00C15E2D"/>
    <w:rsid w:val="00C16C29"/>
    <w:rsid w:val="00C22426"/>
    <w:rsid w:val="00C366A2"/>
    <w:rsid w:val="00C54D1A"/>
    <w:rsid w:val="00C62A97"/>
    <w:rsid w:val="00C818C7"/>
    <w:rsid w:val="00CA198F"/>
    <w:rsid w:val="00CA2492"/>
    <w:rsid w:val="00CA3F4A"/>
    <w:rsid w:val="00CA6F87"/>
    <w:rsid w:val="00CB4909"/>
    <w:rsid w:val="00CD1F24"/>
    <w:rsid w:val="00CD236B"/>
    <w:rsid w:val="00CD5539"/>
    <w:rsid w:val="00CD763E"/>
    <w:rsid w:val="00CE0F2E"/>
    <w:rsid w:val="00CE3E50"/>
    <w:rsid w:val="00CE5344"/>
    <w:rsid w:val="00CF1A4C"/>
    <w:rsid w:val="00D015DF"/>
    <w:rsid w:val="00D154E5"/>
    <w:rsid w:val="00D161DA"/>
    <w:rsid w:val="00D215E9"/>
    <w:rsid w:val="00D3002D"/>
    <w:rsid w:val="00D30874"/>
    <w:rsid w:val="00D40748"/>
    <w:rsid w:val="00D40B06"/>
    <w:rsid w:val="00D41BA0"/>
    <w:rsid w:val="00D45318"/>
    <w:rsid w:val="00D5384C"/>
    <w:rsid w:val="00D543DC"/>
    <w:rsid w:val="00D75553"/>
    <w:rsid w:val="00D776BE"/>
    <w:rsid w:val="00D8041E"/>
    <w:rsid w:val="00D84FAF"/>
    <w:rsid w:val="00DA0DCD"/>
    <w:rsid w:val="00DB19E6"/>
    <w:rsid w:val="00DB54D9"/>
    <w:rsid w:val="00DB6512"/>
    <w:rsid w:val="00DC5DE3"/>
    <w:rsid w:val="00DC6579"/>
    <w:rsid w:val="00DD56E0"/>
    <w:rsid w:val="00DD6B3B"/>
    <w:rsid w:val="00DE129B"/>
    <w:rsid w:val="00DE4268"/>
    <w:rsid w:val="00DE4D74"/>
    <w:rsid w:val="00DE619A"/>
    <w:rsid w:val="00DF5E12"/>
    <w:rsid w:val="00DF6E09"/>
    <w:rsid w:val="00E05867"/>
    <w:rsid w:val="00E06942"/>
    <w:rsid w:val="00E06B15"/>
    <w:rsid w:val="00E07F47"/>
    <w:rsid w:val="00E21A52"/>
    <w:rsid w:val="00E27F92"/>
    <w:rsid w:val="00E40D9F"/>
    <w:rsid w:val="00E443E6"/>
    <w:rsid w:val="00E640CF"/>
    <w:rsid w:val="00E6551F"/>
    <w:rsid w:val="00E67440"/>
    <w:rsid w:val="00E77285"/>
    <w:rsid w:val="00E81FE9"/>
    <w:rsid w:val="00E82402"/>
    <w:rsid w:val="00E90C5F"/>
    <w:rsid w:val="00E92620"/>
    <w:rsid w:val="00E92EF3"/>
    <w:rsid w:val="00EA101D"/>
    <w:rsid w:val="00EA134F"/>
    <w:rsid w:val="00EA316B"/>
    <w:rsid w:val="00EA41F1"/>
    <w:rsid w:val="00EE13A4"/>
    <w:rsid w:val="00EE58CF"/>
    <w:rsid w:val="00EE7FD6"/>
    <w:rsid w:val="00EF2C57"/>
    <w:rsid w:val="00EF2DB1"/>
    <w:rsid w:val="00EF3D42"/>
    <w:rsid w:val="00EF7712"/>
    <w:rsid w:val="00F00711"/>
    <w:rsid w:val="00F15231"/>
    <w:rsid w:val="00F246FC"/>
    <w:rsid w:val="00F24AA3"/>
    <w:rsid w:val="00F2518E"/>
    <w:rsid w:val="00F34FE3"/>
    <w:rsid w:val="00F42019"/>
    <w:rsid w:val="00F45F85"/>
    <w:rsid w:val="00F577D5"/>
    <w:rsid w:val="00F7470F"/>
    <w:rsid w:val="00F90DCE"/>
    <w:rsid w:val="00FA4C51"/>
    <w:rsid w:val="00FA4E9B"/>
    <w:rsid w:val="00FA50AE"/>
    <w:rsid w:val="00FB1407"/>
    <w:rsid w:val="00FB2A7F"/>
    <w:rsid w:val="00FB69F6"/>
    <w:rsid w:val="00FC2D9E"/>
    <w:rsid w:val="00FC4951"/>
    <w:rsid w:val="00FD3FCC"/>
    <w:rsid w:val="00FD405C"/>
    <w:rsid w:val="00FD6C55"/>
    <w:rsid w:val="00FD75B5"/>
    <w:rsid w:val="00FE1C5C"/>
    <w:rsid w:val="00FF010C"/>
    <w:rsid w:val="00FF188E"/>
    <w:rsid w:val="00FF2854"/>
    <w:rsid w:val="00FF2869"/>
    <w:rsid w:val="00FF537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D492"/>
  <w15:chartTrackingRefBased/>
  <w15:docId w15:val="{BC07DE5B-1A3A-4071-92A2-B57FCE0D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44"/>
    <w:rPr>
      <w:rFonts w:ascii="Segoe UI" w:hAnsi="Segoe UI" w:cs="Segoe UI"/>
      <w:sz w:val="18"/>
      <w:szCs w:val="18"/>
    </w:rPr>
  </w:style>
  <w:style w:type="paragraph" w:customStyle="1" w:styleId="PKTpunkt">
    <w:name w:val="PKT – punkt"/>
    <w:uiPriority w:val="13"/>
    <w:qFormat/>
    <w:rsid w:val="00D3002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803B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3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3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3BB"/>
    <w:rPr>
      <w:vertAlign w:val="superscript"/>
    </w:rPr>
  </w:style>
  <w:style w:type="character" w:customStyle="1" w:styleId="AkapitzlistZnak">
    <w:name w:val="Akapit z listą Znak"/>
    <w:aliases w:val="Bullet1 Znak,Styl moj Znak,Akapit z listą11 Znak,List Paragraph1 Znak,aotm_załączniki Znak,Dot pt Znak,F5 List Paragraph Znak,Recommendation Znak,List Paragraph11 Znak,Kolorowa lista — akcent 11 Znak,Akapit z listą1 Znak,L1 Znak"/>
    <w:link w:val="Akapitzlist"/>
    <w:uiPriority w:val="34"/>
    <w:qFormat/>
    <w:locked/>
    <w:rsid w:val="001E11EB"/>
  </w:style>
  <w:style w:type="paragraph" w:styleId="Akapitzlist">
    <w:name w:val="List Paragraph"/>
    <w:aliases w:val="Bullet1,Styl moj,Akapit z listą11,List Paragraph1,aotm_załączniki,Dot pt,F5 List Paragraph,Recommendation,List Paragraph11,Kolorowa lista — akcent 11,Akapit z listą1,Numerowanie,List Paragraph,Listaszerű bekezdés1,List Paragraph à moi,L1"/>
    <w:basedOn w:val="Normalny"/>
    <w:link w:val="AkapitzlistZnak"/>
    <w:uiPriority w:val="34"/>
    <w:qFormat/>
    <w:rsid w:val="001E11EB"/>
    <w:pPr>
      <w:spacing w:line="254" w:lineRule="auto"/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DF5E12"/>
    <w:pPr>
      <w:spacing w:before="0"/>
    </w:pPr>
    <w:rPr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A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2A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2A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A97"/>
    <w:rPr>
      <w:b/>
      <w:bCs/>
      <w:sz w:val="20"/>
      <w:szCs w:val="20"/>
    </w:rPr>
  </w:style>
  <w:style w:type="character" w:customStyle="1" w:styleId="Teksttreci10ptBezpogrubieniaKursywa">
    <w:name w:val="Tekst treści + 10 pt;Bez pogrubienia;Kursywa"/>
    <w:basedOn w:val="Domylnaczcionkaakapitu"/>
    <w:rsid w:val="00F152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10ptBezpogrubienia">
    <w:name w:val="Tekst treści + 10 pt;Bez pogrubienia"/>
    <w:basedOn w:val="Domylnaczcionkaakapitu"/>
    <w:rsid w:val="009D7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styleId="Poprawka">
    <w:name w:val="Revision"/>
    <w:hidden/>
    <w:uiPriority w:val="99"/>
    <w:semiHidden/>
    <w:rsid w:val="000A531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7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D42"/>
  </w:style>
  <w:style w:type="paragraph" w:styleId="Stopka">
    <w:name w:val="footer"/>
    <w:basedOn w:val="Normalny"/>
    <w:link w:val="StopkaZnak"/>
    <w:uiPriority w:val="99"/>
    <w:unhideWhenUsed/>
    <w:rsid w:val="0017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28E1-27F4-4EE0-B86A-6D3D01F8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3736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Kamiński</dc:creator>
  <cp:keywords/>
  <dc:description/>
  <cp:lastModifiedBy>Wójcik Aleksandra</cp:lastModifiedBy>
  <cp:revision>3</cp:revision>
  <dcterms:created xsi:type="dcterms:W3CDTF">2025-07-02T06:40:00Z</dcterms:created>
  <dcterms:modified xsi:type="dcterms:W3CDTF">2025-07-02T06:44:00Z</dcterms:modified>
</cp:coreProperties>
</file>