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F950" w14:textId="77777777" w:rsidR="00C864C9" w:rsidRPr="00190B00" w:rsidRDefault="00C864C9" w:rsidP="00C864C9">
      <w:pPr>
        <w:pStyle w:val="CZKSIGAoznaczenieiprzedmiotczcilubksigi"/>
        <w:rPr>
          <w:b w:val="0"/>
          <w:bCs w:val="0"/>
        </w:rPr>
      </w:pPr>
      <w:r w:rsidRPr="00190B00">
        <w:rPr>
          <w:b w:val="0"/>
          <w:bCs w:val="0"/>
        </w:rPr>
        <w:t>UZASADNIENIE</w:t>
      </w:r>
    </w:p>
    <w:p w14:paraId="26AC7AC0" w14:textId="18EBF40B" w:rsidR="00C864C9" w:rsidRPr="007149B4" w:rsidRDefault="00C864C9" w:rsidP="00C864C9">
      <w:pPr>
        <w:pStyle w:val="NIEARTTEKSTtekstnieartykuowanynppodstprawnarozplubpreambua"/>
      </w:pPr>
      <w:r w:rsidRPr="007149B4">
        <w:t xml:space="preserve">Celem projektowanej ustawy jest wprowadzenie rozwiązań odciążających sądy wieczystoksięgowe i przyśpieszenie postępowań wieczystoksięgowych, które </w:t>
      </w:r>
      <w:r w:rsidR="00F34F6E" w:rsidRPr="007149B4">
        <w:t xml:space="preserve">będą </w:t>
      </w:r>
      <w:r w:rsidRPr="007149B4">
        <w:t>służyć przede wszystkim obywatelom.</w:t>
      </w:r>
    </w:p>
    <w:p w14:paraId="41EDCE86" w14:textId="152B3E87" w:rsidR="00C864C9" w:rsidRPr="007149B4" w:rsidRDefault="00C864C9" w:rsidP="00C864C9">
      <w:pPr>
        <w:pStyle w:val="NIEARTTEKSTtekstnieartykuowanynppodstprawnarozplubpreambua"/>
      </w:pPr>
      <w:r w:rsidRPr="007149B4">
        <w:t xml:space="preserve">Nowelizacja ustawy z dnia 14 lutego 1991 r. </w:t>
      </w:r>
      <w:r>
        <w:t>–</w:t>
      </w:r>
      <w:r w:rsidRPr="007149B4">
        <w:t xml:space="preserve"> Prawo o notariacie (Dz. U. z 2024 r. poz.</w:t>
      </w:r>
      <w:r w:rsidR="00D01E6D">
        <w:t> </w:t>
      </w:r>
      <w:r w:rsidRPr="007149B4">
        <w:t>1001</w:t>
      </w:r>
      <w:r w:rsidR="00CC20E1">
        <w:t xml:space="preserve">, z </w:t>
      </w:r>
      <w:proofErr w:type="spellStart"/>
      <w:r w:rsidR="00CC20E1">
        <w:t>późn</w:t>
      </w:r>
      <w:proofErr w:type="spellEnd"/>
      <w:r w:rsidR="00CC20E1">
        <w:t>. zm.</w:t>
      </w:r>
      <w:r>
        <w:t>)</w:t>
      </w:r>
      <w:r w:rsidRPr="007149B4">
        <w:t xml:space="preserve">, dalej: </w:t>
      </w:r>
      <w:r w:rsidRPr="00940876">
        <w:t>„</w:t>
      </w:r>
      <w:r w:rsidR="00122B6A">
        <w:t>Prawo o notariacie</w:t>
      </w:r>
      <w:r w:rsidRPr="00940876">
        <w:t>”</w:t>
      </w:r>
      <w:r>
        <w:t>,</w:t>
      </w:r>
      <w:r w:rsidRPr="007149B4">
        <w:t xml:space="preserve"> i ustawy z dnia 6 lipca 1982 r. o księgach wieczystych i</w:t>
      </w:r>
      <w:r w:rsidR="00122B6A">
        <w:t> </w:t>
      </w:r>
      <w:r w:rsidRPr="007149B4">
        <w:t>hipotece (Dz. U. z 202</w:t>
      </w:r>
      <w:r w:rsidR="00CC20E1">
        <w:t>5</w:t>
      </w:r>
      <w:r w:rsidRPr="007149B4">
        <w:t xml:space="preserve"> r. poz. </w:t>
      </w:r>
      <w:r w:rsidR="00CC20E1">
        <w:t>341</w:t>
      </w:r>
      <w:r>
        <w:t>)</w:t>
      </w:r>
      <w:r w:rsidRPr="007149B4">
        <w:t xml:space="preserve">, dalej: </w:t>
      </w:r>
      <w:r w:rsidRPr="00940876">
        <w:t>„</w:t>
      </w:r>
      <w:proofErr w:type="spellStart"/>
      <w:r w:rsidRPr="007149B4">
        <w:t>ukwh</w:t>
      </w:r>
      <w:proofErr w:type="spellEnd"/>
      <w:r w:rsidRPr="00940876">
        <w:t>”</w:t>
      </w:r>
      <w:r>
        <w:t>,</w:t>
      </w:r>
      <w:r w:rsidRPr="007149B4">
        <w:t xml:space="preserve"> umożliwi składanie przez spadkobierców</w:t>
      </w:r>
      <w:r>
        <w:t xml:space="preserve"> lub zapisobierców windykacyjnych</w:t>
      </w:r>
      <w:r w:rsidRPr="007149B4">
        <w:t xml:space="preserve"> </w:t>
      </w:r>
      <w:bookmarkStart w:id="0" w:name="_Hlk172204677"/>
      <w:r w:rsidRPr="007149B4">
        <w:t xml:space="preserve">za pośrednictwem notariuszy, przy użyciu systemu teleinformatycznego obsługującego postępowanie sądowe, wniosków o wpis do księgi wieczystej w celu ujawnienia przejścia </w:t>
      </w:r>
      <w:r w:rsidR="00B97EBF">
        <w:t xml:space="preserve">uprawnienia z tytułu </w:t>
      </w:r>
      <w:r w:rsidR="0036485B" w:rsidRPr="00A13F94">
        <w:t xml:space="preserve">spółdzielczego własnościowego prawa do lokalu, </w:t>
      </w:r>
      <w:r w:rsidRPr="007149B4">
        <w:t xml:space="preserve">prawa własności </w:t>
      </w:r>
      <w:r w:rsidR="0036485B" w:rsidRPr="0036485B">
        <w:t xml:space="preserve">lub użytkowania wieczystego </w:t>
      </w:r>
      <w:r w:rsidRPr="007149B4">
        <w:t>nieruchomości wskutek dziedziczenia, stwierdzonego aktem poświadczenia dziedziczenia</w:t>
      </w:r>
      <w:bookmarkEnd w:id="0"/>
      <w:r w:rsidRPr="007149B4">
        <w:t>. Pośrednictwo notariusza, który aktualnie jest obowiązany do składania wniosku o wpis wyłącznie za pośrednictwem systemu teleinformatycznego (art. 626</w:t>
      </w:r>
      <w:r w:rsidRPr="00675FEF">
        <w:rPr>
          <w:rStyle w:val="IGindeksgrny"/>
        </w:rPr>
        <w:t>4</w:t>
      </w:r>
      <w:r w:rsidRPr="007149B4">
        <w:t xml:space="preserve"> § 1 k.p.c. w zw. z art. 91 § 4 i nast. </w:t>
      </w:r>
      <w:r w:rsidR="00122B6A">
        <w:t>Prawa o notariacie</w:t>
      </w:r>
      <w:r w:rsidRPr="007149B4">
        <w:t>)</w:t>
      </w:r>
      <w:r w:rsidR="00D01E6D">
        <w:t>,</w:t>
      </w:r>
      <w:r w:rsidRPr="007149B4">
        <w:t xml:space="preserve"> jest dla obywatela bardzo wygodne, gdyż notariusz pobiera należną od strony czynności opłatę sądową od wniosku o wpis i przekazuj</w:t>
      </w:r>
      <w:r>
        <w:t>e</w:t>
      </w:r>
      <w:r w:rsidRPr="007149B4">
        <w:t xml:space="preserve"> ją do sądu oraz wypełnia za stronę wniosek o wpis i</w:t>
      </w:r>
      <w:r w:rsidR="00D01E6D">
        <w:t> </w:t>
      </w:r>
      <w:r w:rsidRPr="007149B4">
        <w:t>wstępnie weryfikuje dokumenty stanowiące podstawę wpisu w księdze wieczystej. Postulowane rozwiązanie przyśpieszy i ułatwi procedurę ujawniania przedmiotowych zmian w</w:t>
      </w:r>
      <w:r w:rsidR="00D01E6D">
        <w:t> </w:t>
      </w:r>
      <w:r w:rsidRPr="007149B4">
        <w:t>księgach wieczystych.</w:t>
      </w:r>
    </w:p>
    <w:p w14:paraId="5B18BC0D" w14:textId="45B93789" w:rsidR="00C864C9" w:rsidRDefault="00C864C9" w:rsidP="00B55F6A">
      <w:pPr>
        <w:pStyle w:val="NIEARTTEKSTtekstnieartykuowanynppodstprawnarozplubpreambua"/>
      </w:pPr>
      <w:r w:rsidRPr="007149B4">
        <w:t xml:space="preserve">Obowiązujący art. 36 ust. 1 </w:t>
      </w:r>
      <w:proofErr w:type="spellStart"/>
      <w:r w:rsidRPr="007149B4">
        <w:t>ukwh</w:t>
      </w:r>
      <w:proofErr w:type="spellEnd"/>
      <w:r w:rsidRPr="007149B4">
        <w:t xml:space="preserve"> stanowi, że </w:t>
      </w:r>
      <w:bookmarkStart w:id="1" w:name="_Hlk182840297"/>
      <w:r w:rsidRPr="007149B4">
        <w:t>„</w:t>
      </w:r>
      <w:bookmarkEnd w:id="1"/>
      <w:r w:rsidR="0035066B">
        <w:t>S</w:t>
      </w:r>
      <w:r w:rsidRPr="007149B4">
        <w:t>ądy, organy administracji rządowej i</w:t>
      </w:r>
      <w:r w:rsidR="00122B6A">
        <w:t> </w:t>
      </w:r>
      <w:r w:rsidRPr="007149B4">
        <w:t>jednostki samorządu terytorialnego oraz notariusze sporządzający akty poświadczenia dziedziczenia zawiadamiają sąd właściwy do prowadzenia księgi wieczystej o każdej zmianie właściciela nieruchomości, dla której założona jest księga wieczysta</w:t>
      </w:r>
      <w:bookmarkStart w:id="2" w:name="_Hlk182840318"/>
      <w:r w:rsidR="0035066B">
        <w:t>.</w:t>
      </w:r>
      <w:r w:rsidRPr="007149B4">
        <w:t>”</w:t>
      </w:r>
      <w:bookmarkEnd w:id="2"/>
      <w:r w:rsidRPr="007149B4">
        <w:t xml:space="preserve">. W tak ograniczonym zakresie przedmiotowym przepis ten służy jedynie aktualizacji wpisów do księgi wieczystej, nie stanowi jednak instrumentu upowszechnienia systemu ksiąg wieczystych. Obarczenie notariuszy sporządzających akty poświadczenia dziedziczenia obowiązkiem zawiadomienia sądu wieczystoksięgowego o zmianie właściciela nieruchomości nastąpiło w ustawie z </w:t>
      </w:r>
      <w:r>
        <w:t xml:space="preserve">dnia </w:t>
      </w:r>
      <w:r w:rsidRPr="007149B4">
        <w:t>2</w:t>
      </w:r>
      <w:r>
        <w:t>6</w:t>
      </w:r>
      <w:r w:rsidR="00560819">
        <w:t> </w:t>
      </w:r>
      <w:r w:rsidRPr="007149B4">
        <w:t>czerwca 2009 r. o zmianie ustawy o księgach wieczystych i hipotece oraz niektórych innych ustaw</w:t>
      </w:r>
      <w:r>
        <w:t xml:space="preserve"> (Dz. U. poz. 1075)</w:t>
      </w:r>
      <w:r w:rsidRPr="007149B4">
        <w:t>. Mimo że akt poświadczenia dziedziczenia, podobnie jak postanowienie sądu o stwierdzeniu nabycia spadku</w:t>
      </w:r>
      <w:r w:rsidR="00D01E6D">
        <w:t>,</w:t>
      </w:r>
      <w:r w:rsidRPr="007149B4">
        <w:t xml:space="preserve"> nie obejmuje zasadniczo ustalenia zmiany stanu prawnego nieruchomości spadkowych z tej racji, że w ogóle pomija się w nim wskazywanie przedmiotów spadku, to jest zasadne stworzenie możliwości złożenia wniosku o</w:t>
      </w:r>
      <w:r w:rsidR="00122B6A">
        <w:t> </w:t>
      </w:r>
      <w:r w:rsidRPr="007149B4">
        <w:t xml:space="preserve">wpis w księdze wieczystej na żądanie spadkobiercy lub zapisobiercy windykacyjnego. </w:t>
      </w:r>
      <w:r w:rsidRPr="007149B4">
        <w:lastRenderedPageBreak/>
        <w:t xml:space="preserve">Możliwość złożenia wniosku o wpis w księdze wieczystej obejmie spadkobierców dziedziczących z ustawy gospodarstwo rolne (dotyczy spadków otwartych przed </w:t>
      </w:r>
      <w:r>
        <w:t xml:space="preserve">dniem </w:t>
      </w:r>
      <w:r w:rsidRPr="007149B4">
        <w:t>14</w:t>
      </w:r>
      <w:r w:rsidR="00560819">
        <w:t> </w:t>
      </w:r>
      <w:r w:rsidRPr="007149B4">
        <w:t xml:space="preserve">lutego 2001 r.), osoby, na których rzecz spadkodawca uczynił zapisy windykacyjne, a także </w:t>
      </w:r>
      <w:r w:rsidR="00B55F6A" w:rsidRPr="00B55F6A">
        <w:t>spadkobierców dziedziczących użytkowanie wieczyste nieruchomości</w:t>
      </w:r>
      <w:r w:rsidR="00B55F6A">
        <w:t xml:space="preserve"> </w:t>
      </w:r>
      <w:r w:rsidR="00B55F6A" w:rsidRPr="00B55F6A">
        <w:t>i spółdzielcze własnościowe prawo do lokalu</w:t>
      </w:r>
      <w:r w:rsidR="00B55F6A">
        <w:t xml:space="preserve"> oraz </w:t>
      </w:r>
      <w:r w:rsidRPr="007149B4">
        <w:t xml:space="preserve">spadkobierców dziedziczących </w:t>
      </w:r>
      <w:r w:rsidR="003E7C3A">
        <w:t xml:space="preserve">własność </w:t>
      </w:r>
      <w:r w:rsidRPr="007149B4">
        <w:t>nieruchomoś</w:t>
      </w:r>
      <w:r w:rsidR="003E7C3A">
        <w:t>ci</w:t>
      </w:r>
      <w:r w:rsidRPr="007149B4">
        <w:t xml:space="preserve"> wchodzącą w skład masy spadkowej. Obecnie notariusz stwierdza w </w:t>
      </w:r>
      <w:r>
        <w:t xml:space="preserve">akcie </w:t>
      </w:r>
      <w:r w:rsidRPr="007149B4">
        <w:t>poświadczeni</w:t>
      </w:r>
      <w:r>
        <w:t>a</w:t>
      </w:r>
      <w:r w:rsidRPr="007149B4">
        <w:t xml:space="preserve"> dziedziczenia zmianę własności nieruchomości wchodzących w skład gospodarstwa rolnego w</w:t>
      </w:r>
      <w:r w:rsidR="00B55F6A">
        <w:t> </w:t>
      </w:r>
      <w:r w:rsidRPr="007149B4">
        <w:t>razie dziedziczenia z ustawy spadku otwartego przed</w:t>
      </w:r>
      <w:r>
        <w:t xml:space="preserve"> dniem</w:t>
      </w:r>
      <w:r w:rsidRPr="007149B4">
        <w:t xml:space="preserve"> 14 lutego 2001 r.</w:t>
      </w:r>
      <w:r w:rsidR="00B55F6A">
        <w:t>,</w:t>
      </w:r>
      <w:r w:rsidRPr="007149B4">
        <w:t xml:space="preserve"> stwierdza zmianę własności nieruchomości objętej zapisem windykacyjnym</w:t>
      </w:r>
      <w:r w:rsidR="00B55F6A">
        <w:t xml:space="preserve"> oraz</w:t>
      </w:r>
      <w:r w:rsidR="00B55F6A" w:rsidRPr="00B55F6A">
        <w:rPr>
          <w:rFonts w:ascii="Calibri" w:hAnsi="Calibri" w:cs="Calibri"/>
          <w:sz w:val="22"/>
          <w:szCs w:val="22"/>
        </w:rPr>
        <w:t xml:space="preserve"> </w:t>
      </w:r>
      <w:r w:rsidR="00B55F6A" w:rsidRPr="00B55F6A">
        <w:t>zmian</w:t>
      </w:r>
      <w:r w:rsidR="00B55F6A">
        <w:t>ę</w:t>
      </w:r>
      <w:r w:rsidR="00B55F6A" w:rsidRPr="00B55F6A">
        <w:t xml:space="preserve"> własności nieruchomości i użytkowania wieczystego nieruchomości, jeżeli</w:t>
      </w:r>
      <w:r w:rsidR="00B55F6A">
        <w:t xml:space="preserve"> </w:t>
      </w:r>
      <w:r w:rsidR="00B55F6A" w:rsidRPr="00B55F6A">
        <w:t>w kręgu osób zainteresowanych znajduje się cudzoziemiec w rozumieniu art. 1 ust. 2</w:t>
      </w:r>
      <w:r w:rsidR="00B55F6A">
        <w:t xml:space="preserve"> </w:t>
      </w:r>
      <w:r w:rsidR="00B55F6A" w:rsidRPr="00B55F6A">
        <w:t>ustawy z dnia 24 marca 1920 r. o nabywaniu nieruchomości przez cudzoziemców (Dz.</w:t>
      </w:r>
      <w:r w:rsidR="00B55F6A">
        <w:t xml:space="preserve"> </w:t>
      </w:r>
      <w:r w:rsidR="00B55F6A" w:rsidRPr="00B55F6A">
        <w:t>U. z 2017 r. poz. 2278).</w:t>
      </w:r>
      <w:r w:rsidR="00B55F6A">
        <w:t xml:space="preserve"> </w:t>
      </w:r>
      <w:r w:rsidRPr="007149B4">
        <w:t xml:space="preserve">Zmiany w </w:t>
      </w:r>
      <w:r w:rsidR="00122B6A">
        <w:t>Prawie o notariacie</w:t>
      </w:r>
      <w:r w:rsidRPr="007149B4">
        <w:t xml:space="preserve"> zmierzają do dodania brakującej obecnie podstawy prawnej dla notariusza do zbadania i ustalenia, czy w skład spadku wchodzą nieruchomości, a następnie na żądanie spadkobiercy lub zapisobiercy windykacyjnego złożenie za pośrednictwem systemu teleinformatycznego wniosku o ujawnienie ich praw w księdze wieczystej.</w:t>
      </w:r>
    </w:p>
    <w:p w14:paraId="1F0C1314" w14:textId="6D945929" w:rsidR="00C1586A" w:rsidRDefault="00E8142B" w:rsidP="00C1586A">
      <w:pPr>
        <w:pStyle w:val="ARTartustawynprozporzdzenia"/>
      </w:pPr>
      <w:r>
        <w:t>Celem</w:t>
      </w:r>
      <w:r w:rsidR="00C1586A" w:rsidRPr="00C1586A">
        <w:t xml:space="preserve"> projektowanych zmian jest pozostawienie spadkobiercy/zapisobiercy</w:t>
      </w:r>
      <w:r w:rsidR="00C1586A">
        <w:t xml:space="preserve"> </w:t>
      </w:r>
      <w:r w:rsidR="00C1586A" w:rsidRPr="00C1586A">
        <w:t>windykacyjnemu wyboru</w:t>
      </w:r>
      <w:r w:rsidR="00D01E6D">
        <w:t>,</w:t>
      </w:r>
      <w:r w:rsidR="00C1586A" w:rsidRPr="00C1586A">
        <w:t xml:space="preserve"> czy wypełni obowiązek ujawnienia swojego prawa do spadku</w:t>
      </w:r>
      <w:r w:rsidR="00C1586A">
        <w:t xml:space="preserve"> </w:t>
      </w:r>
      <w:r w:rsidR="00C1586A" w:rsidRPr="00C1586A">
        <w:t>w</w:t>
      </w:r>
      <w:r w:rsidR="00560819">
        <w:t> </w:t>
      </w:r>
      <w:r w:rsidR="00C1586A" w:rsidRPr="00C1586A">
        <w:t>księdze wieczystej na podstawie aktu poświadczenia dziedziczenia</w:t>
      </w:r>
      <w:r w:rsidR="004C334A">
        <w:t>,</w:t>
      </w:r>
      <w:r w:rsidR="00C1586A" w:rsidRPr="00C1586A">
        <w:t xml:space="preserve"> czy najpierw</w:t>
      </w:r>
      <w:r w:rsidR="00C1586A">
        <w:t xml:space="preserve"> </w:t>
      </w:r>
      <w:r w:rsidR="00C1586A" w:rsidRPr="00C1586A">
        <w:t>rozporządzi swoim prawem (dokona działu spadku i ewentualnie zniesienia</w:t>
      </w:r>
      <w:r w:rsidR="00C1586A">
        <w:t xml:space="preserve"> </w:t>
      </w:r>
      <w:r w:rsidR="00C1586A" w:rsidRPr="00C1586A">
        <w:t xml:space="preserve">współwłasności) i dopiero wtedy </w:t>
      </w:r>
      <w:r w:rsidR="00F34F6E" w:rsidRPr="00C1586A">
        <w:t xml:space="preserve">zostanie </w:t>
      </w:r>
      <w:r w:rsidR="00C1586A" w:rsidRPr="00C1586A">
        <w:t>ujawnione prawo do przedmiotu masy</w:t>
      </w:r>
      <w:r w:rsidR="00C1586A">
        <w:t xml:space="preserve"> </w:t>
      </w:r>
      <w:r w:rsidR="00C1586A" w:rsidRPr="00C1586A">
        <w:t>spadkowej, tj. nieruchomości w księdze wieczystej. Spadkobierca/zapisobierca</w:t>
      </w:r>
      <w:r w:rsidR="00C1586A">
        <w:t xml:space="preserve"> </w:t>
      </w:r>
      <w:r w:rsidR="00C1586A" w:rsidRPr="00C1586A">
        <w:t>windykacyjny może wówczas skorzystać z prawa z</w:t>
      </w:r>
      <w:r w:rsidR="00560819">
        <w:t> </w:t>
      </w:r>
      <w:r w:rsidR="00C1586A" w:rsidRPr="00C1586A">
        <w:t>art.</w:t>
      </w:r>
      <w:r w:rsidR="00560819">
        <w:t> </w:t>
      </w:r>
      <w:r w:rsidR="00C1586A" w:rsidRPr="00C1586A">
        <w:t xml:space="preserve">34 </w:t>
      </w:r>
      <w:proofErr w:type="spellStart"/>
      <w:r w:rsidR="00C1586A" w:rsidRPr="00C1586A">
        <w:t>ukwh</w:t>
      </w:r>
      <w:proofErr w:type="spellEnd"/>
      <w:r w:rsidR="00C1586A" w:rsidRPr="00C1586A">
        <w:t xml:space="preserve"> zdanie drugie i wykazać</w:t>
      </w:r>
      <w:r w:rsidR="00C1586A">
        <w:t xml:space="preserve"> </w:t>
      </w:r>
      <w:r w:rsidR="00C1586A" w:rsidRPr="00C1586A">
        <w:t>nieprzerwane następstwo prawne co do prawa do nieruchomości po spadkodawcy</w:t>
      </w:r>
      <w:r w:rsidR="00C1586A">
        <w:t xml:space="preserve"> </w:t>
      </w:r>
      <w:r w:rsidR="00C1586A" w:rsidRPr="00C1586A">
        <w:t>odpowiednimi dokumentami, stanowiącymi podstawę wpisu do księgi wieczystej (patrz</w:t>
      </w:r>
      <w:r w:rsidR="00C1586A">
        <w:t xml:space="preserve"> </w:t>
      </w:r>
      <w:r w:rsidR="00C1586A" w:rsidRPr="00C1586A">
        <w:t xml:space="preserve">też: postanowienie Sądu Najwyższego </w:t>
      </w:r>
      <w:r w:rsidR="00C1586A">
        <w:t>–</w:t>
      </w:r>
      <w:r w:rsidR="00C1586A" w:rsidRPr="00C1586A">
        <w:t xml:space="preserve"> Izba Cywilna z dnia 30</w:t>
      </w:r>
      <w:r w:rsidR="00560819">
        <w:t> </w:t>
      </w:r>
      <w:r w:rsidR="00C1586A" w:rsidRPr="00C1586A">
        <w:t>marca 2017 r., V CSK</w:t>
      </w:r>
      <w:r w:rsidR="00C1586A">
        <w:t xml:space="preserve"> </w:t>
      </w:r>
      <w:r w:rsidR="00C1586A" w:rsidRPr="00C1586A">
        <w:t xml:space="preserve">472/16, </w:t>
      </w:r>
      <w:proofErr w:type="spellStart"/>
      <w:r w:rsidR="00C1586A" w:rsidRPr="00C1586A">
        <w:t>Legalis</w:t>
      </w:r>
      <w:proofErr w:type="spellEnd"/>
      <w:r w:rsidR="00C1586A" w:rsidRPr="00C1586A">
        <w:t xml:space="preserve"> nr 1673899). Ustawodawca pozostawił wybór momentu złożenia wniosku</w:t>
      </w:r>
      <w:r w:rsidR="00C1586A">
        <w:t xml:space="preserve"> </w:t>
      </w:r>
      <w:r w:rsidR="00C1586A" w:rsidRPr="00C1586A">
        <w:t>obywatelowi. W sytuacji szybkiego rozporządzenia przedmiotami masy spadkowej</w:t>
      </w:r>
      <w:r w:rsidR="004C334A">
        <w:t>,</w:t>
      </w:r>
      <w:r w:rsidR="00C1586A" w:rsidRPr="00C1586A">
        <w:t xml:space="preserve"> tj.</w:t>
      </w:r>
      <w:r w:rsidR="00C1586A">
        <w:t xml:space="preserve"> </w:t>
      </w:r>
      <w:r w:rsidR="00C1586A" w:rsidRPr="00C1586A">
        <w:t>dokonanie jednej czynności notarialnej po drugiej (sporządzenia aktu poświadczenia</w:t>
      </w:r>
      <w:r w:rsidR="00C1586A">
        <w:t xml:space="preserve"> </w:t>
      </w:r>
      <w:r w:rsidR="00C1586A" w:rsidRPr="00C1586A">
        <w:t>dziedziczenia, dokonanie działu spadku i ewentualnie zniesienia współwłasności)</w:t>
      </w:r>
      <w:r w:rsidR="004C334A">
        <w:t>,</w:t>
      </w:r>
      <w:r w:rsidR="00C1586A" w:rsidRPr="00C1586A">
        <w:t xml:space="preserve"> może</w:t>
      </w:r>
      <w:r w:rsidR="00C1586A">
        <w:t xml:space="preserve"> </w:t>
      </w:r>
      <w:r w:rsidR="00C1586A" w:rsidRPr="00C1586A">
        <w:t>dojść do sytuacji, w której obligatoryjne złożenie wniosku przez notariusza po</w:t>
      </w:r>
      <w:r w:rsidR="00C1586A">
        <w:t xml:space="preserve"> </w:t>
      </w:r>
      <w:r w:rsidR="00C1586A" w:rsidRPr="00C1586A">
        <w:t>sporządzeniu aktu poświadczenia dziedziczenia mogłoby doprowadzić do ujawnienia już</w:t>
      </w:r>
      <w:r w:rsidR="00C1586A">
        <w:t xml:space="preserve"> </w:t>
      </w:r>
      <w:r w:rsidR="00C1586A" w:rsidRPr="00C1586A">
        <w:t>nieaktualnego stanu prawnego nieruchomości. Ponadto może też narazić obywatela na</w:t>
      </w:r>
      <w:r w:rsidR="00C1586A">
        <w:t xml:space="preserve"> </w:t>
      </w:r>
      <w:r w:rsidR="00C1586A" w:rsidRPr="00C1586A">
        <w:t xml:space="preserve">dodatkowe koszty związane z taksą notarialną za sporządzenie i złożenie </w:t>
      </w:r>
      <w:r w:rsidR="00C1586A" w:rsidRPr="00C1586A">
        <w:lastRenderedPageBreak/>
        <w:t>elektronicznego</w:t>
      </w:r>
      <w:r w:rsidR="00C1586A">
        <w:t xml:space="preserve"> </w:t>
      </w:r>
      <w:r w:rsidR="00C1586A" w:rsidRPr="00C1586A">
        <w:t xml:space="preserve">wniosku wieczystoksięgowego </w:t>
      </w:r>
      <w:r w:rsidR="00C1586A">
        <w:t>(</w:t>
      </w:r>
      <w:r w:rsidR="00C1586A" w:rsidRPr="00C1586A">
        <w:t>§</w:t>
      </w:r>
      <w:r w:rsidR="004D37EB">
        <w:t> </w:t>
      </w:r>
      <w:r w:rsidR="00C1586A" w:rsidRPr="00C1586A">
        <w:t>16 rozporządzenia Ministra Sprawiedliwości z dnia 28</w:t>
      </w:r>
      <w:r w:rsidR="00C1586A">
        <w:t xml:space="preserve"> </w:t>
      </w:r>
      <w:r w:rsidR="00C1586A" w:rsidRPr="00C1586A">
        <w:t>czerwca 2004 r. w sprawie maksymalnych stawek taksy notarialnej (Dz.</w:t>
      </w:r>
      <w:r w:rsidR="008E1869">
        <w:t xml:space="preserve"> </w:t>
      </w:r>
      <w:r w:rsidR="00C1586A" w:rsidRPr="00C1586A">
        <w:t>U. z 2024 r. poz.</w:t>
      </w:r>
      <w:r w:rsidR="00C1586A">
        <w:t xml:space="preserve"> </w:t>
      </w:r>
      <w:r w:rsidR="00C1586A" w:rsidRPr="00C1586A">
        <w:t>1566</w:t>
      </w:r>
      <w:r w:rsidR="008E1869">
        <w:t>);</w:t>
      </w:r>
      <w:r w:rsidR="00C1586A" w:rsidRPr="00C1586A">
        <w:t xml:space="preserve"> patrz też: uchwała Sądu Najwyższego </w:t>
      </w:r>
      <w:r w:rsidR="008E1869">
        <w:t>–</w:t>
      </w:r>
      <w:r w:rsidR="00C1586A" w:rsidRPr="00C1586A">
        <w:t xml:space="preserve"> Izba Cywilna z dnia 8</w:t>
      </w:r>
      <w:r w:rsidR="00560819">
        <w:t> </w:t>
      </w:r>
      <w:r w:rsidR="00C1586A" w:rsidRPr="00C1586A">
        <w:t>marca 2013 r., III CZP</w:t>
      </w:r>
      <w:r w:rsidR="00C1586A">
        <w:t xml:space="preserve"> </w:t>
      </w:r>
      <w:r w:rsidR="00C1586A" w:rsidRPr="00C1586A">
        <w:t xml:space="preserve">5/13, </w:t>
      </w:r>
      <w:proofErr w:type="spellStart"/>
      <w:r w:rsidR="00C1586A" w:rsidRPr="00C1586A">
        <w:t>Legalis</w:t>
      </w:r>
      <w:proofErr w:type="spellEnd"/>
      <w:r w:rsidR="00C1586A" w:rsidRPr="00C1586A">
        <w:t xml:space="preserve"> nr 584421</w:t>
      </w:r>
      <w:r w:rsidR="008E1869">
        <w:t>)</w:t>
      </w:r>
      <w:r w:rsidR="00C1586A" w:rsidRPr="00C1586A">
        <w:t xml:space="preserve"> i kosztów związanych z opłatą sądową od wniosku o wpis do</w:t>
      </w:r>
      <w:r w:rsidR="00C1586A">
        <w:t xml:space="preserve"> </w:t>
      </w:r>
      <w:r w:rsidR="00C1586A" w:rsidRPr="00C1586A">
        <w:t xml:space="preserve">księgi wieczystej </w:t>
      </w:r>
      <w:r w:rsidR="00377714">
        <w:t>(</w:t>
      </w:r>
      <w:r w:rsidR="00C1586A" w:rsidRPr="00C1586A">
        <w:t>art. 42</w:t>
      </w:r>
      <w:r w:rsidR="00377714">
        <w:t>–</w:t>
      </w:r>
      <w:r w:rsidR="00C1586A" w:rsidRPr="00C1586A">
        <w:t xml:space="preserve">48 ustawy </w:t>
      </w:r>
      <w:r w:rsidR="00377714">
        <w:t xml:space="preserve">z dnia 28 lipca 2005 r. </w:t>
      </w:r>
      <w:r w:rsidR="00C1586A" w:rsidRPr="00C1586A">
        <w:t>o kosztach sądowych w sprawach cywilnych</w:t>
      </w:r>
      <w:r w:rsidR="00377714">
        <w:t xml:space="preserve"> </w:t>
      </w:r>
      <w:r w:rsidR="00007FA0">
        <w:t>(</w:t>
      </w:r>
      <w:r w:rsidR="00C1586A" w:rsidRPr="00C1586A">
        <w:t>Dz.</w:t>
      </w:r>
      <w:r w:rsidR="00377714">
        <w:t xml:space="preserve"> </w:t>
      </w:r>
      <w:r w:rsidR="00C1586A" w:rsidRPr="00C1586A">
        <w:t>U. z 2024 r. poz. 959, z</w:t>
      </w:r>
      <w:r w:rsidR="00377714">
        <w:t xml:space="preserve"> </w:t>
      </w:r>
      <w:proofErr w:type="spellStart"/>
      <w:r w:rsidR="00377714">
        <w:t>późn</w:t>
      </w:r>
      <w:proofErr w:type="spellEnd"/>
      <w:r w:rsidR="00377714">
        <w:t xml:space="preserve">. </w:t>
      </w:r>
      <w:r w:rsidR="00C1586A" w:rsidRPr="00C1586A">
        <w:t>zm.</w:t>
      </w:r>
      <w:r w:rsidR="00007FA0">
        <w:t>)</w:t>
      </w:r>
      <w:r w:rsidR="00C1586A" w:rsidRPr="00C1586A">
        <w:t>). Fakultatywne złożenie przez notariusza za</w:t>
      </w:r>
      <w:r w:rsidR="00C1586A">
        <w:t xml:space="preserve"> </w:t>
      </w:r>
      <w:r w:rsidR="00C1586A" w:rsidRPr="00C1586A">
        <w:t>pośrednictwem systemu teleinformatycznego obsługującego postępowanie sądowe</w:t>
      </w:r>
      <w:r w:rsidR="00C1586A">
        <w:t xml:space="preserve"> </w:t>
      </w:r>
      <w:r w:rsidR="00C1586A" w:rsidRPr="00C1586A">
        <w:t xml:space="preserve">wniosku o wpis w księdze wieczystej, w celu ujawnienia przejścia </w:t>
      </w:r>
      <w:r w:rsidR="00B97EBF">
        <w:t xml:space="preserve">uprawnienia z tytułu </w:t>
      </w:r>
      <w:r w:rsidR="0036485B" w:rsidRPr="00A13F94">
        <w:t xml:space="preserve">spółdzielczego własnościowego prawa do lokalu, </w:t>
      </w:r>
      <w:r w:rsidR="00C1586A" w:rsidRPr="00C1586A">
        <w:t>prawa własności</w:t>
      </w:r>
      <w:r w:rsidR="00C1586A">
        <w:t xml:space="preserve"> </w:t>
      </w:r>
      <w:r w:rsidR="0036485B" w:rsidRPr="0036485B">
        <w:t xml:space="preserve">lub użytkowania wieczystego </w:t>
      </w:r>
      <w:r w:rsidR="00C1586A" w:rsidRPr="00C1586A">
        <w:t>nieruchomości wskutek dziedziczenia, stwierdzonego aktem poświadczenia dziedziczenia,</w:t>
      </w:r>
      <w:r w:rsidR="00C1586A">
        <w:t xml:space="preserve"> </w:t>
      </w:r>
      <w:r w:rsidR="00C1586A" w:rsidRPr="00C1586A">
        <w:t xml:space="preserve">o ile następstwo prawne po osobie wpisanej jako </w:t>
      </w:r>
      <w:r w:rsidR="0036485B" w:rsidRPr="00AA6D23">
        <w:t xml:space="preserve">osoba posiadająca </w:t>
      </w:r>
      <w:r w:rsidR="00B97EBF">
        <w:t xml:space="preserve">uprawnienie z tytułu </w:t>
      </w:r>
      <w:r w:rsidR="0036485B" w:rsidRPr="00AA6D23">
        <w:t>spółdzielcze</w:t>
      </w:r>
      <w:r w:rsidR="00B97EBF">
        <w:t>go</w:t>
      </w:r>
      <w:r w:rsidR="0036485B" w:rsidRPr="00AA6D23">
        <w:t xml:space="preserve"> własnościowe</w:t>
      </w:r>
      <w:r w:rsidR="00B97EBF">
        <w:t>go</w:t>
      </w:r>
      <w:r w:rsidR="0036485B" w:rsidRPr="00AA6D23">
        <w:t xml:space="preserve"> praw</w:t>
      </w:r>
      <w:r w:rsidR="00B97EBF">
        <w:t>a</w:t>
      </w:r>
      <w:r w:rsidR="0036485B" w:rsidRPr="00AA6D23">
        <w:t xml:space="preserve"> do lokalu</w:t>
      </w:r>
      <w:r w:rsidR="0036485B">
        <w:t>,</w:t>
      </w:r>
      <w:r w:rsidR="0036485B" w:rsidRPr="00AA6D23">
        <w:t xml:space="preserve"> </w:t>
      </w:r>
      <w:r w:rsidR="00C1586A" w:rsidRPr="00C1586A">
        <w:t xml:space="preserve">właściciel </w:t>
      </w:r>
      <w:r w:rsidR="0036485B" w:rsidRPr="0036485B">
        <w:t>lub użytkow</w:t>
      </w:r>
      <w:r w:rsidR="0036485B">
        <w:t>nik</w:t>
      </w:r>
      <w:r w:rsidR="0036485B" w:rsidRPr="0036485B">
        <w:t xml:space="preserve"> wieczyst</w:t>
      </w:r>
      <w:r w:rsidR="0036485B">
        <w:t>y</w:t>
      </w:r>
      <w:r w:rsidR="0036485B" w:rsidRPr="0036485B">
        <w:t xml:space="preserve"> </w:t>
      </w:r>
      <w:r w:rsidR="00C1586A" w:rsidRPr="00C1586A">
        <w:t>zostało wykazane</w:t>
      </w:r>
      <w:r w:rsidR="00C1586A">
        <w:t xml:space="preserve"> </w:t>
      </w:r>
      <w:r w:rsidR="00C1586A" w:rsidRPr="00C1586A">
        <w:t>odpowiednimi dokumentami, wypełnia prospołeczne cele ustawy.</w:t>
      </w:r>
      <w:r w:rsidR="00C1586A">
        <w:t xml:space="preserve"> </w:t>
      </w:r>
    </w:p>
    <w:p w14:paraId="5EF3229A" w14:textId="6F4A8164" w:rsidR="00C864C9" w:rsidRPr="007149B4" w:rsidRDefault="00C864C9" w:rsidP="00C1586A">
      <w:pPr>
        <w:pStyle w:val="ARTartustawynprozporzdzenia"/>
      </w:pPr>
      <w:r w:rsidRPr="00007FA0">
        <w:t>Proponowane rozwiązanie usprawni postępowanie o wpis w księdze wieczystej, w przypadku</w:t>
      </w:r>
      <w:r w:rsidRPr="007149B4">
        <w:t xml:space="preserve"> sporządzenia aktu poświadczenia dziedziczenia po właścicielu ujawnionym w</w:t>
      </w:r>
      <w:r w:rsidR="00122B6A">
        <w:t> </w:t>
      </w:r>
      <w:r w:rsidRPr="007149B4">
        <w:t xml:space="preserve">księdze wieczystej, za pośrednictwem systemu teleinformatycznego, przez zniesienie obowiązku zawiadamiania sądu, określonego w art. 36 </w:t>
      </w:r>
      <w:r>
        <w:t xml:space="preserve">ust. 1 </w:t>
      </w:r>
      <w:proofErr w:type="spellStart"/>
      <w:r w:rsidRPr="007149B4">
        <w:t>ukwh</w:t>
      </w:r>
      <w:proofErr w:type="spellEnd"/>
      <w:r w:rsidRPr="007149B4">
        <w:t>. Zmiana przepisów w tym zakresie znacznie usprawni i przyspieszy rozpoznawanie spraw. Aktualnie ujawnienie spadkobiercy (nowego właściciela) w księdze wieczystej wiąże się niejednokrotnie z</w:t>
      </w:r>
      <w:r w:rsidR="00122B6A">
        <w:t> </w:t>
      </w:r>
      <w:r w:rsidRPr="007149B4">
        <w:t>czasochłonną oraz pracochłonną procedurą, w której sądy muszą wykonywać wiele czynności, które w przypadku wprowadzenia zaproponowanych zmian będą zbędne. Procedura ujawniania nowych właścicieli (spadkobierców) w księdze wieczystej może generować konieczność zarejestrowania w sądzie w określonym przedziale czasowym aż trzech spraw wieczystoksięgowych, tj. o wpis ostrzeżenia do księgi wieczystej, o wpis prawa własności oraz o wykreślenie ostrzeżenia z księgi</w:t>
      </w:r>
      <w:r>
        <w:t xml:space="preserve"> wieczystej</w:t>
      </w:r>
      <w:r w:rsidRPr="007149B4">
        <w:t xml:space="preserve">, w których w proces rozpoznawania (a także wcześniej rejestrowania) trzykrotnie zaangażowany musi być orzecznik oraz urzędnik sądowy. Ponadto, w jednej sprawie, sąd </w:t>
      </w:r>
      <w:r w:rsidR="00562BD8" w:rsidRPr="007149B4">
        <w:t xml:space="preserve">trzykrotnie </w:t>
      </w:r>
      <w:r w:rsidRPr="007149B4">
        <w:t>wysyła do uczestników tego postępowania korespondencję sądową (zawiadomienie o wpisie ostrzeżenia</w:t>
      </w:r>
      <w:r>
        <w:t xml:space="preserve"> do księgi wieczystej</w:t>
      </w:r>
      <w:r w:rsidRPr="007149B4">
        <w:t>, zawiadomienie o wpisie własności, zawiadomienie o wykreśleniu ostrzeżenia z księgi wieczystej). Procedura ta jest zatem pracochłonna, rozciągnięta w czasie, a także generuje niepotrzebne koszty sądowe.</w:t>
      </w:r>
    </w:p>
    <w:p w14:paraId="64B52FDE" w14:textId="3DA6A5C5" w:rsidR="00B97EBF" w:rsidRPr="00B97EBF" w:rsidRDefault="00C864C9" w:rsidP="00B97EBF">
      <w:pPr>
        <w:pStyle w:val="NIEARTTEKSTtekstnieartykuowanynppodstprawnarozplubpreambua"/>
      </w:pPr>
      <w:r w:rsidRPr="007149B4">
        <w:lastRenderedPageBreak/>
        <w:t>Dodatkowo należy podkreślić, że w związku z tym, ż</w:t>
      </w:r>
      <w:r w:rsidR="00562BD8">
        <w:t>e</w:t>
      </w:r>
      <w:r w:rsidRPr="007149B4">
        <w:t xml:space="preserve"> księgi wieczyste prowadzi się w celu </w:t>
      </w:r>
      <w:r w:rsidR="00B97EBF">
        <w:t>ustalenia stanu prawnego</w:t>
      </w:r>
      <w:r w:rsidRPr="007149B4">
        <w:t xml:space="preserve"> nieruchomości</w:t>
      </w:r>
      <w:r w:rsidR="00B97EBF">
        <w:t>,</w:t>
      </w:r>
      <w:r w:rsidRPr="007149B4">
        <w:t xml:space="preserve"> </w:t>
      </w:r>
      <w:r w:rsidR="00B97EBF">
        <w:t xml:space="preserve">zamierzeniem wprowadzanych zmian jest </w:t>
      </w:r>
      <w:r w:rsidR="00B97EBF" w:rsidRPr="00B97EBF">
        <w:t>zapewnienie bezpieczeństwa obrotu nieruchomościami przez sprawne ujawnianie w księdze wieczystej aktualnego stanu prawnego nieruchomości.</w:t>
      </w:r>
    </w:p>
    <w:p w14:paraId="30834CA8" w14:textId="3D325C52" w:rsidR="00C864C9" w:rsidRPr="007149B4" w:rsidRDefault="00B97EBF" w:rsidP="00C864C9">
      <w:pPr>
        <w:pStyle w:val="NIEARTTEKSTtekstnieartykuowanynppodstprawnarozplubpreambua"/>
      </w:pPr>
      <w:r>
        <w:t>E</w:t>
      </w:r>
      <w:r w:rsidR="00C864C9" w:rsidRPr="007149B4">
        <w:t>fektem wprowadzonych zmian związanych z możliwością składania przez notariuszy wniosków do księgi wieczystej po sporządzeniu aktu poświadczenia dziedziczenia będzie transparentność i pewność aktualności wpisów w księdze wieczystej.</w:t>
      </w:r>
    </w:p>
    <w:p w14:paraId="38209349" w14:textId="7AA6436C" w:rsidR="00C864C9" w:rsidRPr="007149B4" w:rsidRDefault="00C864C9" w:rsidP="00C864C9">
      <w:pPr>
        <w:pStyle w:val="NIEARTTEKSTtekstnieartykuowanynppodstprawnarozplubpreambua"/>
      </w:pPr>
      <w:bookmarkStart w:id="3" w:name="_Hlk173232433"/>
      <w:bookmarkStart w:id="4" w:name="_Hlk172202848"/>
      <w:r w:rsidRPr="007149B4">
        <w:t xml:space="preserve">W art. 1 pkt 1 projektu proponuje się wprowadzenie zmiany w art. 7 w § 2 </w:t>
      </w:r>
      <w:r w:rsidR="00122B6A">
        <w:t>Prawa o notariacie</w:t>
      </w:r>
      <w:r w:rsidRPr="007149B4">
        <w:t xml:space="preserve"> przez dodanie </w:t>
      </w:r>
      <w:r>
        <w:t xml:space="preserve">odesłania do </w:t>
      </w:r>
      <w:r w:rsidRPr="007149B4">
        <w:t xml:space="preserve">art. 95j </w:t>
      </w:r>
      <w:bookmarkStart w:id="5" w:name="_Hlk173233717"/>
      <w:r w:rsidRPr="007149B4">
        <w:t>§ 2</w:t>
      </w:r>
      <w:bookmarkEnd w:id="5"/>
      <w:r w:rsidRPr="007149B4">
        <w:t xml:space="preserve"> i rozszerzenie obowiązku pobrania przez notariusza od strony czynności notarialnej stosownej opłaty sądowej od wniosku o wpis do księgi wieczystej </w:t>
      </w:r>
      <w:r w:rsidR="00D73433">
        <w:t xml:space="preserve">uprawnienia z tytułu </w:t>
      </w:r>
      <w:r w:rsidR="00881E78" w:rsidRPr="00881E78">
        <w:t xml:space="preserve">spółdzielczego własnościowego prawa do lokalu, </w:t>
      </w:r>
      <w:r w:rsidRPr="007149B4">
        <w:t xml:space="preserve">prawa własności </w:t>
      </w:r>
      <w:r w:rsidR="00881E78" w:rsidRPr="00881E78">
        <w:t>lub użytkow</w:t>
      </w:r>
      <w:r w:rsidR="000D0826">
        <w:t>ania</w:t>
      </w:r>
      <w:r w:rsidR="00881E78" w:rsidRPr="00881E78">
        <w:t xml:space="preserve"> wieczyst</w:t>
      </w:r>
      <w:r w:rsidR="00881E78">
        <w:t>ego</w:t>
      </w:r>
      <w:r w:rsidR="00881E78" w:rsidRPr="00881E78">
        <w:t xml:space="preserve"> </w:t>
      </w:r>
      <w:r w:rsidRPr="007149B4">
        <w:t xml:space="preserve">nieruchomości wskutek dziedziczenia, stwierdzonego aktem poświadczenia dziedziczenia, o ile następstwo prawne po osobie wpisanej jako </w:t>
      </w:r>
      <w:r w:rsidR="00881E78" w:rsidRPr="00881E78">
        <w:t xml:space="preserve">osoba posiadająca </w:t>
      </w:r>
      <w:r w:rsidR="00D73433">
        <w:t xml:space="preserve">uprawnienie z tytułu </w:t>
      </w:r>
      <w:r w:rsidR="00881E78" w:rsidRPr="00881E78">
        <w:t>spółdzielcze</w:t>
      </w:r>
      <w:r w:rsidR="00D73433">
        <w:t>go</w:t>
      </w:r>
      <w:r w:rsidR="00881E78" w:rsidRPr="00881E78">
        <w:t xml:space="preserve"> własnościowe</w:t>
      </w:r>
      <w:r w:rsidR="00D73433">
        <w:t>go</w:t>
      </w:r>
      <w:r w:rsidR="00881E78" w:rsidRPr="00881E78">
        <w:t xml:space="preserve"> praw</w:t>
      </w:r>
      <w:r w:rsidR="00D73433">
        <w:t>a</w:t>
      </w:r>
      <w:r w:rsidR="00881E78" w:rsidRPr="00881E78">
        <w:t xml:space="preserve"> do lokalu, </w:t>
      </w:r>
      <w:r w:rsidRPr="007149B4">
        <w:t xml:space="preserve">właściciel </w:t>
      </w:r>
      <w:r w:rsidR="00881E78" w:rsidRPr="00881E78">
        <w:t>lub użytkownik wieczysty nieruchomości</w:t>
      </w:r>
      <w:r w:rsidR="00007FA0">
        <w:t xml:space="preserve"> </w:t>
      </w:r>
      <w:r w:rsidRPr="007149B4">
        <w:t>zostanie wykazane odpowiednimi dokumentami.</w:t>
      </w:r>
    </w:p>
    <w:p w14:paraId="54BF3195" w14:textId="138903E0" w:rsidR="00C864C9" w:rsidRPr="007149B4" w:rsidRDefault="00C864C9" w:rsidP="00C864C9">
      <w:pPr>
        <w:pStyle w:val="NIEARTTEKSTtekstnieartykuowanynppodstprawnarozplubpreambua"/>
      </w:pPr>
      <w:r w:rsidRPr="007149B4">
        <w:t xml:space="preserve">W art. 1 pkt 2 projektu </w:t>
      </w:r>
      <w:bookmarkEnd w:id="3"/>
      <w:r w:rsidRPr="007149B4">
        <w:t xml:space="preserve">proponuje się </w:t>
      </w:r>
      <w:r w:rsidR="00652C11">
        <w:t>dodanie art. 95ga</w:t>
      </w:r>
      <w:r w:rsidRPr="007149B4">
        <w:t xml:space="preserve"> </w:t>
      </w:r>
      <w:bookmarkEnd w:id="4"/>
      <w:r w:rsidR="00122B6A">
        <w:t>Prawa o notariacie</w:t>
      </w:r>
      <w:r w:rsidR="00652C11">
        <w:t>, zgodnie z</w:t>
      </w:r>
      <w:r w:rsidR="00651388">
        <w:t> </w:t>
      </w:r>
      <w:r w:rsidR="00652C11">
        <w:t xml:space="preserve">którym </w:t>
      </w:r>
      <w:r w:rsidR="00652C11" w:rsidRPr="00652C11">
        <w:t xml:space="preserve">po </w:t>
      </w:r>
      <w:r w:rsidR="00651388" w:rsidRPr="0010526E">
        <w:t>sporządzeniu aktu poświadczenia dziedziczenia na wniosek spadkobiercy albo</w:t>
      </w:r>
      <w:r w:rsidR="00651388" w:rsidRPr="00651388">
        <w:t xml:space="preserve"> </w:t>
      </w:r>
      <w:r w:rsidR="00651388" w:rsidRPr="0010526E">
        <w:t>zapisobiercy windykacyjnego notariusz sporządza protokół, który zawiera wniosek</w:t>
      </w:r>
      <w:r w:rsidR="00651388" w:rsidRPr="00651388">
        <w:t xml:space="preserve"> </w:t>
      </w:r>
      <w:r w:rsidR="00651388" w:rsidRPr="0010526E">
        <w:t>spadkobiercy albo zapisobiercy windykacyjnego o wpis spółdzielczego własnościowego</w:t>
      </w:r>
      <w:r w:rsidR="00651388" w:rsidRPr="00651388">
        <w:t xml:space="preserve"> </w:t>
      </w:r>
      <w:r w:rsidR="00651388" w:rsidRPr="0010526E">
        <w:t>prawa do lokalu, własności lub użytkowania wieczystego nieruchomości do księgi</w:t>
      </w:r>
      <w:r w:rsidR="00651388" w:rsidRPr="00651388">
        <w:t xml:space="preserve"> </w:t>
      </w:r>
      <w:r w:rsidR="00651388" w:rsidRPr="0010526E">
        <w:t xml:space="preserve">wieczystej oraz oświadczenie o znanych </w:t>
      </w:r>
      <w:r w:rsidR="00D73433">
        <w:t>spadkobiercy albo zapisobiercy windykacyjnemu</w:t>
      </w:r>
      <w:r w:rsidR="00651388" w:rsidRPr="0010526E">
        <w:t>: spółdzielczym własnościowym prawie do</w:t>
      </w:r>
      <w:r w:rsidR="00651388" w:rsidRPr="00651388">
        <w:t xml:space="preserve"> </w:t>
      </w:r>
      <w:r w:rsidR="00651388" w:rsidRPr="0010526E">
        <w:t>lokalu, własności lub użytkowaniu wieczystym nieruchomości, położonych na terytorium</w:t>
      </w:r>
      <w:r w:rsidR="00651388" w:rsidRPr="00651388">
        <w:t xml:space="preserve"> Rzeczypospolitej Polskiej, które wchodzą w skład spadku.</w:t>
      </w:r>
    </w:p>
    <w:p w14:paraId="45DE07B5" w14:textId="0A667508" w:rsidR="00C864C9" w:rsidRPr="007149B4" w:rsidRDefault="00C864C9" w:rsidP="00C864C9">
      <w:pPr>
        <w:pStyle w:val="NIEARTTEKSTtekstnieartykuowanynppodstprawnarozplubpreambua"/>
      </w:pPr>
      <w:r w:rsidRPr="007149B4">
        <w:t>W art. 1 pkt 3 projektu proponuje się w art. 95j dotychczasową treść oznaczyć jako § 1 i</w:t>
      </w:r>
      <w:r w:rsidR="00122B6A">
        <w:t> </w:t>
      </w:r>
      <w:r w:rsidRPr="007149B4">
        <w:t>dodać § 2 i 3, które będą stanowić podstawę prawną do złożenia</w:t>
      </w:r>
      <w:r>
        <w:t xml:space="preserve"> przez spadkobiercę lub zapisobiercę windykacyjnego</w:t>
      </w:r>
      <w:r w:rsidRPr="007149B4">
        <w:t xml:space="preserve"> za pośrednictwem notariuszy, przy użyciu systemu teleinformatycznego obsługującego postępowanie sądowe, wniosków o </w:t>
      </w:r>
      <w:bookmarkStart w:id="6" w:name="_Hlk173232670"/>
      <w:r w:rsidRPr="007149B4">
        <w:t xml:space="preserve">wpis do księgi wieczystej w celu ujawnienia przejścia </w:t>
      </w:r>
      <w:r w:rsidR="00D73433">
        <w:t xml:space="preserve">uprawnienia z tytułu </w:t>
      </w:r>
      <w:r w:rsidR="00A13F94" w:rsidRPr="00A13F94">
        <w:t xml:space="preserve">spółdzielczego własnościowego prawa do lokalu, </w:t>
      </w:r>
      <w:r w:rsidRPr="007149B4">
        <w:t xml:space="preserve">prawa własności </w:t>
      </w:r>
      <w:r w:rsidR="00E84AFB" w:rsidRPr="00A13F94">
        <w:t xml:space="preserve">lub użytkowania wieczystego </w:t>
      </w:r>
      <w:r w:rsidRPr="007149B4">
        <w:t xml:space="preserve">nieruchomości wskutek dziedziczenia, stwierdzonego aktem poświadczenia dziedziczenia, o ile następstwo prawne po osobie wpisanej </w:t>
      </w:r>
      <w:bookmarkStart w:id="7" w:name="_Hlk201902578"/>
      <w:r w:rsidRPr="007149B4">
        <w:t xml:space="preserve">jako </w:t>
      </w:r>
      <w:r w:rsidR="00EF07E7" w:rsidRPr="00EF07E7">
        <w:t>osoba posiadająca</w:t>
      </w:r>
      <w:r w:rsidR="00D73433">
        <w:t xml:space="preserve"> uprawnienie z tytułu</w:t>
      </w:r>
      <w:r w:rsidR="00EF07E7" w:rsidRPr="00EF07E7">
        <w:t xml:space="preserve"> spółdzielcze</w:t>
      </w:r>
      <w:r w:rsidR="00D73433">
        <w:t>go</w:t>
      </w:r>
      <w:r w:rsidR="00EF07E7" w:rsidRPr="00EF07E7">
        <w:t xml:space="preserve"> własnościowe</w:t>
      </w:r>
      <w:r w:rsidR="00D73433">
        <w:t>go</w:t>
      </w:r>
      <w:r w:rsidR="00EF07E7" w:rsidRPr="00EF07E7">
        <w:t xml:space="preserve"> praw</w:t>
      </w:r>
      <w:r w:rsidR="00D73433">
        <w:t>a</w:t>
      </w:r>
      <w:r w:rsidR="00EF07E7" w:rsidRPr="00EF07E7">
        <w:t xml:space="preserve"> do lokalu, </w:t>
      </w:r>
      <w:bookmarkEnd w:id="7"/>
      <w:r w:rsidRPr="007149B4">
        <w:t xml:space="preserve">właściciel </w:t>
      </w:r>
      <w:bookmarkStart w:id="8" w:name="_Hlk201902609"/>
      <w:r w:rsidR="00EF07E7" w:rsidRPr="00EF07E7">
        <w:t xml:space="preserve">lub użytkownik wieczysty nieruchomości </w:t>
      </w:r>
      <w:bookmarkEnd w:id="8"/>
      <w:r w:rsidRPr="007149B4">
        <w:t>zostało wykazane odpowiednimi dokumentami</w:t>
      </w:r>
      <w:bookmarkEnd w:id="6"/>
      <w:r w:rsidRPr="007149B4">
        <w:t xml:space="preserve">. </w:t>
      </w:r>
    </w:p>
    <w:p w14:paraId="71DA77C7" w14:textId="1F67DC23" w:rsidR="00C864C9" w:rsidRPr="007149B4" w:rsidRDefault="00C864C9" w:rsidP="00C864C9">
      <w:pPr>
        <w:pStyle w:val="NIEARTTEKSTtekstnieartykuowanynppodstprawnarozplubpreambua"/>
      </w:pPr>
      <w:r w:rsidRPr="007149B4">
        <w:lastRenderedPageBreak/>
        <w:t xml:space="preserve">W art. 2 projektu proponuje się zmianę w art. 36 ust. 1 </w:t>
      </w:r>
      <w:proofErr w:type="spellStart"/>
      <w:r w:rsidRPr="007149B4">
        <w:t>ukwh</w:t>
      </w:r>
      <w:proofErr w:type="spellEnd"/>
      <w:r w:rsidRPr="007149B4">
        <w:t>, któr</w:t>
      </w:r>
      <w:r>
        <w:t>a</w:t>
      </w:r>
      <w:r w:rsidRPr="007149B4">
        <w:t xml:space="preserve"> znosi obowiązek notariusza zawiadomienia sądu wieczystoksięgowego o zmianie właściciela nieruchomości, jeżeli na żądanie spadkobiercy lub zapisobiercy windykacyjnego złożył wniosek o wpis w</w:t>
      </w:r>
      <w:r w:rsidR="00122B6A">
        <w:t> </w:t>
      </w:r>
      <w:r w:rsidRPr="007149B4">
        <w:t>księdze wieczystej za pośrednictwem systemu teleinformatycznego.</w:t>
      </w:r>
    </w:p>
    <w:p w14:paraId="65320301" w14:textId="0B063B26" w:rsidR="00C864C9" w:rsidRPr="007149B4" w:rsidRDefault="00C864C9" w:rsidP="00C864C9">
      <w:pPr>
        <w:pStyle w:val="NIEARTTEKSTtekstnieartykuowanynppodstprawnarozplubpreambua"/>
      </w:pPr>
      <w:r w:rsidRPr="007149B4">
        <w:t xml:space="preserve">W związku z projektowanymi zmianami zachodzi również konieczność zmiany rozporządzenia Ministra Sprawiedliwości </w:t>
      </w:r>
      <w:r w:rsidR="00D11DB4" w:rsidRPr="00D11DB4">
        <w:t xml:space="preserve">z dnia 6 października 2015 r. </w:t>
      </w:r>
      <w:r w:rsidRPr="007149B4">
        <w:t>w sprawie pobierania przez notariuszy opłat sądowych od wniosków o wpis w księdze wieczystej i ich przekazywania sądom oraz prowadzenia ewidencji pobranych opłat sądowych</w:t>
      </w:r>
      <w:r>
        <w:t xml:space="preserve"> (Dz. U. z 2024 r. poz. 1397),</w:t>
      </w:r>
      <w:r w:rsidRPr="007149B4">
        <w:t xml:space="preserve"> tak aby dostosować sposób prowadzenia ewidencji pobranych opłat sądowych, czas jej przechowywania oraz sposób i termin zwrotu opłat sądowych do nowej regulacji zawartej w</w:t>
      </w:r>
      <w:r w:rsidR="00122B6A">
        <w:t> </w:t>
      </w:r>
      <w:r w:rsidRPr="007149B4">
        <w:t xml:space="preserve">projektowanym art. 7 § 2 </w:t>
      </w:r>
      <w:r w:rsidR="00122B6A">
        <w:t>Prawa o notariacie</w:t>
      </w:r>
      <w:r w:rsidRPr="007149B4">
        <w:t>.</w:t>
      </w:r>
    </w:p>
    <w:p w14:paraId="4AAA24FD" w14:textId="3C76DCE2" w:rsidR="00C864C9" w:rsidRPr="007149B4" w:rsidRDefault="00C864C9" w:rsidP="00C864C9">
      <w:pPr>
        <w:pStyle w:val="NIEARTTEKSTtekstnieartykuowanynppodstprawnarozplubpreambua"/>
      </w:pPr>
      <w:r w:rsidRPr="007149B4">
        <w:t xml:space="preserve">Przewiduje się, że projektowana ustawa wejdzie w życie </w:t>
      </w:r>
      <w:r>
        <w:t>po</w:t>
      </w:r>
      <w:r w:rsidRPr="007149B4">
        <w:t xml:space="preserve"> upływ</w:t>
      </w:r>
      <w:r>
        <w:t>i</w:t>
      </w:r>
      <w:r w:rsidRPr="007149B4">
        <w:t xml:space="preserve">e </w:t>
      </w:r>
      <w:r w:rsidR="00560819">
        <w:t>3 miesięcy</w:t>
      </w:r>
      <w:r w:rsidRPr="007149B4">
        <w:t xml:space="preserve"> od dnia ogłoszenia.</w:t>
      </w:r>
      <w:r w:rsidR="0048047A">
        <w:t xml:space="preserve"> Proponowane rozwiązanie umożliwi </w:t>
      </w:r>
      <w:r w:rsidR="0048047A" w:rsidRPr="0048047A">
        <w:t>przeprowadzenie prac legislacyjnych nad zmianą ww. rozporządzenia</w:t>
      </w:r>
      <w:r w:rsidR="0048047A">
        <w:t>, tak</w:t>
      </w:r>
      <w:r w:rsidR="0048047A" w:rsidRPr="0048047A">
        <w:t xml:space="preserve"> aby jego nowelizacja weszła w życie jednocześnie z wejściem w życie </w:t>
      </w:r>
      <w:r w:rsidR="0048047A">
        <w:t xml:space="preserve">projektowanej </w:t>
      </w:r>
      <w:r w:rsidR="0048047A" w:rsidRPr="0048047A">
        <w:t>ustawy.</w:t>
      </w:r>
    </w:p>
    <w:p w14:paraId="7C59DFC3" w14:textId="0917DDE0" w:rsidR="00C864C9" w:rsidRPr="007149B4" w:rsidRDefault="00C864C9" w:rsidP="00C864C9">
      <w:pPr>
        <w:pStyle w:val="NIEARTTEKSTtekstnieartykuowanynppodstprawnarozplubpreambua"/>
      </w:pPr>
      <w:r w:rsidRPr="007149B4">
        <w:t xml:space="preserve">Stosownie do art. 4 ustawy z dnia 7 lipca 2005 r. o działalności lobbingowej w procesie </w:t>
      </w:r>
      <w:r w:rsidRPr="00425B94">
        <w:t>stanowienia</w:t>
      </w:r>
      <w:r w:rsidRPr="007149B4">
        <w:t xml:space="preserve"> prawa (Dz. U. z </w:t>
      </w:r>
      <w:r w:rsidR="00652C11">
        <w:t>2025 r. poz. 677</w:t>
      </w:r>
      <w:r w:rsidRPr="007149B4">
        <w:t>) projekt został zamieszczony w</w:t>
      </w:r>
      <w:r w:rsidR="00122B6A">
        <w:t> </w:t>
      </w:r>
      <w:r w:rsidR="000039F5">
        <w:t>W</w:t>
      </w:r>
      <w:r w:rsidRPr="007149B4">
        <w:t>ykazie prac legislacyjnych i programowych Rady Ministrów.</w:t>
      </w:r>
    </w:p>
    <w:p w14:paraId="1EEA4496" w14:textId="5834ADA8" w:rsidR="00C864C9" w:rsidRPr="007149B4" w:rsidRDefault="00C864C9" w:rsidP="00C864C9">
      <w:pPr>
        <w:pStyle w:val="NIEARTTEKSTtekstnieartykuowanynppodstprawnarozplubpreambua"/>
      </w:pPr>
      <w:r w:rsidRPr="007149B4">
        <w:t>Zgodnie z art. 5 ustawy z dnia 7 lipca 2005 r. o działalności lobbingowej w procesie stanowienia prawa oraz § 52 uchwały nr 190 Rady Ministrów z dnia 29 października 2013 r. – Regulamin pracy Rady Ministrów (M.P. z 202</w:t>
      </w:r>
      <w:r>
        <w:t>4</w:t>
      </w:r>
      <w:r w:rsidRPr="007149B4">
        <w:t xml:space="preserve"> r. poz. </w:t>
      </w:r>
      <w:r>
        <w:t>806</w:t>
      </w:r>
      <w:r w:rsidR="00007FA0">
        <w:t xml:space="preserve">, z </w:t>
      </w:r>
      <w:proofErr w:type="spellStart"/>
      <w:r w:rsidR="00007FA0">
        <w:t>późn</w:t>
      </w:r>
      <w:proofErr w:type="spellEnd"/>
      <w:r w:rsidR="00007FA0">
        <w:t>. zm.</w:t>
      </w:r>
      <w:r w:rsidRPr="007149B4">
        <w:t>) projekt ustawy zosta</w:t>
      </w:r>
      <w:r w:rsidR="00C95D30">
        <w:t>ł</w:t>
      </w:r>
      <w:r w:rsidRPr="007149B4">
        <w:t xml:space="preserve"> udostępniony w Biuletynie Informacji Publicznej na stronie podmiotowej Rządowego Centrum Legislacji, w</w:t>
      </w:r>
      <w:r w:rsidR="00C95D30">
        <w:t> </w:t>
      </w:r>
      <w:r w:rsidRPr="007149B4">
        <w:t>serwisie Rządowy Proces Legislacyjny.</w:t>
      </w:r>
      <w:r w:rsidR="00650651">
        <w:t xml:space="preserve"> Żaden podmiot nie zgłosił zainteresowania pracami nad projektem ustawy w trybie </w:t>
      </w:r>
      <w:r w:rsidR="00650651" w:rsidRPr="007149B4">
        <w:t>ustawy z dnia 7 lipca 2005 r. o</w:t>
      </w:r>
      <w:r w:rsidR="00650651">
        <w:t> </w:t>
      </w:r>
      <w:r w:rsidR="00650651" w:rsidRPr="007149B4">
        <w:t>działalności lobbingowej w procesie stanowienia prawa</w:t>
      </w:r>
      <w:r w:rsidR="00650651">
        <w:t>.</w:t>
      </w:r>
    </w:p>
    <w:p w14:paraId="1C55F501" w14:textId="77777777" w:rsidR="00C864C9" w:rsidRPr="007149B4" w:rsidRDefault="00C864C9" w:rsidP="00C864C9">
      <w:pPr>
        <w:pStyle w:val="NIEARTTEKSTtekstnieartykuowanynppodstprawnarozplubpreambua"/>
      </w:pPr>
      <w:r w:rsidRPr="007149B4">
        <w:t xml:space="preserve">Projekt ustawy jest zgodny z prawem Unii Europejskiej. </w:t>
      </w:r>
    </w:p>
    <w:p w14:paraId="28A4D7EB" w14:textId="77777777" w:rsidR="00C864C9" w:rsidRPr="007149B4" w:rsidRDefault="00C864C9" w:rsidP="00C864C9">
      <w:pPr>
        <w:pStyle w:val="NIEARTTEKSTtekstnieartykuowanynppodstprawnarozplubpreambua"/>
      </w:pPr>
      <w:r w:rsidRPr="007149B4">
        <w:t>Projekt ustawy nie podlega przedstawieniu właściwym organom i instytucjom Unii Europejskiej, w tym Europejskiemu Bankowi Centralnemu, w celu uzyskania opinii, dokonania powiadomienia, konsultacji lub uzgodnienia.</w:t>
      </w:r>
    </w:p>
    <w:p w14:paraId="42D2E62B" w14:textId="716ABA56" w:rsidR="00650943" w:rsidRDefault="00C864C9" w:rsidP="00122B6A">
      <w:pPr>
        <w:pStyle w:val="NIEARTTEKSTtekstnieartykuowanynppodstprawnarozplubpreambua"/>
      </w:pPr>
      <w:r w:rsidRPr="007149B4">
        <w:t xml:space="preserve">Projekt ustawy nie zawiera norm technicznych w rozumieniu przepisów rozporządzenia Rady Ministrów z dnia 23 grudnia 2002 r. w sprawie sposobu funkcjonowania krajowego </w:t>
      </w:r>
      <w:r w:rsidRPr="007149B4">
        <w:lastRenderedPageBreak/>
        <w:t xml:space="preserve">systemu notyfikacji norm i aktów prawnych (Dz. U. poz. 2039, z </w:t>
      </w:r>
      <w:proofErr w:type="spellStart"/>
      <w:r w:rsidRPr="007149B4">
        <w:t>późn</w:t>
      </w:r>
      <w:proofErr w:type="spellEnd"/>
      <w:r w:rsidRPr="007149B4">
        <w:t xml:space="preserve">. zm.), w związku z czym nie podlega notyfikacji. </w:t>
      </w:r>
    </w:p>
    <w:p w14:paraId="1F19F7DF" w14:textId="77F6E663" w:rsidR="000E3C1F" w:rsidRPr="000E3C1F" w:rsidRDefault="000E3C1F" w:rsidP="000E3C1F">
      <w:pPr>
        <w:pStyle w:val="ARTartustawynprozporzdzenia"/>
      </w:pPr>
      <w:r w:rsidRPr="000E3C1F">
        <w:t xml:space="preserve">Projekt ustawy został przekazany do zaopiniowania przez Koordynatora Oceny Skutków Regulacji. </w:t>
      </w:r>
      <w:r>
        <w:t>Jego uwaga została uwzględniona</w:t>
      </w:r>
      <w:r w:rsidRPr="000E3C1F">
        <w:t xml:space="preserve">. </w:t>
      </w:r>
    </w:p>
    <w:sectPr w:rsidR="000E3C1F" w:rsidRPr="000E3C1F" w:rsidSect="00D01E6D">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3F1E" w14:textId="77777777" w:rsidR="00322447" w:rsidRDefault="00322447" w:rsidP="00840C93">
      <w:pPr>
        <w:spacing w:after="0" w:line="240" w:lineRule="auto"/>
      </w:pPr>
      <w:r>
        <w:separator/>
      </w:r>
    </w:p>
  </w:endnote>
  <w:endnote w:type="continuationSeparator" w:id="0">
    <w:p w14:paraId="190EC426" w14:textId="77777777" w:rsidR="00322447" w:rsidRDefault="00322447" w:rsidP="0084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03507"/>
      <w:docPartObj>
        <w:docPartGallery w:val="Page Numbers (Bottom of Page)"/>
        <w:docPartUnique/>
      </w:docPartObj>
    </w:sdtPr>
    <w:sdtEndPr>
      <w:rPr>
        <w:rFonts w:ascii="Times New Roman" w:hAnsi="Times New Roman" w:cs="Times New Roman"/>
      </w:rPr>
    </w:sdtEndPr>
    <w:sdtContent>
      <w:p w14:paraId="79EFD665" w14:textId="1AFF94A9" w:rsidR="00D01E6D" w:rsidRPr="00D01E6D" w:rsidRDefault="00D01E6D">
        <w:pPr>
          <w:pStyle w:val="Stopka"/>
          <w:jc w:val="center"/>
          <w:rPr>
            <w:rFonts w:ascii="Times New Roman" w:hAnsi="Times New Roman" w:cs="Times New Roman"/>
          </w:rPr>
        </w:pPr>
        <w:r w:rsidRPr="00D01E6D">
          <w:rPr>
            <w:rFonts w:ascii="Times New Roman" w:hAnsi="Times New Roman" w:cs="Times New Roman"/>
          </w:rPr>
          <w:fldChar w:fldCharType="begin"/>
        </w:r>
        <w:r w:rsidRPr="00D01E6D">
          <w:rPr>
            <w:rFonts w:ascii="Times New Roman" w:hAnsi="Times New Roman" w:cs="Times New Roman"/>
          </w:rPr>
          <w:instrText>PAGE   \* MERGEFORMAT</w:instrText>
        </w:r>
        <w:r w:rsidRPr="00D01E6D">
          <w:rPr>
            <w:rFonts w:ascii="Times New Roman" w:hAnsi="Times New Roman" w:cs="Times New Roman"/>
          </w:rPr>
          <w:fldChar w:fldCharType="separate"/>
        </w:r>
        <w:r w:rsidRPr="00D01E6D">
          <w:rPr>
            <w:rFonts w:ascii="Times New Roman" w:hAnsi="Times New Roman" w:cs="Times New Roman"/>
          </w:rPr>
          <w:t>2</w:t>
        </w:r>
        <w:r w:rsidRPr="00D01E6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5608" w14:textId="77777777" w:rsidR="00322447" w:rsidRDefault="00322447" w:rsidP="00840C93">
      <w:pPr>
        <w:spacing w:after="0" w:line="240" w:lineRule="auto"/>
      </w:pPr>
      <w:r>
        <w:separator/>
      </w:r>
    </w:p>
  </w:footnote>
  <w:footnote w:type="continuationSeparator" w:id="0">
    <w:p w14:paraId="131F4265" w14:textId="77777777" w:rsidR="00322447" w:rsidRDefault="00322447" w:rsidP="00840C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C9"/>
    <w:rsid w:val="000039F5"/>
    <w:rsid w:val="00007FA0"/>
    <w:rsid w:val="000712F3"/>
    <w:rsid w:val="00074405"/>
    <w:rsid w:val="000D0826"/>
    <w:rsid w:val="000E3C1F"/>
    <w:rsid w:val="00116250"/>
    <w:rsid w:val="00116352"/>
    <w:rsid w:val="00122B6A"/>
    <w:rsid w:val="001369E5"/>
    <w:rsid w:val="00190B00"/>
    <w:rsid w:val="001A4974"/>
    <w:rsid w:val="001E5703"/>
    <w:rsid w:val="002D6C7F"/>
    <w:rsid w:val="00322447"/>
    <w:rsid w:val="00345CD2"/>
    <w:rsid w:val="0035066B"/>
    <w:rsid w:val="0036485B"/>
    <w:rsid w:val="00376F45"/>
    <w:rsid w:val="00377714"/>
    <w:rsid w:val="00396F0B"/>
    <w:rsid w:val="003B08FE"/>
    <w:rsid w:val="003B3D09"/>
    <w:rsid w:val="003E7C3A"/>
    <w:rsid w:val="0044191C"/>
    <w:rsid w:val="00467FCA"/>
    <w:rsid w:val="00470FC7"/>
    <w:rsid w:val="0048047A"/>
    <w:rsid w:val="0048467A"/>
    <w:rsid w:val="00492711"/>
    <w:rsid w:val="004C334A"/>
    <w:rsid w:val="004D37EB"/>
    <w:rsid w:val="004E4F44"/>
    <w:rsid w:val="005004D5"/>
    <w:rsid w:val="00560819"/>
    <w:rsid w:val="00562BD8"/>
    <w:rsid w:val="00586045"/>
    <w:rsid w:val="0059014D"/>
    <w:rsid w:val="005D3561"/>
    <w:rsid w:val="00650651"/>
    <w:rsid w:val="00650943"/>
    <w:rsid w:val="00651388"/>
    <w:rsid w:val="00652C11"/>
    <w:rsid w:val="006D5FAC"/>
    <w:rsid w:val="006D7237"/>
    <w:rsid w:val="007703BF"/>
    <w:rsid w:val="007B7DB4"/>
    <w:rsid w:val="007F4432"/>
    <w:rsid w:val="00840C93"/>
    <w:rsid w:val="00844E1B"/>
    <w:rsid w:val="00881E78"/>
    <w:rsid w:val="008B2A15"/>
    <w:rsid w:val="008C6454"/>
    <w:rsid w:val="008E1869"/>
    <w:rsid w:val="00910474"/>
    <w:rsid w:val="00946ECE"/>
    <w:rsid w:val="00947104"/>
    <w:rsid w:val="009603C2"/>
    <w:rsid w:val="009E5540"/>
    <w:rsid w:val="00A00EE4"/>
    <w:rsid w:val="00A13F94"/>
    <w:rsid w:val="00A155BC"/>
    <w:rsid w:val="00A21EBA"/>
    <w:rsid w:val="00AA16A0"/>
    <w:rsid w:val="00AE5609"/>
    <w:rsid w:val="00B27FCA"/>
    <w:rsid w:val="00B55F6A"/>
    <w:rsid w:val="00B97EBF"/>
    <w:rsid w:val="00BC68B3"/>
    <w:rsid w:val="00C125A6"/>
    <w:rsid w:val="00C1586A"/>
    <w:rsid w:val="00C308AF"/>
    <w:rsid w:val="00C56A29"/>
    <w:rsid w:val="00C629E4"/>
    <w:rsid w:val="00C64A28"/>
    <w:rsid w:val="00C778B1"/>
    <w:rsid w:val="00C864C9"/>
    <w:rsid w:val="00C92192"/>
    <w:rsid w:val="00C95D30"/>
    <w:rsid w:val="00CC20E1"/>
    <w:rsid w:val="00D01E6D"/>
    <w:rsid w:val="00D11DB4"/>
    <w:rsid w:val="00D16B40"/>
    <w:rsid w:val="00D31941"/>
    <w:rsid w:val="00D52D54"/>
    <w:rsid w:val="00D73433"/>
    <w:rsid w:val="00D80BA9"/>
    <w:rsid w:val="00E15437"/>
    <w:rsid w:val="00E17D07"/>
    <w:rsid w:val="00E24E6F"/>
    <w:rsid w:val="00E55B0F"/>
    <w:rsid w:val="00E8142B"/>
    <w:rsid w:val="00E847D5"/>
    <w:rsid w:val="00E84AFB"/>
    <w:rsid w:val="00E866BE"/>
    <w:rsid w:val="00EA1CC7"/>
    <w:rsid w:val="00EE3B0D"/>
    <w:rsid w:val="00EF07E7"/>
    <w:rsid w:val="00EF47C2"/>
    <w:rsid w:val="00F34F6E"/>
    <w:rsid w:val="00F4513E"/>
    <w:rsid w:val="00F673A0"/>
    <w:rsid w:val="00F8498C"/>
    <w:rsid w:val="00F84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E6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86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86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864C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864C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864C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864C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864C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864C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864C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64C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864C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864C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864C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864C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864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864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864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864C9"/>
    <w:rPr>
      <w:rFonts w:eastAsiaTheme="majorEastAsia" w:cstheme="majorBidi"/>
      <w:color w:val="272727" w:themeColor="text1" w:themeTint="D8"/>
    </w:rPr>
  </w:style>
  <w:style w:type="paragraph" w:styleId="Tytu">
    <w:name w:val="Title"/>
    <w:basedOn w:val="Normalny"/>
    <w:next w:val="Normalny"/>
    <w:link w:val="TytuZnak"/>
    <w:uiPriority w:val="10"/>
    <w:qFormat/>
    <w:rsid w:val="00C86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64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864C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864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864C9"/>
    <w:pPr>
      <w:spacing w:before="160"/>
      <w:jc w:val="center"/>
    </w:pPr>
    <w:rPr>
      <w:i/>
      <w:iCs/>
      <w:color w:val="404040" w:themeColor="text1" w:themeTint="BF"/>
    </w:rPr>
  </w:style>
  <w:style w:type="character" w:customStyle="1" w:styleId="CytatZnak">
    <w:name w:val="Cytat Znak"/>
    <w:basedOn w:val="Domylnaczcionkaakapitu"/>
    <w:link w:val="Cytat"/>
    <w:uiPriority w:val="29"/>
    <w:rsid w:val="00C864C9"/>
    <w:rPr>
      <w:i/>
      <w:iCs/>
      <w:color w:val="404040" w:themeColor="text1" w:themeTint="BF"/>
    </w:rPr>
  </w:style>
  <w:style w:type="paragraph" w:styleId="Akapitzlist">
    <w:name w:val="List Paragraph"/>
    <w:basedOn w:val="Normalny"/>
    <w:uiPriority w:val="34"/>
    <w:qFormat/>
    <w:rsid w:val="00C864C9"/>
    <w:pPr>
      <w:ind w:left="720"/>
      <w:contextualSpacing/>
    </w:pPr>
  </w:style>
  <w:style w:type="character" w:styleId="Wyrnienieintensywne">
    <w:name w:val="Intense Emphasis"/>
    <w:basedOn w:val="Domylnaczcionkaakapitu"/>
    <w:uiPriority w:val="21"/>
    <w:qFormat/>
    <w:rsid w:val="00C864C9"/>
    <w:rPr>
      <w:i/>
      <w:iCs/>
      <w:color w:val="0F4761" w:themeColor="accent1" w:themeShade="BF"/>
    </w:rPr>
  </w:style>
  <w:style w:type="paragraph" w:styleId="Cytatintensywny">
    <w:name w:val="Intense Quote"/>
    <w:basedOn w:val="Normalny"/>
    <w:next w:val="Normalny"/>
    <w:link w:val="CytatintensywnyZnak"/>
    <w:uiPriority w:val="30"/>
    <w:qFormat/>
    <w:rsid w:val="00C86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864C9"/>
    <w:rPr>
      <w:i/>
      <w:iCs/>
      <w:color w:val="0F4761" w:themeColor="accent1" w:themeShade="BF"/>
    </w:rPr>
  </w:style>
  <w:style w:type="character" w:styleId="Odwoanieintensywne">
    <w:name w:val="Intense Reference"/>
    <w:basedOn w:val="Domylnaczcionkaakapitu"/>
    <w:uiPriority w:val="32"/>
    <w:qFormat/>
    <w:rsid w:val="00C864C9"/>
    <w:rPr>
      <w:b/>
      <w:bCs/>
      <w:smallCaps/>
      <w:color w:val="0F4761" w:themeColor="accent1" w:themeShade="BF"/>
      <w:spacing w:val="5"/>
    </w:rPr>
  </w:style>
  <w:style w:type="paragraph" w:customStyle="1" w:styleId="ARTartustawynprozporzdzenia">
    <w:name w:val="ART(§) – art. ustawy (§ np. rozporządzenia)"/>
    <w:uiPriority w:val="11"/>
    <w:qFormat/>
    <w:rsid w:val="00C864C9"/>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C864C9"/>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C864C9"/>
    <w:rPr>
      <w:bCs/>
    </w:rPr>
  </w:style>
  <w:style w:type="character" w:customStyle="1" w:styleId="IGindeksgrny">
    <w:name w:val="_IG_ – indeks górny"/>
    <w:basedOn w:val="Domylnaczcionkaakapitu"/>
    <w:uiPriority w:val="2"/>
    <w:qFormat/>
    <w:rsid w:val="00C864C9"/>
    <w:rPr>
      <w:b w:val="0"/>
      <w:i w:val="0"/>
      <w:vanish w:val="0"/>
      <w:spacing w:val="0"/>
      <w:vertAlign w:val="superscript"/>
    </w:rPr>
  </w:style>
  <w:style w:type="paragraph" w:styleId="Poprawka">
    <w:name w:val="Revision"/>
    <w:hidden/>
    <w:uiPriority w:val="99"/>
    <w:semiHidden/>
    <w:rsid w:val="00CC20E1"/>
    <w:pPr>
      <w:spacing w:after="0" w:line="240" w:lineRule="auto"/>
    </w:pPr>
  </w:style>
  <w:style w:type="paragraph" w:styleId="Nagwek">
    <w:name w:val="header"/>
    <w:basedOn w:val="Normalny"/>
    <w:link w:val="NagwekZnak"/>
    <w:uiPriority w:val="99"/>
    <w:unhideWhenUsed/>
    <w:rsid w:val="00840C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0C93"/>
  </w:style>
  <w:style w:type="paragraph" w:styleId="Stopka">
    <w:name w:val="footer"/>
    <w:basedOn w:val="Normalny"/>
    <w:link w:val="StopkaZnak"/>
    <w:uiPriority w:val="99"/>
    <w:unhideWhenUsed/>
    <w:rsid w:val="00840C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0C93"/>
  </w:style>
  <w:style w:type="character" w:styleId="Odwoaniedokomentarza">
    <w:name w:val="annotation reference"/>
    <w:basedOn w:val="Domylnaczcionkaakapitu"/>
    <w:uiPriority w:val="99"/>
    <w:semiHidden/>
    <w:unhideWhenUsed/>
    <w:rsid w:val="00074405"/>
    <w:rPr>
      <w:sz w:val="16"/>
      <w:szCs w:val="16"/>
    </w:rPr>
  </w:style>
  <w:style w:type="paragraph" w:styleId="Tekstkomentarza">
    <w:name w:val="annotation text"/>
    <w:basedOn w:val="Normalny"/>
    <w:link w:val="TekstkomentarzaZnak"/>
    <w:uiPriority w:val="99"/>
    <w:unhideWhenUsed/>
    <w:rsid w:val="00074405"/>
    <w:pPr>
      <w:spacing w:line="240" w:lineRule="auto"/>
    </w:pPr>
    <w:rPr>
      <w:sz w:val="20"/>
      <w:szCs w:val="20"/>
    </w:rPr>
  </w:style>
  <w:style w:type="character" w:customStyle="1" w:styleId="TekstkomentarzaZnak">
    <w:name w:val="Tekst komentarza Znak"/>
    <w:basedOn w:val="Domylnaczcionkaakapitu"/>
    <w:link w:val="Tekstkomentarza"/>
    <w:uiPriority w:val="99"/>
    <w:rsid w:val="00074405"/>
    <w:rPr>
      <w:sz w:val="20"/>
      <w:szCs w:val="20"/>
    </w:rPr>
  </w:style>
  <w:style w:type="paragraph" w:styleId="Tematkomentarza">
    <w:name w:val="annotation subject"/>
    <w:basedOn w:val="Tekstkomentarza"/>
    <w:next w:val="Tekstkomentarza"/>
    <w:link w:val="TematkomentarzaZnak"/>
    <w:uiPriority w:val="99"/>
    <w:semiHidden/>
    <w:unhideWhenUsed/>
    <w:rsid w:val="00074405"/>
    <w:rPr>
      <w:b/>
      <w:bCs/>
    </w:rPr>
  </w:style>
  <w:style w:type="character" w:customStyle="1" w:styleId="TematkomentarzaZnak">
    <w:name w:val="Temat komentarza Znak"/>
    <w:basedOn w:val="TekstkomentarzaZnak"/>
    <w:link w:val="Tematkomentarza"/>
    <w:uiPriority w:val="99"/>
    <w:semiHidden/>
    <w:rsid w:val="000744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270489">
      <w:bodyDiv w:val="1"/>
      <w:marLeft w:val="0"/>
      <w:marRight w:val="0"/>
      <w:marTop w:val="0"/>
      <w:marBottom w:val="0"/>
      <w:divBdr>
        <w:top w:val="none" w:sz="0" w:space="0" w:color="auto"/>
        <w:left w:val="none" w:sz="0" w:space="0" w:color="auto"/>
        <w:bottom w:val="none" w:sz="0" w:space="0" w:color="auto"/>
        <w:right w:val="none" w:sz="0" w:space="0" w:color="auto"/>
      </w:divBdr>
    </w:div>
    <w:div w:id="18822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11529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2025-06-30T08:27:00Z</dcterms:created>
  <dcterms:modified xsi:type="dcterms:W3CDTF">2025-07-01T08:06:00Z</dcterms:modified>
</cp:coreProperties>
</file>