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96FC" w14:textId="77777777" w:rsidR="00677F39" w:rsidRPr="00DB408D" w:rsidRDefault="00925AB1" w:rsidP="00DB408D">
      <w:pPr>
        <w:pStyle w:val="OZNRODZAKTUtznustawalubrozporzdzenieiorganwydajcy"/>
        <w:spacing w:before="120" w:after="0"/>
        <w:rPr>
          <w:rStyle w:val="Ppogrubienie"/>
          <w:rFonts w:ascii="Times New Roman" w:hAnsi="Times New Roman"/>
          <w:spacing w:val="0"/>
        </w:rPr>
      </w:pPr>
      <w:r w:rsidRPr="00DB408D">
        <w:rPr>
          <w:rStyle w:val="Ppogrubienie"/>
          <w:rFonts w:ascii="Times New Roman" w:hAnsi="Times New Roman"/>
          <w:spacing w:val="0"/>
        </w:rPr>
        <w:t>Uzasadnienie</w:t>
      </w:r>
    </w:p>
    <w:p w14:paraId="34DE3995" w14:textId="77777777" w:rsidR="00677F39" w:rsidRPr="00DB408D" w:rsidRDefault="00925AB1" w:rsidP="00185437">
      <w:pPr>
        <w:pStyle w:val="NIEARTTEKSTtekstnieartykuowanynppodstprawnarozplubpreambua"/>
        <w:rPr>
          <w:rStyle w:val="Ppogrubienie"/>
          <w:rFonts w:ascii="Times New Roman" w:hAnsi="Times New Roman" w:cs="Times New Roman"/>
          <w:szCs w:val="24"/>
        </w:rPr>
      </w:pPr>
      <w:r w:rsidRPr="00DB408D">
        <w:rPr>
          <w:rStyle w:val="Ppogrubienie"/>
          <w:rFonts w:ascii="Times New Roman" w:hAnsi="Times New Roman" w:cs="Times New Roman"/>
          <w:szCs w:val="24"/>
        </w:rPr>
        <w:t>Cel wydania projektowanej ustawy</w:t>
      </w:r>
    </w:p>
    <w:p w14:paraId="4C53E285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W ramach prac Rządowego Zespołu ds. Deregulacji strona społeczna zgłosiła problem:</w:t>
      </w:r>
    </w:p>
    <w:p w14:paraId="4925D68B" w14:textId="39244EA4" w:rsidR="00677F39" w:rsidRPr="00DB408D" w:rsidRDefault="00925AB1" w:rsidP="00185437">
      <w:pPr>
        <w:pStyle w:val="NIEARTTEKSTtekstnieartykuowanynppodstprawnarozplubpreambu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nadmiernie rozbudowanej sprawozdawczości dla Prezesa Urzędu Komunikacji Elektronicznej (UKE), obciążającej operatorów pocztowych ze względu na ilość danych, formę składania sprawozdania oraz obowiązek składania sprawozdań przez mikro</w:t>
      </w:r>
      <w:r w:rsidR="00164EA2">
        <w:t>-</w:t>
      </w:r>
      <w:r w:rsidRPr="00DB408D">
        <w:rPr>
          <w:rFonts w:ascii="Times New Roman" w:hAnsi="Times New Roman" w:cs="Times New Roman"/>
          <w:szCs w:val="24"/>
        </w:rPr>
        <w:t xml:space="preserve"> i małych przedsiębiorców oraz przedsiębiorców nieświadczących w danym roku usług pocztowych, a</w:t>
      </w:r>
      <w:r w:rsidR="00164EA2">
        <w:t xml:space="preserve"> </w:t>
      </w:r>
      <w:r w:rsidRPr="00DB408D">
        <w:rPr>
          <w:rFonts w:ascii="Times New Roman" w:hAnsi="Times New Roman" w:cs="Times New Roman"/>
          <w:szCs w:val="24"/>
        </w:rPr>
        <w:t>wpisanych do Rejestru operatorów pocztowych prowadzonego przez Prezesa UKE</w:t>
      </w:r>
      <w:r w:rsidR="008604A8">
        <w:t>;</w:t>
      </w:r>
    </w:p>
    <w:p w14:paraId="4BA45E40" w14:textId="77777777" w:rsidR="00677F39" w:rsidRPr="00DB408D" w:rsidRDefault="00925AB1" w:rsidP="00185437">
      <w:pPr>
        <w:pStyle w:val="NIEARTTEKSTtekstnieartykuowanynppodstprawnarozplubpreambu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ponoszenia przez operatorów pocztowych wysokich kosztów związanych z obowiązkiem magazynowania przesyłek niedoręczalnych przez okres 12 miesięcy.</w:t>
      </w:r>
    </w:p>
    <w:p w14:paraId="7BC08939" w14:textId="606B4F07" w:rsidR="00677F39" w:rsidRPr="00DB408D" w:rsidRDefault="00925AB1" w:rsidP="00185437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Uwzględniając powyższe postulaty</w:t>
      </w:r>
      <w:r w:rsidR="00164EA2">
        <w:t>,</w:t>
      </w:r>
      <w:r w:rsidRPr="00DB408D">
        <w:rPr>
          <w:rFonts w:ascii="Times New Roman" w:hAnsi="Times New Roman" w:cs="Times New Roman"/>
          <w:szCs w:val="24"/>
        </w:rPr>
        <w:t xml:space="preserve"> proponowana zmiana ustawy z dnia 23 listopada 2012</w:t>
      </w:r>
      <w:r w:rsidR="00164EA2">
        <w:t> </w:t>
      </w:r>
      <w:r w:rsidRPr="00DB408D">
        <w:rPr>
          <w:rFonts w:ascii="Times New Roman" w:hAnsi="Times New Roman" w:cs="Times New Roman"/>
          <w:szCs w:val="24"/>
        </w:rPr>
        <w:t>r. – Prawo pocztowe (Dz. U. z 2025 r. poz. 366</w:t>
      </w:r>
      <w:r w:rsidR="00164EA2">
        <w:t>, z późn. zm.</w:t>
      </w:r>
      <w:r w:rsidRPr="00DB408D">
        <w:rPr>
          <w:rFonts w:ascii="Times New Roman" w:hAnsi="Times New Roman" w:cs="Times New Roman"/>
          <w:szCs w:val="24"/>
        </w:rPr>
        <w:t>) (dalej: „ustawa – Prawo pocztowe”) ma na celu:</w:t>
      </w:r>
    </w:p>
    <w:p w14:paraId="245D56F4" w14:textId="23EEDC66" w:rsidR="00677F39" w:rsidRPr="00DB408D" w:rsidRDefault="00925AB1" w:rsidP="00185437">
      <w:pPr>
        <w:pStyle w:val="NIEARTTEKSTtekstnieartykuowanynppodstprawnarozplubpreambua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uproszczenie sprawozdawczości operatorów pocztowych wobec Prezesa UKE, przez: rezygnację z umieszczania w sprawozdaniach nadmiarowych lub zdublowanych danych, wyłączenie z</w:t>
      </w:r>
      <w:r w:rsidR="00164EA2">
        <w:t xml:space="preserve"> </w:t>
      </w:r>
      <w:r w:rsidRPr="00DB408D">
        <w:rPr>
          <w:rFonts w:ascii="Times New Roman" w:hAnsi="Times New Roman" w:cs="Times New Roman"/>
          <w:szCs w:val="24"/>
        </w:rPr>
        <w:t>obowiązku sprawozdawczego mikro</w:t>
      </w:r>
      <w:r w:rsidR="00164EA2">
        <w:t>-</w:t>
      </w:r>
      <w:r w:rsidRPr="00DB408D">
        <w:rPr>
          <w:rFonts w:ascii="Times New Roman" w:hAnsi="Times New Roman" w:cs="Times New Roman"/>
          <w:szCs w:val="24"/>
        </w:rPr>
        <w:t xml:space="preserve"> i małych operatorów pocztowych oraz operatorów, którzy w</w:t>
      </w:r>
      <w:r w:rsidR="00164EA2">
        <w:t xml:space="preserve"> </w:t>
      </w:r>
      <w:r w:rsidRPr="00DB408D">
        <w:rPr>
          <w:rFonts w:ascii="Times New Roman" w:hAnsi="Times New Roman" w:cs="Times New Roman"/>
          <w:szCs w:val="24"/>
        </w:rPr>
        <w:t>danym roku nie świadczyli usług pocztowych, oraz zmianę formy składania sprawozdań z papierowej na elektroniczną. Proponowane zmiany oznaczają ułatwienie prowadzenia działalności gospodarczej dla wszystkich operatorów pocztowych oraz zniesienie obowiązku sporządzania sprawozdań dla około 80% podmiotów wpisanych do rejestru operatorów pocztowych prowadzonego przez Prezesa UKE (wg stanu na dzień 31</w:t>
      </w:r>
      <w:r w:rsidR="00164EA2">
        <w:t xml:space="preserve"> </w:t>
      </w:r>
      <w:r w:rsidRPr="00DB408D">
        <w:rPr>
          <w:rFonts w:ascii="Times New Roman" w:hAnsi="Times New Roman" w:cs="Times New Roman"/>
          <w:szCs w:val="24"/>
        </w:rPr>
        <w:t>grudnia 2024 r. do ww. rejestru wpisanych było 261 operatorów, z czego w 2024 r. jedynie 98 wykonywało usługi pocztowe (źródło: Raport Prezesa UKE o stanie rynku pocztowego za rok 2024)).</w:t>
      </w:r>
    </w:p>
    <w:p w14:paraId="2BDDA33C" w14:textId="0CF41C99" w:rsidR="00677F39" w:rsidRPr="00DB408D" w:rsidRDefault="00925AB1" w:rsidP="00185437">
      <w:pPr>
        <w:pStyle w:val="ARTartustawynprozporzdzenia"/>
        <w:numPr>
          <w:ilvl w:val="0"/>
          <w:numId w:val="9"/>
        </w:numPr>
        <w:rPr>
          <w:rFonts w:ascii="Times New Roman" w:hAnsi="Times New Roman" w:cs="Times New Roman"/>
          <w:bCs/>
          <w:szCs w:val="24"/>
        </w:rPr>
      </w:pPr>
      <w:r w:rsidRPr="00DB408D">
        <w:rPr>
          <w:rFonts w:ascii="Times New Roman" w:hAnsi="Times New Roman" w:cs="Times New Roman"/>
          <w:bCs/>
          <w:szCs w:val="24"/>
        </w:rPr>
        <w:t>optymalizację kosztów ponoszonych przez operatorów pocztowych w związku z obowiązkiem przechowywania przesyłek niedoręczalnych przez skrócenie terminu obowiązku ich przechowywania z 12 na 6 miesięcy.</w:t>
      </w:r>
    </w:p>
    <w:p w14:paraId="70CC1168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b/>
          <w:szCs w:val="24"/>
        </w:rPr>
      </w:pPr>
      <w:r w:rsidRPr="00DB408D">
        <w:rPr>
          <w:rFonts w:ascii="Times New Roman" w:hAnsi="Times New Roman" w:cs="Times New Roman"/>
          <w:b/>
          <w:szCs w:val="24"/>
        </w:rPr>
        <w:t>Projektowane zmiany</w:t>
      </w:r>
    </w:p>
    <w:p w14:paraId="5FC4B01A" w14:textId="576CC42A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bCs w:val="0"/>
          <w:szCs w:val="24"/>
        </w:rPr>
      </w:pPr>
      <w:r w:rsidRPr="00DB408D">
        <w:rPr>
          <w:rFonts w:ascii="Times New Roman" w:hAnsi="Times New Roman" w:cs="Times New Roman"/>
          <w:bCs w:val="0"/>
          <w:szCs w:val="24"/>
        </w:rPr>
        <w:t xml:space="preserve">W art. 1 pkt 1 wprowadza się zmianę do art. 11 pkt 2 lit. e ustawy – Prawo pocztowe wynikającą z wprowadzenia w art. 43 ust. 5b możliwości złożenia przez operatora pocztowego </w:t>
      </w:r>
      <w:r w:rsidRPr="00DB408D">
        <w:rPr>
          <w:rFonts w:ascii="Times New Roman" w:hAnsi="Times New Roman" w:cs="Times New Roman"/>
          <w:bCs w:val="0"/>
          <w:szCs w:val="24"/>
        </w:rPr>
        <w:lastRenderedPageBreak/>
        <w:t>oświadczenia o</w:t>
      </w:r>
      <w:r w:rsidR="008604A8">
        <w:t xml:space="preserve"> </w:t>
      </w:r>
      <w:r w:rsidRPr="00DB408D">
        <w:rPr>
          <w:rFonts w:ascii="Times New Roman" w:hAnsi="Times New Roman" w:cs="Times New Roman"/>
          <w:bCs w:val="0"/>
          <w:szCs w:val="24"/>
        </w:rPr>
        <w:t>niepodleganiu obowiązkowi przedłożenia sprawozdania z działalności pocztowej w poprzednim roku. Zmiana ta ma charakter dostosowujący</w:t>
      </w:r>
      <w:r w:rsidR="00235DEB" w:rsidRPr="00DB408D">
        <w:rPr>
          <w:rFonts w:ascii="Times New Roman" w:hAnsi="Times New Roman" w:cs="Times New Roman"/>
          <w:bCs w:val="0"/>
          <w:szCs w:val="24"/>
        </w:rPr>
        <w:t xml:space="preserve"> i</w:t>
      </w:r>
      <w:r w:rsidR="00BC0B2E" w:rsidRPr="00DB408D">
        <w:rPr>
          <w:rFonts w:ascii="Times New Roman" w:hAnsi="Times New Roman" w:cs="Times New Roman"/>
          <w:bCs w:val="0"/>
          <w:szCs w:val="24"/>
        </w:rPr>
        <w:t xml:space="preserve"> nie występuje konieczność wprowadzenia przepisów przejściowych. W obecnym stanie prawnym na podstawie art. 11 pkt 2 lit</w:t>
      </w:r>
      <w:r w:rsidR="008604A8">
        <w:t>.</w:t>
      </w:r>
      <w:r w:rsidR="00BC0B2E" w:rsidRPr="00DB408D">
        <w:rPr>
          <w:rFonts w:ascii="Times New Roman" w:hAnsi="Times New Roman" w:cs="Times New Roman"/>
          <w:bCs w:val="0"/>
          <w:szCs w:val="24"/>
        </w:rPr>
        <w:t xml:space="preserve"> e ustawy</w:t>
      </w:r>
      <w:r w:rsidR="00235DEB" w:rsidRPr="00DB408D">
        <w:rPr>
          <w:rFonts w:ascii="Times New Roman" w:hAnsi="Times New Roman" w:cs="Times New Roman"/>
          <w:bCs w:val="0"/>
          <w:szCs w:val="24"/>
        </w:rPr>
        <w:t xml:space="preserve"> – Prawo pocztowe</w:t>
      </w:r>
      <w:r w:rsidR="00BC0B2E" w:rsidRPr="00DB408D">
        <w:rPr>
          <w:rFonts w:ascii="Times New Roman" w:hAnsi="Times New Roman" w:cs="Times New Roman"/>
          <w:bCs w:val="0"/>
          <w:szCs w:val="24"/>
        </w:rPr>
        <w:t xml:space="preserve"> operatorzy pocztowi mają obowiązek informacyjny wobec Prezesa UKE, a jego dwukrotne niezrealizowanie skutkuje wykreśleniem ich z Rejestru operatorów pocztowych.</w:t>
      </w:r>
    </w:p>
    <w:p w14:paraId="17A4AFE3" w14:textId="7942BBC6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 xml:space="preserve">W art. 1 pkt 2 </w:t>
      </w:r>
      <w:r w:rsidRPr="00DB408D">
        <w:rPr>
          <w:rFonts w:ascii="Times New Roman" w:hAnsi="Times New Roman" w:cs="Times New Roman"/>
          <w:bCs w:val="0"/>
          <w:szCs w:val="24"/>
        </w:rPr>
        <w:t>wprowadza</w:t>
      </w:r>
      <w:r w:rsidRPr="00DB408D">
        <w:rPr>
          <w:rFonts w:ascii="Times New Roman" w:hAnsi="Times New Roman" w:cs="Times New Roman"/>
          <w:szCs w:val="24"/>
        </w:rPr>
        <w:t xml:space="preserve"> się zmianę do art. 33 ust. 9 pkt 2 ustawy – Prawo pocztowe skracającą termin przechowywania przez operatorów pocztowych przesyłek niedoręczalnych. Zgodnie z art. 33 ust. 9 pkt</w:t>
      </w:r>
      <w:r w:rsidR="008604A8">
        <w:t xml:space="preserve"> </w:t>
      </w:r>
      <w:r w:rsidRPr="00DB408D">
        <w:rPr>
          <w:rFonts w:ascii="Times New Roman" w:hAnsi="Times New Roman" w:cs="Times New Roman"/>
          <w:szCs w:val="24"/>
        </w:rPr>
        <w:t>2 ustawy zmienianej</w:t>
      </w:r>
      <w:r w:rsidR="008604A8">
        <w:t>,</w:t>
      </w:r>
      <w:r w:rsidRPr="00DB408D">
        <w:rPr>
          <w:rFonts w:ascii="Times New Roman" w:hAnsi="Times New Roman" w:cs="Times New Roman"/>
          <w:szCs w:val="24"/>
        </w:rPr>
        <w:t xml:space="preserve"> w przypadku gdy otwarcie przesyłki niedoręczalnej nie umożliwi jej doręczenia lub zwrócenia do nadawcy albo gdy nadawca odmówi przyjęcia zwróconej przesyłki, zawartość inna niż korespondencja stanowiąca przesyłkę i jej opakowanie podlega zniszczeniu przez operatora pocztowego w sposób uniemożliwiający odtworzenie informacji zawartej w przesyłce i na jej opakowaniu, nie wcześniej niż po upływie 12 miesięcy od dnia otwarcia przesyłki. Termin 12 miesięcy na przechowywanie przesyłek niedoręczalnych został uznany przez stronę społeczną za zbyt długi i generujący po stronie operatorów pocztowych nieuzasadnione koszty operacyjne, co może przekładać się na ceny realizowanych usług. W związku z tym, w celu zmniejszenia obciążeń finansowych po stronie operatorów pocztowych, skraca się termin przechowywania przesyłek niedoręczalnych z 12 do 6 miesięcy. Zmiana ta, w ocenie projektodawcy, realnie wpłynie na zmniejszenie kosztów działalności pocztowej. Należy przy tym podkreślić, że z danych operatora wyznaczonego wynika, że proces reklamacyjny dotyczący przesyłek nadawanych w obrocie krajowym i zagranicznym w 2024 r. został zakończony – odpowiednio w 86,8% i w 99,7% w terminie do 6 miesięcy. Biorąc pod uwagę, że zgodnie z art. 88 ustawy – Prawo pocztowe z tytułu niewykonania lub nienależytego wykonania usługi pocztowej (w tym usługi powszechnej) stronie reklamującej przysługuje odszkodowanie, zmiana ta nie powinna ograniczać praw konsumentów.</w:t>
      </w:r>
    </w:p>
    <w:p w14:paraId="23FC5429" w14:textId="6C78164C" w:rsidR="00677F39" w:rsidRPr="00DB408D" w:rsidRDefault="00925AB1" w:rsidP="008604A8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W art. 1 pkt 3 lit. a</w:t>
      </w:r>
      <w:r w:rsidR="008604A8" w:rsidRPr="008604A8">
        <w:t xml:space="preserve">– </w:t>
      </w:r>
      <w:r w:rsidRPr="00DB408D">
        <w:rPr>
          <w:rFonts w:ascii="Times New Roman" w:hAnsi="Times New Roman" w:cs="Times New Roman"/>
          <w:szCs w:val="24"/>
        </w:rPr>
        <w:t xml:space="preserve">e wprowadza się zmiany w art. 43 ustawy – Prawo pocztowe, które dotyczą obowiązków sprawozdawczych operatorów pocztowych do Prezesa UKE. Zmiany te obejmują przede wszystkim rezygnację z obowiązku sprawozdawczego dla podmiotów, których roczne przychody osiągnięte ze sprzedaży usług pocztowych w poprzednim roku </w:t>
      </w:r>
      <w:r w:rsidR="00A71666" w:rsidRPr="00DB408D">
        <w:rPr>
          <w:rFonts w:ascii="Times New Roman" w:hAnsi="Times New Roman" w:cs="Times New Roman"/>
          <w:szCs w:val="24"/>
        </w:rPr>
        <w:t xml:space="preserve">kalendarzowym </w:t>
      </w:r>
      <w:r w:rsidRPr="00DB408D">
        <w:rPr>
          <w:rFonts w:ascii="Times New Roman" w:hAnsi="Times New Roman" w:cs="Times New Roman"/>
          <w:szCs w:val="24"/>
        </w:rPr>
        <w:t>wyniosły mniej niż 400</w:t>
      </w:r>
      <w:r w:rsidR="001D4844" w:rsidRPr="00DB408D">
        <w:rPr>
          <w:rFonts w:ascii="Times New Roman" w:hAnsi="Times New Roman" w:cs="Times New Roman"/>
          <w:szCs w:val="24"/>
        </w:rPr>
        <w:t> </w:t>
      </w:r>
      <w:r w:rsidRPr="00DB408D">
        <w:rPr>
          <w:rFonts w:ascii="Times New Roman" w:hAnsi="Times New Roman" w:cs="Times New Roman"/>
          <w:szCs w:val="24"/>
        </w:rPr>
        <w:t>tys. zł. Podmioty te mają jedynie obowiązek złożenia do Prezesa UKE oświadczenia o</w:t>
      </w:r>
      <w:r w:rsidR="008604A8">
        <w:t xml:space="preserve"> </w:t>
      </w:r>
      <w:r w:rsidRPr="00DB408D">
        <w:rPr>
          <w:rFonts w:ascii="Times New Roman" w:hAnsi="Times New Roman" w:cs="Times New Roman"/>
          <w:szCs w:val="24"/>
        </w:rPr>
        <w:t xml:space="preserve">niepodleganiu obowiązkowi przedkładania sprawozdania z działalności pocztowej w roku poprzednim. Uchylony zostaje też obowiązek przedstawiania w </w:t>
      </w:r>
      <w:r w:rsidRPr="00DB408D">
        <w:rPr>
          <w:rFonts w:ascii="Times New Roman" w:hAnsi="Times New Roman" w:cs="Times New Roman"/>
          <w:szCs w:val="24"/>
        </w:rPr>
        <w:lastRenderedPageBreak/>
        <w:t>sprawozdaniu informacji o okresie wykonywania działalności pocztowej oraz o formie prawnej przedsiębiorcy i jego danych teleadresowych, a także obowiązek przedstawiania aktualnego wykazu adresów placówek pocztowych w podziale na jednostki organizacyjne operatora pocztowego i inne wyodrębnione i oznaczone przez niego miejsca, w których można zawrzeć umowę o świadczenie usługi pocztowej lub odebrać przesyłkę pocztową</w:t>
      </w:r>
      <w:r w:rsidR="008604A8" w:rsidRPr="00532CD3">
        <w:t>,</w:t>
      </w:r>
      <w:r w:rsidRPr="00DB408D">
        <w:rPr>
          <w:rFonts w:ascii="Times New Roman" w:hAnsi="Times New Roman" w:cs="Times New Roman"/>
          <w:szCs w:val="24"/>
        </w:rPr>
        <w:t xml:space="preserve"> lub kwotę pieniężną określoną w przekazie pocztowym</w:t>
      </w:r>
      <w:r w:rsidR="00AE1A84" w:rsidRPr="00532CD3">
        <w:t>,</w:t>
      </w:r>
      <w:r w:rsidRPr="00DB408D">
        <w:rPr>
          <w:rFonts w:ascii="Times New Roman" w:hAnsi="Times New Roman" w:cs="Times New Roman"/>
          <w:szCs w:val="24"/>
        </w:rPr>
        <w:t xml:space="preserve"> oraz jednostki organizacyjne agentów pocztowych. Wyeliminowany zostaje również nadmiarowy obowiązek sprawozdawczy dla operatorów pocztowych, którzy w danym roku nie świadczyli usług pocztowych, a byli wpisani do rejestru operatów pocztowych. Termin złożenia sprawozdania albo oświadczeń, o których mowa w ust.</w:t>
      </w:r>
      <w:r w:rsidR="00AE1A84">
        <w:t> </w:t>
      </w:r>
      <w:r w:rsidRPr="00DB408D">
        <w:rPr>
          <w:rFonts w:ascii="Times New Roman" w:hAnsi="Times New Roman" w:cs="Times New Roman"/>
          <w:szCs w:val="24"/>
        </w:rPr>
        <w:t>1, 5a i 5b</w:t>
      </w:r>
      <w:r w:rsidR="00532CD3">
        <w:t>,</w:t>
      </w:r>
      <w:r w:rsidRPr="00DB408D">
        <w:rPr>
          <w:rFonts w:ascii="Times New Roman" w:hAnsi="Times New Roman" w:cs="Times New Roman"/>
          <w:szCs w:val="24"/>
        </w:rPr>
        <w:t xml:space="preserve"> zostaje wyznaczony do dnia 31 marca każdego roku. Dodatkowo dla uproszczenia procesu sprawozdawczego oraz późniejszego przetwarzania otrzymanych danych przez Prezesa UKE wprowadza się elektroniczną formę sprawozdawania oraz przekazywania oświadczeń w miejsce dotychczasowej formy papierowej.</w:t>
      </w:r>
    </w:p>
    <w:p w14:paraId="22356151" w14:textId="49FFCB40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W</w:t>
      </w:r>
      <w:r w:rsidR="00AE1A84">
        <w:t xml:space="preserve"> </w:t>
      </w:r>
      <w:r w:rsidRPr="00DB408D">
        <w:rPr>
          <w:rFonts w:ascii="Times New Roman" w:hAnsi="Times New Roman" w:cs="Times New Roman"/>
          <w:szCs w:val="24"/>
        </w:rPr>
        <w:t>związku z powyższymi zmianami proponuje się zmianę przepisu upoważniającego do wydania rozporządzenia przez ministra do spraw łączności, które zastąpi rozporządzenie Ministra Administracji i Cyfryzacji z dnia 26</w:t>
      </w:r>
      <w:r w:rsidR="00183C58">
        <w:t xml:space="preserve"> </w:t>
      </w:r>
      <w:r w:rsidRPr="00DB408D">
        <w:rPr>
          <w:rFonts w:ascii="Times New Roman" w:hAnsi="Times New Roman" w:cs="Times New Roman"/>
          <w:szCs w:val="24"/>
        </w:rPr>
        <w:t>listopada 2013 r. w sprawie wzoru formularza służącego do przedkładania Prezesowi Urzędu Komunikacji Elektronicznej sprawozdania z działalności pocztowej (Dz. U. poz. 1489), w celu uproszczenia sprawozdawania operatorom pocztowym i zmniejszenia liczby danych wymaganych do przedłożenia Prezesowi UKE. Określone zostan</w:t>
      </w:r>
      <w:r w:rsidR="00944C22" w:rsidRPr="00DB408D">
        <w:rPr>
          <w:rFonts w:ascii="Times New Roman" w:hAnsi="Times New Roman" w:cs="Times New Roman"/>
          <w:szCs w:val="24"/>
        </w:rPr>
        <w:t>ą</w:t>
      </w:r>
      <w:r w:rsidRPr="00DB408D">
        <w:rPr>
          <w:rFonts w:ascii="Times New Roman" w:hAnsi="Times New Roman" w:cs="Times New Roman"/>
          <w:szCs w:val="24"/>
        </w:rPr>
        <w:t xml:space="preserve"> również</w:t>
      </w:r>
      <w:r w:rsidR="00944C22" w:rsidRPr="00DB408D">
        <w:rPr>
          <w:rFonts w:ascii="Times New Roman" w:hAnsi="Times New Roman" w:cs="Times New Roman"/>
          <w:szCs w:val="24"/>
        </w:rPr>
        <w:t xml:space="preserve"> wzory</w:t>
      </w:r>
      <w:r w:rsidRPr="00DB408D">
        <w:rPr>
          <w:rFonts w:ascii="Times New Roman" w:hAnsi="Times New Roman" w:cs="Times New Roman"/>
          <w:szCs w:val="24"/>
        </w:rPr>
        <w:t xml:space="preserve"> oświadcze</w:t>
      </w:r>
      <w:r w:rsidR="00944C22" w:rsidRPr="00DB408D">
        <w:rPr>
          <w:rFonts w:ascii="Times New Roman" w:hAnsi="Times New Roman" w:cs="Times New Roman"/>
          <w:szCs w:val="24"/>
        </w:rPr>
        <w:t>ń</w:t>
      </w:r>
      <w:r w:rsidRPr="00DB408D">
        <w:rPr>
          <w:rFonts w:ascii="Times New Roman" w:hAnsi="Times New Roman" w:cs="Times New Roman"/>
          <w:szCs w:val="24"/>
        </w:rPr>
        <w:t xml:space="preserve"> o niepodleganiu obowiązkowi sprawozdawczemu </w:t>
      </w:r>
      <w:bookmarkStart w:id="0" w:name="_Hlk201572169"/>
      <w:r w:rsidRPr="00DB408D">
        <w:rPr>
          <w:rFonts w:ascii="Times New Roman" w:hAnsi="Times New Roman" w:cs="Times New Roman"/>
          <w:szCs w:val="24"/>
        </w:rPr>
        <w:t>z uwagi na nieprowadzenie w poprzednim roku działalności pocztowe</w:t>
      </w:r>
      <w:r w:rsidR="00944C22" w:rsidRPr="00DB408D">
        <w:rPr>
          <w:rFonts w:ascii="Times New Roman" w:hAnsi="Times New Roman" w:cs="Times New Roman"/>
          <w:szCs w:val="24"/>
        </w:rPr>
        <w:t xml:space="preserve">j, a także </w:t>
      </w:r>
      <w:bookmarkEnd w:id="0"/>
      <w:r w:rsidR="001D4844" w:rsidRPr="00DB408D">
        <w:rPr>
          <w:rFonts w:ascii="Times New Roman" w:hAnsi="Times New Roman" w:cs="Times New Roman"/>
          <w:szCs w:val="24"/>
        </w:rPr>
        <w:t>o</w:t>
      </w:r>
      <w:r w:rsidRPr="00DB408D">
        <w:rPr>
          <w:rFonts w:ascii="Times New Roman" w:hAnsi="Times New Roman" w:cs="Times New Roman"/>
          <w:szCs w:val="24"/>
        </w:rPr>
        <w:t xml:space="preserve"> nieosiągnięci</w:t>
      </w:r>
      <w:r w:rsidR="001D4844" w:rsidRPr="00DB408D">
        <w:rPr>
          <w:rFonts w:ascii="Times New Roman" w:hAnsi="Times New Roman" w:cs="Times New Roman"/>
          <w:szCs w:val="24"/>
        </w:rPr>
        <w:t>u</w:t>
      </w:r>
      <w:r w:rsidRPr="00DB408D">
        <w:rPr>
          <w:rFonts w:ascii="Times New Roman" w:hAnsi="Times New Roman" w:cs="Times New Roman"/>
          <w:szCs w:val="24"/>
        </w:rPr>
        <w:t xml:space="preserve"> w danym roku progu 400 tys. zł przychodów z tytułu wykonywania działalności pocztowej.</w:t>
      </w:r>
    </w:p>
    <w:p w14:paraId="4EA64AB6" w14:textId="688F84E8" w:rsidR="00235DEB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Art. 2 projektowanej ustawy zawiera regulację przejściow</w:t>
      </w:r>
      <w:r w:rsidR="00E0099E" w:rsidRPr="00DB408D">
        <w:rPr>
          <w:rFonts w:ascii="Times New Roman" w:hAnsi="Times New Roman" w:cs="Times New Roman"/>
          <w:szCs w:val="24"/>
        </w:rPr>
        <w:t>ą</w:t>
      </w:r>
      <w:r w:rsidR="004A2525" w:rsidRPr="00DB408D">
        <w:rPr>
          <w:rFonts w:ascii="Times New Roman" w:hAnsi="Times New Roman" w:cs="Times New Roman"/>
          <w:szCs w:val="24"/>
        </w:rPr>
        <w:t xml:space="preserve"> dotycząc</w:t>
      </w:r>
      <w:r w:rsidR="00E0099E" w:rsidRPr="00DB408D">
        <w:rPr>
          <w:rFonts w:ascii="Times New Roman" w:hAnsi="Times New Roman" w:cs="Times New Roman"/>
          <w:szCs w:val="24"/>
        </w:rPr>
        <w:t>ą</w:t>
      </w:r>
      <w:r w:rsidR="004A2525" w:rsidRPr="00DB408D">
        <w:rPr>
          <w:rFonts w:ascii="Times New Roman" w:hAnsi="Times New Roman" w:cs="Times New Roman"/>
          <w:szCs w:val="24"/>
        </w:rPr>
        <w:t xml:space="preserve"> zasad stosowania przepisów ustawy. Na mocy </w:t>
      </w:r>
      <w:r w:rsidR="00E0099E" w:rsidRPr="00DB408D">
        <w:rPr>
          <w:rFonts w:ascii="Times New Roman" w:hAnsi="Times New Roman" w:cs="Times New Roman"/>
          <w:szCs w:val="24"/>
        </w:rPr>
        <w:t>tego przepisu</w:t>
      </w:r>
      <w:r w:rsidRPr="00DB408D">
        <w:rPr>
          <w:rFonts w:ascii="Times New Roman" w:hAnsi="Times New Roman" w:cs="Times New Roman"/>
          <w:szCs w:val="24"/>
        </w:rPr>
        <w:t xml:space="preserve"> do przesyłek, które </w:t>
      </w:r>
      <w:r w:rsidR="009C6A73" w:rsidRPr="00DB408D">
        <w:rPr>
          <w:rFonts w:ascii="Times New Roman" w:hAnsi="Times New Roman" w:cs="Times New Roman"/>
          <w:szCs w:val="24"/>
        </w:rPr>
        <w:t>przed wejściem w życie niniejszej ustawy zostały otwarte zgodnie z zasadami otwierania przesyłek pocztowych wynikających art. 33 ust. 1–7 ustawy – Prawo pocztowe, jeżeli otwarcie przesyłki nie umożliwiło jej doręczenia albo zwrócenia nadawcy albo gdy nadawca odmówił przyjęcia zwróconej przesyłki, stosuje się przepisy dotychczasowe.</w:t>
      </w:r>
      <w:r w:rsidR="004A2525" w:rsidRPr="00DB408D">
        <w:rPr>
          <w:rFonts w:ascii="Times New Roman" w:hAnsi="Times New Roman" w:cs="Times New Roman"/>
          <w:szCs w:val="24"/>
        </w:rPr>
        <w:t xml:space="preserve"> </w:t>
      </w:r>
      <w:r w:rsidR="001E31AD" w:rsidRPr="00DB408D">
        <w:rPr>
          <w:rFonts w:ascii="Times New Roman" w:hAnsi="Times New Roman" w:cs="Times New Roman"/>
          <w:szCs w:val="24"/>
        </w:rPr>
        <w:t>Regulacja ta jest konieczna ze względu na skrócenie okresu przechowywania przesyłek niedoręczalnych prz</w:t>
      </w:r>
      <w:r w:rsidR="00F1157D" w:rsidRPr="00DB408D">
        <w:rPr>
          <w:rFonts w:ascii="Times New Roman" w:hAnsi="Times New Roman" w:cs="Times New Roman"/>
          <w:szCs w:val="24"/>
        </w:rPr>
        <w:t>ez operatorów pocztowych</w:t>
      </w:r>
      <w:r w:rsidR="001E31AD" w:rsidRPr="00DB408D">
        <w:rPr>
          <w:rFonts w:ascii="Times New Roman" w:hAnsi="Times New Roman" w:cs="Times New Roman"/>
          <w:szCs w:val="24"/>
        </w:rPr>
        <w:t xml:space="preserve"> z 12 do 6 miesięcy</w:t>
      </w:r>
      <w:r w:rsidR="00235DEB" w:rsidRPr="00DB408D">
        <w:rPr>
          <w:rFonts w:ascii="Times New Roman" w:hAnsi="Times New Roman" w:cs="Times New Roman"/>
          <w:szCs w:val="24"/>
        </w:rPr>
        <w:t xml:space="preserve">. Regulacja ma </w:t>
      </w:r>
      <w:r w:rsidR="001E31AD" w:rsidRPr="00DB408D">
        <w:rPr>
          <w:rFonts w:ascii="Times New Roman" w:hAnsi="Times New Roman" w:cs="Times New Roman"/>
          <w:szCs w:val="24"/>
        </w:rPr>
        <w:t>zapewnić zarówno nadawcy</w:t>
      </w:r>
      <w:r w:rsidR="00183C58">
        <w:t>,</w:t>
      </w:r>
      <w:r w:rsidR="001E31AD" w:rsidRPr="00DB408D">
        <w:rPr>
          <w:rFonts w:ascii="Times New Roman" w:hAnsi="Times New Roman" w:cs="Times New Roman"/>
          <w:szCs w:val="24"/>
        </w:rPr>
        <w:t xml:space="preserve"> jak i adresatowi przesyłki </w:t>
      </w:r>
      <w:r w:rsidR="00F1157D" w:rsidRPr="00DB408D">
        <w:rPr>
          <w:rFonts w:ascii="Times New Roman" w:hAnsi="Times New Roman" w:cs="Times New Roman"/>
          <w:szCs w:val="24"/>
        </w:rPr>
        <w:t xml:space="preserve">dłuższy termin – określony obecnie obowiązującymi przepisami </w:t>
      </w:r>
      <w:r w:rsidR="00235DEB" w:rsidRPr="00DB408D">
        <w:rPr>
          <w:rFonts w:ascii="Times New Roman" w:hAnsi="Times New Roman" w:cs="Times New Roman"/>
          <w:szCs w:val="24"/>
        </w:rPr>
        <w:t>–</w:t>
      </w:r>
      <w:r w:rsidR="00F1157D" w:rsidRPr="00DB408D">
        <w:rPr>
          <w:rFonts w:ascii="Times New Roman" w:hAnsi="Times New Roman" w:cs="Times New Roman"/>
          <w:szCs w:val="24"/>
        </w:rPr>
        <w:t xml:space="preserve"> na zgłoszenie się do operatora w celu jej odebrania.</w:t>
      </w:r>
    </w:p>
    <w:p w14:paraId="4AF4833F" w14:textId="64EAB1E3" w:rsidR="004A2525" w:rsidRPr="00DB408D" w:rsidRDefault="00104184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lastRenderedPageBreak/>
        <w:t>W</w:t>
      </w:r>
      <w:r w:rsidR="001E31AD" w:rsidRPr="00DB408D">
        <w:rPr>
          <w:rFonts w:ascii="Times New Roman" w:hAnsi="Times New Roman" w:cs="Times New Roman"/>
          <w:szCs w:val="24"/>
        </w:rPr>
        <w:t xml:space="preserve"> art. 3</w:t>
      </w:r>
      <w:r w:rsidR="004A2525" w:rsidRPr="00DB408D">
        <w:rPr>
          <w:rFonts w:ascii="Times New Roman" w:hAnsi="Times New Roman" w:cs="Times New Roman"/>
          <w:szCs w:val="24"/>
        </w:rPr>
        <w:t xml:space="preserve"> wprowadza się</w:t>
      </w:r>
      <w:r w:rsidR="00391F1F" w:rsidRPr="00DB408D">
        <w:rPr>
          <w:rFonts w:ascii="Times New Roman" w:hAnsi="Times New Roman" w:cs="Times New Roman"/>
          <w:szCs w:val="24"/>
        </w:rPr>
        <w:t xml:space="preserve"> regulację</w:t>
      </w:r>
      <w:r w:rsidRPr="00DB408D">
        <w:rPr>
          <w:rFonts w:ascii="Times New Roman" w:hAnsi="Times New Roman" w:cs="Times New Roman"/>
          <w:szCs w:val="24"/>
        </w:rPr>
        <w:t>, która stanowi</w:t>
      </w:r>
      <w:r w:rsidR="004A2525" w:rsidRPr="00DB408D">
        <w:rPr>
          <w:rFonts w:ascii="Times New Roman" w:hAnsi="Times New Roman" w:cs="Times New Roman"/>
          <w:szCs w:val="24"/>
        </w:rPr>
        <w:t xml:space="preserve">, że zmiany </w:t>
      </w:r>
      <w:r w:rsidR="003F17D6" w:rsidRPr="00DB408D">
        <w:rPr>
          <w:rFonts w:ascii="Times New Roman" w:hAnsi="Times New Roman" w:cs="Times New Roman"/>
          <w:szCs w:val="24"/>
        </w:rPr>
        <w:t xml:space="preserve">wynikające z art. 1 niniejszej ustawy </w:t>
      </w:r>
      <w:r w:rsidR="004A2525" w:rsidRPr="00DB408D">
        <w:rPr>
          <w:rFonts w:ascii="Times New Roman" w:hAnsi="Times New Roman" w:cs="Times New Roman"/>
          <w:szCs w:val="24"/>
        </w:rPr>
        <w:t xml:space="preserve">dotyczące sprawozdawczości oraz składania oświadczeń stosuje się po raz pierwszy do wypełniania obowiązku informacyjnego, o którym mowa w art. 43 ust. 1 i 5–5b ustawy </w:t>
      </w:r>
      <w:r w:rsidR="003F17D6" w:rsidRPr="00DB408D">
        <w:rPr>
          <w:rFonts w:ascii="Times New Roman" w:hAnsi="Times New Roman" w:cs="Times New Roman"/>
          <w:szCs w:val="24"/>
        </w:rPr>
        <w:t>– Prawo pocztowe</w:t>
      </w:r>
      <w:r w:rsidR="004A2525" w:rsidRPr="00DB408D">
        <w:rPr>
          <w:rFonts w:ascii="Times New Roman" w:hAnsi="Times New Roman" w:cs="Times New Roman"/>
          <w:szCs w:val="24"/>
        </w:rPr>
        <w:t>, za rok 2025.</w:t>
      </w:r>
      <w:r w:rsidRPr="00DB408D">
        <w:rPr>
          <w:rFonts w:ascii="Times New Roman" w:hAnsi="Times New Roman" w:cs="Times New Roman"/>
          <w:szCs w:val="24"/>
        </w:rPr>
        <w:t xml:space="preserve"> </w:t>
      </w:r>
      <w:r w:rsidR="001E31AD" w:rsidRPr="00DB408D">
        <w:rPr>
          <w:rFonts w:ascii="Times New Roman" w:hAnsi="Times New Roman" w:cs="Times New Roman"/>
          <w:szCs w:val="24"/>
        </w:rPr>
        <w:t>P</w:t>
      </w:r>
      <w:r w:rsidR="00F1157D" w:rsidRPr="00DB408D">
        <w:rPr>
          <w:rFonts w:ascii="Times New Roman" w:hAnsi="Times New Roman" w:cs="Times New Roman"/>
          <w:szCs w:val="24"/>
        </w:rPr>
        <w:t>roponowana</w:t>
      </w:r>
      <w:r w:rsidR="001E31AD" w:rsidRPr="00DB408D">
        <w:rPr>
          <w:rFonts w:ascii="Times New Roman" w:hAnsi="Times New Roman" w:cs="Times New Roman"/>
          <w:szCs w:val="24"/>
        </w:rPr>
        <w:t xml:space="preserve"> regulacja jest konieczna ze względu na fakt, że wprowadzana</w:t>
      </w:r>
      <w:r w:rsidR="005C78D1" w:rsidRPr="00DB408D">
        <w:rPr>
          <w:rFonts w:ascii="Times New Roman" w:hAnsi="Times New Roman" w:cs="Times New Roman"/>
          <w:szCs w:val="24"/>
        </w:rPr>
        <w:t xml:space="preserve"> zmiana zakresu obowiązku sprawozdawczego </w:t>
      </w:r>
      <w:r w:rsidR="001E31AD" w:rsidRPr="00DB408D">
        <w:rPr>
          <w:rFonts w:ascii="Times New Roman" w:hAnsi="Times New Roman" w:cs="Times New Roman"/>
          <w:szCs w:val="24"/>
        </w:rPr>
        <w:t xml:space="preserve">ma wejść </w:t>
      </w:r>
      <w:r w:rsidR="005C78D1" w:rsidRPr="00DB408D">
        <w:rPr>
          <w:rFonts w:ascii="Times New Roman" w:hAnsi="Times New Roman" w:cs="Times New Roman"/>
          <w:szCs w:val="24"/>
        </w:rPr>
        <w:t>w życie przed terminem wykonania tego obowiązku (</w:t>
      </w:r>
      <w:r w:rsidR="001E31AD" w:rsidRPr="00DB408D">
        <w:rPr>
          <w:rFonts w:ascii="Times New Roman" w:hAnsi="Times New Roman" w:cs="Times New Roman"/>
          <w:szCs w:val="24"/>
        </w:rPr>
        <w:t xml:space="preserve">tj. przed dniem </w:t>
      </w:r>
      <w:r w:rsidR="005C78D1" w:rsidRPr="00DB408D">
        <w:rPr>
          <w:rFonts w:ascii="Times New Roman" w:hAnsi="Times New Roman" w:cs="Times New Roman"/>
          <w:szCs w:val="24"/>
        </w:rPr>
        <w:t>31 marca 2026</w:t>
      </w:r>
      <w:r w:rsidR="001E31AD" w:rsidRPr="00DB408D">
        <w:rPr>
          <w:rFonts w:ascii="Times New Roman" w:hAnsi="Times New Roman" w:cs="Times New Roman"/>
          <w:szCs w:val="24"/>
        </w:rPr>
        <w:t xml:space="preserve"> r.</w:t>
      </w:r>
      <w:r w:rsidR="005C78D1" w:rsidRPr="00DB408D">
        <w:rPr>
          <w:rFonts w:ascii="Times New Roman" w:hAnsi="Times New Roman" w:cs="Times New Roman"/>
          <w:szCs w:val="24"/>
        </w:rPr>
        <w:t>)</w:t>
      </w:r>
      <w:r w:rsidR="00183C58">
        <w:t>,</w:t>
      </w:r>
      <w:r w:rsidR="005C78D1" w:rsidRPr="00DB408D">
        <w:rPr>
          <w:rFonts w:ascii="Times New Roman" w:hAnsi="Times New Roman" w:cs="Times New Roman"/>
          <w:szCs w:val="24"/>
        </w:rPr>
        <w:t xml:space="preserve"> ale w trakcie okresu sprawozdawczego</w:t>
      </w:r>
      <w:r w:rsidR="001E31AD" w:rsidRPr="00DB408D">
        <w:rPr>
          <w:rFonts w:ascii="Times New Roman" w:hAnsi="Times New Roman" w:cs="Times New Roman"/>
          <w:szCs w:val="24"/>
        </w:rPr>
        <w:t>.</w:t>
      </w:r>
    </w:p>
    <w:p w14:paraId="215BEEEA" w14:textId="1AB74A1A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 xml:space="preserve">Art. </w:t>
      </w:r>
      <w:r w:rsidR="00E0099E" w:rsidRPr="00DB408D">
        <w:rPr>
          <w:rFonts w:ascii="Times New Roman" w:hAnsi="Times New Roman" w:cs="Times New Roman"/>
          <w:szCs w:val="24"/>
        </w:rPr>
        <w:t>4</w:t>
      </w:r>
      <w:r w:rsidRPr="00DB408D">
        <w:rPr>
          <w:rFonts w:ascii="Times New Roman" w:hAnsi="Times New Roman" w:cs="Times New Roman"/>
          <w:szCs w:val="24"/>
        </w:rPr>
        <w:t xml:space="preserve"> ustawy wskazuje, że dotychczasowe przepisy wykonawcze obowiązują do czasu wydania nowych przepisów</w:t>
      </w:r>
      <w:r w:rsidR="001D4844" w:rsidRPr="00DB408D">
        <w:rPr>
          <w:rFonts w:ascii="Times New Roman" w:hAnsi="Times New Roman" w:cs="Times New Roman"/>
          <w:szCs w:val="24"/>
        </w:rPr>
        <w:t>,</w:t>
      </w:r>
      <w:r w:rsidRPr="00DB408D">
        <w:rPr>
          <w:rFonts w:ascii="Times New Roman" w:hAnsi="Times New Roman" w:cs="Times New Roman"/>
          <w:szCs w:val="24"/>
        </w:rPr>
        <w:t xml:space="preserve"> nie dłużej jednak niż przez okres 3 miesiące od dnia wejścia ustawy w życie</w:t>
      </w:r>
      <w:r w:rsidR="0063293D">
        <w:t>,</w:t>
      </w:r>
      <w:r w:rsidRPr="00DB408D">
        <w:rPr>
          <w:rFonts w:ascii="Times New Roman" w:hAnsi="Times New Roman" w:cs="Times New Roman"/>
          <w:szCs w:val="24"/>
        </w:rPr>
        <w:t xml:space="preserve"> w celu zagwarantowania pewności prawnej operatorom pocztowym oraz prezesowi UKE.</w:t>
      </w:r>
    </w:p>
    <w:p w14:paraId="5EE9577B" w14:textId="77777777" w:rsidR="00677F39" w:rsidRPr="00DB408D" w:rsidRDefault="00925AB1" w:rsidP="00185437">
      <w:pPr>
        <w:pStyle w:val="NIEARTTEKSTtekstnieartykuowanynppodstprawnarozplubpreambua"/>
        <w:rPr>
          <w:rStyle w:val="Ppogrubienie"/>
          <w:rFonts w:ascii="Times New Roman" w:hAnsi="Times New Roman" w:cs="Times New Roman"/>
          <w:szCs w:val="24"/>
        </w:rPr>
      </w:pPr>
      <w:r w:rsidRPr="00DB408D">
        <w:rPr>
          <w:rStyle w:val="Ppogrubienie"/>
          <w:rFonts w:ascii="Times New Roman" w:hAnsi="Times New Roman" w:cs="Times New Roman"/>
          <w:szCs w:val="24"/>
        </w:rPr>
        <w:t>Termin wejścia w życie</w:t>
      </w:r>
    </w:p>
    <w:p w14:paraId="38CDE6AC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Proponowany termin wejścia w życie projektowanej ustawy, tj. 1 listopada 2025 r., pozwoli operatorom pocztowym na wdrożenie zmienionych przepisów dotyczących przechowywania niedoręczalnych przesyłek pocztowych, tj. dokonanie zmian regulaminów świadczenia usług pocztowych oraz umów o świadczenie usług pocztowych, o których mowa w art. 21 ustawy – Prawo pocztowe, oraz na przeprowadzenie akcji informujących klientów o zmianie przepisów dotyczących takich przesyłek.</w:t>
      </w:r>
    </w:p>
    <w:p w14:paraId="4E1717EB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Projekt ustawy nie wymaga zgłoszenia Komisji Europejskiej zamiaru przyznania lub zmiany pomocy w celu oceny, czy plan jest zgodny z przepisami art. 106 ust. 2 Traktatu o funkcjonowaniu Unii Europejskiej, dotyczącymi pomocy publicznej.</w:t>
      </w:r>
    </w:p>
    <w:p w14:paraId="25EA85BC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Zgodnie z art. 5 ustawy z dnia 7 lipca 2005 r. o działalności lobbingowej w procesie stanowienia prawa (Dz. U. z 2024 r. poz. 1535) projekt został udostępniony w Biuletynie Informacji Publicznej na stronie podmiotowej Rządowego Centrum Legislacji w serwisie Rządowy Proces Legislacyjny.</w:t>
      </w:r>
    </w:p>
    <w:p w14:paraId="31194E98" w14:textId="77777777" w:rsidR="00677F39" w:rsidRPr="00DB408D" w:rsidRDefault="00925AB1" w:rsidP="00185437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Projekt nie zawiera przepisów technicznych, a zatem nie podlega notyfikacji w trybie określonym w rozporządzeniu Rady Ministrów z dnia 23 grudnia 2002 r. w sprawie sposobu funkcjonowania krajowego systemu notyfikacji norm i aktów prawnych (Dz. U. poz. 2039, z. późn. zm.).</w:t>
      </w:r>
    </w:p>
    <w:p w14:paraId="577791D3" w14:textId="78EBA8E1" w:rsidR="00677F39" w:rsidRPr="00DB408D" w:rsidRDefault="00925AB1" w:rsidP="00185437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DB408D">
        <w:rPr>
          <w:rFonts w:ascii="Times New Roman" w:hAnsi="Times New Roman" w:cs="Times New Roman"/>
          <w:szCs w:val="24"/>
        </w:rPr>
        <w:t>Projekt ustawy nie jest sprzeczny z prawem Unii Europejskiej</w:t>
      </w:r>
      <w:r w:rsidR="00517873" w:rsidRPr="00DB408D">
        <w:rPr>
          <w:rFonts w:ascii="Times New Roman" w:hAnsi="Times New Roman" w:cs="Times New Roman"/>
          <w:szCs w:val="24"/>
        </w:rPr>
        <w:t>.</w:t>
      </w:r>
    </w:p>
    <w:sectPr w:rsidR="00677F39" w:rsidRPr="00DB408D" w:rsidSect="00DB408D">
      <w:footerReference w:type="default" r:id="rId9"/>
      <w:pgSz w:w="11906" w:h="16838"/>
      <w:pgMar w:top="1418" w:right="1418" w:bottom="1418" w:left="1418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9DE7" w14:textId="77777777" w:rsidR="004E2FE5" w:rsidRDefault="004E2FE5">
      <w:pPr>
        <w:spacing w:line="240" w:lineRule="auto"/>
      </w:pPr>
      <w:r>
        <w:separator/>
      </w:r>
    </w:p>
  </w:endnote>
  <w:endnote w:type="continuationSeparator" w:id="0">
    <w:p w14:paraId="4E04E190" w14:textId="77777777" w:rsidR="004E2FE5" w:rsidRDefault="004E2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08887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B0E8F20" w14:textId="2DC6151F" w:rsidR="006349EC" w:rsidRPr="006349EC" w:rsidRDefault="006349EC" w:rsidP="006349EC">
        <w:pPr>
          <w:pStyle w:val="Stopka"/>
          <w:jc w:val="center"/>
          <w:rPr>
            <w:rFonts w:ascii="Times New Roman" w:hAnsi="Times New Roman"/>
          </w:rPr>
        </w:pPr>
        <w:r w:rsidRPr="006349EC">
          <w:rPr>
            <w:rFonts w:ascii="Times New Roman" w:hAnsi="Times New Roman"/>
          </w:rPr>
          <w:fldChar w:fldCharType="begin"/>
        </w:r>
        <w:r w:rsidRPr="006349EC">
          <w:rPr>
            <w:rFonts w:ascii="Times New Roman" w:hAnsi="Times New Roman"/>
          </w:rPr>
          <w:instrText>PAGE   \* MERGEFORMAT</w:instrText>
        </w:r>
        <w:r w:rsidRPr="006349EC">
          <w:rPr>
            <w:rFonts w:ascii="Times New Roman" w:hAnsi="Times New Roman"/>
          </w:rPr>
          <w:fldChar w:fldCharType="separate"/>
        </w:r>
        <w:r w:rsidRPr="006349EC">
          <w:rPr>
            <w:rFonts w:ascii="Times New Roman" w:hAnsi="Times New Roman"/>
          </w:rPr>
          <w:t>2</w:t>
        </w:r>
        <w:r w:rsidRPr="006349E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6DA6" w14:textId="77777777" w:rsidR="004E2FE5" w:rsidRDefault="004E2FE5">
      <w:pPr>
        <w:spacing w:line="240" w:lineRule="auto"/>
      </w:pPr>
      <w:r>
        <w:separator/>
      </w:r>
    </w:p>
  </w:footnote>
  <w:footnote w:type="continuationSeparator" w:id="0">
    <w:p w14:paraId="29C81936" w14:textId="77777777" w:rsidR="004E2FE5" w:rsidRDefault="004E2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D8F"/>
    <w:multiLevelType w:val="hybridMultilevel"/>
    <w:tmpl w:val="17B031DC"/>
    <w:lvl w:ilvl="0" w:tplc="DD9C2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E31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107C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483A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4A4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DE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418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8AAE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4EDE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F0AA0"/>
    <w:multiLevelType w:val="hybridMultilevel"/>
    <w:tmpl w:val="6EBCBA32"/>
    <w:lvl w:ilvl="0" w:tplc="000C12D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8DA0D8A4" w:tentative="1">
      <w:start w:val="1"/>
      <w:numFmt w:val="lowerLetter"/>
      <w:lvlText w:val="%2."/>
      <w:lvlJc w:val="left"/>
      <w:pPr>
        <w:ind w:left="1590" w:hanging="360"/>
      </w:pPr>
    </w:lvl>
    <w:lvl w:ilvl="2" w:tplc="B5A04216" w:tentative="1">
      <w:start w:val="1"/>
      <w:numFmt w:val="lowerRoman"/>
      <w:lvlText w:val="%3."/>
      <w:lvlJc w:val="right"/>
      <w:pPr>
        <w:ind w:left="2310" w:hanging="180"/>
      </w:pPr>
    </w:lvl>
    <w:lvl w:ilvl="3" w:tplc="B9489026" w:tentative="1">
      <w:start w:val="1"/>
      <w:numFmt w:val="decimal"/>
      <w:lvlText w:val="%4."/>
      <w:lvlJc w:val="left"/>
      <w:pPr>
        <w:ind w:left="3030" w:hanging="360"/>
      </w:pPr>
    </w:lvl>
    <w:lvl w:ilvl="4" w:tplc="93CC8100" w:tentative="1">
      <w:start w:val="1"/>
      <w:numFmt w:val="lowerLetter"/>
      <w:lvlText w:val="%5."/>
      <w:lvlJc w:val="left"/>
      <w:pPr>
        <w:ind w:left="3750" w:hanging="360"/>
      </w:pPr>
    </w:lvl>
    <w:lvl w:ilvl="5" w:tplc="5F20CE30" w:tentative="1">
      <w:start w:val="1"/>
      <w:numFmt w:val="lowerRoman"/>
      <w:lvlText w:val="%6."/>
      <w:lvlJc w:val="right"/>
      <w:pPr>
        <w:ind w:left="4470" w:hanging="180"/>
      </w:pPr>
    </w:lvl>
    <w:lvl w:ilvl="6" w:tplc="AAD8994E" w:tentative="1">
      <w:start w:val="1"/>
      <w:numFmt w:val="decimal"/>
      <w:lvlText w:val="%7."/>
      <w:lvlJc w:val="left"/>
      <w:pPr>
        <w:ind w:left="5190" w:hanging="360"/>
      </w:pPr>
    </w:lvl>
    <w:lvl w:ilvl="7" w:tplc="F51CD67E" w:tentative="1">
      <w:start w:val="1"/>
      <w:numFmt w:val="lowerLetter"/>
      <w:lvlText w:val="%8."/>
      <w:lvlJc w:val="left"/>
      <w:pPr>
        <w:ind w:left="5910" w:hanging="360"/>
      </w:pPr>
    </w:lvl>
    <w:lvl w:ilvl="8" w:tplc="2C8C7996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6DB6762"/>
    <w:multiLevelType w:val="hybridMultilevel"/>
    <w:tmpl w:val="6C100028"/>
    <w:lvl w:ilvl="0" w:tplc="A636DE5A">
      <w:start w:val="1"/>
      <w:numFmt w:val="decimal"/>
      <w:lvlText w:val="%1)"/>
      <w:lvlJc w:val="left"/>
      <w:pPr>
        <w:ind w:left="1503" w:hanging="516"/>
      </w:pPr>
      <w:rPr>
        <w:rFonts w:hint="default"/>
      </w:rPr>
    </w:lvl>
    <w:lvl w:ilvl="1" w:tplc="C930EE9A" w:tentative="1">
      <w:start w:val="1"/>
      <w:numFmt w:val="lowerLetter"/>
      <w:lvlText w:val="%2."/>
      <w:lvlJc w:val="left"/>
      <w:pPr>
        <w:ind w:left="2067" w:hanging="360"/>
      </w:pPr>
    </w:lvl>
    <w:lvl w:ilvl="2" w:tplc="2160AD3E" w:tentative="1">
      <w:start w:val="1"/>
      <w:numFmt w:val="lowerRoman"/>
      <w:lvlText w:val="%3."/>
      <w:lvlJc w:val="right"/>
      <w:pPr>
        <w:ind w:left="2787" w:hanging="180"/>
      </w:pPr>
    </w:lvl>
    <w:lvl w:ilvl="3" w:tplc="CDD4BFA8" w:tentative="1">
      <w:start w:val="1"/>
      <w:numFmt w:val="decimal"/>
      <w:lvlText w:val="%4."/>
      <w:lvlJc w:val="left"/>
      <w:pPr>
        <w:ind w:left="3507" w:hanging="360"/>
      </w:pPr>
    </w:lvl>
    <w:lvl w:ilvl="4" w:tplc="194E3C1E" w:tentative="1">
      <w:start w:val="1"/>
      <w:numFmt w:val="lowerLetter"/>
      <w:lvlText w:val="%5."/>
      <w:lvlJc w:val="left"/>
      <w:pPr>
        <w:ind w:left="4227" w:hanging="360"/>
      </w:pPr>
    </w:lvl>
    <w:lvl w:ilvl="5" w:tplc="AE00E5B6" w:tentative="1">
      <w:start w:val="1"/>
      <w:numFmt w:val="lowerRoman"/>
      <w:lvlText w:val="%6."/>
      <w:lvlJc w:val="right"/>
      <w:pPr>
        <w:ind w:left="4947" w:hanging="180"/>
      </w:pPr>
    </w:lvl>
    <w:lvl w:ilvl="6" w:tplc="0E94B980" w:tentative="1">
      <w:start w:val="1"/>
      <w:numFmt w:val="decimal"/>
      <w:lvlText w:val="%7."/>
      <w:lvlJc w:val="left"/>
      <w:pPr>
        <w:ind w:left="5667" w:hanging="360"/>
      </w:pPr>
    </w:lvl>
    <w:lvl w:ilvl="7" w:tplc="1C3A351E" w:tentative="1">
      <w:start w:val="1"/>
      <w:numFmt w:val="lowerLetter"/>
      <w:lvlText w:val="%8."/>
      <w:lvlJc w:val="left"/>
      <w:pPr>
        <w:ind w:left="6387" w:hanging="360"/>
      </w:pPr>
    </w:lvl>
    <w:lvl w:ilvl="8" w:tplc="35DEE04C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392A41E7"/>
    <w:multiLevelType w:val="hybridMultilevel"/>
    <w:tmpl w:val="1F5C7EEA"/>
    <w:lvl w:ilvl="0" w:tplc="AE7E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E86B22" w:tentative="1">
      <w:start w:val="1"/>
      <w:numFmt w:val="lowerLetter"/>
      <w:lvlText w:val="%2."/>
      <w:lvlJc w:val="left"/>
      <w:pPr>
        <w:ind w:left="1440" w:hanging="360"/>
      </w:pPr>
    </w:lvl>
    <w:lvl w:ilvl="2" w:tplc="5A6E97A6" w:tentative="1">
      <w:start w:val="1"/>
      <w:numFmt w:val="lowerRoman"/>
      <w:lvlText w:val="%3."/>
      <w:lvlJc w:val="right"/>
      <w:pPr>
        <w:ind w:left="2160" w:hanging="180"/>
      </w:pPr>
    </w:lvl>
    <w:lvl w:ilvl="3" w:tplc="3FD645CE" w:tentative="1">
      <w:start w:val="1"/>
      <w:numFmt w:val="decimal"/>
      <w:lvlText w:val="%4."/>
      <w:lvlJc w:val="left"/>
      <w:pPr>
        <w:ind w:left="2880" w:hanging="360"/>
      </w:pPr>
    </w:lvl>
    <w:lvl w:ilvl="4" w:tplc="5510D496" w:tentative="1">
      <w:start w:val="1"/>
      <w:numFmt w:val="lowerLetter"/>
      <w:lvlText w:val="%5."/>
      <w:lvlJc w:val="left"/>
      <w:pPr>
        <w:ind w:left="3600" w:hanging="360"/>
      </w:pPr>
    </w:lvl>
    <w:lvl w:ilvl="5" w:tplc="060E9CB4" w:tentative="1">
      <w:start w:val="1"/>
      <w:numFmt w:val="lowerRoman"/>
      <w:lvlText w:val="%6."/>
      <w:lvlJc w:val="right"/>
      <w:pPr>
        <w:ind w:left="4320" w:hanging="180"/>
      </w:pPr>
    </w:lvl>
    <w:lvl w:ilvl="6" w:tplc="41305D88" w:tentative="1">
      <w:start w:val="1"/>
      <w:numFmt w:val="decimal"/>
      <w:lvlText w:val="%7."/>
      <w:lvlJc w:val="left"/>
      <w:pPr>
        <w:ind w:left="5040" w:hanging="360"/>
      </w:pPr>
    </w:lvl>
    <w:lvl w:ilvl="7" w:tplc="8A4CF41A" w:tentative="1">
      <w:start w:val="1"/>
      <w:numFmt w:val="lowerLetter"/>
      <w:lvlText w:val="%8."/>
      <w:lvlJc w:val="left"/>
      <w:pPr>
        <w:ind w:left="5760" w:hanging="360"/>
      </w:pPr>
    </w:lvl>
    <w:lvl w:ilvl="8" w:tplc="0BE80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7486"/>
    <w:multiLevelType w:val="hybridMultilevel"/>
    <w:tmpl w:val="C7AC8E4A"/>
    <w:lvl w:ilvl="0" w:tplc="830CC3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7CEAA6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DE4AC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9722E5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3EEF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AB04B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344078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58EFD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2D6EF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9F0B05"/>
    <w:multiLevelType w:val="hybridMultilevel"/>
    <w:tmpl w:val="2B04A2B2"/>
    <w:lvl w:ilvl="0" w:tplc="70DAC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964E98" w:tentative="1">
      <w:start w:val="1"/>
      <w:numFmt w:val="lowerLetter"/>
      <w:lvlText w:val="%2."/>
      <w:lvlJc w:val="left"/>
      <w:pPr>
        <w:ind w:left="1080" w:hanging="360"/>
      </w:pPr>
    </w:lvl>
    <w:lvl w:ilvl="2" w:tplc="B770EE06" w:tentative="1">
      <w:start w:val="1"/>
      <w:numFmt w:val="lowerRoman"/>
      <w:lvlText w:val="%3."/>
      <w:lvlJc w:val="right"/>
      <w:pPr>
        <w:ind w:left="1800" w:hanging="180"/>
      </w:pPr>
    </w:lvl>
    <w:lvl w:ilvl="3" w:tplc="DE76EDFC" w:tentative="1">
      <w:start w:val="1"/>
      <w:numFmt w:val="decimal"/>
      <w:lvlText w:val="%4."/>
      <w:lvlJc w:val="left"/>
      <w:pPr>
        <w:ind w:left="2520" w:hanging="360"/>
      </w:pPr>
    </w:lvl>
    <w:lvl w:ilvl="4" w:tplc="8BDC0314" w:tentative="1">
      <w:start w:val="1"/>
      <w:numFmt w:val="lowerLetter"/>
      <w:lvlText w:val="%5."/>
      <w:lvlJc w:val="left"/>
      <w:pPr>
        <w:ind w:left="3240" w:hanging="360"/>
      </w:pPr>
    </w:lvl>
    <w:lvl w:ilvl="5" w:tplc="8E56EBFA" w:tentative="1">
      <w:start w:val="1"/>
      <w:numFmt w:val="lowerRoman"/>
      <w:lvlText w:val="%6."/>
      <w:lvlJc w:val="right"/>
      <w:pPr>
        <w:ind w:left="3960" w:hanging="180"/>
      </w:pPr>
    </w:lvl>
    <w:lvl w:ilvl="6" w:tplc="5DF60B74" w:tentative="1">
      <w:start w:val="1"/>
      <w:numFmt w:val="decimal"/>
      <w:lvlText w:val="%7."/>
      <w:lvlJc w:val="left"/>
      <w:pPr>
        <w:ind w:left="4680" w:hanging="360"/>
      </w:pPr>
    </w:lvl>
    <w:lvl w:ilvl="7" w:tplc="C784C6F0" w:tentative="1">
      <w:start w:val="1"/>
      <w:numFmt w:val="lowerLetter"/>
      <w:lvlText w:val="%8."/>
      <w:lvlJc w:val="left"/>
      <w:pPr>
        <w:ind w:left="5400" w:hanging="360"/>
      </w:pPr>
    </w:lvl>
    <w:lvl w:ilvl="8" w:tplc="A0148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45E95"/>
    <w:multiLevelType w:val="hybridMultilevel"/>
    <w:tmpl w:val="A6D0F160"/>
    <w:lvl w:ilvl="0" w:tplc="D81C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363B6E" w:tentative="1">
      <w:start w:val="1"/>
      <w:numFmt w:val="lowerLetter"/>
      <w:lvlText w:val="%2."/>
      <w:lvlJc w:val="left"/>
      <w:pPr>
        <w:ind w:left="1080" w:hanging="360"/>
      </w:pPr>
    </w:lvl>
    <w:lvl w:ilvl="2" w:tplc="3B302584" w:tentative="1">
      <w:start w:val="1"/>
      <w:numFmt w:val="lowerRoman"/>
      <w:lvlText w:val="%3."/>
      <w:lvlJc w:val="right"/>
      <w:pPr>
        <w:ind w:left="1800" w:hanging="180"/>
      </w:pPr>
    </w:lvl>
    <w:lvl w:ilvl="3" w:tplc="B0DC8B06" w:tentative="1">
      <w:start w:val="1"/>
      <w:numFmt w:val="decimal"/>
      <w:lvlText w:val="%4."/>
      <w:lvlJc w:val="left"/>
      <w:pPr>
        <w:ind w:left="2520" w:hanging="360"/>
      </w:pPr>
    </w:lvl>
    <w:lvl w:ilvl="4" w:tplc="C97AFF14" w:tentative="1">
      <w:start w:val="1"/>
      <w:numFmt w:val="lowerLetter"/>
      <w:lvlText w:val="%5."/>
      <w:lvlJc w:val="left"/>
      <w:pPr>
        <w:ind w:left="3240" w:hanging="360"/>
      </w:pPr>
    </w:lvl>
    <w:lvl w:ilvl="5" w:tplc="39DCF57E" w:tentative="1">
      <w:start w:val="1"/>
      <w:numFmt w:val="lowerRoman"/>
      <w:lvlText w:val="%6."/>
      <w:lvlJc w:val="right"/>
      <w:pPr>
        <w:ind w:left="3960" w:hanging="180"/>
      </w:pPr>
    </w:lvl>
    <w:lvl w:ilvl="6" w:tplc="8C1A58CE" w:tentative="1">
      <w:start w:val="1"/>
      <w:numFmt w:val="decimal"/>
      <w:lvlText w:val="%7."/>
      <w:lvlJc w:val="left"/>
      <w:pPr>
        <w:ind w:left="4680" w:hanging="360"/>
      </w:pPr>
    </w:lvl>
    <w:lvl w:ilvl="7" w:tplc="4DCE6CE6" w:tentative="1">
      <w:start w:val="1"/>
      <w:numFmt w:val="lowerLetter"/>
      <w:lvlText w:val="%8."/>
      <w:lvlJc w:val="left"/>
      <w:pPr>
        <w:ind w:left="5400" w:hanging="360"/>
      </w:pPr>
    </w:lvl>
    <w:lvl w:ilvl="8" w:tplc="42D685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6317C"/>
    <w:multiLevelType w:val="hybridMultilevel"/>
    <w:tmpl w:val="33022A4C"/>
    <w:lvl w:ilvl="0" w:tplc="4A5AD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69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4E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8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F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09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3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24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A793B"/>
    <w:multiLevelType w:val="hybridMultilevel"/>
    <w:tmpl w:val="CC6A8F64"/>
    <w:lvl w:ilvl="0" w:tplc="ED02E526">
      <w:numFmt w:val="bullet"/>
      <w:lvlText w:val=""/>
      <w:lvlJc w:val="left"/>
      <w:pPr>
        <w:ind w:left="870" w:hanging="360"/>
      </w:pPr>
      <w:rPr>
        <w:rFonts w:ascii="Wingdings" w:eastAsiaTheme="minorEastAsia" w:hAnsi="Wingdings" w:cs="Arial" w:hint="default"/>
      </w:rPr>
    </w:lvl>
    <w:lvl w:ilvl="1" w:tplc="9FB8C4B0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B7843FA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7B6BE44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A79CBBA2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D9A2B742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DEC6D2C0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9BA0E9D4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420661A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7CD1356B"/>
    <w:multiLevelType w:val="hybridMultilevel"/>
    <w:tmpl w:val="A6D0F160"/>
    <w:lvl w:ilvl="0" w:tplc="56321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208C4E" w:tentative="1">
      <w:start w:val="1"/>
      <w:numFmt w:val="lowerLetter"/>
      <w:lvlText w:val="%2."/>
      <w:lvlJc w:val="left"/>
      <w:pPr>
        <w:ind w:left="1080" w:hanging="360"/>
      </w:pPr>
    </w:lvl>
    <w:lvl w:ilvl="2" w:tplc="0DA4963A" w:tentative="1">
      <w:start w:val="1"/>
      <w:numFmt w:val="lowerRoman"/>
      <w:lvlText w:val="%3."/>
      <w:lvlJc w:val="right"/>
      <w:pPr>
        <w:ind w:left="1800" w:hanging="180"/>
      </w:pPr>
    </w:lvl>
    <w:lvl w:ilvl="3" w:tplc="A7B2D4CE" w:tentative="1">
      <w:start w:val="1"/>
      <w:numFmt w:val="decimal"/>
      <w:lvlText w:val="%4."/>
      <w:lvlJc w:val="left"/>
      <w:pPr>
        <w:ind w:left="2520" w:hanging="360"/>
      </w:pPr>
    </w:lvl>
    <w:lvl w:ilvl="4" w:tplc="68B0C518" w:tentative="1">
      <w:start w:val="1"/>
      <w:numFmt w:val="lowerLetter"/>
      <w:lvlText w:val="%5."/>
      <w:lvlJc w:val="left"/>
      <w:pPr>
        <w:ind w:left="3240" w:hanging="360"/>
      </w:pPr>
    </w:lvl>
    <w:lvl w:ilvl="5" w:tplc="A96AD23A" w:tentative="1">
      <w:start w:val="1"/>
      <w:numFmt w:val="lowerRoman"/>
      <w:lvlText w:val="%6."/>
      <w:lvlJc w:val="right"/>
      <w:pPr>
        <w:ind w:left="3960" w:hanging="180"/>
      </w:pPr>
    </w:lvl>
    <w:lvl w:ilvl="6" w:tplc="8DE03BB6" w:tentative="1">
      <w:start w:val="1"/>
      <w:numFmt w:val="decimal"/>
      <w:lvlText w:val="%7."/>
      <w:lvlJc w:val="left"/>
      <w:pPr>
        <w:ind w:left="4680" w:hanging="360"/>
      </w:pPr>
    </w:lvl>
    <w:lvl w:ilvl="7" w:tplc="245C6672" w:tentative="1">
      <w:start w:val="1"/>
      <w:numFmt w:val="lowerLetter"/>
      <w:lvlText w:val="%8."/>
      <w:lvlJc w:val="left"/>
      <w:pPr>
        <w:ind w:left="5400" w:hanging="360"/>
      </w:pPr>
    </w:lvl>
    <w:lvl w:ilvl="8" w:tplc="8EA82F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F2FEE"/>
    <w:multiLevelType w:val="hybridMultilevel"/>
    <w:tmpl w:val="EB9685F2"/>
    <w:lvl w:ilvl="0" w:tplc="3212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30E8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C075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387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6E7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2EB8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A07E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565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1CBB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238422">
    <w:abstractNumId w:val="3"/>
  </w:num>
  <w:num w:numId="2" w16cid:durableId="1932932345">
    <w:abstractNumId w:val="7"/>
  </w:num>
  <w:num w:numId="3" w16cid:durableId="927814346">
    <w:abstractNumId w:val="5"/>
  </w:num>
  <w:num w:numId="4" w16cid:durableId="1227842329">
    <w:abstractNumId w:val="9"/>
  </w:num>
  <w:num w:numId="5" w16cid:durableId="1770394997">
    <w:abstractNumId w:val="10"/>
  </w:num>
  <w:num w:numId="6" w16cid:durableId="1384015815">
    <w:abstractNumId w:val="0"/>
  </w:num>
  <w:num w:numId="7" w16cid:durableId="637616199">
    <w:abstractNumId w:val="8"/>
  </w:num>
  <w:num w:numId="8" w16cid:durableId="873081901">
    <w:abstractNumId w:val="1"/>
  </w:num>
  <w:num w:numId="9" w16cid:durableId="2140226329">
    <w:abstractNumId w:val="4"/>
  </w:num>
  <w:num w:numId="10" w16cid:durableId="439376285">
    <w:abstractNumId w:val="6"/>
  </w:num>
  <w:num w:numId="11" w16cid:durableId="42568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AD"/>
    <w:rsid w:val="00020DBD"/>
    <w:rsid w:val="000F462E"/>
    <w:rsid w:val="00104184"/>
    <w:rsid w:val="0015464B"/>
    <w:rsid w:val="00164EA2"/>
    <w:rsid w:val="0016739B"/>
    <w:rsid w:val="00183C58"/>
    <w:rsid w:val="00185437"/>
    <w:rsid w:val="00190228"/>
    <w:rsid w:val="001D4844"/>
    <w:rsid w:val="001E31AD"/>
    <w:rsid w:val="00225600"/>
    <w:rsid w:val="00235DEB"/>
    <w:rsid w:val="00294346"/>
    <w:rsid w:val="002C70B5"/>
    <w:rsid w:val="0032507B"/>
    <w:rsid w:val="0037122E"/>
    <w:rsid w:val="00391F1F"/>
    <w:rsid w:val="003B490C"/>
    <w:rsid w:val="003F0536"/>
    <w:rsid w:val="003F17D6"/>
    <w:rsid w:val="004802F0"/>
    <w:rsid w:val="004A2525"/>
    <w:rsid w:val="004D41BC"/>
    <w:rsid w:val="004E2FE5"/>
    <w:rsid w:val="00517873"/>
    <w:rsid w:val="00532CD3"/>
    <w:rsid w:val="00565510"/>
    <w:rsid w:val="005738F6"/>
    <w:rsid w:val="005C78D1"/>
    <w:rsid w:val="0062284F"/>
    <w:rsid w:val="00632201"/>
    <w:rsid w:val="0063293D"/>
    <w:rsid w:val="006349EC"/>
    <w:rsid w:val="00677F39"/>
    <w:rsid w:val="006C0741"/>
    <w:rsid w:val="006C2B07"/>
    <w:rsid w:val="008604A8"/>
    <w:rsid w:val="0087282D"/>
    <w:rsid w:val="008B1B1D"/>
    <w:rsid w:val="00925AB1"/>
    <w:rsid w:val="00935348"/>
    <w:rsid w:val="00944C22"/>
    <w:rsid w:val="009A4F74"/>
    <w:rsid w:val="009C6A73"/>
    <w:rsid w:val="00A03B78"/>
    <w:rsid w:val="00A140C9"/>
    <w:rsid w:val="00A37945"/>
    <w:rsid w:val="00A4096C"/>
    <w:rsid w:val="00A71666"/>
    <w:rsid w:val="00AD06AD"/>
    <w:rsid w:val="00AE1A84"/>
    <w:rsid w:val="00B65693"/>
    <w:rsid w:val="00BA4CC3"/>
    <w:rsid w:val="00BC0B2E"/>
    <w:rsid w:val="00BF3199"/>
    <w:rsid w:val="00CE781A"/>
    <w:rsid w:val="00CF5798"/>
    <w:rsid w:val="00D02B94"/>
    <w:rsid w:val="00D176A7"/>
    <w:rsid w:val="00D20FA8"/>
    <w:rsid w:val="00D25754"/>
    <w:rsid w:val="00DB408D"/>
    <w:rsid w:val="00DC3B49"/>
    <w:rsid w:val="00DF3EF3"/>
    <w:rsid w:val="00E0099E"/>
    <w:rsid w:val="00E14B9B"/>
    <w:rsid w:val="00F1157D"/>
    <w:rsid w:val="00F53ABB"/>
    <w:rsid w:val="00F6797D"/>
    <w:rsid w:val="00F7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95D6"/>
  <w15:docId w15:val="{7D579E9A-8863-426A-BC50-DC30911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Grid Table Light" w:uiPriority="4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C5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table" w:customStyle="1" w:styleId="Siatkatabelijasna1">
    <w:name w:val="Siatka tabeli — jasna1"/>
    <w:basedOn w:val="Standardowy"/>
    <w:uiPriority w:val="40"/>
    <w:rsid w:val="00E01C5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E01C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281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A722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locked/>
    <w:rsid w:val="00A60C68"/>
    <w:rPr>
      <w:rFonts w:eastAsiaTheme="minorEastAsia" w:cs="Arial"/>
      <w:szCs w:val="20"/>
    </w:rPr>
  </w:style>
  <w:style w:type="paragraph" w:customStyle="1" w:styleId="Default">
    <w:name w:val="Default"/>
    <w:rsid w:val="00E432A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/>
      <w:color w:val="000000"/>
    </w:rPr>
  </w:style>
  <w:style w:type="paragraph" w:customStyle="1" w:styleId="trescpisma">
    <w:name w:val="tresc.pisma"/>
    <w:basedOn w:val="Normalny"/>
    <w:qFormat/>
    <w:rsid w:val="006E3F84"/>
    <w:pPr>
      <w:widowControl/>
      <w:suppressAutoHyphens/>
      <w:autoSpaceDE/>
      <w:autoSpaceDN/>
      <w:adjustRightInd/>
      <w:spacing w:after="60"/>
      <w:ind w:firstLine="709"/>
      <w:jc w:val="both"/>
    </w:pPr>
    <w:rPr>
      <w:rFonts w:eastAsia="Calibri" w:cs="Times New Roman"/>
      <w:szCs w:val="24"/>
    </w:rPr>
  </w:style>
  <w:style w:type="table" w:styleId="Siatkatabelijasna">
    <w:name w:val="Grid Table Light"/>
    <w:basedOn w:val="Standardowy"/>
    <w:uiPriority w:val="40"/>
    <w:rsid w:val="00A3794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6349E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5EA7D-E14B-463D-AC35-755CEE10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36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Smieszek Kamil</dc:creator>
  <cp:lastModifiedBy>Jankowska-Słomianko Dorota</cp:lastModifiedBy>
  <cp:revision>12</cp:revision>
  <cp:lastPrinted>2025-06-13T11:38:00Z</cp:lastPrinted>
  <dcterms:created xsi:type="dcterms:W3CDTF">2025-06-30T13:21:00Z</dcterms:created>
  <dcterms:modified xsi:type="dcterms:W3CDTF">2025-07-01T13:49:00Z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