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07C6B" w14:textId="77777777" w:rsidR="00B63D91" w:rsidRPr="00E83875" w:rsidRDefault="00B63D91" w:rsidP="004B5740">
      <w:pPr>
        <w:spacing w:line="360" w:lineRule="auto"/>
        <w:jc w:val="center"/>
        <w:rPr>
          <w:rFonts w:ascii="Times New Roman" w:hAnsi="Times New Roman" w:cs="Times New Roman"/>
          <w:sz w:val="24"/>
          <w:szCs w:val="24"/>
        </w:rPr>
      </w:pPr>
      <w:r w:rsidRPr="00E83875">
        <w:rPr>
          <w:rFonts w:ascii="Times New Roman" w:hAnsi="Times New Roman" w:cs="Times New Roman"/>
          <w:sz w:val="24"/>
          <w:szCs w:val="24"/>
        </w:rPr>
        <w:t>UZASADNIENIE</w:t>
      </w:r>
    </w:p>
    <w:p w14:paraId="79CD457A" w14:textId="2611EC99" w:rsidR="00E83875" w:rsidRPr="00E83875" w:rsidRDefault="00E83875" w:rsidP="004B5740">
      <w:pPr>
        <w:spacing w:line="360" w:lineRule="auto"/>
        <w:jc w:val="both"/>
        <w:rPr>
          <w:rFonts w:ascii="Times New Roman" w:hAnsi="Times New Roman" w:cs="Times New Roman"/>
          <w:sz w:val="24"/>
          <w:szCs w:val="24"/>
        </w:rPr>
      </w:pPr>
      <w:r w:rsidRPr="00E83875">
        <w:rPr>
          <w:rFonts w:ascii="Times New Roman" w:hAnsi="Times New Roman" w:cs="Times New Roman"/>
          <w:sz w:val="24"/>
          <w:szCs w:val="24"/>
        </w:rPr>
        <w:t>Celem projektu ustawy jest likwidacja nadregulacji zidentyfikowanej w ramach projektu „SprawdzaMY” dotyczącej uproszczenia zasad łączenia (resplit) jednostek uczestnictwa funduszy inwestycyjnych otwartych poprzez rezygnację z przesłanki „znacznego spadku ich wartości”.</w:t>
      </w:r>
    </w:p>
    <w:p w14:paraId="58C211E7" w14:textId="20A66E8A" w:rsidR="00B63D91" w:rsidRPr="00E83875" w:rsidRDefault="00E83875" w:rsidP="004B5740">
      <w:pPr>
        <w:spacing w:line="360" w:lineRule="auto"/>
        <w:jc w:val="both"/>
        <w:rPr>
          <w:rFonts w:ascii="Times New Roman" w:hAnsi="Times New Roman" w:cs="Times New Roman"/>
          <w:sz w:val="24"/>
          <w:szCs w:val="24"/>
        </w:rPr>
      </w:pPr>
      <w:r w:rsidRPr="00E83875">
        <w:rPr>
          <w:rFonts w:ascii="Times New Roman" w:hAnsi="Times New Roman" w:cs="Times New Roman"/>
          <w:sz w:val="24"/>
          <w:szCs w:val="24"/>
        </w:rPr>
        <w:t xml:space="preserve">Obowiązujące przepisy art. 36 ust. 3 ustawy z dnia 27 maja 2004 r. o funduszach inwestycyjnych i zarządzaniu alternatywnymi funduszami inwestycyjnymi (Dz. U. z 2024 r. poz. 1034, z późn. zm.), dalej: „ustawa o funduszach inwestycyjnych”, przewidują, że do połączenia jednostek uczestnictwa tej samej kategorii może dojść, jeśli statut funduszu inwestycyjnego przewiduje taką możliwość oraz w przypadku znacznego spadku wartości </w:t>
      </w:r>
      <w:r w:rsidR="008057C8">
        <w:rPr>
          <w:rFonts w:ascii="Times New Roman" w:hAnsi="Times New Roman" w:cs="Times New Roman"/>
          <w:sz w:val="24"/>
          <w:szCs w:val="24"/>
        </w:rPr>
        <w:t xml:space="preserve">tych </w:t>
      </w:r>
      <w:r w:rsidRPr="00E83875">
        <w:rPr>
          <w:rFonts w:ascii="Times New Roman" w:hAnsi="Times New Roman" w:cs="Times New Roman"/>
          <w:sz w:val="24"/>
          <w:szCs w:val="24"/>
        </w:rPr>
        <w:t xml:space="preserve">jednostek. Wymóg </w:t>
      </w:r>
      <w:r w:rsidR="004C6379">
        <w:rPr>
          <w:rFonts w:ascii="Times New Roman" w:hAnsi="Times New Roman" w:cs="Times New Roman"/>
          <w:sz w:val="24"/>
          <w:szCs w:val="24"/>
        </w:rPr>
        <w:t xml:space="preserve">znacznego spadku wartości jednostek uczestnictwa </w:t>
      </w:r>
      <w:r w:rsidRPr="00E83875">
        <w:rPr>
          <w:rFonts w:ascii="Times New Roman" w:hAnsi="Times New Roman" w:cs="Times New Roman"/>
          <w:sz w:val="24"/>
          <w:szCs w:val="24"/>
        </w:rPr>
        <w:t>znacznie utrudnia dostosowanie struktury kategorii jednostek uczestnictwa do zmian strategii inwestycyjnej funduszu, a ponadto nie występuje w</w:t>
      </w:r>
      <w:r w:rsidR="004C6379">
        <w:rPr>
          <w:rFonts w:ascii="Times New Roman" w:hAnsi="Times New Roman" w:cs="Times New Roman"/>
          <w:sz w:val="24"/>
          <w:szCs w:val="24"/>
        </w:rPr>
        <w:t xml:space="preserve"> </w:t>
      </w:r>
      <w:r w:rsidRPr="00E83875">
        <w:rPr>
          <w:rFonts w:ascii="Times New Roman" w:hAnsi="Times New Roman" w:cs="Times New Roman"/>
          <w:sz w:val="24"/>
          <w:szCs w:val="24"/>
        </w:rPr>
        <w:t>przypadku podziału jednostek uczestnictwa. Rozwiązanie to również nie znajduje swojego odzwierciedlenia w dyrektywie Parlamentu Europejskiego i</w:t>
      </w:r>
      <w:r w:rsidR="0054636D">
        <w:rPr>
          <w:rFonts w:ascii="Times New Roman" w:hAnsi="Times New Roman" w:cs="Times New Roman"/>
          <w:sz w:val="24"/>
          <w:szCs w:val="24"/>
        </w:rPr>
        <w:t> </w:t>
      </w:r>
      <w:r w:rsidRPr="00E83875">
        <w:rPr>
          <w:rFonts w:ascii="Times New Roman" w:hAnsi="Times New Roman" w:cs="Times New Roman"/>
          <w:sz w:val="24"/>
          <w:szCs w:val="24"/>
        </w:rPr>
        <w:t>Rady 2009/65/WE z dnia 13 lipca 2009 r. w sprawie koordynacji przepisów ustawowych, wykonawczych i administracyjnych odnoszących się do przedsiębiorstw zbiorowego inwestowania w zbywalne papiery wartościowe (UCITS) (Dz. Urz. UE L 302 z 17.11.2009, str.</w:t>
      </w:r>
      <w:r w:rsidR="0054636D">
        <w:rPr>
          <w:rFonts w:ascii="Times New Roman" w:hAnsi="Times New Roman" w:cs="Times New Roman"/>
          <w:sz w:val="24"/>
          <w:szCs w:val="24"/>
        </w:rPr>
        <w:t> </w:t>
      </w:r>
      <w:r w:rsidRPr="00E83875">
        <w:rPr>
          <w:rFonts w:ascii="Times New Roman" w:hAnsi="Times New Roman" w:cs="Times New Roman"/>
          <w:sz w:val="24"/>
          <w:szCs w:val="24"/>
        </w:rPr>
        <w:t>32, z późn. zm.).</w:t>
      </w:r>
    </w:p>
    <w:p w14:paraId="674A5D92" w14:textId="1D9874D2" w:rsidR="00E83875" w:rsidRPr="00E83875" w:rsidRDefault="006C1173" w:rsidP="004B5740">
      <w:pPr>
        <w:spacing w:line="360" w:lineRule="auto"/>
        <w:jc w:val="both"/>
        <w:rPr>
          <w:rFonts w:ascii="Times New Roman" w:hAnsi="Times New Roman" w:cs="Times New Roman"/>
          <w:sz w:val="24"/>
          <w:szCs w:val="24"/>
        </w:rPr>
      </w:pPr>
      <w:r>
        <w:rPr>
          <w:rFonts w:ascii="Times New Roman" w:hAnsi="Times New Roman" w:cs="Times New Roman"/>
          <w:sz w:val="24"/>
          <w:szCs w:val="24"/>
        </w:rPr>
        <w:t>W związku z powyższym p</w:t>
      </w:r>
      <w:r w:rsidR="00E83875" w:rsidRPr="00E83875">
        <w:rPr>
          <w:rFonts w:ascii="Times New Roman" w:hAnsi="Times New Roman" w:cs="Times New Roman"/>
          <w:sz w:val="24"/>
          <w:szCs w:val="24"/>
        </w:rPr>
        <w:t>roponuje się skreślenie w art. 36 w ust. 3 ustawy o funduszach inwestycyjnych wyrazów „w przypadku znacznego spadku ich wartości”. W efekcie fundusze inwestycyjne otwarte będą mogły dokonywać łączenia jednostek uczestnictwa tej samej kategorii, jeżeli statut funduszu inwestycyjnego będzie tak stanowił.</w:t>
      </w:r>
    </w:p>
    <w:p w14:paraId="26E4D196" w14:textId="4F5041DA" w:rsidR="00B63D91" w:rsidRDefault="00E83875" w:rsidP="004B5740">
      <w:pPr>
        <w:spacing w:line="360" w:lineRule="auto"/>
        <w:jc w:val="both"/>
        <w:rPr>
          <w:rFonts w:ascii="Times New Roman" w:hAnsi="Times New Roman" w:cs="Times New Roman"/>
          <w:sz w:val="24"/>
          <w:szCs w:val="24"/>
        </w:rPr>
      </w:pPr>
      <w:r w:rsidRPr="00E83875">
        <w:rPr>
          <w:rFonts w:ascii="Times New Roman" w:hAnsi="Times New Roman" w:cs="Times New Roman"/>
          <w:sz w:val="24"/>
          <w:szCs w:val="24"/>
        </w:rPr>
        <w:t>Dzięki proponowanej zmianie dojdzie do uproszczenia zasad łączenia jednostek uczestnictwa. Połączenie jednostek, które skutkuje wzrostem ich wartości nominalnej, może przełożyć się na większą precyzję odzwierciedlania dziennych zmian wartości aktywów netto (WAN) w</w:t>
      </w:r>
      <w:r w:rsidR="003D6195">
        <w:rPr>
          <w:rFonts w:ascii="Times New Roman" w:hAnsi="Times New Roman" w:cs="Times New Roman"/>
          <w:sz w:val="24"/>
          <w:szCs w:val="24"/>
        </w:rPr>
        <w:t> </w:t>
      </w:r>
      <w:r w:rsidRPr="00E83875">
        <w:rPr>
          <w:rFonts w:ascii="Times New Roman" w:hAnsi="Times New Roman" w:cs="Times New Roman"/>
          <w:sz w:val="24"/>
          <w:szCs w:val="24"/>
        </w:rPr>
        <w:t>wycenie jednostki uczestnictwa, co może mieć znaczenie szczególnie w przypadku strategii charakteryzujących się niskim ryzykiem i zmiennością. Zmiana umożliwi także towarzystwom funduszy inwestycyjnych dostosowanie struktury jednostek uczestnictwa do zmienionej strategii inwestycyjnej funduszu inwestycyjnego, a przez to w wielu przypadkach umożliwi dokonanie aktualizacji samej strategii inwestycyjnej funduszu inwestycyjnego.</w:t>
      </w:r>
    </w:p>
    <w:p w14:paraId="7AD1936B" w14:textId="40641011" w:rsidR="00342F50" w:rsidRPr="00E83875" w:rsidRDefault="00342F50" w:rsidP="004B5740">
      <w:pPr>
        <w:spacing w:line="360" w:lineRule="auto"/>
        <w:jc w:val="both"/>
        <w:rPr>
          <w:rFonts w:ascii="Times New Roman" w:hAnsi="Times New Roman" w:cs="Times New Roman"/>
          <w:sz w:val="24"/>
          <w:szCs w:val="24"/>
        </w:rPr>
      </w:pPr>
      <w:r w:rsidRPr="00342F50">
        <w:rPr>
          <w:rFonts w:ascii="Times New Roman" w:hAnsi="Times New Roman" w:cs="Times New Roman"/>
          <w:sz w:val="24"/>
          <w:szCs w:val="24"/>
        </w:rPr>
        <w:t>W projekcie ustawy odstąpiono od wprowadzania przepisów przejściowych regulujących sprawy związane ze zmianą statutu funduszu inwestycyjnego otwartego, a także sprawy</w:t>
      </w:r>
      <w:r>
        <w:rPr>
          <w:rFonts w:ascii="Times New Roman" w:hAnsi="Times New Roman" w:cs="Times New Roman"/>
          <w:sz w:val="24"/>
          <w:szCs w:val="24"/>
        </w:rPr>
        <w:t xml:space="preserve"> będące</w:t>
      </w:r>
      <w:r w:rsidRPr="00342F50">
        <w:rPr>
          <w:rFonts w:ascii="Times New Roman" w:hAnsi="Times New Roman" w:cs="Times New Roman"/>
          <w:sz w:val="24"/>
          <w:szCs w:val="24"/>
        </w:rPr>
        <w:t xml:space="preserve"> </w:t>
      </w:r>
      <w:r w:rsidRPr="00342F50">
        <w:rPr>
          <w:rFonts w:ascii="Times New Roman" w:hAnsi="Times New Roman" w:cs="Times New Roman"/>
          <w:sz w:val="24"/>
          <w:szCs w:val="24"/>
        </w:rPr>
        <w:lastRenderedPageBreak/>
        <w:t>w toku z zakresu łączenia jednostek uczestnictwa tej samej kategorii. Należy zauważyć, że zgodnie z art. 36 ust. 6 ustawy o funduszach inwestycyjnych, to statut funduszu określa warunki łączenia jednostek uczestnictwa, przy czym znaczny spadek wartości jednostek uczestnictwa może być jednym z warunków takiego połączenia przewidzianym w statucie. Projektowana ustaw</w:t>
      </w:r>
      <w:r>
        <w:rPr>
          <w:rFonts w:ascii="Times New Roman" w:hAnsi="Times New Roman" w:cs="Times New Roman"/>
          <w:sz w:val="24"/>
          <w:szCs w:val="24"/>
        </w:rPr>
        <w:t>a</w:t>
      </w:r>
      <w:r w:rsidRPr="00342F50">
        <w:rPr>
          <w:rFonts w:ascii="Times New Roman" w:hAnsi="Times New Roman" w:cs="Times New Roman"/>
          <w:sz w:val="24"/>
          <w:szCs w:val="24"/>
        </w:rPr>
        <w:t xml:space="preserve"> przewiduje jedynie rezygnację z obligatoryjności w statucie funduszu warunku znacznego spadku wartości jednostek uczestnictwa tej samej kategorii, niemniej warunek taki w dalszym ciągu może być wskazany w statucie funduszu. Zatem, to towarzystw</w:t>
      </w:r>
      <w:r w:rsidR="004C6379">
        <w:rPr>
          <w:rFonts w:ascii="Times New Roman" w:hAnsi="Times New Roman" w:cs="Times New Roman"/>
          <w:sz w:val="24"/>
          <w:szCs w:val="24"/>
        </w:rPr>
        <w:t xml:space="preserve">u </w:t>
      </w:r>
      <w:r w:rsidRPr="00342F50">
        <w:rPr>
          <w:rFonts w:ascii="Times New Roman" w:hAnsi="Times New Roman" w:cs="Times New Roman"/>
          <w:sz w:val="24"/>
          <w:szCs w:val="24"/>
        </w:rPr>
        <w:t>funduszy inwestycyjnych (podmiotu uprawnionego do wprowadzania zmian w statucie funduszu) powinn</w:t>
      </w:r>
      <w:r w:rsidR="004C6379">
        <w:rPr>
          <w:rFonts w:ascii="Times New Roman" w:hAnsi="Times New Roman" w:cs="Times New Roman"/>
          <w:sz w:val="24"/>
          <w:szCs w:val="24"/>
        </w:rPr>
        <w:t xml:space="preserve">a zostać pozostawiona decyzja o </w:t>
      </w:r>
      <w:r w:rsidRPr="00342F50">
        <w:rPr>
          <w:rFonts w:ascii="Times New Roman" w:hAnsi="Times New Roman" w:cs="Times New Roman"/>
          <w:sz w:val="24"/>
          <w:szCs w:val="24"/>
        </w:rPr>
        <w:t>utrzymani</w:t>
      </w:r>
      <w:r w:rsidR="004C6379">
        <w:rPr>
          <w:rFonts w:ascii="Times New Roman" w:hAnsi="Times New Roman" w:cs="Times New Roman"/>
          <w:sz w:val="24"/>
          <w:szCs w:val="24"/>
        </w:rPr>
        <w:t>u</w:t>
      </w:r>
      <w:r w:rsidRPr="00342F50">
        <w:rPr>
          <w:rFonts w:ascii="Times New Roman" w:hAnsi="Times New Roman" w:cs="Times New Roman"/>
          <w:sz w:val="24"/>
          <w:szCs w:val="24"/>
        </w:rPr>
        <w:t>, czy też rezygnacj</w:t>
      </w:r>
      <w:r w:rsidR="004C6379">
        <w:rPr>
          <w:rFonts w:ascii="Times New Roman" w:hAnsi="Times New Roman" w:cs="Times New Roman"/>
          <w:sz w:val="24"/>
          <w:szCs w:val="24"/>
        </w:rPr>
        <w:t xml:space="preserve">i </w:t>
      </w:r>
      <w:r w:rsidRPr="00342F50">
        <w:rPr>
          <w:rFonts w:ascii="Times New Roman" w:hAnsi="Times New Roman" w:cs="Times New Roman"/>
          <w:sz w:val="24"/>
          <w:szCs w:val="24"/>
        </w:rPr>
        <w:t>z tego warunku. Natomiast jeśli chodzi o sprawy</w:t>
      </w:r>
      <w:r>
        <w:rPr>
          <w:rFonts w:ascii="Times New Roman" w:hAnsi="Times New Roman" w:cs="Times New Roman"/>
          <w:sz w:val="24"/>
          <w:szCs w:val="24"/>
        </w:rPr>
        <w:t xml:space="preserve"> będące</w:t>
      </w:r>
      <w:r w:rsidRPr="00342F50">
        <w:rPr>
          <w:rFonts w:ascii="Times New Roman" w:hAnsi="Times New Roman" w:cs="Times New Roman"/>
          <w:sz w:val="24"/>
          <w:szCs w:val="24"/>
        </w:rPr>
        <w:t xml:space="preserve"> w toku z zakresu łączenia jednostek uczestnictwa tej samej kategorii należy stwierdzić, że są one determinowane przez postanowienia statut</w:t>
      </w:r>
      <w:r>
        <w:rPr>
          <w:rFonts w:ascii="Times New Roman" w:hAnsi="Times New Roman" w:cs="Times New Roman"/>
          <w:sz w:val="24"/>
          <w:szCs w:val="24"/>
        </w:rPr>
        <w:t>u</w:t>
      </w:r>
      <w:r w:rsidRPr="00342F50">
        <w:rPr>
          <w:rFonts w:ascii="Times New Roman" w:hAnsi="Times New Roman" w:cs="Times New Roman"/>
          <w:sz w:val="24"/>
          <w:szCs w:val="24"/>
        </w:rPr>
        <w:t xml:space="preserve"> w dniu powzięcia decyzji o łączeniu</w:t>
      </w:r>
      <w:r>
        <w:rPr>
          <w:rFonts w:ascii="Times New Roman" w:hAnsi="Times New Roman" w:cs="Times New Roman"/>
          <w:sz w:val="24"/>
          <w:szCs w:val="24"/>
        </w:rPr>
        <w:t xml:space="preserve"> tych</w:t>
      </w:r>
      <w:r w:rsidRPr="00342F50">
        <w:rPr>
          <w:rFonts w:ascii="Times New Roman" w:hAnsi="Times New Roman" w:cs="Times New Roman"/>
          <w:sz w:val="24"/>
          <w:szCs w:val="24"/>
        </w:rPr>
        <w:t xml:space="preserve"> jednostek, natomiast wszelkie zmiany w tym procesie wymagają wcześniejszej zmiany statutu funduszu, która jak wskazano wcześniej zależy od </w:t>
      </w:r>
      <w:r w:rsidR="004C6379">
        <w:rPr>
          <w:rFonts w:ascii="Times New Roman" w:hAnsi="Times New Roman" w:cs="Times New Roman"/>
          <w:sz w:val="24"/>
          <w:szCs w:val="24"/>
        </w:rPr>
        <w:t>towarzystwa funduszy inwestycyjnych</w:t>
      </w:r>
      <w:r w:rsidRPr="00342F50">
        <w:rPr>
          <w:rFonts w:ascii="Times New Roman" w:hAnsi="Times New Roman" w:cs="Times New Roman"/>
          <w:sz w:val="24"/>
          <w:szCs w:val="24"/>
        </w:rPr>
        <w:t>.</w:t>
      </w:r>
    </w:p>
    <w:p w14:paraId="2AFD6B1C" w14:textId="250A0726" w:rsidR="00B63D91" w:rsidRPr="00E83875" w:rsidRDefault="00B63D91" w:rsidP="004B5740">
      <w:pPr>
        <w:spacing w:line="360" w:lineRule="auto"/>
        <w:jc w:val="both"/>
        <w:rPr>
          <w:rFonts w:ascii="Times New Roman" w:hAnsi="Times New Roman" w:cs="Times New Roman"/>
          <w:sz w:val="24"/>
          <w:szCs w:val="24"/>
        </w:rPr>
      </w:pPr>
      <w:r w:rsidRPr="00E83875">
        <w:rPr>
          <w:rFonts w:ascii="Times New Roman" w:hAnsi="Times New Roman" w:cs="Times New Roman"/>
          <w:sz w:val="24"/>
          <w:szCs w:val="24"/>
        </w:rPr>
        <w:t xml:space="preserve">W art. 2 projektu przyjęto, że ustawa wejdzie w życie </w:t>
      </w:r>
      <w:r w:rsidR="003D6195">
        <w:rPr>
          <w:rFonts w:ascii="Times New Roman" w:hAnsi="Times New Roman" w:cs="Times New Roman"/>
          <w:sz w:val="24"/>
          <w:szCs w:val="24"/>
        </w:rPr>
        <w:t>po upływie</w:t>
      </w:r>
      <w:r w:rsidRPr="00E83875">
        <w:rPr>
          <w:rFonts w:ascii="Times New Roman" w:hAnsi="Times New Roman" w:cs="Times New Roman"/>
          <w:sz w:val="24"/>
          <w:szCs w:val="24"/>
        </w:rPr>
        <w:t xml:space="preserve"> 14 dni od dnia ogłoszenia.</w:t>
      </w:r>
    </w:p>
    <w:p w14:paraId="421B70F6" w14:textId="0CC10411" w:rsidR="006C1173" w:rsidRPr="006C1173" w:rsidRDefault="006C1173" w:rsidP="004B5740">
      <w:pPr>
        <w:spacing w:line="360" w:lineRule="auto"/>
        <w:jc w:val="both"/>
        <w:rPr>
          <w:rFonts w:ascii="Times New Roman" w:hAnsi="Times New Roman" w:cs="Times New Roman"/>
          <w:sz w:val="24"/>
          <w:szCs w:val="24"/>
        </w:rPr>
      </w:pPr>
      <w:r w:rsidRPr="006C1173">
        <w:rPr>
          <w:rFonts w:ascii="Times New Roman" w:hAnsi="Times New Roman" w:cs="Times New Roman"/>
          <w:sz w:val="24"/>
          <w:szCs w:val="24"/>
        </w:rPr>
        <w:t xml:space="preserve">Projekt ustawy </w:t>
      </w:r>
      <w:r>
        <w:rPr>
          <w:rFonts w:ascii="Times New Roman" w:hAnsi="Times New Roman" w:cs="Times New Roman"/>
          <w:sz w:val="24"/>
          <w:szCs w:val="24"/>
        </w:rPr>
        <w:t>nie jest sprzeczn</w:t>
      </w:r>
      <w:r w:rsidR="003D6195">
        <w:rPr>
          <w:rFonts w:ascii="Times New Roman" w:hAnsi="Times New Roman" w:cs="Times New Roman"/>
          <w:sz w:val="24"/>
          <w:szCs w:val="24"/>
        </w:rPr>
        <w:t>y</w:t>
      </w:r>
      <w:r>
        <w:rPr>
          <w:rFonts w:ascii="Times New Roman" w:hAnsi="Times New Roman" w:cs="Times New Roman"/>
          <w:sz w:val="24"/>
          <w:szCs w:val="24"/>
        </w:rPr>
        <w:t xml:space="preserve"> </w:t>
      </w:r>
      <w:r w:rsidRPr="006C1173">
        <w:rPr>
          <w:rFonts w:ascii="Times New Roman" w:hAnsi="Times New Roman" w:cs="Times New Roman"/>
          <w:sz w:val="24"/>
          <w:szCs w:val="24"/>
        </w:rPr>
        <w:t>z prawem UE.</w:t>
      </w:r>
    </w:p>
    <w:p w14:paraId="31C962C0" w14:textId="77777777" w:rsidR="006C1173" w:rsidRPr="006C1173" w:rsidRDefault="006C1173" w:rsidP="004B5740">
      <w:pPr>
        <w:spacing w:line="360" w:lineRule="auto"/>
        <w:jc w:val="both"/>
        <w:rPr>
          <w:rFonts w:ascii="Times New Roman" w:hAnsi="Times New Roman" w:cs="Times New Roman"/>
          <w:sz w:val="24"/>
          <w:szCs w:val="24"/>
        </w:rPr>
      </w:pPr>
      <w:r w:rsidRPr="006C1173">
        <w:rPr>
          <w:rFonts w:ascii="Times New Roman" w:hAnsi="Times New Roman" w:cs="Times New Roman"/>
          <w:sz w:val="24"/>
          <w:szCs w:val="24"/>
        </w:rPr>
        <w:t>Projekt ustawy pozostaje bez wpływu na sektor mikro-, małych i średnich przedsiębiorstw.</w:t>
      </w:r>
    </w:p>
    <w:p w14:paraId="15DE2596" w14:textId="77777777" w:rsidR="006C1173" w:rsidRPr="006C1173" w:rsidRDefault="006C1173" w:rsidP="004B5740">
      <w:pPr>
        <w:spacing w:line="360" w:lineRule="auto"/>
        <w:jc w:val="both"/>
        <w:rPr>
          <w:rFonts w:ascii="Times New Roman" w:hAnsi="Times New Roman" w:cs="Times New Roman"/>
          <w:sz w:val="24"/>
          <w:szCs w:val="24"/>
        </w:rPr>
      </w:pPr>
      <w:r w:rsidRPr="006C1173">
        <w:rPr>
          <w:rFonts w:ascii="Times New Roman" w:hAnsi="Times New Roman" w:cs="Times New Roman"/>
          <w:sz w:val="24"/>
          <w:szCs w:val="24"/>
        </w:rPr>
        <w:t>Projektowana regulacja nie zawiera przepisów technicznych w rozumieniu rozporządzenia Rady Ministrów z dnia 23 grudnia 2002 r. w sprawie sposobu funkcjonowania krajowego systemu notyfikacji norm i aktów prawnych (Dz. U. poz. 2039, z późn. zm.) i nie podlega notyfikacji Komisji Europejskiej.</w:t>
      </w:r>
    </w:p>
    <w:p w14:paraId="0654AA10" w14:textId="03413729" w:rsidR="006C1173" w:rsidRPr="006C1173" w:rsidRDefault="006C1173" w:rsidP="004B5740">
      <w:pPr>
        <w:spacing w:line="360" w:lineRule="auto"/>
        <w:jc w:val="both"/>
        <w:rPr>
          <w:rFonts w:ascii="Times New Roman" w:hAnsi="Times New Roman" w:cs="Times New Roman"/>
          <w:sz w:val="24"/>
          <w:szCs w:val="24"/>
        </w:rPr>
      </w:pPr>
      <w:r w:rsidRPr="006C1173">
        <w:rPr>
          <w:rFonts w:ascii="Times New Roman" w:hAnsi="Times New Roman" w:cs="Times New Roman"/>
          <w:sz w:val="24"/>
          <w:szCs w:val="24"/>
        </w:rPr>
        <w:t>Projekt ustawy nie wymaga przedstawienia właściwym organom i instytucjom Unii Europejskiej, w tym Europejskiemu Bankowi Centralnemu, w celu uzyskania opinii, dokonania powiadomienia, konsultacji albo uzgodnienia, o którym mowa w § 27 ust. 4 uchwały nr 190 Rady Ministrów z dnia 29 października 2013 r. – Regulamin pracy Rady Ministrów (M.P.</w:t>
      </w:r>
      <w:r w:rsidR="0054636D">
        <w:rPr>
          <w:rFonts w:ascii="Times New Roman" w:hAnsi="Times New Roman" w:cs="Times New Roman"/>
          <w:sz w:val="24"/>
          <w:szCs w:val="24"/>
        </w:rPr>
        <w:t> </w:t>
      </w:r>
      <w:r w:rsidRPr="006C1173">
        <w:rPr>
          <w:rFonts w:ascii="Times New Roman" w:hAnsi="Times New Roman" w:cs="Times New Roman"/>
          <w:sz w:val="24"/>
          <w:szCs w:val="24"/>
        </w:rPr>
        <w:t>z</w:t>
      </w:r>
      <w:r w:rsidR="003D6195">
        <w:rPr>
          <w:rFonts w:ascii="Times New Roman" w:hAnsi="Times New Roman" w:cs="Times New Roman"/>
          <w:sz w:val="24"/>
          <w:szCs w:val="24"/>
        </w:rPr>
        <w:t> </w:t>
      </w:r>
      <w:r w:rsidRPr="006C1173">
        <w:rPr>
          <w:rFonts w:ascii="Times New Roman" w:hAnsi="Times New Roman" w:cs="Times New Roman"/>
          <w:sz w:val="24"/>
          <w:szCs w:val="24"/>
        </w:rPr>
        <w:t>2024 r. poz. 806, z późn. zm.).</w:t>
      </w:r>
    </w:p>
    <w:p w14:paraId="53ABA187" w14:textId="0351DC7F" w:rsidR="004B79B7" w:rsidRPr="00E83875" w:rsidRDefault="006C1173" w:rsidP="004B5740">
      <w:pPr>
        <w:spacing w:line="360" w:lineRule="auto"/>
        <w:jc w:val="both"/>
        <w:rPr>
          <w:rFonts w:ascii="Times New Roman" w:hAnsi="Times New Roman" w:cs="Times New Roman"/>
          <w:sz w:val="24"/>
          <w:szCs w:val="24"/>
        </w:rPr>
      </w:pPr>
      <w:r w:rsidRPr="006C1173">
        <w:rPr>
          <w:rFonts w:ascii="Times New Roman" w:hAnsi="Times New Roman" w:cs="Times New Roman"/>
          <w:sz w:val="24"/>
          <w:szCs w:val="24"/>
        </w:rPr>
        <w:t>Stosownie do art. 5 ustawy z dnia 7 lipca 2005 r. o działalności lobbingowej w procesie stanowienia prawa (Dz. U. z 20</w:t>
      </w:r>
      <w:r w:rsidR="0084546F">
        <w:rPr>
          <w:rFonts w:ascii="Times New Roman" w:hAnsi="Times New Roman" w:cs="Times New Roman"/>
          <w:sz w:val="24"/>
          <w:szCs w:val="24"/>
        </w:rPr>
        <w:t>25</w:t>
      </w:r>
      <w:r w:rsidRPr="006C1173">
        <w:rPr>
          <w:rFonts w:ascii="Times New Roman" w:hAnsi="Times New Roman" w:cs="Times New Roman"/>
          <w:sz w:val="24"/>
          <w:szCs w:val="24"/>
        </w:rPr>
        <w:t xml:space="preserve"> r. poz. </w:t>
      </w:r>
      <w:r w:rsidR="0084546F">
        <w:rPr>
          <w:rFonts w:ascii="Times New Roman" w:hAnsi="Times New Roman" w:cs="Times New Roman"/>
          <w:sz w:val="24"/>
          <w:szCs w:val="24"/>
        </w:rPr>
        <w:t>677</w:t>
      </w:r>
      <w:r w:rsidRPr="006C1173">
        <w:rPr>
          <w:rFonts w:ascii="Times New Roman" w:hAnsi="Times New Roman" w:cs="Times New Roman"/>
          <w:sz w:val="24"/>
          <w:szCs w:val="24"/>
        </w:rPr>
        <w:t>)</w:t>
      </w:r>
      <w:r w:rsidR="007C132C">
        <w:rPr>
          <w:rFonts w:ascii="Times New Roman" w:hAnsi="Times New Roman" w:cs="Times New Roman"/>
          <w:sz w:val="24"/>
          <w:szCs w:val="24"/>
        </w:rPr>
        <w:t xml:space="preserve"> </w:t>
      </w:r>
      <w:r w:rsidR="007C132C" w:rsidRPr="007C132C">
        <w:rPr>
          <w:rFonts w:ascii="Times New Roman" w:hAnsi="Times New Roman" w:cs="Times New Roman"/>
          <w:color w:val="000000"/>
          <w:sz w:val="24"/>
          <w:szCs w:val="24"/>
        </w:rPr>
        <w:t xml:space="preserve">oraz § 52 ust. 1 uchwały nr 190 Rady Ministrów z dnia 29 października 2013 r. – Regulamin pracy Rady Ministrów </w:t>
      </w:r>
      <w:r w:rsidRPr="006C1173">
        <w:rPr>
          <w:rFonts w:ascii="Times New Roman" w:hAnsi="Times New Roman" w:cs="Times New Roman"/>
          <w:sz w:val="24"/>
          <w:szCs w:val="24"/>
        </w:rPr>
        <w:t xml:space="preserve">projekt ustawy </w:t>
      </w:r>
      <w:r w:rsidR="00127411">
        <w:rPr>
          <w:rFonts w:ascii="Times New Roman" w:hAnsi="Times New Roman" w:cs="Times New Roman"/>
          <w:sz w:val="24"/>
          <w:szCs w:val="24"/>
        </w:rPr>
        <w:t>został</w:t>
      </w:r>
      <w:r w:rsidRPr="006C1173">
        <w:rPr>
          <w:rFonts w:ascii="Times New Roman" w:hAnsi="Times New Roman" w:cs="Times New Roman"/>
          <w:sz w:val="24"/>
          <w:szCs w:val="24"/>
        </w:rPr>
        <w:t xml:space="preserve"> udostępni</w:t>
      </w:r>
      <w:r w:rsidR="00127411">
        <w:rPr>
          <w:rFonts w:ascii="Times New Roman" w:hAnsi="Times New Roman" w:cs="Times New Roman"/>
          <w:sz w:val="24"/>
          <w:szCs w:val="24"/>
        </w:rPr>
        <w:t>ony</w:t>
      </w:r>
      <w:r w:rsidRPr="006C1173">
        <w:rPr>
          <w:rFonts w:ascii="Times New Roman" w:hAnsi="Times New Roman" w:cs="Times New Roman"/>
          <w:sz w:val="24"/>
          <w:szCs w:val="24"/>
        </w:rPr>
        <w:t xml:space="preserve"> w Biuletynie Informacji Publicznej </w:t>
      </w:r>
      <w:r w:rsidR="007C132C" w:rsidRPr="007C132C">
        <w:rPr>
          <w:rFonts w:ascii="Times New Roman" w:hAnsi="Times New Roman" w:cs="Times New Roman"/>
          <w:color w:val="000000"/>
          <w:sz w:val="24"/>
          <w:szCs w:val="24"/>
        </w:rPr>
        <w:t xml:space="preserve">na stronie podmiotowej </w:t>
      </w:r>
      <w:r w:rsidRPr="006C1173">
        <w:rPr>
          <w:rFonts w:ascii="Times New Roman" w:hAnsi="Times New Roman" w:cs="Times New Roman"/>
          <w:sz w:val="24"/>
          <w:szCs w:val="24"/>
        </w:rPr>
        <w:t>Rządowego Centrum Legislacji</w:t>
      </w:r>
      <w:r w:rsidR="007C132C">
        <w:rPr>
          <w:rFonts w:ascii="Times New Roman" w:hAnsi="Times New Roman" w:cs="Times New Roman"/>
          <w:sz w:val="24"/>
          <w:szCs w:val="24"/>
        </w:rPr>
        <w:t>,</w:t>
      </w:r>
      <w:r w:rsidR="007C132C" w:rsidRPr="007C132C">
        <w:rPr>
          <w:rFonts w:ascii="Times New Roman" w:hAnsi="Times New Roman" w:cs="Times New Roman"/>
          <w:color w:val="000000"/>
          <w:sz w:val="24"/>
          <w:szCs w:val="24"/>
        </w:rPr>
        <w:t xml:space="preserve"> w serwisie Rządowy Proces Legislacyjny</w:t>
      </w:r>
      <w:r w:rsidRPr="006C1173">
        <w:rPr>
          <w:rFonts w:ascii="Times New Roman" w:hAnsi="Times New Roman" w:cs="Times New Roman"/>
          <w:sz w:val="24"/>
          <w:szCs w:val="24"/>
        </w:rPr>
        <w:t>.</w:t>
      </w:r>
    </w:p>
    <w:sectPr w:rsidR="004B79B7" w:rsidRPr="00E83875" w:rsidSect="006723CA">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A3076" w14:textId="77777777" w:rsidR="00AF2EC6" w:rsidRDefault="00AF2EC6" w:rsidP="00F053A6">
      <w:pPr>
        <w:spacing w:after="0" w:line="240" w:lineRule="auto"/>
      </w:pPr>
      <w:r>
        <w:separator/>
      </w:r>
    </w:p>
  </w:endnote>
  <w:endnote w:type="continuationSeparator" w:id="0">
    <w:p w14:paraId="18865503" w14:textId="77777777" w:rsidR="00AF2EC6" w:rsidRDefault="00AF2EC6" w:rsidP="00F0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700385228"/>
      <w:docPartObj>
        <w:docPartGallery w:val="Page Numbers (Bottom of Page)"/>
        <w:docPartUnique/>
      </w:docPartObj>
    </w:sdtPr>
    <w:sdtEndPr/>
    <w:sdtContent>
      <w:p w14:paraId="72965820" w14:textId="3210A1A0" w:rsidR="006723CA" w:rsidRPr="006723CA" w:rsidRDefault="006723CA">
        <w:pPr>
          <w:pStyle w:val="Stopka"/>
          <w:jc w:val="center"/>
          <w:rPr>
            <w:rFonts w:ascii="Times New Roman" w:hAnsi="Times New Roman" w:cs="Times New Roman"/>
            <w:sz w:val="24"/>
            <w:szCs w:val="24"/>
          </w:rPr>
        </w:pPr>
        <w:r w:rsidRPr="006723CA">
          <w:rPr>
            <w:rFonts w:ascii="Times New Roman" w:hAnsi="Times New Roman" w:cs="Times New Roman"/>
            <w:sz w:val="24"/>
            <w:szCs w:val="24"/>
          </w:rPr>
          <w:fldChar w:fldCharType="begin"/>
        </w:r>
        <w:r w:rsidRPr="006723CA">
          <w:rPr>
            <w:rFonts w:ascii="Times New Roman" w:hAnsi="Times New Roman" w:cs="Times New Roman"/>
            <w:sz w:val="24"/>
            <w:szCs w:val="24"/>
          </w:rPr>
          <w:instrText>PAGE   \* MERGEFORMAT</w:instrText>
        </w:r>
        <w:r w:rsidRPr="006723CA">
          <w:rPr>
            <w:rFonts w:ascii="Times New Roman" w:hAnsi="Times New Roman" w:cs="Times New Roman"/>
            <w:sz w:val="24"/>
            <w:szCs w:val="24"/>
          </w:rPr>
          <w:fldChar w:fldCharType="separate"/>
        </w:r>
        <w:r w:rsidRPr="006723CA">
          <w:rPr>
            <w:rFonts w:ascii="Times New Roman" w:hAnsi="Times New Roman" w:cs="Times New Roman"/>
            <w:sz w:val="24"/>
            <w:szCs w:val="24"/>
          </w:rPr>
          <w:t>2</w:t>
        </w:r>
        <w:r w:rsidRPr="006723CA">
          <w:rPr>
            <w:rFonts w:ascii="Times New Roman" w:hAnsi="Times New Roman" w:cs="Times New Roman"/>
            <w:sz w:val="24"/>
            <w:szCs w:val="24"/>
          </w:rPr>
          <w:fldChar w:fldCharType="end"/>
        </w:r>
      </w:p>
    </w:sdtContent>
  </w:sdt>
  <w:p w14:paraId="530977C9" w14:textId="77777777" w:rsidR="00342F50" w:rsidRPr="006723CA" w:rsidRDefault="00342F50">
    <w:pPr>
      <w:pStyle w:val="Stopka"/>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AED39" w14:textId="77777777" w:rsidR="00AF2EC6" w:rsidRDefault="00AF2EC6" w:rsidP="00F053A6">
      <w:pPr>
        <w:spacing w:after="0" w:line="240" w:lineRule="auto"/>
      </w:pPr>
      <w:r>
        <w:separator/>
      </w:r>
    </w:p>
  </w:footnote>
  <w:footnote w:type="continuationSeparator" w:id="0">
    <w:p w14:paraId="3D0E07D7" w14:textId="77777777" w:rsidR="00AF2EC6" w:rsidRDefault="00AF2EC6" w:rsidP="00F053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91"/>
    <w:rsid w:val="00127411"/>
    <w:rsid w:val="00155906"/>
    <w:rsid w:val="00177FC0"/>
    <w:rsid w:val="00181678"/>
    <w:rsid w:val="001D1306"/>
    <w:rsid w:val="00336253"/>
    <w:rsid w:val="00342F50"/>
    <w:rsid w:val="00395057"/>
    <w:rsid w:val="003D6195"/>
    <w:rsid w:val="0042023E"/>
    <w:rsid w:val="0046749A"/>
    <w:rsid w:val="0048158C"/>
    <w:rsid w:val="004B5740"/>
    <w:rsid w:val="004B79B7"/>
    <w:rsid w:val="004C6379"/>
    <w:rsid w:val="0054636D"/>
    <w:rsid w:val="006723CA"/>
    <w:rsid w:val="006A2411"/>
    <w:rsid w:val="006B343D"/>
    <w:rsid w:val="006C1173"/>
    <w:rsid w:val="006F43F7"/>
    <w:rsid w:val="00731BB9"/>
    <w:rsid w:val="007C132C"/>
    <w:rsid w:val="008057C8"/>
    <w:rsid w:val="00840157"/>
    <w:rsid w:val="0084546F"/>
    <w:rsid w:val="0089503B"/>
    <w:rsid w:val="0090475A"/>
    <w:rsid w:val="0098228E"/>
    <w:rsid w:val="00984697"/>
    <w:rsid w:val="00AF2EC6"/>
    <w:rsid w:val="00B63D91"/>
    <w:rsid w:val="00BF499F"/>
    <w:rsid w:val="00C123C8"/>
    <w:rsid w:val="00D847D0"/>
    <w:rsid w:val="00DB5DCF"/>
    <w:rsid w:val="00DB7C1C"/>
    <w:rsid w:val="00E02033"/>
    <w:rsid w:val="00E10EAC"/>
    <w:rsid w:val="00E7391E"/>
    <w:rsid w:val="00E83875"/>
    <w:rsid w:val="00F053A6"/>
    <w:rsid w:val="00FA7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80297"/>
  <w15:chartTrackingRefBased/>
  <w15:docId w15:val="{0A4D8EDB-30C8-428F-94E6-C66678E7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2F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2F50"/>
  </w:style>
  <w:style w:type="paragraph" w:styleId="Stopka">
    <w:name w:val="footer"/>
    <w:basedOn w:val="Normalny"/>
    <w:link w:val="StopkaZnak"/>
    <w:uiPriority w:val="99"/>
    <w:unhideWhenUsed/>
    <w:rsid w:val="00342F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F50"/>
  </w:style>
  <w:style w:type="paragraph" w:styleId="Poprawka">
    <w:name w:val="Revision"/>
    <w:hidden/>
    <w:uiPriority w:val="99"/>
    <w:semiHidden/>
    <w:rsid w:val="006723CA"/>
    <w:pPr>
      <w:spacing w:after="0" w:line="240" w:lineRule="auto"/>
    </w:pPr>
  </w:style>
  <w:style w:type="paragraph" w:styleId="Tekstdymka">
    <w:name w:val="Balloon Text"/>
    <w:basedOn w:val="Normalny"/>
    <w:link w:val="TekstdymkaZnak"/>
    <w:uiPriority w:val="99"/>
    <w:semiHidden/>
    <w:unhideWhenUsed/>
    <w:rsid w:val="004B57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5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4306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Binkowska Joanna</dc:creator>
  <cp:keywords/>
  <dc:description/>
  <cp:lastModifiedBy>Binkowska Joanna</cp:lastModifiedBy>
  <cp:revision>3</cp:revision>
  <dcterms:created xsi:type="dcterms:W3CDTF">2025-07-01T12:37:00Z</dcterms:created>
  <dcterms:modified xsi:type="dcterms:W3CDTF">2025-07-01T12:38:00Z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UxC4dwLulzfINJ8nQH+xvX5LNGipWa4BRSZhPgxsCvlTwNP5OE0VmtKQA2Xs8wY9oLXfwfYqQ40aw/6OrNSx2Q==</vt:lpwstr>
  </property>
  <property fmtid="{D5CDD505-2E9C-101B-9397-08002B2CF9AE}" pid="4" name="MFClassificationDate">
    <vt:lpwstr>2025-06-10T10:28:09.4742873+02:00</vt:lpwstr>
  </property>
  <property fmtid="{D5CDD505-2E9C-101B-9397-08002B2CF9AE}" pid="5" name="MFClassifiedBySID">
    <vt:lpwstr>UxC4dwLulzfINJ8nQH+xvX5LNGipWa4BRSZhPgxsCvm42mrIC/DSDv0ggS+FjUN/2v1BBotkLlY5aAiEhoi6uXtaRD/dl0WrsPxqo9VvXy0bXPsVHq8mmeB2VbYtWWu8</vt:lpwstr>
  </property>
  <property fmtid="{D5CDD505-2E9C-101B-9397-08002B2CF9AE}" pid="6" name="MFGRNItemId">
    <vt:lpwstr>GRN-c549d02e-f8aa-40a5-a3fe-d52f420d555d</vt:lpwstr>
  </property>
  <property fmtid="{D5CDD505-2E9C-101B-9397-08002B2CF9AE}" pid="7" name="MFHash">
    <vt:lpwstr>AUbRcbYIRvqLhKfwnzWc2ufa51njvT5SAz3+LeoK6p8=</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