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CA5E4" w14:textId="294654F1" w:rsidR="006E39C6" w:rsidRPr="00836F72" w:rsidRDefault="005214BE" w:rsidP="00836F72">
      <w:pPr>
        <w:spacing w:after="240" w:line="360" w:lineRule="auto"/>
        <w:jc w:val="center"/>
        <w:rPr>
          <w:rFonts w:ascii="Times New Roman" w:hAnsi="Times New Roman" w:cs="Times New Roman"/>
          <w:color w:val="333333"/>
          <w:sz w:val="24"/>
          <w:szCs w:val="24"/>
          <w:shd w:val="clear" w:color="auto" w:fill="FFFFFF"/>
        </w:rPr>
      </w:pPr>
      <w:r w:rsidRPr="005214BE">
        <w:rPr>
          <w:rFonts w:ascii="Times New Roman" w:hAnsi="Times New Roman" w:cs="Times New Roman"/>
          <w:color w:val="333333"/>
          <w:sz w:val="24"/>
          <w:szCs w:val="24"/>
          <w:shd w:val="clear" w:color="auto" w:fill="FFFFFF"/>
        </w:rPr>
        <w:t>UZASADNIENIE</w:t>
      </w:r>
    </w:p>
    <w:p w14:paraId="7A9913FB" w14:textId="352DBFF1" w:rsidR="005A197C" w:rsidRPr="005214BE" w:rsidRDefault="00A5404A"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P</w:t>
      </w:r>
      <w:r w:rsidR="00E75A13" w:rsidRPr="005214BE">
        <w:rPr>
          <w:rFonts w:ascii="Times New Roman" w:hAnsi="Times New Roman" w:cs="Times New Roman"/>
          <w:sz w:val="24"/>
          <w:szCs w:val="24"/>
        </w:rPr>
        <w:t xml:space="preserve">rojekt ustawy o ustalaniu wysokości emerytur z Funduszu Ubezpieczeń Społecznych </w:t>
      </w:r>
      <w:r w:rsidR="00C436C9" w:rsidRPr="005214BE">
        <w:rPr>
          <w:rFonts w:ascii="Times New Roman" w:hAnsi="Times New Roman" w:cs="Times New Roman"/>
          <w:sz w:val="24"/>
          <w:szCs w:val="24"/>
        </w:rPr>
        <w:t xml:space="preserve">ustalonych </w:t>
      </w:r>
      <w:r w:rsidR="00E75A13" w:rsidRPr="005214BE">
        <w:rPr>
          <w:rFonts w:ascii="Times New Roman" w:hAnsi="Times New Roman" w:cs="Times New Roman"/>
          <w:sz w:val="24"/>
          <w:szCs w:val="24"/>
        </w:rPr>
        <w:t xml:space="preserve">w czerwcu w latach 2009–2019 oraz rent rodzinnych po ubezpieczonych, którym </w:t>
      </w:r>
      <w:r w:rsidR="00C436C9" w:rsidRPr="005214BE">
        <w:rPr>
          <w:rFonts w:ascii="Times New Roman" w:hAnsi="Times New Roman" w:cs="Times New Roman"/>
          <w:sz w:val="24"/>
          <w:szCs w:val="24"/>
        </w:rPr>
        <w:t xml:space="preserve">ustalono </w:t>
      </w:r>
      <w:r w:rsidR="00E75A13" w:rsidRPr="005214BE">
        <w:rPr>
          <w:rFonts w:ascii="Times New Roman" w:hAnsi="Times New Roman" w:cs="Times New Roman"/>
          <w:sz w:val="24"/>
          <w:szCs w:val="24"/>
        </w:rPr>
        <w:t>emerytury w czerwcu w latach 2009–2019</w:t>
      </w:r>
      <w:r w:rsidR="004D6761" w:rsidRPr="005214BE">
        <w:rPr>
          <w:rFonts w:ascii="Times New Roman" w:hAnsi="Times New Roman" w:cs="Times New Roman"/>
          <w:sz w:val="24"/>
          <w:szCs w:val="24"/>
        </w:rPr>
        <w:t>,</w:t>
      </w:r>
      <w:r w:rsidR="00E75A13" w:rsidRPr="005214BE">
        <w:rPr>
          <w:rFonts w:ascii="Times New Roman" w:hAnsi="Times New Roman" w:cs="Times New Roman"/>
          <w:sz w:val="24"/>
          <w:szCs w:val="24"/>
        </w:rPr>
        <w:t xml:space="preserve"> </w:t>
      </w:r>
      <w:r w:rsidRPr="005214BE">
        <w:rPr>
          <w:rFonts w:ascii="Times New Roman" w:hAnsi="Times New Roman" w:cs="Times New Roman"/>
          <w:sz w:val="24"/>
          <w:szCs w:val="24"/>
        </w:rPr>
        <w:t>ma na celu</w:t>
      </w:r>
      <w:r w:rsidR="00E75A13" w:rsidRPr="005214BE">
        <w:rPr>
          <w:rFonts w:ascii="Times New Roman" w:hAnsi="Times New Roman" w:cs="Times New Roman"/>
          <w:sz w:val="24"/>
          <w:szCs w:val="24"/>
        </w:rPr>
        <w:t xml:space="preserve"> rozwiązanie kwestii tzw. emerytur czerwcowych. Złożoność zagadnienia jest następstwem wprowadzenia nowego algorytmu wymiaru emerytury dla ubezpieczonych, urodzonych po dniu 31 grudnia 1948 r., którzy zostali objęci reformą emerytalną.</w:t>
      </w:r>
    </w:p>
    <w:p w14:paraId="4D2E4D5F" w14:textId="77777777" w:rsidR="0065720B" w:rsidRPr="005214BE" w:rsidRDefault="00E75A13" w:rsidP="00836F72">
      <w:pPr>
        <w:spacing w:before="120" w:after="0" w:line="360" w:lineRule="auto"/>
        <w:jc w:val="both"/>
        <w:rPr>
          <w:rFonts w:ascii="Times New Roman" w:eastAsia="Times New Roman" w:hAnsi="Times New Roman" w:cs="Times New Roman"/>
          <w:sz w:val="24"/>
          <w:szCs w:val="24"/>
          <w:lang w:eastAsia="pl-PL"/>
        </w:rPr>
      </w:pPr>
      <w:r w:rsidRPr="005214BE">
        <w:rPr>
          <w:rFonts w:ascii="Times New Roman" w:hAnsi="Times New Roman" w:cs="Times New Roman"/>
          <w:sz w:val="24"/>
          <w:szCs w:val="24"/>
        </w:rPr>
        <w:t xml:space="preserve">Świadczenie osoby przechodzącej na emeryturę w czerwcu, obliczane z zastosowaniem tzw. nowych zasad wymiaru, określonych w art. 25–26 ustawy z dnia 17 grudnia 1998 r. o emeryturach i rentach z Funduszu Ubezpieczeń Społecznych (Dz. U. z 2024 r. poz. 1631, z późn. zm.), zwanej dalej „ustawą emerytalną”, było zwykle niższe niż osoby przechodzącej w maju danego roku, gdyż suma wskaźników waloryzacji kwartalnej, którymi zostałyby objęte składki emerytalne oraz kapitał początkowy przy przejściu na emeryturę w kwietniu lub maju, jest zazwyczaj wyższa od wskaźnika waloryzacji rocznej, który stosuje się przy ustalaniu emerytury/renty rodzinnej, przyznanej w czerwcu danego roku. Formuła obliczania wskaźnika waloryzacji składek, zarówno rocznej, jak i kwartalnej, jest oparta na wzroście przypisu składek na ubezpieczenie emerytalne. W pierwszym kwartale roku wzrost przypisu składek w stosunku do czwartego kwartału poprzedniego roku jest wyższy niż w pozostałych kwartałach. Ma to związek z kumulacją periodycznych wypłat wynagrodzeń w I kwartale roku. W konsekwencji wskaźnik waloryzacji składek za I kwartał danego roku, co do zasady, jest wyższy niż roczny wskaźnik waloryzacji składek. Im większa jest ta różnica, tym waloryzacja kwartalna składek jest korzystniejsza od waloryzacji za ten sam okres w ujęciu rocznym. Tym samym </w:t>
      </w:r>
      <w:r w:rsidR="00A5404A" w:rsidRPr="005214BE">
        <w:rPr>
          <w:rFonts w:ascii="Times New Roman" w:hAnsi="Times New Roman" w:cs="Times New Roman"/>
          <w:sz w:val="24"/>
          <w:szCs w:val="24"/>
        </w:rPr>
        <w:t xml:space="preserve">złożenie </w:t>
      </w:r>
      <w:r w:rsidRPr="005214BE">
        <w:rPr>
          <w:rFonts w:ascii="Times New Roman" w:hAnsi="Times New Roman" w:cs="Times New Roman"/>
          <w:sz w:val="24"/>
          <w:szCs w:val="24"/>
        </w:rPr>
        <w:t xml:space="preserve">wniosku o emeryturę w czerwcu mogło być mniej korzystne niż </w:t>
      </w:r>
      <w:r w:rsidR="00A5404A" w:rsidRPr="005214BE">
        <w:rPr>
          <w:rFonts w:ascii="Times New Roman" w:hAnsi="Times New Roman" w:cs="Times New Roman"/>
          <w:sz w:val="24"/>
          <w:szCs w:val="24"/>
        </w:rPr>
        <w:t>złożenie</w:t>
      </w:r>
      <w:r w:rsidRPr="005214BE">
        <w:rPr>
          <w:rFonts w:ascii="Times New Roman" w:hAnsi="Times New Roman" w:cs="Times New Roman"/>
          <w:sz w:val="24"/>
          <w:szCs w:val="24"/>
        </w:rPr>
        <w:t xml:space="preserve"> wniosku w pozostałych miesiącach II kwartału. W konsekwencji również renty rodzinne ustalone w czerwcu mogły być również niższe niż ustalone w innych miesiącach danego roku.</w:t>
      </w:r>
    </w:p>
    <w:p w14:paraId="2E6B569E" w14:textId="3EEDFE64" w:rsidR="00F622F4" w:rsidRPr="005214BE" w:rsidRDefault="00E75A13" w:rsidP="00836F72">
      <w:pPr>
        <w:spacing w:before="120" w:after="0" w:line="360" w:lineRule="auto"/>
        <w:jc w:val="both"/>
        <w:rPr>
          <w:rFonts w:ascii="Times New Roman" w:eastAsia="Times New Roman" w:hAnsi="Times New Roman" w:cs="Times New Roman"/>
          <w:sz w:val="24"/>
          <w:szCs w:val="24"/>
          <w:lang w:eastAsia="pl-PL"/>
        </w:rPr>
      </w:pPr>
      <w:r w:rsidRPr="005214BE">
        <w:rPr>
          <w:rFonts w:ascii="Times New Roman" w:hAnsi="Times New Roman" w:cs="Times New Roman"/>
          <w:sz w:val="24"/>
          <w:szCs w:val="24"/>
        </w:rPr>
        <w:t xml:space="preserve">Z uwagi na powyższe zainicjowano działania mające na celu zapewnienie ubezpieczonym uzyskanie rzetelnych informacji w zakresie wysokości świadczeń przyznawanych w czerwcu. Przede wszystkim doradcy emerytalni oraz pracownicy Zakładu Ubezpieczeń Społecznych (ZUS), przyjmujący wnioski o świadczenia emerytalne, informowali osoby zgłaszające wniosek w czerwcu, że </w:t>
      </w:r>
      <w:r w:rsidR="00A5404A" w:rsidRPr="005214BE">
        <w:rPr>
          <w:rFonts w:ascii="Times New Roman" w:hAnsi="Times New Roman" w:cs="Times New Roman"/>
          <w:sz w:val="24"/>
          <w:szCs w:val="24"/>
        </w:rPr>
        <w:t xml:space="preserve">jeżeli </w:t>
      </w:r>
      <w:r w:rsidRPr="005214BE">
        <w:rPr>
          <w:rFonts w:ascii="Times New Roman" w:hAnsi="Times New Roman" w:cs="Times New Roman"/>
          <w:sz w:val="24"/>
          <w:szCs w:val="24"/>
        </w:rPr>
        <w:t xml:space="preserve">przejdą na emeryturę w innym miesiącu, to mogą uzyskać wyższą kwotę emerytury. Przyszli emeryci mieli też możliwość skorzystania z kalkulatora emerytalnego, zamieszczonego na stronie internetowej ZUS, w celu porównania wysokości kwot emerytury, obliczonych dla poszczególnych miesięcy roku, w którym planują zakończyć </w:t>
      </w:r>
      <w:r w:rsidRPr="005214BE">
        <w:rPr>
          <w:rFonts w:ascii="Times New Roman" w:hAnsi="Times New Roman" w:cs="Times New Roman"/>
          <w:sz w:val="24"/>
          <w:szCs w:val="24"/>
        </w:rPr>
        <w:lastRenderedPageBreak/>
        <w:t>pracę i przejść na emeryturę. Są to wprawdzie kwoty hipotetyczne, ale obrazują różnice w wysokości emerytury w zależności od miesiąca przejścia na emeryturę. Akcja informacyjna ZUS przyniosła efekty. Na wzrost świadomości ubezpieczonych o znaczeniu daty przejścia na emeryturę wskazuje fakt, że liczba osób przechodzących w czerwcu na emeryturę systematycznie malała. W latach 2018</w:t>
      </w:r>
      <w:r w:rsidR="005214BE">
        <w:rPr>
          <w:rFonts w:ascii="Times New Roman" w:hAnsi="Times New Roman" w:cs="Times New Roman"/>
          <w:sz w:val="24"/>
          <w:szCs w:val="24"/>
        </w:rPr>
        <w:t>-</w:t>
      </w:r>
      <w:r w:rsidRPr="005214BE">
        <w:rPr>
          <w:rFonts w:ascii="Times New Roman" w:hAnsi="Times New Roman" w:cs="Times New Roman"/>
          <w:sz w:val="24"/>
          <w:szCs w:val="24"/>
        </w:rPr>
        <w:t>2019 było to około 1</w:t>
      </w:r>
      <w:r w:rsidR="00A97B91" w:rsidRPr="005214BE">
        <w:rPr>
          <w:rFonts w:ascii="Times New Roman" w:hAnsi="Times New Roman" w:cs="Times New Roman"/>
          <w:sz w:val="24"/>
          <w:szCs w:val="24"/>
        </w:rPr>
        <w:t xml:space="preserve"> </w:t>
      </w:r>
      <w:r w:rsidRPr="005214BE">
        <w:rPr>
          <w:rFonts w:ascii="Times New Roman" w:hAnsi="Times New Roman" w:cs="Times New Roman"/>
          <w:sz w:val="24"/>
          <w:szCs w:val="24"/>
        </w:rPr>
        <w:t>% ogółu przyznanych w danym roku emerytur.</w:t>
      </w:r>
    </w:p>
    <w:p w14:paraId="5669BD0D" w14:textId="0CBC8051" w:rsidR="00F622F4" w:rsidRPr="005214BE" w:rsidRDefault="00E75A13" w:rsidP="00836F72">
      <w:pPr>
        <w:pStyle w:val="Akapitzlist"/>
        <w:spacing w:before="120" w:after="0" w:line="360" w:lineRule="auto"/>
        <w:ind w:left="0"/>
        <w:jc w:val="both"/>
        <w:rPr>
          <w:rFonts w:ascii="Times New Roman" w:eastAsia="Times New Roman" w:hAnsi="Times New Roman" w:cs="Times New Roman"/>
          <w:sz w:val="24"/>
          <w:szCs w:val="24"/>
        </w:rPr>
      </w:pPr>
      <w:r w:rsidRPr="005214BE">
        <w:rPr>
          <w:rFonts w:ascii="Times New Roman" w:hAnsi="Times New Roman" w:cs="Times New Roman"/>
          <w:sz w:val="24"/>
          <w:szCs w:val="24"/>
        </w:rPr>
        <w:t>Doraźne rozwiązanie kwestii tzw. emerytur czerwcowych, z którego skorzystały osoby przechodzące na emeryturę lub którym została przyznana renta rodzinna w czerwcu 2020 r., zawiera ustawa z dnia 14 maja 2020 r. o zmianie niektórych ustaw w zakresie działań osłonowych w związku z rozprzestrzenianiem się wirusa SARS-CoV-2 (Dz. U. poz. 875, z późn. zm.). Zgodnie z art. 53 tej ustawy, w przypadku ustalania wysokości emerytury w czerwcu 2020 r., waloryzacji składek, stanowiących podstawę obliczenia emerytury, dokonuje się w taki sam sposób, jak przy ustalaniu wysokości emerytury w maju 2020 r., jeżeli jest to korzystniejsze dla ubezpieczonego. Celem tej regulacji było to, aby podstawa wymiaru emerytury/renty rodzinnej, ustalona na dzień 1 czerwca 2020 r., nie była niższa od ustalonej na dzień 31 maja tego roku.</w:t>
      </w:r>
    </w:p>
    <w:p w14:paraId="673114F0" w14:textId="7A5F49AA" w:rsidR="00F622F4" w:rsidRPr="005214BE" w:rsidRDefault="00E75A13"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Natomiast kwestia nowo przyznawanych tzw. emerytur czerwcowych została uregulowana w ustawie z dnia 24 czerwca 2021 r. o zmianie ustawy o systemie ubezpieczeń społecznych oraz niektórych innych ustaw (Dz. U. poz. 1621). Zmiany weszły w życie z dniem 18 września 2021 r. i dotyczą emerytur przyznanych w czerwcu 2021 r. oraz w latach następnych. Ustawą tą na stałe wprowadzono rozwiązanie, które zafunkcjonowało w 2020 r. Powyższe rozwiązania dotyczyły również rent rodzinnych.</w:t>
      </w:r>
    </w:p>
    <w:p w14:paraId="112638AC" w14:textId="65E90742" w:rsidR="006B1C44" w:rsidRPr="005214BE" w:rsidRDefault="00E75A13"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W ustawie tej nie przewidziano jednak regulacji, które dawałyby możliwość ustalenia na nowo wysokości emerytury (z uwzględnieniem zmian dotyczących sposobu waloryzacji składek emerytalnych oraz kapitału początkowego) osobom, którym już ustalono wysokość emerytury w czerwcu w latach poprzednich, tj. w latach 2009</w:t>
      </w:r>
      <w:r w:rsidR="005214BE">
        <w:rPr>
          <w:rFonts w:ascii="Times New Roman" w:hAnsi="Times New Roman" w:cs="Times New Roman"/>
          <w:sz w:val="24"/>
          <w:szCs w:val="24"/>
        </w:rPr>
        <w:t>–</w:t>
      </w:r>
      <w:r w:rsidRPr="005214BE">
        <w:rPr>
          <w:rFonts w:ascii="Times New Roman" w:hAnsi="Times New Roman" w:cs="Times New Roman"/>
          <w:sz w:val="24"/>
          <w:szCs w:val="24"/>
        </w:rPr>
        <w:t>2019, gdyż przyjęto generalną zasadę, że proponowane przepisy dotyczą jedynie osób przechodzących na emeryturę począwszy od czerwca 2021 r.</w:t>
      </w:r>
    </w:p>
    <w:p w14:paraId="25253469" w14:textId="1C9AE933" w:rsidR="006B1C44" w:rsidRPr="005214BE" w:rsidRDefault="00E75A13" w:rsidP="00836F72">
      <w:pPr>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5214BE">
        <w:rPr>
          <w:rFonts w:ascii="Times New Roman" w:hAnsi="Times New Roman" w:cs="Times New Roman"/>
          <w:sz w:val="24"/>
          <w:szCs w:val="24"/>
        </w:rPr>
        <w:t xml:space="preserve">Rozwiązanie kwestii emerytur czerwcowych i rent rodzinnych, </w:t>
      </w:r>
      <w:r w:rsidR="00EA57FF" w:rsidRPr="005214BE">
        <w:rPr>
          <w:rFonts w:ascii="Times New Roman" w:hAnsi="Times New Roman" w:cs="Times New Roman"/>
          <w:sz w:val="24"/>
          <w:szCs w:val="24"/>
        </w:rPr>
        <w:t>ustalanych</w:t>
      </w:r>
      <w:r w:rsidRPr="005214BE">
        <w:rPr>
          <w:rFonts w:ascii="Times New Roman" w:hAnsi="Times New Roman" w:cs="Times New Roman"/>
          <w:sz w:val="24"/>
          <w:szCs w:val="24"/>
        </w:rPr>
        <w:t xml:space="preserve"> w czerwcu w latach 2009</w:t>
      </w:r>
      <w:r w:rsidR="005214BE">
        <w:rPr>
          <w:rFonts w:ascii="Times New Roman" w:hAnsi="Times New Roman" w:cs="Times New Roman"/>
          <w:sz w:val="24"/>
          <w:szCs w:val="24"/>
        </w:rPr>
        <w:t>–</w:t>
      </w:r>
      <w:r w:rsidRPr="005214BE">
        <w:rPr>
          <w:rFonts w:ascii="Times New Roman" w:hAnsi="Times New Roman" w:cs="Times New Roman"/>
          <w:sz w:val="24"/>
          <w:szCs w:val="24"/>
        </w:rPr>
        <w:t xml:space="preserve">2019, jest możliwe jedynie poprzez podjęcie działań legislacyjnych, mających na celu umożliwienie ustalenia na nowo wysokości </w:t>
      </w:r>
      <w:r w:rsidR="00CE2D71" w:rsidRPr="005214BE">
        <w:rPr>
          <w:rFonts w:ascii="Times New Roman" w:hAnsi="Times New Roman" w:cs="Times New Roman"/>
          <w:sz w:val="24"/>
          <w:szCs w:val="24"/>
        </w:rPr>
        <w:t xml:space="preserve">ustalonych </w:t>
      </w:r>
      <w:r w:rsidRPr="005214BE">
        <w:rPr>
          <w:rFonts w:ascii="Times New Roman" w:hAnsi="Times New Roman" w:cs="Times New Roman"/>
          <w:sz w:val="24"/>
          <w:szCs w:val="24"/>
        </w:rPr>
        <w:t>w czerwcu w latach 2009</w:t>
      </w:r>
      <w:r w:rsidR="005214BE">
        <w:rPr>
          <w:rFonts w:ascii="Times New Roman" w:hAnsi="Times New Roman" w:cs="Times New Roman"/>
          <w:sz w:val="24"/>
          <w:szCs w:val="24"/>
        </w:rPr>
        <w:t>–</w:t>
      </w:r>
      <w:r w:rsidRPr="005214BE">
        <w:rPr>
          <w:rFonts w:ascii="Times New Roman" w:hAnsi="Times New Roman" w:cs="Times New Roman"/>
          <w:sz w:val="24"/>
          <w:szCs w:val="24"/>
        </w:rPr>
        <w:t xml:space="preserve">2019 emerytur oraz rent rodzinnych. Przepis art. 17 ustawy nowelizującej z 2021 r. wskazuje, że przepisy art. 25a ust. 2 pkt 2 oraz ust. 2a i 2b ustawy emerytalnej, w brzmieniu nadanym ustawą </w:t>
      </w:r>
      <w:r w:rsidRPr="005214BE">
        <w:rPr>
          <w:rFonts w:ascii="Times New Roman" w:hAnsi="Times New Roman" w:cs="Times New Roman"/>
          <w:sz w:val="24"/>
          <w:szCs w:val="24"/>
        </w:rPr>
        <w:lastRenderedPageBreak/>
        <w:t xml:space="preserve">z 2021 r., mają zastosowanie do emerytur </w:t>
      </w:r>
      <w:r w:rsidR="000D5445" w:rsidRPr="005214BE">
        <w:rPr>
          <w:rFonts w:ascii="Times New Roman" w:hAnsi="Times New Roman" w:cs="Times New Roman"/>
          <w:sz w:val="24"/>
          <w:szCs w:val="24"/>
        </w:rPr>
        <w:t xml:space="preserve">przyznanych </w:t>
      </w:r>
      <w:r w:rsidRPr="005214BE">
        <w:rPr>
          <w:rFonts w:ascii="Times New Roman" w:hAnsi="Times New Roman" w:cs="Times New Roman"/>
          <w:sz w:val="24"/>
          <w:szCs w:val="24"/>
        </w:rPr>
        <w:t xml:space="preserve">na wniosek zgłoszony po dniu 31 maja 2021 r. lub </w:t>
      </w:r>
      <w:r w:rsidR="000D5445" w:rsidRPr="005214BE">
        <w:rPr>
          <w:rFonts w:ascii="Times New Roman" w:hAnsi="Times New Roman" w:cs="Times New Roman"/>
          <w:sz w:val="24"/>
          <w:szCs w:val="24"/>
        </w:rPr>
        <w:t>przyznanych</w:t>
      </w:r>
      <w:r w:rsidR="00CE2D71" w:rsidRPr="005214BE">
        <w:rPr>
          <w:rFonts w:ascii="Times New Roman" w:hAnsi="Times New Roman" w:cs="Times New Roman"/>
          <w:sz w:val="24"/>
          <w:szCs w:val="24"/>
        </w:rPr>
        <w:t xml:space="preserve"> </w:t>
      </w:r>
      <w:r w:rsidRPr="005214BE">
        <w:rPr>
          <w:rFonts w:ascii="Times New Roman" w:hAnsi="Times New Roman" w:cs="Times New Roman"/>
          <w:sz w:val="24"/>
          <w:szCs w:val="24"/>
        </w:rPr>
        <w:t xml:space="preserve">na podstawie art. 24a ustawy emerytalnej osobom, które wiek emerytalny ukończyły po dniu 31 maja 2021 r., oraz do rent rodzinnych </w:t>
      </w:r>
      <w:r w:rsidR="000D5445" w:rsidRPr="005214BE">
        <w:rPr>
          <w:rFonts w:ascii="Times New Roman" w:hAnsi="Times New Roman" w:cs="Times New Roman"/>
          <w:sz w:val="24"/>
          <w:szCs w:val="24"/>
        </w:rPr>
        <w:t>przyznanych</w:t>
      </w:r>
      <w:r w:rsidR="00CE2D71" w:rsidRPr="005214BE">
        <w:rPr>
          <w:rFonts w:ascii="Times New Roman" w:hAnsi="Times New Roman" w:cs="Times New Roman"/>
          <w:sz w:val="24"/>
          <w:szCs w:val="24"/>
        </w:rPr>
        <w:t xml:space="preserve"> </w:t>
      </w:r>
      <w:r w:rsidRPr="005214BE">
        <w:rPr>
          <w:rFonts w:ascii="Times New Roman" w:hAnsi="Times New Roman" w:cs="Times New Roman"/>
          <w:sz w:val="24"/>
          <w:szCs w:val="24"/>
        </w:rPr>
        <w:t>po osobach zmarłych po dniu 31 maja 2021 r.</w:t>
      </w:r>
    </w:p>
    <w:p w14:paraId="499E2A58" w14:textId="1AB75E65" w:rsidR="00E75A13" w:rsidRPr="005214BE" w:rsidRDefault="00E75A13"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 xml:space="preserve">W związku z tym w przedstawionym projekcie ustawy o ustalaniu wysokości emerytur z Funduszu Ubezpieczeń Społecznych </w:t>
      </w:r>
      <w:r w:rsidR="00CE2D71" w:rsidRPr="005214BE">
        <w:rPr>
          <w:rFonts w:ascii="Times New Roman" w:hAnsi="Times New Roman" w:cs="Times New Roman"/>
          <w:sz w:val="24"/>
          <w:szCs w:val="24"/>
        </w:rPr>
        <w:t xml:space="preserve">ustalonych </w:t>
      </w:r>
      <w:r w:rsidRPr="005214BE">
        <w:rPr>
          <w:rFonts w:ascii="Times New Roman" w:hAnsi="Times New Roman" w:cs="Times New Roman"/>
          <w:sz w:val="24"/>
          <w:szCs w:val="24"/>
        </w:rPr>
        <w:t xml:space="preserve">w czerwcu w latach 2009–2019 oraz rent rodzinnych po ubezpieczonych, którym </w:t>
      </w:r>
      <w:r w:rsidR="00CE2D71" w:rsidRPr="005214BE">
        <w:rPr>
          <w:rFonts w:ascii="Times New Roman" w:hAnsi="Times New Roman" w:cs="Times New Roman"/>
          <w:sz w:val="24"/>
          <w:szCs w:val="24"/>
        </w:rPr>
        <w:t xml:space="preserve">ustalono </w:t>
      </w:r>
      <w:r w:rsidRPr="005214BE">
        <w:rPr>
          <w:rFonts w:ascii="Times New Roman" w:hAnsi="Times New Roman" w:cs="Times New Roman"/>
          <w:sz w:val="24"/>
          <w:szCs w:val="24"/>
        </w:rPr>
        <w:t>emerytury w czerwcu w latach 2009–2019</w:t>
      </w:r>
      <w:r w:rsidR="005214BE">
        <w:rPr>
          <w:rFonts w:ascii="Times New Roman" w:hAnsi="Times New Roman" w:cs="Times New Roman"/>
          <w:sz w:val="24"/>
          <w:szCs w:val="24"/>
        </w:rPr>
        <w:t>,</w:t>
      </w:r>
      <w:r w:rsidRPr="005214BE">
        <w:rPr>
          <w:rFonts w:ascii="Times New Roman" w:hAnsi="Times New Roman" w:cs="Times New Roman"/>
          <w:sz w:val="24"/>
          <w:szCs w:val="24"/>
        </w:rPr>
        <w:t xml:space="preserve"> proponuje się rozwiązanie tej kwestii. Projekt ustawy ma na celu określenie zasad ustalenia wysokości:</w:t>
      </w:r>
    </w:p>
    <w:p w14:paraId="0B1C1F4F" w14:textId="7DF10CE2" w:rsidR="00E75A13" w:rsidRPr="005214BE" w:rsidRDefault="00E75A13" w:rsidP="00836F72">
      <w:pPr>
        <w:pStyle w:val="Akapitzlist"/>
        <w:numPr>
          <w:ilvl w:val="0"/>
          <w:numId w:val="1"/>
        </w:numPr>
        <w:spacing w:after="0" w:line="360" w:lineRule="auto"/>
        <w:ind w:left="426" w:hanging="426"/>
        <w:jc w:val="both"/>
        <w:rPr>
          <w:rFonts w:ascii="Times New Roman" w:hAnsi="Times New Roman" w:cs="Times New Roman"/>
          <w:sz w:val="24"/>
          <w:szCs w:val="24"/>
        </w:rPr>
      </w:pPr>
      <w:r w:rsidRPr="005214BE">
        <w:rPr>
          <w:rFonts w:ascii="Times New Roman" w:hAnsi="Times New Roman" w:cs="Times New Roman"/>
          <w:sz w:val="24"/>
          <w:szCs w:val="24"/>
        </w:rPr>
        <w:t xml:space="preserve">emerytur </w:t>
      </w:r>
      <w:r w:rsidR="00CE2D71" w:rsidRPr="005214BE">
        <w:rPr>
          <w:rFonts w:ascii="Times New Roman" w:hAnsi="Times New Roman" w:cs="Times New Roman"/>
          <w:sz w:val="24"/>
          <w:szCs w:val="24"/>
        </w:rPr>
        <w:t xml:space="preserve">ustalonych </w:t>
      </w:r>
      <w:r w:rsidRPr="005214BE">
        <w:rPr>
          <w:rFonts w:ascii="Times New Roman" w:hAnsi="Times New Roman" w:cs="Times New Roman"/>
          <w:sz w:val="24"/>
          <w:szCs w:val="24"/>
        </w:rPr>
        <w:t>w czerwcu w latach 2009</w:t>
      </w:r>
      <w:r w:rsidR="005214BE">
        <w:rPr>
          <w:rFonts w:ascii="Times New Roman" w:hAnsi="Times New Roman" w:cs="Times New Roman"/>
          <w:sz w:val="24"/>
          <w:szCs w:val="24"/>
        </w:rPr>
        <w:t>–</w:t>
      </w:r>
      <w:r w:rsidRPr="005214BE">
        <w:rPr>
          <w:rFonts w:ascii="Times New Roman" w:hAnsi="Times New Roman" w:cs="Times New Roman"/>
          <w:sz w:val="24"/>
          <w:szCs w:val="24"/>
        </w:rPr>
        <w:t>2019 na podstawie ustawy z dnia 17 grudnia 1998 r. o emeryturach i rentach z Funduszu Ubezpieczeń Społecznych</w:t>
      </w:r>
      <w:r w:rsidR="00A97B91" w:rsidRPr="005214BE">
        <w:rPr>
          <w:rFonts w:ascii="Times New Roman" w:hAnsi="Times New Roman" w:cs="Times New Roman"/>
          <w:sz w:val="24"/>
          <w:szCs w:val="24"/>
        </w:rPr>
        <w:t>;</w:t>
      </w:r>
    </w:p>
    <w:p w14:paraId="5179AE34" w14:textId="3357D227" w:rsidR="00E75A13" w:rsidRPr="005214BE" w:rsidRDefault="00E75A13" w:rsidP="00836F72">
      <w:pPr>
        <w:pStyle w:val="Akapitzlist"/>
        <w:numPr>
          <w:ilvl w:val="0"/>
          <w:numId w:val="1"/>
        </w:numPr>
        <w:spacing w:after="0" w:line="360" w:lineRule="auto"/>
        <w:ind w:left="426" w:hanging="426"/>
        <w:jc w:val="both"/>
        <w:rPr>
          <w:rFonts w:ascii="Times New Roman" w:eastAsia="Times New Roman" w:hAnsi="Times New Roman" w:cs="Times New Roman"/>
          <w:sz w:val="24"/>
          <w:szCs w:val="24"/>
          <w:lang w:eastAsia="pl-PL"/>
        </w:rPr>
      </w:pPr>
      <w:r w:rsidRPr="005214BE">
        <w:rPr>
          <w:rFonts w:ascii="Times New Roman" w:hAnsi="Times New Roman" w:cs="Times New Roman"/>
          <w:sz w:val="24"/>
          <w:szCs w:val="24"/>
        </w:rPr>
        <w:t xml:space="preserve">rent rodzinnych przysługujących uprawnionym osobom po ubezpieczonych, którym </w:t>
      </w:r>
      <w:r w:rsidR="00CE2D71" w:rsidRPr="005214BE">
        <w:rPr>
          <w:rFonts w:ascii="Times New Roman" w:hAnsi="Times New Roman" w:cs="Times New Roman"/>
          <w:sz w:val="24"/>
          <w:szCs w:val="24"/>
        </w:rPr>
        <w:t xml:space="preserve">ustalono </w:t>
      </w:r>
      <w:r w:rsidRPr="005214BE">
        <w:rPr>
          <w:rFonts w:ascii="Times New Roman" w:hAnsi="Times New Roman" w:cs="Times New Roman"/>
          <w:sz w:val="24"/>
          <w:szCs w:val="24"/>
        </w:rPr>
        <w:t>emerytury w czerwcu w latach 2009–2019</w:t>
      </w:r>
      <w:r w:rsidR="00A97B91" w:rsidRPr="005214BE">
        <w:rPr>
          <w:rFonts w:ascii="Times New Roman" w:hAnsi="Times New Roman" w:cs="Times New Roman"/>
          <w:sz w:val="24"/>
          <w:szCs w:val="24"/>
        </w:rPr>
        <w:t>;</w:t>
      </w:r>
    </w:p>
    <w:p w14:paraId="4A1A4B82" w14:textId="2388459F" w:rsidR="001B6E36" w:rsidRPr="005214BE" w:rsidRDefault="00E75A13" w:rsidP="00836F72">
      <w:pPr>
        <w:pStyle w:val="Akapitzlist"/>
        <w:numPr>
          <w:ilvl w:val="0"/>
          <w:numId w:val="1"/>
        </w:numPr>
        <w:spacing w:after="0" w:line="360" w:lineRule="auto"/>
        <w:ind w:left="426" w:hanging="426"/>
        <w:jc w:val="both"/>
        <w:rPr>
          <w:rFonts w:ascii="Times New Roman" w:eastAsia="Times New Roman" w:hAnsi="Times New Roman" w:cs="Times New Roman"/>
          <w:sz w:val="24"/>
          <w:szCs w:val="24"/>
          <w:lang w:eastAsia="pl-PL"/>
        </w:rPr>
      </w:pPr>
      <w:r w:rsidRPr="005214BE">
        <w:rPr>
          <w:rFonts w:ascii="Times New Roman" w:hAnsi="Times New Roman" w:cs="Times New Roman"/>
          <w:sz w:val="24"/>
          <w:szCs w:val="24"/>
        </w:rPr>
        <w:t>rent rodzinnych przysługujących uprawnionym osobom po ubezpieczonych, którzy osiągnęli powszechny wiek emerytalny, wynoszący 60 lat dla kobiet i 65 lat dla mężczyzn, i zmarli w czerwcu w latach 2009</w:t>
      </w:r>
      <w:r w:rsidR="005214BE">
        <w:rPr>
          <w:rFonts w:ascii="Times New Roman" w:hAnsi="Times New Roman" w:cs="Times New Roman"/>
          <w:sz w:val="24"/>
          <w:szCs w:val="24"/>
        </w:rPr>
        <w:t>–</w:t>
      </w:r>
      <w:r w:rsidRPr="005214BE">
        <w:rPr>
          <w:rFonts w:ascii="Times New Roman" w:hAnsi="Times New Roman" w:cs="Times New Roman"/>
          <w:sz w:val="24"/>
          <w:szCs w:val="24"/>
        </w:rPr>
        <w:t xml:space="preserve">2019 oraz nie mieli </w:t>
      </w:r>
      <w:r w:rsidR="00CE2D71" w:rsidRPr="005214BE">
        <w:rPr>
          <w:rFonts w:ascii="Times New Roman" w:hAnsi="Times New Roman" w:cs="Times New Roman"/>
          <w:sz w:val="24"/>
          <w:szCs w:val="24"/>
        </w:rPr>
        <w:t xml:space="preserve">ustalonego </w:t>
      </w:r>
      <w:r w:rsidRPr="005214BE">
        <w:rPr>
          <w:rFonts w:ascii="Times New Roman" w:hAnsi="Times New Roman" w:cs="Times New Roman"/>
          <w:sz w:val="24"/>
          <w:szCs w:val="24"/>
        </w:rPr>
        <w:t>prawa do emerytury (art. 1 projektowanej ustawy).</w:t>
      </w:r>
      <w:r w:rsidR="00036851" w:rsidRPr="005214BE">
        <w:rPr>
          <w:rFonts w:ascii="Times New Roman" w:eastAsia="Times New Roman" w:hAnsi="Times New Roman" w:cs="Times New Roman"/>
          <w:sz w:val="24"/>
          <w:szCs w:val="24"/>
          <w:lang w:eastAsia="pl-PL"/>
        </w:rPr>
        <w:t xml:space="preserve"> </w:t>
      </w:r>
    </w:p>
    <w:p w14:paraId="285549CB" w14:textId="03634EDF" w:rsidR="006351F6" w:rsidRPr="005214BE" w:rsidRDefault="00E75A13" w:rsidP="00836F72">
      <w:pPr>
        <w:shd w:val="clear" w:color="auto" w:fill="FFFFFF"/>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 xml:space="preserve">Biorąc </w:t>
      </w:r>
      <w:r w:rsidR="00A97B91" w:rsidRPr="005214BE">
        <w:rPr>
          <w:rFonts w:ascii="Times New Roman" w:hAnsi="Times New Roman" w:cs="Times New Roman"/>
          <w:sz w:val="24"/>
          <w:szCs w:val="24"/>
        </w:rPr>
        <w:t xml:space="preserve">powyższe </w:t>
      </w:r>
      <w:r w:rsidRPr="005214BE">
        <w:rPr>
          <w:rFonts w:ascii="Times New Roman" w:hAnsi="Times New Roman" w:cs="Times New Roman"/>
          <w:sz w:val="24"/>
          <w:szCs w:val="24"/>
        </w:rPr>
        <w:t>pod uwagę</w:t>
      </w:r>
      <w:r w:rsidR="005214BE">
        <w:rPr>
          <w:rFonts w:ascii="Times New Roman" w:hAnsi="Times New Roman" w:cs="Times New Roman"/>
          <w:sz w:val="24"/>
          <w:szCs w:val="24"/>
        </w:rPr>
        <w:t>,</w:t>
      </w:r>
      <w:r w:rsidRPr="005214BE">
        <w:rPr>
          <w:rFonts w:ascii="Times New Roman" w:hAnsi="Times New Roman" w:cs="Times New Roman"/>
          <w:sz w:val="24"/>
          <w:szCs w:val="24"/>
        </w:rPr>
        <w:t xml:space="preserve"> zakres podmiotowy ustawy objąłby</w:t>
      </w:r>
      <w:r w:rsidR="00CE2D71" w:rsidRPr="005214BE">
        <w:rPr>
          <w:rFonts w:ascii="Times New Roman" w:hAnsi="Times New Roman" w:cs="Times New Roman"/>
          <w:sz w:val="24"/>
          <w:szCs w:val="24"/>
        </w:rPr>
        <w:t>, oprócz wskazanych wyżej emerytów,</w:t>
      </w:r>
      <w:r w:rsidRPr="005214BE">
        <w:rPr>
          <w:rFonts w:ascii="Times New Roman" w:hAnsi="Times New Roman" w:cs="Times New Roman"/>
          <w:sz w:val="24"/>
          <w:szCs w:val="24"/>
        </w:rPr>
        <w:t xml:space="preserve"> </w:t>
      </w:r>
      <w:r w:rsidR="00CE2D71" w:rsidRPr="005214BE">
        <w:rPr>
          <w:rFonts w:ascii="Times New Roman" w:hAnsi="Times New Roman" w:cs="Times New Roman"/>
          <w:sz w:val="24"/>
          <w:szCs w:val="24"/>
        </w:rPr>
        <w:t xml:space="preserve">również </w:t>
      </w:r>
      <w:r w:rsidRPr="005214BE">
        <w:rPr>
          <w:rFonts w:ascii="Times New Roman" w:hAnsi="Times New Roman" w:cs="Times New Roman"/>
          <w:sz w:val="24"/>
          <w:szCs w:val="24"/>
        </w:rPr>
        <w:t>osoby, którym przyznano renty rodzinne oraz osoby mające prawo do tej renty.</w:t>
      </w:r>
    </w:p>
    <w:p w14:paraId="2BB7023F" w14:textId="761F6272" w:rsidR="009B2679" w:rsidRPr="005214BE" w:rsidRDefault="009B2679" w:rsidP="00836F72">
      <w:pPr>
        <w:shd w:val="clear" w:color="auto" w:fill="FFFFFF"/>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 xml:space="preserve">W tym miejscu należy wyjaśnić, że projekt nie </w:t>
      </w:r>
      <w:r w:rsidR="00A0339C" w:rsidRPr="005214BE">
        <w:rPr>
          <w:rFonts w:ascii="Times New Roman" w:hAnsi="Times New Roman" w:cs="Times New Roman"/>
          <w:sz w:val="24"/>
          <w:szCs w:val="24"/>
        </w:rPr>
        <w:t xml:space="preserve">obejmuje </w:t>
      </w:r>
      <w:r w:rsidRPr="005214BE">
        <w:rPr>
          <w:rFonts w:ascii="Times New Roman" w:hAnsi="Times New Roman" w:cs="Times New Roman"/>
          <w:sz w:val="24"/>
          <w:szCs w:val="24"/>
        </w:rPr>
        <w:t xml:space="preserve">osób, którym ustalenia wysokości rent rodzinnych </w:t>
      </w:r>
      <w:r w:rsidR="00A0339C" w:rsidRPr="005214BE">
        <w:rPr>
          <w:rFonts w:ascii="Times New Roman" w:hAnsi="Times New Roman" w:cs="Times New Roman"/>
          <w:sz w:val="24"/>
          <w:szCs w:val="24"/>
        </w:rPr>
        <w:t>dokonano w czerwcu 2020 r.</w:t>
      </w:r>
      <w:r w:rsidRPr="005214BE">
        <w:rPr>
          <w:rFonts w:ascii="Times New Roman" w:hAnsi="Times New Roman" w:cs="Times New Roman"/>
          <w:sz w:val="24"/>
          <w:szCs w:val="24"/>
        </w:rPr>
        <w:t>, gdyż ZUS stosował art. 53 ustawy z dnia 14 maja 2020 r. o zmianie niektórych ustaw w zakresie działań osłonowych w związku z rozprzestrzenianiem się wirusa SARS-CoV-2, do obliczenia wysokości emerytury osoby zmarłej w ramach wniosku o rentę rodzinną, tym samym nie istnieje potrzeba uwzględnienia w projektowanej ustawie rent rodzinnych przyznanych w czerwcu 2020 r.</w:t>
      </w:r>
      <w:r w:rsidR="00BC4422" w:rsidRPr="005214BE">
        <w:rPr>
          <w:rFonts w:ascii="Times New Roman" w:hAnsi="Times New Roman" w:cs="Times New Roman"/>
          <w:sz w:val="24"/>
          <w:szCs w:val="24"/>
        </w:rPr>
        <w:t xml:space="preserve"> Należy też zwrócić uwagę w zakresie proponowanego art. 1 pkt 3, że </w:t>
      </w:r>
      <w:r w:rsidR="00BC4422" w:rsidRPr="005214BE">
        <w:rPr>
          <w:rFonts w:ascii="Times New Roman" w:eastAsia="Times New Roman" w:hAnsi="Times New Roman" w:cs="Times New Roman"/>
          <w:sz w:val="24"/>
          <w:szCs w:val="24"/>
          <w:lang w:eastAsia="pl-PL"/>
        </w:rPr>
        <w:t xml:space="preserve">renta rodzinna przysługuje uprawnionym członkom rodziny osoby, która w chwili śmierci miała ustalone prawo do emerytury lub renty z tytułu niezdolności do pracy lub spełniała warunki wymagane do uzyskania jednego z tych świadczeń. </w:t>
      </w:r>
      <w:r w:rsidR="00BC4422" w:rsidRPr="005214BE">
        <w:rPr>
          <w:rFonts w:ascii="Times New Roman" w:hAnsi="Times New Roman" w:cs="Times New Roman"/>
          <w:sz w:val="24"/>
          <w:szCs w:val="24"/>
          <w:shd w:val="clear" w:color="auto" w:fill="FFFFFF"/>
        </w:rPr>
        <w:t>Przy ocenie prawa do renty przyjmuje się, że osoba zmarła była całkowicie niezdolna do pracy.</w:t>
      </w:r>
    </w:p>
    <w:p w14:paraId="4522B8F0" w14:textId="60961F59" w:rsidR="008B0773" w:rsidRPr="005214BE" w:rsidRDefault="00E75A13" w:rsidP="00836F72">
      <w:pPr>
        <w:shd w:val="clear" w:color="auto" w:fill="FFFFFF"/>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 xml:space="preserve">W celu obliczenia wysokości emerytury lub renty rodzinnej, która miałaby zostać na bieżąco wypłacana świadczeniobiorcy, ZUS ponownie obliczyłby wysokość świadczenia na dzień jego </w:t>
      </w:r>
      <w:r w:rsidRPr="005214BE">
        <w:rPr>
          <w:rFonts w:ascii="Times New Roman" w:hAnsi="Times New Roman" w:cs="Times New Roman"/>
          <w:sz w:val="24"/>
          <w:szCs w:val="24"/>
        </w:rPr>
        <w:lastRenderedPageBreak/>
        <w:t>ustalenia w latach 2009</w:t>
      </w:r>
      <w:r w:rsidR="005214BE">
        <w:rPr>
          <w:rFonts w:ascii="Times New Roman" w:hAnsi="Times New Roman" w:cs="Times New Roman"/>
          <w:sz w:val="24"/>
          <w:szCs w:val="24"/>
        </w:rPr>
        <w:t>–</w:t>
      </w:r>
      <w:r w:rsidRPr="005214BE">
        <w:rPr>
          <w:rFonts w:ascii="Times New Roman" w:hAnsi="Times New Roman" w:cs="Times New Roman"/>
          <w:sz w:val="24"/>
          <w:szCs w:val="24"/>
        </w:rPr>
        <w:t xml:space="preserve">2019, z uwzględnieniem przepisów art. 25a ust. 2 pkt 2 oraz ust. 2a i 2b ustawy emerytalnej w brzmieniu nadanym ustawą z dnia 24 czerwca 2021 r. o zmianie ustawy o systemie ubezpieczeń społecznych oraz niektórych innych ustaw. Oznacza to, że ZUS ponownie obliczy wysokość świadczenia w dacie jego </w:t>
      </w:r>
      <w:r w:rsidR="00CE2D71" w:rsidRPr="005214BE">
        <w:rPr>
          <w:rFonts w:ascii="Times New Roman" w:hAnsi="Times New Roman" w:cs="Times New Roman"/>
          <w:sz w:val="24"/>
          <w:szCs w:val="24"/>
        </w:rPr>
        <w:t>ustalenia</w:t>
      </w:r>
      <w:r w:rsidRPr="005214BE">
        <w:rPr>
          <w:rFonts w:ascii="Times New Roman" w:hAnsi="Times New Roman" w:cs="Times New Roman"/>
          <w:sz w:val="24"/>
          <w:szCs w:val="24"/>
        </w:rPr>
        <w:t xml:space="preserve">, z zastosowaniem rozwiązania, że waloryzacji składek dokonuje się w taki sam sposób, jak przy ustalaniu wysokości emerytury w maju danego roku, jeżeli jest to korzystniejsze dla ubezpieczonego. Tak ustalona wysokość emerytury i renty rodzinnej podlegałaby następnie waloryzacji na zasadach, jakie obowiązywały po dniu przyznania emerytury lub renty rodzinnej. Emerytura lub renta rodzinna w nowej wysokości, uwzględniającej wyżej opisane obliczenie przysługiwałaby od </w:t>
      </w:r>
      <w:r w:rsidR="00751231" w:rsidRPr="005214BE">
        <w:rPr>
          <w:rFonts w:ascii="Times New Roman" w:hAnsi="Times New Roman" w:cs="Times New Roman"/>
          <w:sz w:val="24"/>
          <w:szCs w:val="24"/>
        </w:rPr>
        <w:t>dnia wejścia w życie ustawy</w:t>
      </w:r>
      <w:r w:rsidR="00C90376" w:rsidRPr="005214BE">
        <w:rPr>
          <w:rFonts w:ascii="Times New Roman" w:hAnsi="Times New Roman" w:cs="Times New Roman"/>
          <w:sz w:val="24"/>
          <w:szCs w:val="24"/>
        </w:rPr>
        <w:t>, tj. od dnia</w:t>
      </w:r>
      <w:r w:rsidR="00751231" w:rsidRPr="005214BE">
        <w:rPr>
          <w:rFonts w:ascii="Times New Roman" w:hAnsi="Times New Roman" w:cs="Times New Roman"/>
          <w:sz w:val="24"/>
          <w:szCs w:val="24"/>
        </w:rPr>
        <w:t xml:space="preserve"> 1 stycznia 2026 r. </w:t>
      </w:r>
      <w:r w:rsidR="00C90376" w:rsidRPr="005214BE">
        <w:rPr>
          <w:rFonts w:ascii="Times New Roman" w:hAnsi="Times New Roman" w:cs="Times New Roman"/>
          <w:sz w:val="24"/>
          <w:szCs w:val="24"/>
        </w:rPr>
        <w:t>W</w:t>
      </w:r>
      <w:r w:rsidR="00751231" w:rsidRPr="005214BE">
        <w:rPr>
          <w:rFonts w:ascii="Times New Roman" w:hAnsi="Times New Roman" w:cs="Times New Roman"/>
          <w:sz w:val="24"/>
          <w:szCs w:val="24"/>
        </w:rPr>
        <w:t xml:space="preserve"> trosce o zabezpieczenie interesów osób uprawnionych zdecydowano, że ustalenie nowej wysokości świadczeń nastąpi z urzędu oraz</w:t>
      </w:r>
      <w:r w:rsidR="00E854FB" w:rsidRPr="005214BE">
        <w:rPr>
          <w:rFonts w:ascii="Times New Roman" w:hAnsi="Times New Roman" w:cs="Times New Roman"/>
          <w:sz w:val="24"/>
          <w:szCs w:val="24"/>
        </w:rPr>
        <w:t xml:space="preserve"> że tak ustalona emerytura lub renta rodzinna nie może być niższa niż dotychczas wypłacana</w:t>
      </w:r>
      <w:r w:rsidRPr="005214BE">
        <w:rPr>
          <w:rFonts w:ascii="Times New Roman" w:hAnsi="Times New Roman" w:cs="Times New Roman"/>
          <w:sz w:val="24"/>
          <w:szCs w:val="24"/>
        </w:rPr>
        <w:t xml:space="preserve"> (art. </w:t>
      </w:r>
      <w:r w:rsidR="00A8009D" w:rsidRPr="005214BE">
        <w:rPr>
          <w:rFonts w:ascii="Times New Roman" w:hAnsi="Times New Roman" w:cs="Times New Roman"/>
          <w:sz w:val="24"/>
          <w:szCs w:val="24"/>
        </w:rPr>
        <w:t>2</w:t>
      </w:r>
      <w:r w:rsidR="004B6386" w:rsidRPr="005214BE">
        <w:rPr>
          <w:rFonts w:ascii="Times New Roman" w:hAnsi="Times New Roman" w:cs="Times New Roman"/>
          <w:sz w:val="24"/>
          <w:szCs w:val="24"/>
        </w:rPr>
        <w:t xml:space="preserve"> </w:t>
      </w:r>
      <w:r w:rsidRPr="005214BE">
        <w:rPr>
          <w:rFonts w:ascii="Times New Roman" w:hAnsi="Times New Roman" w:cs="Times New Roman"/>
          <w:sz w:val="24"/>
          <w:szCs w:val="24"/>
        </w:rPr>
        <w:t>projektowanej ustawy).</w:t>
      </w:r>
    </w:p>
    <w:p w14:paraId="6A524116" w14:textId="2238F381" w:rsidR="008B0773" w:rsidRPr="005214BE" w:rsidRDefault="00A8009D" w:rsidP="00836F72">
      <w:pPr>
        <w:shd w:val="clear" w:color="auto" w:fill="FFFFFF"/>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W przypadku osób uprawnionych, zgodnie z projektowaną ustawą, wysokość ich emerytury lub renty rodzinnej podlegałaby</w:t>
      </w:r>
      <w:r w:rsidR="008B0773" w:rsidRPr="005214BE">
        <w:rPr>
          <w:rFonts w:ascii="Times New Roman" w:hAnsi="Times New Roman" w:cs="Times New Roman"/>
          <w:sz w:val="24"/>
          <w:szCs w:val="24"/>
        </w:rPr>
        <w:t xml:space="preserve"> zatem</w:t>
      </w:r>
      <w:r w:rsidRPr="005214BE">
        <w:rPr>
          <w:rFonts w:ascii="Times New Roman" w:hAnsi="Times New Roman" w:cs="Times New Roman"/>
          <w:sz w:val="24"/>
          <w:szCs w:val="24"/>
        </w:rPr>
        <w:t xml:space="preserve"> ustaleniu przez ZUS z urzędu w terminie 3 miesięcy od dnia wejścia w życie projektowanej ustawy (art. </w:t>
      </w:r>
      <w:r w:rsidR="00C90376" w:rsidRPr="005214BE">
        <w:rPr>
          <w:rFonts w:ascii="Times New Roman" w:hAnsi="Times New Roman" w:cs="Times New Roman"/>
          <w:sz w:val="24"/>
          <w:szCs w:val="24"/>
        </w:rPr>
        <w:t xml:space="preserve">3 </w:t>
      </w:r>
      <w:r w:rsidRPr="005214BE">
        <w:rPr>
          <w:rFonts w:ascii="Times New Roman" w:hAnsi="Times New Roman" w:cs="Times New Roman"/>
          <w:sz w:val="24"/>
          <w:szCs w:val="24"/>
        </w:rPr>
        <w:t>projektowanej ustawy).</w:t>
      </w:r>
    </w:p>
    <w:p w14:paraId="7199F847" w14:textId="2F8387A7" w:rsidR="00DC5B54" w:rsidRPr="005214BE" w:rsidRDefault="00205517" w:rsidP="00836F72">
      <w:pPr>
        <w:spacing w:before="120" w:after="0" w:line="360" w:lineRule="auto"/>
        <w:jc w:val="both"/>
        <w:rPr>
          <w:rFonts w:ascii="Times New Roman" w:hAnsi="Times New Roman" w:cs="Times New Roman"/>
          <w:bCs/>
          <w:strike/>
          <w:sz w:val="24"/>
          <w:szCs w:val="24"/>
        </w:rPr>
      </w:pPr>
      <w:r w:rsidRPr="005214BE">
        <w:rPr>
          <w:rFonts w:ascii="Times New Roman" w:eastAsia="Times New Roman" w:hAnsi="Times New Roman" w:cs="Times New Roman"/>
          <w:sz w:val="24"/>
          <w:szCs w:val="24"/>
          <w:lang w:eastAsia="pl-PL"/>
        </w:rPr>
        <w:t xml:space="preserve">Postępowanie </w:t>
      </w:r>
      <w:r w:rsidRPr="005214BE">
        <w:rPr>
          <w:rFonts w:ascii="Times New Roman" w:eastAsia="Calibri" w:hAnsi="Times New Roman" w:cs="Times New Roman"/>
          <w:sz w:val="24"/>
          <w:szCs w:val="24"/>
        </w:rPr>
        <w:t>w sprawie ustalenia wysokości czerwcowej emerytury lub renty rodzinnej</w:t>
      </w:r>
      <w:r w:rsidR="00C145E3" w:rsidRPr="005214BE">
        <w:rPr>
          <w:rFonts w:ascii="Times New Roman" w:eastAsia="Calibri" w:hAnsi="Times New Roman" w:cs="Times New Roman"/>
          <w:sz w:val="24"/>
          <w:szCs w:val="24"/>
        </w:rPr>
        <w:t xml:space="preserve"> prowadzone na podstawie niniejszej ustawy</w:t>
      </w:r>
      <w:r w:rsidRPr="005214BE">
        <w:rPr>
          <w:rFonts w:ascii="Times New Roman" w:eastAsia="Calibri" w:hAnsi="Times New Roman" w:cs="Times New Roman"/>
          <w:sz w:val="24"/>
          <w:szCs w:val="24"/>
        </w:rPr>
        <w:t xml:space="preserve"> </w:t>
      </w:r>
      <w:r w:rsidRPr="005214BE">
        <w:rPr>
          <w:rFonts w:ascii="Times New Roman" w:eastAsia="Times New Roman" w:hAnsi="Times New Roman" w:cs="Times New Roman"/>
          <w:sz w:val="24"/>
          <w:szCs w:val="24"/>
          <w:lang w:eastAsia="pl-PL"/>
        </w:rPr>
        <w:t>byłoby zawieszone przez ZUS z urzędu w przypadku</w:t>
      </w:r>
      <w:r w:rsidR="00C07AA1" w:rsidRPr="005214BE">
        <w:rPr>
          <w:rFonts w:ascii="Times New Roman" w:eastAsia="Times New Roman" w:hAnsi="Times New Roman" w:cs="Times New Roman"/>
          <w:sz w:val="24"/>
          <w:szCs w:val="24"/>
          <w:lang w:eastAsia="pl-PL"/>
        </w:rPr>
        <w:t>,</w:t>
      </w:r>
      <w:r w:rsidRPr="005214BE">
        <w:rPr>
          <w:rFonts w:ascii="Times New Roman" w:eastAsia="Times New Roman" w:hAnsi="Times New Roman" w:cs="Times New Roman"/>
          <w:sz w:val="24"/>
          <w:szCs w:val="24"/>
          <w:lang w:eastAsia="pl-PL"/>
        </w:rPr>
        <w:t xml:space="preserve"> gdy </w:t>
      </w:r>
      <w:r w:rsidR="00DF4EF4" w:rsidRPr="005214BE">
        <w:rPr>
          <w:rFonts w:ascii="Times New Roman" w:eastAsia="Times New Roman" w:hAnsi="Times New Roman" w:cs="Times New Roman"/>
          <w:sz w:val="24"/>
          <w:szCs w:val="24"/>
          <w:lang w:eastAsia="pl-PL"/>
        </w:rPr>
        <w:t>toczy się postępowanie administracyjne lub sądowe</w:t>
      </w:r>
      <w:r w:rsidRPr="005214BE">
        <w:rPr>
          <w:rFonts w:ascii="Times New Roman" w:eastAsia="Times New Roman" w:hAnsi="Times New Roman" w:cs="Times New Roman"/>
          <w:sz w:val="24"/>
          <w:szCs w:val="24"/>
          <w:lang w:eastAsia="pl-PL"/>
        </w:rPr>
        <w:t xml:space="preserve"> w przedmiocie ustalenia</w:t>
      </w:r>
      <w:r w:rsidR="00DF4EF4" w:rsidRPr="005214BE">
        <w:rPr>
          <w:rFonts w:ascii="Times New Roman" w:eastAsia="Times New Roman" w:hAnsi="Times New Roman" w:cs="Times New Roman"/>
          <w:sz w:val="24"/>
          <w:szCs w:val="24"/>
          <w:lang w:eastAsia="pl-PL"/>
        </w:rPr>
        <w:t xml:space="preserve"> prawa lub wysokości</w:t>
      </w:r>
      <w:r w:rsidRPr="005214BE">
        <w:rPr>
          <w:rFonts w:ascii="Times New Roman" w:eastAsia="Times New Roman" w:hAnsi="Times New Roman" w:cs="Times New Roman"/>
          <w:sz w:val="24"/>
          <w:szCs w:val="24"/>
          <w:lang w:eastAsia="pl-PL"/>
        </w:rPr>
        <w:t xml:space="preserve"> emerytury lub renty rodzinnej. W przypadku prawomocne</w:t>
      </w:r>
      <w:r w:rsidR="00DF4EF4" w:rsidRPr="005214BE">
        <w:rPr>
          <w:rFonts w:ascii="Times New Roman" w:eastAsia="Times New Roman" w:hAnsi="Times New Roman" w:cs="Times New Roman"/>
          <w:sz w:val="24"/>
          <w:szCs w:val="24"/>
          <w:lang w:eastAsia="pl-PL"/>
        </w:rPr>
        <w:t>go za</w:t>
      </w:r>
      <w:r w:rsidRPr="005214BE">
        <w:rPr>
          <w:rFonts w:ascii="Times New Roman" w:eastAsia="Times New Roman" w:hAnsi="Times New Roman" w:cs="Times New Roman"/>
          <w:sz w:val="24"/>
          <w:szCs w:val="24"/>
          <w:lang w:eastAsia="pl-PL"/>
        </w:rPr>
        <w:t>kończ</w:t>
      </w:r>
      <w:r w:rsidR="00DF4EF4" w:rsidRPr="005214BE">
        <w:rPr>
          <w:rFonts w:ascii="Times New Roman" w:eastAsia="Times New Roman" w:hAnsi="Times New Roman" w:cs="Times New Roman"/>
          <w:sz w:val="24"/>
          <w:szCs w:val="24"/>
          <w:lang w:eastAsia="pl-PL"/>
        </w:rPr>
        <w:t>enia</w:t>
      </w:r>
      <w:r w:rsidRPr="005214BE">
        <w:rPr>
          <w:rFonts w:ascii="Times New Roman" w:eastAsia="Times New Roman" w:hAnsi="Times New Roman" w:cs="Times New Roman"/>
          <w:sz w:val="24"/>
          <w:szCs w:val="24"/>
          <w:lang w:eastAsia="pl-PL"/>
        </w:rPr>
        <w:t xml:space="preserve"> postępowani</w:t>
      </w:r>
      <w:r w:rsidR="005214BE">
        <w:rPr>
          <w:rFonts w:ascii="Times New Roman" w:eastAsia="Times New Roman" w:hAnsi="Times New Roman" w:cs="Times New Roman"/>
          <w:sz w:val="24"/>
          <w:szCs w:val="24"/>
          <w:lang w:eastAsia="pl-PL"/>
        </w:rPr>
        <w:t>a</w:t>
      </w:r>
      <w:r w:rsidRPr="005214BE">
        <w:rPr>
          <w:rFonts w:ascii="Times New Roman" w:eastAsia="Times New Roman" w:hAnsi="Times New Roman" w:cs="Times New Roman"/>
          <w:sz w:val="24"/>
          <w:szCs w:val="24"/>
          <w:lang w:eastAsia="pl-PL"/>
        </w:rPr>
        <w:t xml:space="preserve"> w tej sprawie ZUS podejmie z urzędu postępowanie zawieszone z tej przyczyny (art. </w:t>
      </w:r>
      <w:r w:rsidR="00C90376" w:rsidRPr="005214BE">
        <w:rPr>
          <w:rFonts w:ascii="Times New Roman" w:eastAsia="Times New Roman" w:hAnsi="Times New Roman" w:cs="Times New Roman"/>
          <w:sz w:val="24"/>
          <w:szCs w:val="24"/>
          <w:lang w:eastAsia="pl-PL"/>
        </w:rPr>
        <w:t xml:space="preserve">4 </w:t>
      </w:r>
      <w:r w:rsidRPr="005214BE">
        <w:rPr>
          <w:rFonts w:ascii="Times New Roman" w:eastAsia="Times New Roman" w:hAnsi="Times New Roman" w:cs="Times New Roman"/>
          <w:sz w:val="24"/>
          <w:szCs w:val="24"/>
          <w:lang w:eastAsia="pl-PL"/>
        </w:rPr>
        <w:t>projektowanej ustawy).</w:t>
      </w:r>
      <w:r w:rsidR="0068194F" w:rsidRPr="005214BE">
        <w:rPr>
          <w:rFonts w:ascii="Times New Roman" w:eastAsia="Times New Roman" w:hAnsi="Times New Roman" w:cs="Times New Roman"/>
          <w:sz w:val="24"/>
          <w:szCs w:val="24"/>
          <w:lang w:eastAsia="pl-PL"/>
        </w:rPr>
        <w:t xml:space="preserve"> </w:t>
      </w:r>
      <w:r w:rsidR="00DF4EF4" w:rsidRPr="005214BE">
        <w:rPr>
          <w:rFonts w:ascii="Times New Roman" w:hAnsi="Times New Roman" w:cs="Times New Roman"/>
          <w:sz w:val="24"/>
          <w:szCs w:val="24"/>
        </w:rPr>
        <w:t xml:space="preserve">Proponowany przepis będzie zatem obejmował zarówno postępowania wszczęte i toczące się przed </w:t>
      </w:r>
      <w:r w:rsidR="00D715FA" w:rsidRPr="005214BE">
        <w:rPr>
          <w:rFonts w:ascii="Times New Roman" w:hAnsi="Times New Roman" w:cs="Times New Roman"/>
          <w:sz w:val="24"/>
          <w:szCs w:val="24"/>
        </w:rPr>
        <w:t>ZUS</w:t>
      </w:r>
      <w:r w:rsidR="00DF4EF4" w:rsidRPr="005214BE">
        <w:rPr>
          <w:rFonts w:ascii="Times New Roman" w:hAnsi="Times New Roman" w:cs="Times New Roman"/>
          <w:sz w:val="24"/>
          <w:szCs w:val="24"/>
        </w:rPr>
        <w:t xml:space="preserve">, jak też postępowania toczące się przed sądami pracy i ubezpieczeń społecznych. Dla przykładu: </w:t>
      </w:r>
      <w:r w:rsidR="0072515D" w:rsidRPr="005214BE">
        <w:rPr>
          <w:rFonts w:ascii="Times New Roman" w:hAnsi="Times New Roman" w:cs="Times New Roman"/>
          <w:sz w:val="24"/>
          <w:szCs w:val="24"/>
        </w:rPr>
        <w:t xml:space="preserve">ubezpieczony, któremu ustalono emeryturę w czerwcu 2019 r. </w:t>
      </w:r>
      <w:r w:rsidR="007909E7" w:rsidRPr="005214BE">
        <w:rPr>
          <w:rFonts w:ascii="Times New Roman" w:hAnsi="Times New Roman" w:cs="Times New Roman"/>
          <w:sz w:val="24"/>
          <w:szCs w:val="24"/>
        </w:rPr>
        <w:t xml:space="preserve">zakwestionował w drodze odwołania prawidłowość ustalonej w decyzji ZUS wysokości świadczenia. W dacie wejścia w życie przepisów ustawy, tj. </w:t>
      </w:r>
      <w:r w:rsidR="002942C1" w:rsidRPr="005214BE">
        <w:rPr>
          <w:rFonts w:ascii="Times New Roman" w:hAnsi="Times New Roman" w:cs="Times New Roman"/>
          <w:sz w:val="24"/>
          <w:szCs w:val="24"/>
        </w:rPr>
        <w:t xml:space="preserve">dnia </w:t>
      </w:r>
      <w:r w:rsidR="007909E7" w:rsidRPr="005214BE">
        <w:rPr>
          <w:rFonts w:ascii="Times New Roman" w:hAnsi="Times New Roman" w:cs="Times New Roman"/>
          <w:sz w:val="24"/>
          <w:szCs w:val="24"/>
        </w:rPr>
        <w:t xml:space="preserve">1 stycznia 2026 r., postępowanie odwoławcze </w:t>
      </w:r>
      <w:r w:rsidR="00E65C1C" w:rsidRPr="005214BE">
        <w:rPr>
          <w:rFonts w:ascii="Times New Roman" w:hAnsi="Times New Roman" w:cs="Times New Roman"/>
          <w:sz w:val="24"/>
          <w:szCs w:val="24"/>
        </w:rPr>
        <w:t xml:space="preserve">od ww. decyzji </w:t>
      </w:r>
      <w:r w:rsidR="007909E7" w:rsidRPr="005214BE">
        <w:rPr>
          <w:rFonts w:ascii="Times New Roman" w:hAnsi="Times New Roman" w:cs="Times New Roman"/>
          <w:sz w:val="24"/>
          <w:szCs w:val="24"/>
        </w:rPr>
        <w:t xml:space="preserve">nadal pozostaje w toku i jest przedmiotem rozpoznania przez sąd apelacyjny (II instancji), w związku ze złożoną przez ubezpieczonego apelacją od niekorzystnego dla niego rozstrzygnięcia sądu okręgowego (I instancji). W </w:t>
      </w:r>
      <w:r w:rsidR="00DF4EF4" w:rsidRPr="005214BE">
        <w:rPr>
          <w:rFonts w:ascii="Times New Roman" w:hAnsi="Times New Roman" w:cs="Times New Roman"/>
          <w:bCs/>
          <w:sz w:val="24"/>
          <w:szCs w:val="24"/>
        </w:rPr>
        <w:t xml:space="preserve">świetle proponowanego brzmienia art. </w:t>
      </w:r>
      <w:r w:rsidR="00C43F7C" w:rsidRPr="005214BE">
        <w:rPr>
          <w:rFonts w:ascii="Times New Roman" w:hAnsi="Times New Roman" w:cs="Times New Roman"/>
          <w:bCs/>
          <w:sz w:val="24"/>
          <w:szCs w:val="24"/>
        </w:rPr>
        <w:t>4</w:t>
      </w:r>
      <w:r w:rsidR="002719B4" w:rsidRPr="005214BE">
        <w:rPr>
          <w:rFonts w:ascii="Times New Roman" w:hAnsi="Times New Roman" w:cs="Times New Roman"/>
          <w:bCs/>
          <w:sz w:val="24"/>
          <w:szCs w:val="24"/>
        </w:rPr>
        <w:t xml:space="preserve"> </w:t>
      </w:r>
      <w:r w:rsidR="00DF4EF4" w:rsidRPr="005214BE">
        <w:rPr>
          <w:rFonts w:ascii="Times New Roman" w:hAnsi="Times New Roman" w:cs="Times New Roman"/>
          <w:bCs/>
          <w:sz w:val="24"/>
          <w:szCs w:val="24"/>
        </w:rPr>
        <w:t xml:space="preserve">projektu – ZUS zawiesi </w:t>
      </w:r>
      <w:r w:rsidR="00E65C1C" w:rsidRPr="005214BE">
        <w:rPr>
          <w:rFonts w:ascii="Times New Roman" w:hAnsi="Times New Roman" w:cs="Times New Roman"/>
          <w:bCs/>
          <w:sz w:val="24"/>
          <w:szCs w:val="24"/>
        </w:rPr>
        <w:t xml:space="preserve">w odniesieniu do tego ubezpieczonego </w:t>
      </w:r>
      <w:r w:rsidR="00DF4EF4" w:rsidRPr="005214BE">
        <w:rPr>
          <w:rFonts w:ascii="Times New Roman" w:hAnsi="Times New Roman" w:cs="Times New Roman"/>
          <w:bCs/>
          <w:sz w:val="24"/>
          <w:szCs w:val="24"/>
        </w:rPr>
        <w:t xml:space="preserve">postępowanie w sprawie ustalenia </w:t>
      </w:r>
      <w:r w:rsidR="007909E7" w:rsidRPr="005214BE">
        <w:rPr>
          <w:rFonts w:ascii="Times New Roman" w:hAnsi="Times New Roman" w:cs="Times New Roman"/>
          <w:bCs/>
          <w:sz w:val="24"/>
          <w:szCs w:val="24"/>
        </w:rPr>
        <w:t xml:space="preserve">z urzędu </w:t>
      </w:r>
      <w:r w:rsidR="00DF4EF4" w:rsidRPr="005214BE">
        <w:rPr>
          <w:rFonts w:ascii="Times New Roman" w:hAnsi="Times New Roman" w:cs="Times New Roman"/>
          <w:bCs/>
          <w:sz w:val="24"/>
          <w:szCs w:val="24"/>
        </w:rPr>
        <w:t xml:space="preserve">wysokości </w:t>
      </w:r>
      <w:r w:rsidR="007909E7" w:rsidRPr="005214BE">
        <w:rPr>
          <w:rFonts w:ascii="Times New Roman" w:hAnsi="Times New Roman" w:cs="Times New Roman"/>
          <w:bCs/>
          <w:sz w:val="24"/>
          <w:szCs w:val="24"/>
        </w:rPr>
        <w:t>emerytury czerwcowej</w:t>
      </w:r>
      <w:r w:rsidR="00C145E3" w:rsidRPr="005214BE">
        <w:rPr>
          <w:rFonts w:ascii="Times New Roman" w:hAnsi="Times New Roman" w:cs="Times New Roman"/>
          <w:bCs/>
          <w:sz w:val="24"/>
          <w:szCs w:val="24"/>
        </w:rPr>
        <w:t xml:space="preserve">, </w:t>
      </w:r>
      <w:r w:rsidR="00E65C1C" w:rsidRPr="005214BE">
        <w:rPr>
          <w:rFonts w:ascii="Times New Roman" w:hAnsi="Times New Roman" w:cs="Times New Roman"/>
          <w:bCs/>
          <w:sz w:val="24"/>
          <w:szCs w:val="24"/>
        </w:rPr>
        <w:t xml:space="preserve">prowadzone na podstawie niniejszej ustawy, </w:t>
      </w:r>
      <w:r w:rsidR="007909E7" w:rsidRPr="005214BE">
        <w:rPr>
          <w:rFonts w:ascii="Times New Roman" w:hAnsi="Times New Roman" w:cs="Times New Roman"/>
          <w:bCs/>
          <w:sz w:val="24"/>
          <w:szCs w:val="24"/>
        </w:rPr>
        <w:t xml:space="preserve">z uwagi na toczące się i niezakończone postępowanie sądowe w przedmiocie ustalenia prawa do emerytury, o której mowa w art. 1 </w:t>
      </w:r>
      <w:r w:rsidR="00E65C1C" w:rsidRPr="005214BE">
        <w:rPr>
          <w:rFonts w:ascii="Times New Roman" w:hAnsi="Times New Roman" w:cs="Times New Roman"/>
          <w:bCs/>
          <w:sz w:val="24"/>
          <w:szCs w:val="24"/>
        </w:rPr>
        <w:t xml:space="preserve">ust. </w:t>
      </w:r>
      <w:r w:rsidR="002942C1" w:rsidRPr="005214BE">
        <w:rPr>
          <w:rFonts w:ascii="Times New Roman" w:hAnsi="Times New Roman" w:cs="Times New Roman"/>
          <w:bCs/>
          <w:sz w:val="24"/>
          <w:szCs w:val="24"/>
        </w:rPr>
        <w:t xml:space="preserve">1 </w:t>
      </w:r>
      <w:r w:rsidR="00E65C1C" w:rsidRPr="005214BE">
        <w:rPr>
          <w:rFonts w:ascii="Times New Roman" w:hAnsi="Times New Roman" w:cs="Times New Roman"/>
          <w:bCs/>
          <w:sz w:val="24"/>
          <w:szCs w:val="24"/>
        </w:rPr>
        <w:t xml:space="preserve">pkt 1 </w:t>
      </w:r>
      <w:r w:rsidR="007909E7" w:rsidRPr="005214BE">
        <w:rPr>
          <w:rFonts w:ascii="Times New Roman" w:hAnsi="Times New Roman" w:cs="Times New Roman"/>
          <w:bCs/>
          <w:sz w:val="24"/>
          <w:szCs w:val="24"/>
        </w:rPr>
        <w:t>projektu ustawy</w:t>
      </w:r>
      <w:r w:rsidR="00DF4EF4" w:rsidRPr="005214BE">
        <w:rPr>
          <w:rFonts w:ascii="Times New Roman" w:hAnsi="Times New Roman" w:cs="Times New Roman"/>
          <w:bCs/>
          <w:sz w:val="24"/>
          <w:szCs w:val="24"/>
        </w:rPr>
        <w:t>.</w:t>
      </w:r>
      <w:r w:rsidR="003B6E44" w:rsidRPr="005214BE">
        <w:rPr>
          <w:rFonts w:ascii="Times New Roman" w:eastAsia="Times New Roman" w:hAnsi="Times New Roman" w:cs="Times New Roman"/>
          <w:color w:val="FF0000"/>
          <w:sz w:val="24"/>
          <w:szCs w:val="24"/>
          <w:lang w:eastAsia="pl-PL"/>
        </w:rPr>
        <w:t xml:space="preserve"> </w:t>
      </w:r>
      <w:r w:rsidR="008D17A1" w:rsidRPr="005214BE">
        <w:rPr>
          <w:rFonts w:ascii="Times New Roman" w:eastAsia="Times New Roman" w:hAnsi="Times New Roman" w:cs="Times New Roman"/>
          <w:sz w:val="24"/>
          <w:szCs w:val="24"/>
          <w:lang w:eastAsia="pl-PL"/>
        </w:rPr>
        <w:lastRenderedPageBreak/>
        <w:t xml:space="preserve">Przyjęte w tym przepisie rozwiązanie </w:t>
      </w:r>
      <w:r w:rsidR="003B6E44" w:rsidRPr="005214BE">
        <w:rPr>
          <w:rFonts w:ascii="Times New Roman" w:eastAsia="Times New Roman" w:hAnsi="Times New Roman" w:cs="Times New Roman"/>
          <w:sz w:val="24"/>
          <w:szCs w:val="24"/>
          <w:lang w:eastAsia="pl-PL"/>
        </w:rPr>
        <w:t xml:space="preserve">ma również </w:t>
      </w:r>
      <w:r w:rsidR="008D17A1" w:rsidRPr="005214BE">
        <w:rPr>
          <w:rFonts w:ascii="Times New Roman" w:eastAsia="Times New Roman" w:hAnsi="Times New Roman" w:cs="Times New Roman"/>
          <w:sz w:val="24"/>
          <w:szCs w:val="24"/>
          <w:lang w:eastAsia="pl-PL"/>
        </w:rPr>
        <w:t xml:space="preserve">charakter </w:t>
      </w:r>
      <w:r w:rsidR="003B6E44" w:rsidRPr="005214BE">
        <w:rPr>
          <w:rFonts w:ascii="Times New Roman" w:eastAsia="Times New Roman" w:hAnsi="Times New Roman" w:cs="Times New Roman"/>
          <w:sz w:val="24"/>
          <w:szCs w:val="24"/>
          <w:lang w:eastAsia="pl-PL"/>
        </w:rPr>
        <w:t>informacyjny</w:t>
      </w:r>
      <w:r w:rsidR="009F7D90" w:rsidRPr="005214BE">
        <w:rPr>
          <w:rFonts w:ascii="Times New Roman" w:eastAsia="Times New Roman" w:hAnsi="Times New Roman" w:cs="Times New Roman"/>
          <w:sz w:val="24"/>
          <w:szCs w:val="24"/>
          <w:lang w:eastAsia="pl-PL"/>
        </w:rPr>
        <w:t xml:space="preserve">, gdyż </w:t>
      </w:r>
      <w:r w:rsidR="00950394" w:rsidRPr="005214BE">
        <w:rPr>
          <w:rFonts w:ascii="Times New Roman" w:eastAsia="Times New Roman" w:hAnsi="Times New Roman" w:cs="Times New Roman"/>
          <w:sz w:val="24"/>
          <w:szCs w:val="24"/>
          <w:lang w:eastAsia="pl-PL"/>
        </w:rPr>
        <w:t xml:space="preserve">z </w:t>
      </w:r>
      <w:r w:rsidR="009F7D90" w:rsidRPr="005214BE">
        <w:rPr>
          <w:rFonts w:ascii="Times New Roman" w:eastAsia="Times New Roman" w:hAnsi="Times New Roman" w:cs="Times New Roman"/>
          <w:sz w:val="24"/>
          <w:szCs w:val="24"/>
          <w:lang w:eastAsia="pl-PL"/>
        </w:rPr>
        <w:t>treści orzeczenia zawieszającego postępowanie będzie wynikała przyczyna jego zawieszenia. Ś</w:t>
      </w:r>
      <w:r w:rsidR="003B6E44" w:rsidRPr="005214BE">
        <w:rPr>
          <w:rFonts w:ascii="Times New Roman" w:eastAsia="Times New Roman" w:hAnsi="Times New Roman" w:cs="Times New Roman"/>
          <w:sz w:val="24"/>
          <w:szCs w:val="24"/>
          <w:lang w:eastAsia="pl-PL"/>
        </w:rPr>
        <w:t>wiadczeniobiorc</w:t>
      </w:r>
      <w:r w:rsidR="009F7D90" w:rsidRPr="005214BE">
        <w:rPr>
          <w:rFonts w:ascii="Times New Roman" w:eastAsia="Times New Roman" w:hAnsi="Times New Roman" w:cs="Times New Roman"/>
          <w:sz w:val="24"/>
          <w:szCs w:val="24"/>
          <w:lang w:eastAsia="pl-PL"/>
        </w:rPr>
        <w:t>a</w:t>
      </w:r>
      <w:r w:rsidR="003B6E44" w:rsidRPr="005214BE">
        <w:rPr>
          <w:rFonts w:ascii="Times New Roman" w:eastAsia="Times New Roman" w:hAnsi="Times New Roman" w:cs="Times New Roman"/>
          <w:sz w:val="24"/>
          <w:szCs w:val="24"/>
          <w:lang w:eastAsia="pl-PL"/>
        </w:rPr>
        <w:t xml:space="preserve"> czerwcow</w:t>
      </w:r>
      <w:r w:rsidR="009F7D90" w:rsidRPr="005214BE">
        <w:rPr>
          <w:rFonts w:ascii="Times New Roman" w:eastAsia="Times New Roman" w:hAnsi="Times New Roman" w:cs="Times New Roman"/>
          <w:sz w:val="24"/>
          <w:szCs w:val="24"/>
          <w:lang w:eastAsia="pl-PL"/>
        </w:rPr>
        <w:t>y</w:t>
      </w:r>
      <w:r w:rsidR="003B6E44" w:rsidRPr="005214BE">
        <w:rPr>
          <w:rFonts w:ascii="Times New Roman" w:eastAsia="Times New Roman" w:hAnsi="Times New Roman" w:cs="Times New Roman"/>
          <w:sz w:val="24"/>
          <w:szCs w:val="24"/>
          <w:lang w:eastAsia="pl-PL"/>
        </w:rPr>
        <w:t xml:space="preserve"> uzysk</w:t>
      </w:r>
      <w:r w:rsidR="009F7D90" w:rsidRPr="005214BE">
        <w:rPr>
          <w:rFonts w:ascii="Times New Roman" w:eastAsia="Times New Roman" w:hAnsi="Times New Roman" w:cs="Times New Roman"/>
          <w:sz w:val="24"/>
          <w:szCs w:val="24"/>
          <w:lang w:eastAsia="pl-PL"/>
        </w:rPr>
        <w:t>a</w:t>
      </w:r>
      <w:r w:rsidR="003B6E44" w:rsidRPr="005214BE">
        <w:rPr>
          <w:rFonts w:ascii="Times New Roman" w:eastAsia="Times New Roman" w:hAnsi="Times New Roman" w:cs="Times New Roman"/>
          <w:sz w:val="24"/>
          <w:szCs w:val="24"/>
          <w:lang w:eastAsia="pl-PL"/>
        </w:rPr>
        <w:t xml:space="preserve"> w ten sposób wiedzę, że jego świadczenie zostanie ustalone, w oparciu o stan konta emerytalnego na koniec maja, dopiero po zakończeniu postępowania administracyjnego lub sądowego, które w jego sprawie się toczy</w:t>
      </w:r>
      <w:r w:rsidR="00950394" w:rsidRPr="005214BE">
        <w:rPr>
          <w:rFonts w:ascii="Times New Roman" w:eastAsia="Times New Roman" w:hAnsi="Times New Roman" w:cs="Times New Roman"/>
          <w:sz w:val="24"/>
          <w:szCs w:val="24"/>
          <w:lang w:eastAsia="pl-PL"/>
        </w:rPr>
        <w:t xml:space="preserve">, a tym </w:t>
      </w:r>
      <w:r w:rsidR="00E174D0">
        <w:rPr>
          <w:rFonts w:ascii="Times New Roman" w:eastAsia="Times New Roman" w:hAnsi="Times New Roman" w:cs="Times New Roman"/>
          <w:sz w:val="24"/>
          <w:szCs w:val="24"/>
          <w:lang w:eastAsia="pl-PL"/>
        </w:rPr>
        <w:t xml:space="preserve">samym </w:t>
      </w:r>
      <w:r w:rsidR="008D17A1" w:rsidRPr="005214BE">
        <w:rPr>
          <w:rFonts w:ascii="Times New Roman" w:eastAsia="Times New Roman" w:hAnsi="Times New Roman" w:cs="Times New Roman"/>
          <w:sz w:val="24"/>
          <w:szCs w:val="24"/>
          <w:lang w:eastAsia="pl-PL"/>
        </w:rPr>
        <w:t>uzyska wiedzę o</w:t>
      </w:r>
      <w:r w:rsidR="00950394" w:rsidRPr="005214BE">
        <w:rPr>
          <w:rFonts w:ascii="Times New Roman" w:eastAsia="Times New Roman" w:hAnsi="Times New Roman" w:cs="Times New Roman"/>
          <w:sz w:val="24"/>
          <w:szCs w:val="24"/>
          <w:lang w:eastAsia="pl-PL"/>
        </w:rPr>
        <w:t xml:space="preserve"> powodach braku przeliczenia tego świadczenia przez ZUS z urzędu</w:t>
      </w:r>
      <w:r w:rsidR="003B6E44" w:rsidRPr="005214BE">
        <w:rPr>
          <w:rFonts w:ascii="Times New Roman" w:eastAsia="Times New Roman" w:hAnsi="Times New Roman" w:cs="Times New Roman"/>
          <w:sz w:val="24"/>
          <w:szCs w:val="24"/>
          <w:lang w:eastAsia="pl-PL"/>
        </w:rPr>
        <w:t xml:space="preserve"> </w:t>
      </w:r>
      <w:r w:rsidR="00950394" w:rsidRPr="005214BE">
        <w:rPr>
          <w:rFonts w:ascii="Times New Roman" w:eastAsia="Times New Roman" w:hAnsi="Times New Roman" w:cs="Times New Roman"/>
          <w:sz w:val="24"/>
          <w:szCs w:val="24"/>
          <w:lang w:eastAsia="pl-PL"/>
        </w:rPr>
        <w:t xml:space="preserve">w terminie wynikającym z </w:t>
      </w:r>
      <w:r w:rsidR="006E40C0" w:rsidRPr="005214BE">
        <w:rPr>
          <w:rFonts w:ascii="Times New Roman" w:eastAsia="Times New Roman" w:hAnsi="Times New Roman" w:cs="Times New Roman"/>
          <w:sz w:val="24"/>
          <w:szCs w:val="24"/>
          <w:lang w:eastAsia="pl-PL"/>
        </w:rPr>
        <w:t xml:space="preserve">art. </w:t>
      </w:r>
      <w:r w:rsidR="00C90376" w:rsidRPr="005214BE">
        <w:rPr>
          <w:rFonts w:ascii="Times New Roman" w:eastAsia="Times New Roman" w:hAnsi="Times New Roman" w:cs="Times New Roman"/>
          <w:sz w:val="24"/>
          <w:szCs w:val="24"/>
          <w:lang w:eastAsia="pl-PL"/>
        </w:rPr>
        <w:t xml:space="preserve">3 </w:t>
      </w:r>
      <w:r w:rsidR="002942C1" w:rsidRPr="005214BE">
        <w:rPr>
          <w:rFonts w:ascii="Times New Roman" w:eastAsia="Times New Roman" w:hAnsi="Times New Roman" w:cs="Times New Roman"/>
          <w:sz w:val="24"/>
          <w:szCs w:val="24"/>
          <w:lang w:eastAsia="pl-PL"/>
        </w:rPr>
        <w:t xml:space="preserve">projektu </w:t>
      </w:r>
      <w:r w:rsidR="00950394" w:rsidRPr="005214BE">
        <w:rPr>
          <w:rFonts w:ascii="Times New Roman" w:eastAsia="Times New Roman" w:hAnsi="Times New Roman" w:cs="Times New Roman"/>
          <w:sz w:val="24"/>
          <w:szCs w:val="24"/>
          <w:lang w:eastAsia="pl-PL"/>
        </w:rPr>
        <w:t>ustawy.</w:t>
      </w:r>
    </w:p>
    <w:p w14:paraId="172B4870" w14:textId="7B0B6200" w:rsidR="00BF7371" w:rsidRPr="005214BE" w:rsidRDefault="00BF7371"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Uregulowanie sprawy świadczeń czerwcowych z lat 2009</w:t>
      </w:r>
      <w:r w:rsidR="005214BE">
        <w:rPr>
          <w:rFonts w:ascii="Times New Roman" w:hAnsi="Times New Roman" w:cs="Times New Roman"/>
          <w:sz w:val="24"/>
          <w:szCs w:val="24"/>
        </w:rPr>
        <w:t>–</w:t>
      </w:r>
      <w:r w:rsidRPr="005214BE">
        <w:rPr>
          <w:rFonts w:ascii="Times New Roman" w:hAnsi="Times New Roman" w:cs="Times New Roman"/>
          <w:sz w:val="24"/>
          <w:szCs w:val="24"/>
        </w:rPr>
        <w:t xml:space="preserve">2019 z urzędu zgodnie z przepisami ustawy spowoduje ich kompleksowe uregulowanie w całości i w jednakowy sposób, tym samym nie będzie podstaw do nowych postępowań w sprawie ustalenia wysokości świadczeń osób, którym </w:t>
      </w:r>
      <w:r w:rsidR="001F1391" w:rsidRPr="005214BE">
        <w:rPr>
          <w:rFonts w:ascii="Times New Roman" w:hAnsi="Times New Roman" w:cs="Times New Roman"/>
          <w:sz w:val="24"/>
          <w:szCs w:val="24"/>
        </w:rPr>
        <w:t xml:space="preserve">ustalono </w:t>
      </w:r>
      <w:r w:rsidRPr="005214BE">
        <w:rPr>
          <w:rFonts w:ascii="Times New Roman" w:hAnsi="Times New Roman" w:cs="Times New Roman"/>
          <w:sz w:val="24"/>
          <w:szCs w:val="24"/>
        </w:rPr>
        <w:t>emeryturę lub rentę rodzinną w czerwcu w latach 2009</w:t>
      </w:r>
      <w:r w:rsidR="005214BE">
        <w:rPr>
          <w:rFonts w:ascii="Times New Roman" w:hAnsi="Times New Roman" w:cs="Times New Roman"/>
          <w:sz w:val="24"/>
          <w:szCs w:val="24"/>
        </w:rPr>
        <w:t>–</w:t>
      </w:r>
      <w:r w:rsidRPr="005214BE">
        <w:rPr>
          <w:rFonts w:ascii="Times New Roman" w:hAnsi="Times New Roman" w:cs="Times New Roman"/>
          <w:sz w:val="24"/>
          <w:szCs w:val="24"/>
        </w:rPr>
        <w:t xml:space="preserve">2019 bez uwzględnienia przywołanych powyżej </w:t>
      </w:r>
      <w:bookmarkStart w:id="0" w:name="_Hlk197517035"/>
      <w:r w:rsidRPr="005214BE">
        <w:rPr>
          <w:rFonts w:ascii="Times New Roman" w:hAnsi="Times New Roman" w:cs="Times New Roman"/>
          <w:sz w:val="24"/>
          <w:szCs w:val="24"/>
        </w:rPr>
        <w:t>przepisów art. 25a ust. 2 pkt 2 oraz ust. 2a i 2b ustawy emerytalnej</w:t>
      </w:r>
      <w:bookmarkEnd w:id="0"/>
      <w:r w:rsidRPr="005214BE">
        <w:rPr>
          <w:rFonts w:ascii="Times New Roman" w:hAnsi="Times New Roman" w:cs="Times New Roman"/>
          <w:sz w:val="24"/>
          <w:szCs w:val="24"/>
        </w:rPr>
        <w:t>.</w:t>
      </w:r>
    </w:p>
    <w:p w14:paraId="398A32C3" w14:textId="7EBB927B" w:rsidR="00476D65" w:rsidRPr="005214BE" w:rsidRDefault="009C0C7F" w:rsidP="00836F72">
      <w:pPr>
        <w:shd w:val="clear" w:color="auto" w:fill="FFFFFF"/>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 xml:space="preserve">Natomiast postępowania administracyjne i cywilne w sprawie ustalenia wysokości emerytury lub renty rodzinnej, wszczęte </w:t>
      </w:r>
      <w:r w:rsidR="00E174D0">
        <w:rPr>
          <w:rFonts w:ascii="Times New Roman" w:hAnsi="Times New Roman" w:cs="Times New Roman"/>
          <w:sz w:val="24"/>
          <w:szCs w:val="24"/>
        </w:rPr>
        <w:t>w celu</w:t>
      </w:r>
      <w:r w:rsidR="00E174D0" w:rsidRPr="005214BE">
        <w:rPr>
          <w:rFonts w:ascii="Times New Roman" w:hAnsi="Times New Roman" w:cs="Times New Roman"/>
          <w:sz w:val="24"/>
          <w:szCs w:val="24"/>
        </w:rPr>
        <w:t xml:space="preserve"> </w:t>
      </w:r>
      <w:r w:rsidR="008B0773" w:rsidRPr="005214BE">
        <w:rPr>
          <w:rFonts w:ascii="Times New Roman" w:hAnsi="Times New Roman" w:cs="Times New Roman"/>
          <w:sz w:val="24"/>
          <w:szCs w:val="24"/>
        </w:rPr>
        <w:t xml:space="preserve">zastosowania przepisów art. 25a ust. 2 pkt 2 oraz ust. 2a i 2b ustawy emerytalnej </w:t>
      </w:r>
      <w:r w:rsidRPr="005214BE">
        <w:rPr>
          <w:rFonts w:ascii="Times New Roman" w:hAnsi="Times New Roman" w:cs="Times New Roman"/>
          <w:sz w:val="24"/>
          <w:szCs w:val="24"/>
        </w:rPr>
        <w:t>i niezakończone przed dniem wejścia w życie niniejszej ustawy</w:t>
      </w:r>
      <w:r w:rsidR="005214BE">
        <w:rPr>
          <w:rFonts w:ascii="Times New Roman" w:hAnsi="Times New Roman" w:cs="Times New Roman"/>
          <w:sz w:val="24"/>
          <w:szCs w:val="24"/>
        </w:rPr>
        <w:t>,</w:t>
      </w:r>
      <w:r w:rsidRPr="005214BE">
        <w:rPr>
          <w:rFonts w:ascii="Times New Roman" w:hAnsi="Times New Roman" w:cs="Times New Roman"/>
          <w:sz w:val="24"/>
          <w:szCs w:val="24"/>
        </w:rPr>
        <w:t xml:space="preserve"> proponuje się, </w:t>
      </w:r>
      <w:r w:rsidR="005214BE">
        <w:rPr>
          <w:rFonts w:ascii="Times New Roman" w:hAnsi="Times New Roman" w:cs="Times New Roman"/>
          <w:sz w:val="24"/>
          <w:szCs w:val="24"/>
        </w:rPr>
        <w:t>a</w:t>
      </w:r>
      <w:r w:rsidRPr="005214BE">
        <w:rPr>
          <w:rFonts w:ascii="Times New Roman" w:hAnsi="Times New Roman" w:cs="Times New Roman"/>
          <w:sz w:val="24"/>
          <w:szCs w:val="24"/>
        </w:rPr>
        <w:t xml:space="preserve">by toczyły się do czasu uprawomocnienia się kończących je decyzji lub orzeczeń (art. </w:t>
      </w:r>
      <w:r w:rsidR="00C90376" w:rsidRPr="005214BE">
        <w:rPr>
          <w:rFonts w:ascii="Times New Roman" w:hAnsi="Times New Roman" w:cs="Times New Roman"/>
          <w:sz w:val="24"/>
          <w:szCs w:val="24"/>
        </w:rPr>
        <w:t xml:space="preserve">5 </w:t>
      </w:r>
      <w:r w:rsidRPr="005214BE">
        <w:rPr>
          <w:rFonts w:ascii="Times New Roman" w:hAnsi="Times New Roman" w:cs="Times New Roman"/>
          <w:sz w:val="24"/>
          <w:szCs w:val="24"/>
        </w:rPr>
        <w:t>projektowanej ustawy).</w:t>
      </w:r>
    </w:p>
    <w:p w14:paraId="7DDC546C" w14:textId="7CEF7BE1" w:rsidR="0016419E" w:rsidRPr="005214BE" w:rsidRDefault="0016419E" w:rsidP="00836F72">
      <w:pPr>
        <w:shd w:val="clear" w:color="auto" w:fill="FFFFFF"/>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 xml:space="preserve">Zróżnicowanie sytuacji </w:t>
      </w:r>
      <w:r w:rsidR="00C12B6D" w:rsidRPr="005214BE">
        <w:rPr>
          <w:rFonts w:ascii="Times New Roman" w:hAnsi="Times New Roman" w:cs="Times New Roman"/>
          <w:sz w:val="24"/>
          <w:szCs w:val="24"/>
        </w:rPr>
        <w:t xml:space="preserve">ubezpieczonych ze względu na datę złożenia wniosku jest </w:t>
      </w:r>
      <w:r w:rsidR="00D25A5C" w:rsidRPr="005214BE">
        <w:rPr>
          <w:rFonts w:ascii="Times New Roman" w:hAnsi="Times New Roman" w:cs="Times New Roman"/>
          <w:sz w:val="24"/>
          <w:szCs w:val="24"/>
        </w:rPr>
        <w:t xml:space="preserve">w tym przypadku </w:t>
      </w:r>
      <w:r w:rsidR="00C12B6D" w:rsidRPr="005214BE">
        <w:rPr>
          <w:rFonts w:ascii="Times New Roman" w:hAnsi="Times New Roman" w:cs="Times New Roman"/>
          <w:sz w:val="24"/>
          <w:szCs w:val="24"/>
        </w:rPr>
        <w:t>usprawiedliwione dążeniem do zapewnienia stabilności sytuacji prawnej osób, które ww. postępowani</w:t>
      </w:r>
      <w:r w:rsidR="00675B30" w:rsidRPr="005214BE">
        <w:rPr>
          <w:rFonts w:ascii="Times New Roman" w:hAnsi="Times New Roman" w:cs="Times New Roman"/>
          <w:sz w:val="24"/>
          <w:szCs w:val="24"/>
        </w:rPr>
        <w:t>a</w:t>
      </w:r>
      <w:r w:rsidR="00C12B6D" w:rsidRPr="005214BE">
        <w:rPr>
          <w:rFonts w:ascii="Times New Roman" w:hAnsi="Times New Roman" w:cs="Times New Roman"/>
          <w:sz w:val="24"/>
          <w:szCs w:val="24"/>
        </w:rPr>
        <w:t xml:space="preserve"> już zainicjowały, w tym </w:t>
      </w:r>
      <w:r w:rsidR="00675B30" w:rsidRPr="005214BE">
        <w:rPr>
          <w:rFonts w:ascii="Times New Roman" w:hAnsi="Times New Roman" w:cs="Times New Roman"/>
          <w:sz w:val="24"/>
          <w:szCs w:val="24"/>
        </w:rPr>
        <w:t xml:space="preserve">zachowania możliwości skorzystania w toku tych postępowań z </w:t>
      </w:r>
      <w:r w:rsidR="00C12B6D" w:rsidRPr="005214BE">
        <w:rPr>
          <w:rFonts w:ascii="Times New Roman" w:hAnsi="Times New Roman" w:cs="Times New Roman"/>
          <w:sz w:val="24"/>
          <w:szCs w:val="24"/>
        </w:rPr>
        <w:t xml:space="preserve">konstytucyjnego prawa podmiotowego, jakim jest prawo do sądu. </w:t>
      </w:r>
    </w:p>
    <w:p w14:paraId="424826F0" w14:textId="75224E7A" w:rsidR="002719B4" w:rsidRPr="005214BE" w:rsidRDefault="002719B4" w:rsidP="00836F72">
      <w:pPr>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5214BE">
        <w:rPr>
          <w:rFonts w:ascii="Times New Roman" w:hAnsi="Times New Roman" w:cs="Times New Roman"/>
          <w:sz w:val="24"/>
          <w:szCs w:val="24"/>
        </w:rPr>
        <w:t>Mając na uwadze przyjęcie rozwiązania, w którym następuje przeliczenie świadczeń z urzędu, należy uznać, że ustalenie przez ZUS wysokości świadczeń czerwcowych z urzędu pozwala na jednolite ich ustalenie oraz w sposób kompleksowy objęcie regulacją świadczeń spełniających warunki do przeliczenia. Taki kształt przepisów pozwala zapewnić jednolite traktowanie wszystkich świadczeniobiorców czerwcowych. W polskim systemie prawnym, zarówno na gruncie przepisów postępowania administracyjnego i postępowania cywilnego, funkcjonują różne tryby wzruszania prawomocnych decyzji i odnoszących się do nich prawomocnych orzeczeń sądowych</w:t>
      </w:r>
      <w:r w:rsidR="00AF7A19" w:rsidRPr="005214BE">
        <w:rPr>
          <w:rFonts w:ascii="Times New Roman" w:hAnsi="Times New Roman" w:cs="Times New Roman"/>
          <w:sz w:val="24"/>
          <w:szCs w:val="24"/>
        </w:rPr>
        <w:t xml:space="preserve"> [wszczęte przez ZUS lub przez sąd wskutek m.in. </w:t>
      </w:r>
      <w:r w:rsidR="00E417EB" w:rsidRPr="005214BE">
        <w:rPr>
          <w:rFonts w:ascii="Times New Roman" w:hAnsi="Times New Roman" w:cs="Times New Roman"/>
          <w:sz w:val="24"/>
          <w:szCs w:val="24"/>
        </w:rPr>
        <w:t xml:space="preserve">wniesienia </w:t>
      </w:r>
      <w:r w:rsidR="00AF7A19" w:rsidRPr="005214BE">
        <w:rPr>
          <w:rFonts w:ascii="Times New Roman" w:hAnsi="Times New Roman" w:cs="Times New Roman"/>
          <w:sz w:val="24"/>
          <w:szCs w:val="24"/>
        </w:rPr>
        <w:t>skargi o wznowienie postępowania na podstawie art. 145a ustawy z dnia 14 czerwca 1960 r. – Kodeks postępowania administracyjnego (Dz. U. z 2024 r. poz. 572</w:t>
      </w:r>
      <w:r w:rsidR="002942C1" w:rsidRPr="00836F72">
        <w:rPr>
          <w:rFonts w:ascii="Times New Roman" w:eastAsia="Calibri" w:hAnsi="Times New Roman" w:cs="Times New Roman"/>
          <w:sz w:val="24"/>
          <w:szCs w:val="24"/>
        </w:rPr>
        <w:t xml:space="preserve"> </w:t>
      </w:r>
      <w:r w:rsidR="002942C1" w:rsidRPr="005214BE">
        <w:rPr>
          <w:rFonts w:ascii="Times New Roman" w:hAnsi="Times New Roman" w:cs="Times New Roman"/>
          <w:sz w:val="24"/>
          <w:szCs w:val="24"/>
        </w:rPr>
        <w:t>oraz z 2025 r. poz. 769</w:t>
      </w:r>
      <w:r w:rsidR="00AF7A19" w:rsidRPr="005214BE">
        <w:rPr>
          <w:rFonts w:ascii="Times New Roman" w:hAnsi="Times New Roman" w:cs="Times New Roman"/>
          <w:sz w:val="24"/>
          <w:szCs w:val="24"/>
        </w:rPr>
        <w:t>),</w:t>
      </w:r>
      <w:r w:rsidR="008E2F3E" w:rsidRPr="005214BE">
        <w:rPr>
          <w:rFonts w:ascii="Times New Roman" w:hAnsi="Times New Roman" w:cs="Times New Roman"/>
          <w:sz w:val="24"/>
          <w:szCs w:val="24"/>
        </w:rPr>
        <w:t xml:space="preserve"> </w:t>
      </w:r>
      <w:r w:rsidR="002D64B3" w:rsidRPr="005214BE">
        <w:rPr>
          <w:rFonts w:ascii="Times New Roman" w:hAnsi="Times New Roman" w:cs="Times New Roman"/>
          <w:sz w:val="24"/>
          <w:szCs w:val="24"/>
        </w:rPr>
        <w:t>zainicjowani</w:t>
      </w:r>
      <w:r w:rsidR="0082575C" w:rsidRPr="005214BE">
        <w:rPr>
          <w:rFonts w:ascii="Times New Roman" w:hAnsi="Times New Roman" w:cs="Times New Roman"/>
          <w:sz w:val="24"/>
          <w:szCs w:val="24"/>
        </w:rPr>
        <w:t>a</w:t>
      </w:r>
      <w:r w:rsidR="002D64B3" w:rsidRPr="005214BE">
        <w:rPr>
          <w:rFonts w:ascii="Times New Roman" w:hAnsi="Times New Roman" w:cs="Times New Roman"/>
          <w:sz w:val="24"/>
          <w:szCs w:val="24"/>
        </w:rPr>
        <w:t xml:space="preserve"> postępowania </w:t>
      </w:r>
      <w:r w:rsidR="008E2F3E" w:rsidRPr="005214BE">
        <w:rPr>
          <w:rFonts w:ascii="Times New Roman" w:hAnsi="Times New Roman" w:cs="Times New Roman"/>
          <w:sz w:val="24"/>
          <w:szCs w:val="24"/>
        </w:rPr>
        <w:t xml:space="preserve">w trybie art. 114 ustawy o emeryturach i rentach z Funduszu </w:t>
      </w:r>
      <w:r w:rsidR="008E2F3E" w:rsidRPr="005214BE">
        <w:rPr>
          <w:rFonts w:ascii="Times New Roman" w:hAnsi="Times New Roman" w:cs="Times New Roman"/>
          <w:sz w:val="24"/>
          <w:szCs w:val="24"/>
        </w:rPr>
        <w:lastRenderedPageBreak/>
        <w:t>Ubezpieczeń Społecznych</w:t>
      </w:r>
      <w:r w:rsidR="00AF7A19" w:rsidRPr="005214BE">
        <w:rPr>
          <w:rFonts w:ascii="Times New Roman" w:hAnsi="Times New Roman" w:cs="Times New Roman"/>
          <w:sz w:val="24"/>
          <w:szCs w:val="24"/>
        </w:rPr>
        <w:t xml:space="preserve">, </w:t>
      </w:r>
      <w:r w:rsidR="00E417EB" w:rsidRPr="005214BE">
        <w:rPr>
          <w:rFonts w:ascii="Times New Roman" w:hAnsi="Times New Roman" w:cs="Times New Roman"/>
          <w:sz w:val="24"/>
          <w:szCs w:val="24"/>
        </w:rPr>
        <w:t xml:space="preserve">wniesienia </w:t>
      </w:r>
      <w:r w:rsidR="00AF7A19" w:rsidRPr="005214BE">
        <w:rPr>
          <w:rFonts w:ascii="Times New Roman" w:hAnsi="Times New Roman" w:cs="Times New Roman"/>
          <w:sz w:val="24"/>
          <w:szCs w:val="24"/>
        </w:rPr>
        <w:t>skargi o wznowienie postępowania na podstawie art. 401</w:t>
      </w:r>
      <w:r w:rsidR="00057D4F" w:rsidRPr="005214BE">
        <w:rPr>
          <w:rFonts w:ascii="Times New Roman" w:hAnsi="Times New Roman" w:cs="Times New Roman"/>
          <w:sz w:val="24"/>
          <w:szCs w:val="24"/>
          <w:vertAlign w:val="superscript"/>
        </w:rPr>
        <w:t>1</w:t>
      </w:r>
      <w:r w:rsidR="00AF7A19" w:rsidRPr="005214BE">
        <w:rPr>
          <w:rFonts w:ascii="Times New Roman" w:hAnsi="Times New Roman" w:cs="Times New Roman"/>
          <w:sz w:val="24"/>
          <w:szCs w:val="24"/>
        </w:rPr>
        <w:t xml:space="preserve"> ustawy z dnia 17 listopada 1964 r. – Kodeks postępowania cywilnego (Dz. U. z 2024 r. poz. 1568 i 1841</w:t>
      </w:r>
      <w:r w:rsidR="002942C1" w:rsidRPr="00836F72">
        <w:rPr>
          <w:rFonts w:ascii="Times New Roman" w:eastAsia="Calibri" w:hAnsi="Times New Roman" w:cs="Times New Roman"/>
          <w:sz w:val="24"/>
          <w:szCs w:val="24"/>
        </w:rPr>
        <w:t xml:space="preserve"> </w:t>
      </w:r>
      <w:r w:rsidR="002942C1" w:rsidRPr="005214BE">
        <w:rPr>
          <w:rFonts w:ascii="Times New Roman" w:hAnsi="Times New Roman" w:cs="Times New Roman"/>
          <w:sz w:val="24"/>
          <w:szCs w:val="24"/>
        </w:rPr>
        <w:t>oraz z 2025 r. poz. 620</w:t>
      </w:r>
      <w:r w:rsidR="00AF7A19" w:rsidRPr="005214BE">
        <w:rPr>
          <w:rFonts w:ascii="Times New Roman" w:hAnsi="Times New Roman" w:cs="Times New Roman"/>
          <w:sz w:val="24"/>
          <w:szCs w:val="24"/>
        </w:rPr>
        <w:t>)]</w:t>
      </w:r>
      <w:r w:rsidRPr="005214BE">
        <w:rPr>
          <w:rFonts w:ascii="Times New Roman" w:hAnsi="Times New Roman" w:cs="Times New Roman"/>
          <w:sz w:val="24"/>
          <w:szCs w:val="24"/>
        </w:rPr>
        <w:t>. Przedmiotem tych postępowań ponownie mogłyby być przesłanki ustalenia wysokości świadczenia emerytalno-rentowego</w:t>
      </w:r>
      <w:r w:rsidR="0068194F" w:rsidRPr="005214BE">
        <w:rPr>
          <w:rFonts w:ascii="Times New Roman" w:hAnsi="Times New Roman" w:cs="Times New Roman"/>
          <w:sz w:val="24"/>
          <w:szCs w:val="24"/>
        </w:rPr>
        <w:t xml:space="preserve"> z zastosowaniem art. 25a ust. 2 pkt 2 oraz ust. 2a i 2b ustawy z dnia 17 grudnia 1998 r. o emeryturach i rentach z Funduszu Ubezpieczeń Społecznych, </w:t>
      </w:r>
      <w:r w:rsidR="00942422" w:rsidRPr="005214BE">
        <w:rPr>
          <w:rFonts w:ascii="Times New Roman" w:hAnsi="Times New Roman" w:cs="Times New Roman"/>
          <w:sz w:val="24"/>
          <w:szCs w:val="24"/>
        </w:rPr>
        <w:t>co byłoby działaniem niecelowym</w:t>
      </w:r>
      <w:r w:rsidR="0068194F" w:rsidRPr="005214BE">
        <w:rPr>
          <w:rFonts w:ascii="Times New Roman" w:hAnsi="Times New Roman" w:cs="Times New Roman"/>
          <w:sz w:val="24"/>
          <w:szCs w:val="24"/>
        </w:rPr>
        <w:t>.</w:t>
      </w:r>
    </w:p>
    <w:p w14:paraId="650AA46B" w14:textId="36EAE779" w:rsidR="002719B4" w:rsidRPr="005214BE" w:rsidRDefault="002719B4" w:rsidP="00836F72">
      <w:pPr>
        <w:shd w:val="clear" w:color="auto" w:fill="FFFFFF"/>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 xml:space="preserve">Proponuje się zatem, aby od dnia wejścia w życie niniejszej ustawy nie </w:t>
      </w:r>
      <w:r w:rsidR="002942C1" w:rsidRPr="005214BE">
        <w:rPr>
          <w:rFonts w:ascii="Times New Roman" w:hAnsi="Times New Roman" w:cs="Times New Roman"/>
          <w:sz w:val="24"/>
          <w:szCs w:val="24"/>
        </w:rPr>
        <w:t xml:space="preserve">były </w:t>
      </w:r>
      <w:r w:rsidRPr="005214BE">
        <w:rPr>
          <w:rFonts w:ascii="Times New Roman" w:hAnsi="Times New Roman" w:cs="Times New Roman"/>
          <w:sz w:val="24"/>
          <w:szCs w:val="24"/>
        </w:rPr>
        <w:t xml:space="preserve">wszczynane inne postępowania administracyjne i cywilne w sprawie ustalenia wysokości emerytury lub renty rodzinnej, o których mowa w art. 1, </w:t>
      </w:r>
      <w:r w:rsidR="00476D65" w:rsidRPr="005214BE">
        <w:rPr>
          <w:rFonts w:ascii="Times New Roman" w:hAnsi="Times New Roman" w:cs="Times New Roman"/>
          <w:sz w:val="24"/>
          <w:szCs w:val="24"/>
        </w:rPr>
        <w:t xml:space="preserve">w celu </w:t>
      </w:r>
      <w:r w:rsidRPr="005214BE">
        <w:rPr>
          <w:rFonts w:ascii="Times New Roman" w:hAnsi="Times New Roman" w:cs="Times New Roman"/>
          <w:sz w:val="24"/>
          <w:szCs w:val="24"/>
        </w:rPr>
        <w:t>uwzględnieni</w:t>
      </w:r>
      <w:r w:rsidR="00476D65" w:rsidRPr="005214BE">
        <w:rPr>
          <w:rFonts w:ascii="Times New Roman" w:hAnsi="Times New Roman" w:cs="Times New Roman"/>
          <w:sz w:val="24"/>
          <w:szCs w:val="24"/>
        </w:rPr>
        <w:t xml:space="preserve">a </w:t>
      </w:r>
      <w:r w:rsidRPr="005214BE">
        <w:rPr>
          <w:rFonts w:ascii="Times New Roman" w:hAnsi="Times New Roman" w:cs="Times New Roman"/>
          <w:sz w:val="24"/>
          <w:szCs w:val="24"/>
        </w:rPr>
        <w:t xml:space="preserve">przepisów art. 25a ust. 2 pkt 2 oraz ust. 2a i 2b ustawy z dnia 17 grudnia 1998 r. o emeryturach i rentach z Funduszu Ubezpieczeń Społecznych, niż określone w niniejszej ustawie (art. </w:t>
      </w:r>
      <w:r w:rsidR="00C90376" w:rsidRPr="005214BE">
        <w:rPr>
          <w:rFonts w:ascii="Times New Roman" w:hAnsi="Times New Roman" w:cs="Times New Roman"/>
          <w:sz w:val="24"/>
          <w:szCs w:val="24"/>
        </w:rPr>
        <w:t xml:space="preserve">6 </w:t>
      </w:r>
      <w:r w:rsidRPr="005214BE">
        <w:rPr>
          <w:rFonts w:ascii="Times New Roman" w:hAnsi="Times New Roman" w:cs="Times New Roman"/>
          <w:sz w:val="24"/>
          <w:szCs w:val="24"/>
        </w:rPr>
        <w:t xml:space="preserve">projektowanej ustawy). </w:t>
      </w:r>
    </w:p>
    <w:p w14:paraId="799DA809" w14:textId="6CBEE824" w:rsidR="00E83B0D" w:rsidRPr="005214BE" w:rsidRDefault="00E83B0D"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 xml:space="preserve">W sprawach nieuregulowanych w ustawie będą miały zastosowanie przepisy ustawy z dnia 17 grudnia 1998 r. o emeryturach i rentach z Funduszu Ubezpieczeń Społecznych (art. </w:t>
      </w:r>
      <w:r w:rsidR="00C90376" w:rsidRPr="005214BE">
        <w:rPr>
          <w:rFonts w:ascii="Times New Roman" w:hAnsi="Times New Roman" w:cs="Times New Roman"/>
          <w:sz w:val="24"/>
          <w:szCs w:val="24"/>
        </w:rPr>
        <w:t>7</w:t>
      </w:r>
      <w:r w:rsidR="002719B4" w:rsidRPr="005214BE">
        <w:rPr>
          <w:rFonts w:ascii="Times New Roman" w:hAnsi="Times New Roman" w:cs="Times New Roman"/>
          <w:sz w:val="24"/>
          <w:szCs w:val="24"/>
        </w:rPr>
        <w:t xml:space="preserve"> </w:t>
      </w:r>
      <w:r w:rsidRPr="005214BE">
        <w:rPr>
          <w:rFonts w:ascii="Times New Roman" w:hAnsi="Times New Roman" w:cs="Times New Roman"/>
          <w:sz w:val="24"/>
          <w:szCs w:val="24"/>
        </w:rPr>
        <w:t>projektowanej ustawy).</w:t>
      </w:r>
    </w:p>
    <w:p w14:paraId="0CC941FE" w14:textId="78EEA841" w:rsidR="00D7532E" w:rsidRPr="005214BE" w:rsidRDefault="00E83B0D"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 xml:space="preserve">Proponuje się, </w:t>
      </w:r>
      <w:r w:rsidR="00A97B91" w:rsidRPr="005214BE">
        <w:rPr>
          <w:rFonts w:ascii="Times New Roman" w:hAnsi="Times New Roman" w:cs="Times New Roman"/>
          <w:sz w:val="24"/>
          <w:szCs w:val="24"/>
        </w:rPr>
        <w:t>a</w:t>
      </w:r>
      <w:r w:rsidRPr="005214BE">
        <w:rPr>
          <w:rFonts w:ascii="Times New Roman" w:hAnsi="Times New Roman" w:cs="Times New Roman"/>
          <w:sz w:val="24"/>
          <w:szCs w:val="24"/>
        </w:rPr>
        <w:t xml:space="preserve">by ustawa weszła w życie z dniem 1 </w:t>
      </w:r>
      <w:r w:rsidR="004B6386" w:rsidRPr="005214BE">
        <w:rPr>
          <w:rFonts w:ascii="Times New Roman" w:hAnsi="Times New Roman" w:cs="Times New Roman"/>
          <w:sz w:val="24"/>
          <w:szCs w:val="24"/>
        </w:rPr>
        <w:t>stycznia 2026 r.</w:t>
      </w:r>
    </w:p>
    <w:p w14:paraId="2D5F7A1F" w14:textId="2D6CB2B1" w:rsidR="00E83B0D" w:rsidRPr="005214BE" w:rsidRDefault="00E83B0D"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Należy zaznaczyć, że przedstawiony sposób rozwiązania problemu tzw. świadczeń czerwcowych jest adekwatny do rozwiązywanego problemu, gdyż interesy osób uprawnionych chroni waloryzacja środków, na podstawie których świadczenia są ustalane. Z kolei wysokość samych świadczeń emerytalno-rentowych jest chroniona przez prawo do waloryzacji świadczeń emerytalno-rentowych. Stanowi ono jeden z istotnych elementów konstytucyjnego prawa do zabezpieczenia społecznego, zagwarantowanego w art. 67 ust. 1 Konstytucji RP. Prawo to oznacza konieczność istnienia metody utrzymywania świadczeń emerytalno-rentowych na odpowiednim poziomie wartości realnej (por. wyrok TK z dnia 17 grudnia 2013 r., sygn. akt SK 29/12, wyrok TK z dnia 8 maja 2000 r., sygn. akt SK 22/99). Obowiązek urzeczywistnienia wyrażonych w ustawie zasadniczej gwarancji socjalnych, w tym prawa do waloryzacji zarówno konta emerytalnego</w:t>
      </w:r>
      <w:r w:rsidR="005214BE">
        <w:rPr>
          <w:rFonts w:ascii="Times New Roman" w:hAnsi="Times New Roman" w:cs="Times New Roman"/>
          <w:sz w:val="24"/>
          <w:szCs w:val="24"/>
        </w:rPr>
        <w:t>,</w:t>
      </w:r>
      <w:r w:rsidRPr="005214BE">
        <w:rPr>
          <w:rFonts w:ascii="Times New Roman" w:hAnsi="Times New Roman" w:cs="Times New Roman"/>
          <w:sz w:val="24"/>
          <w:szCs w:val="24"/>
        </w:rPr>
        <w:t xml:space="preserve"> jak i ustalonych na jego podstawie świadczeń, powinien uwzględniać z jednej strony istniejące potrzeby obywateli, a z drugiej możliwości ich zaspokojenia. Gwarancje tych możliwości </w:t>
      </w:r>
      <w:r w:rsidR="002942C1" w:rsidRPr="005214BE">
        <w:rPr>
          <w:rFonts w:ascii="Times New Roman" w:hAnsi="Times New Roman" w:cs="Times New Roman"/>
          <w:sz w:val="24"/>
          <w:szCs w:val="24"/>
        </w:rPr>
        <w:t xml:space="preserve">są </w:t>
      </w:r>
      <w:r w:rsidRPr="005214BE">
        <w:rPr>
          <w:rFonts w:ascii="Times New Roman" w:hAnsi="Times New Roman" w:cs="Times New Roman"/>
          <w:sz w:val="24"/>
          <w:szCs w:val="24"/>
        </w:rPr>
        <w:t>wyznaczane przez inne podlegające ochronie wartości konstytucyjne, takie jak np. równowaga budżetowa.</w:t>
      </w:r>
    </w:p>
    <w:p w14:paraId="7DF61C16" w14:textId="43F580FF" w:rsidR="00E83B0D" w:rsidRPr="005214BE" w:rsidRDefault="00E83B0D"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 xml:space="preserve">Należy zwrócić uwagę, że w przypadku osób przechodzących na emeryturę w czerwcu, obliczona emerytura mogłaby być wyższa niż ta obliczona, jak przy ustalaniu wysokości </w:t>
      </w:r>
      <w:r w:rsidRPr="005214BE">
        <w:rPr>
          <w:rFonts w:ascii="Times New Roman" w:hAnsi="Times New Roman" w:cs="Times New Roman"/>
          <w:sz w:val="24"/>
          <w:szCs w:val="24"/>
        </w:rPr>
        <w:lastRenderedPageBreak/>
        <w:t>emerytury w maju, ale tylko w sytuacji, gdy roczny wskaźnik waloryzacji byłby wyższy niż iloczyn wskaźników waloryzacji kwartalnej z tego samego okresu.</w:t>
      </w:r>
    </w:p>
    <w:p w14:paraId="3C628251" w14:textId="04095342" w:rsidR="00E83B0D" w:rsidRPr="005214BE" w:rsidRDefault="00E83B0D"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Historyczna nadwyżka wskaźnika waloryzacji kwartalnej wynika z następujących przyczyn:</w:t>
      </w:r>
    </w:p>
    <w:p w14:paraId="74CBAA98" w14:textId="3C53F653" w:rsidR="00E83B0D" w:rsidRPr="005214BE" w:rsidRDefault="00E83B0D" w:rsidP="00836F72">
      <w:pPr>
        <w:pStyle w:val="Akapitzlist"/>
        <w:numPr>
          <w:ilvl w:val="0"/>
          <w:numId w:val="3"/>
        </w:numPr>
        <w:spacing w:after="0" w:line="360" w:lineRule="auto"/>
        <w:ind w:left="284" w:hanging="284"/>
        <w:jc w:val="both"/>
        <w:rPr>
          <w:rFonts w:ascii="Times New Roman" w:hAnsi="Times New Roman" w:cs="Times New Roman"/>
          <w:sz w:val="24"/>
          <w:szCs w:val="24"/>
        </w:rPr>
      </w:pPr>
      <w:r w:rsidRPr="005214BE">
        <w:rPr>
          <w:rFonts w:ascii="Times New Roman" w:hAnsi="Times New Roman" w:cs="Times New Roman"/>
          <w:sz w:val="24"/>
          <w:szCs w:val="24"/>
        </w:rPr>
        <w:t>okresowości wypłat wynagrodzeń, w tym w szczególności w I kwartale w porównaniu do IV kwartału (relacja ta może być niższa np. gdy dla pewnej grupy ubezpieczonych wprowadzi się niższą podstawę wymiaru składek niż dotychczas obowiązująca albo pracownicy nie otrzymają wysokich wypłat periodycznych, płaconych w I kwartale);</w:t>
      </w:r>
    </w:p>
    <w:p w14:paraId="3BCCD6A9" w14:textId="4016428D" w:rsidR="00E83B0D" w:rsidRPr="005214BE" w:rsidRDefault="00E83B0D" w:rsidP="00836F72">
      <w:pPr>
        <w:pStyle w:val="Akapitzlist"/>
        <w:numPr>
          <w:ilvl w:val="0"/>
          <w:numId w:val="3"/>
        </w:numPr>
        <w:spacing w:after="0" w:line="360" w:lineRule="auto"/>
        <w:ind w:left="284" w:hanging="284"/>
        <w:jc w:val="both"/>
        <w:rPr>
          <w:rFonts w:ascii="Times New Roman" w:hAnsi="Times New Roman" w:cs="Times New Roman"/>
          <w:sz w:val="24"/>
          <w:szCs w:val="24"/>
          <w:shd w:val="clear" w:color="auto" w:fill="FFFFFF"/>
        </w:rPr>
      </w:pPr>
      <w:r w:rsidRPr="005214BE">
        <w:rPr>
          <w:rFonts w:ascii="Times New Roman" w:hAnsi="Times New Roman" w:cs="Times New Roman"/>
          <w:sz w:val="24"/>
          <w:szCs w:val="24"/>
        </w:rPr>
        <w:t>zasad nieujemnego wskaźnika waloryzacji kwartalnej (wskaźnik nie może być mniejszy od 100%);</w:t>
      </w:r>
    </w:p>
    <w:p w14:paraId="3103F92F" w14:textId="536040AB" w:rsidR="00E83B0D" w:rsidRPr="005214BE" w:rsidRDefault="00E83B0D" w:rsidP="00836F72">
      <w:pPr>
        <w:pStyle w:val="Akapitzlist"/>
        <w:numPr>
          <w:ilvl w:val="0"/>
          <w:numId w:val="3"/>
        </w:numPr>
        <w:spacing w:after="0" w:line="360" w:lineRule="auto"/>
        <w:ind w:left="284" w:hanging="284"/>
        <w:jc w:val="both"/>
        <w:rPr>
          <w:rFonts w:ascii="Times New Roman" w:hAnsi="Times New Roman" w:cs="Times New Roman"/>
          <w:sz w:val="24"/>
          <w:szCs w:val="24"/>
          <w:shd w:val="clear" w:color="auto" w:fill="FFFFFF"/>
        </w:rPr>
      </w:pPr>
      <w:r w:rsidRPr="005214BE">
        <w:rPr>
          <w:rFonts w:ascii="Times New Roman" w:hAnsi="Times New Roman" w:cs="Times New Roman"/>
          <w:sz w:val="24"/>
          <w:szCs w:val="24"/>
        </w:rPr>
        <w:t>zasady, że w ramach waloryzacji, co najmniej rekompensuje się inflację (wskaźnik ten nie może być mniejszy od wskaźnika wzrostu cen towarów i usług konsumpcyjnych).</w:t>
      </w:r>
    </w:p>
    <w:p w14:paraId="74781E16" w14:textId="72EF65CB" w:rsidR="00E83B0D" w:rsidRPr="005214BE" w:rsidRDefault="00E83B0D"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W innych warunkach gospodarczych wskaźnik waloryzacji rocznej mógłby być więc wyższy od iloczynu wskaźników waloryzacji kwartalnej za ten sam okres, czego konsekwencją byłaby wyższa wysokość emerytury, przyznanej w czerwcu niż emerytury przyznanej w maju, w przypadku braku inflacji (100) lub deflacji i przy bardzo niskim wzroście przypisu składek w II, III i IV kwartale oraz przy niższym wskaźniku waloryzacji za I kwartał niż wskaźnik roczny.</w:t>
      </w:r>
    </w:p>
    <w:p w14:paraId="220501B0" w14:textId="157A79AE" w:rsidR="00297862" w:rsidRPr="005214BE" w:rsidRDefault="003E4777"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 xml:space="preserve">Tym samym </w:t>
      </w:r>
      <w:r w:rsidR="00720AAA" w:rsidRPr="005214BE">
        <w:rPr>
          <w:rFonts w:ascii="Times New Roman" w:hAnsi="Times New Roman" w:cs="Times New Roman"/>
          <w:sz w:val="24"/>
          <w:szCs w:val="24"/>
        </w:rPr>
        <w:t>należy wskazać, że nie zaszła okoliczność wskazana w art. 77 Konstytucji RP, dotycząca wynagrodzenia szkody za niezgodne z prawem działania organu władzy publicznej, a podjęte działania, wynikające z niniejszego projektu, dodatkowo poprawiają sytuację ubezpieczonych, których świadczenia zostały ustalone w czerwcu w latach 2009</w:t>
      </w:r>
      <w:r w:rsidR="005214BE">
        <w:rPr>
          <w:rFonts w:ascii="Times New Roman" w:hAnsi="Times New Roman" w:cs="Times New Roman"/>
          <w:sz w:val="24"/>
          <w:szCs w:val="24"/>
        </w:rPr>
        <w:t>–</w:t>
      </w:r>
      <w:r w:rsidR="00720AAA" w:rsidRPr="005214BE">
        <w:rPr>
          <w:rFonts w:ascii="Times New Roman" w:hAnsi="Times New Roman" w:cs="Times New Roman"/>
          <w:sz w:val="24"/>
          <w:szCs w:val="24"/>
        </w:rPr>
        <w:t xml:space="preserve">2019. </w:t>
      </w:r>
      <w:r w:rsidR="00297862" w:rsidRPr="005214BE">
        <w:rPr>
          <w:rFonts w:ascii="Times New Roman" w:hAnsi="Times New Roman" w:cs="Times New Roman"/>
          <w:sz w:val="24"/>
          <w:szCs w:val="24"/>
        </w:rPr>
        <w:t>Sposób ustalania tzw. świadczeń czerwcowych</w:t>
      </w:r>
      <w:r w:rsidR="00174733" w:rsidRPr="005214BE">
        <w:rPr>
          <w:rFonts w:ascii="Times New Roman" w:hAnsi="Times New Roman" w:cs="Times New Roman"/>
          <w:sz w:val="24"/>
          <w:szCs w:val="24"/>
        </w:rPr>
        <w:t xml:space="preserve"> z lat 2009</w:t>
      </w:r>
      <w:r w:rsidR="005214BE">
        <w:rPr>
          <w:rFonts w:ascii="Times New Roman" w:hAnsi="Times New Roman" w:cs="Times New Roman"/>
          <w:sz w:val="24"/>
          <w:szCs w:val="24"/>
        </w:rPr>
        <w:t>–</w:t>
      </w:r>
      <w:r w:rsidR="00174733" w:rsidRPr="005214BE">
        <w:rPr>
          <w:rFonts w:ascii="Times New Roman" w:hAnsi="Times New Roman" w:cs="Times New Roman"/>
          <w:sz w:val="24"/>
          <w:szCs w:val="24"/>
        </w:rPr>
        <w:t>2019</w:t>
      </w:r>
      <w:r w:rsidR="00297862" w:rsidRPr="005214BE">
        <w:rPr>
          <w:rFonts w:ascii="Times New Roman" w:hAnsi="Times New Roman" w:cs="Times New Roman"/>
          <w:sz w:val="24"/>
          <w:szCs w:val="24"/>
        </w:rPr>
        <w:t xml:space="preserve"> nie narusza bowiem przepisów Konstytucji RP i nie został zakwestionowany przez Trybunał Konstytucyjny ani przez sądy, gdyż wynikał w przypadku świadczeń czerwcowych z prawidłowo przeprowadzanej waloryzacji rocznej. Przepisy te obowiązują od </w:t>
      </w:r>
      <w:r w:rsidR="00A97B91" w:rsidRPr="005214BE">
        <w:rPr>
          <w:rFonts w:ascii="Times New Roman" w:hAnsi="Times New Roman" w:cs="Times New Roman"/>
          <w:sz w:val="24"/>
          <w:szCs w:val="24"/>
        </w:rPr>
        <w:t xml:space="preserve">dnia </w:t>
      </w:r>
      <w:r w:rsidR="00297862" w:rsidRPr="005214BE">
        <w:rPr>
          <w:rFonts w:ascii="Times New Roman" w:hAnsi="Times New Roman" w:cs="Times New Roman"/>
          <w:sz w:val="24"/>
          <w:szCs w:val="24"/>
        </w:rPr>
        <w:t>1 stycznia 1999 r., a waloryzacja konta odbywa się zgodnie z tymi przepisami. Ani wskaźnik waloryzacji rocznej, ani też sam fakt jej przeprowadzania oraz jej stosunek do waloryzacji kwartalnej składek na koncie, nie zostały zakwestionowane – zarówno co do ich zgodności z Konstytucją</w:t>
      </w:r>
      <w:r w:rsidR="00A97B91" w:rsidRPr="005214BE">
        <w:rPr>
          <w:rFonts w:ascii="Times New Roman" w:hAnsi="Times New Roman" w:cs="Times New Roman"/>
          <w:sz w:val="24"/>
          <w:szCs w:val="24"/>
        </w:rPr>
        <w:t xml:space="preserve"> RP</w:t>
      </w:r>
      <w:r w:rsidR="00297862" w:rsidRPr="005214BE">
        <w:rPr>
          <w:rFonts w:ascii="Times New Roman" w:hAnsi="Times New Roman" w:cs="Times New Roman"/>
          <w:sz w:val="24"/>
          <w:szCs w:val="24"/>
        </w:rPr>
        <w:t>, jak i z założeniami konstrukcji prawno-ekonomicznej, jaką stanowi waloryzacja. Wynagrodzenie szkody, o którym mowa w art. 77 Konstytucji</w:t>
      </w:r>
      <w:r w:rsidR="00A97B91" w:rsidRPr="005214BE">
        <w:rPr>
          <w:rFonts w:ascii="Times New Roman" w:hAnsi="Times New Roman" w:cs="Times New Roman"/>
          <w:sz w:val="24"/>
          <w:szCs w:val="24"/>
        </w:rPr>
        <w:t xml:space="preserve"> RP</w:t>
      </w:r>
      <w:r w:rsidR="00297862" w:rsidRPr="005214BE">
        <w:rPr>
          <w:rFonts w:ascii="Times New Roman" w:hAnsi="Times New Roman" w:cs="Times New Roman"/>
          <w:sz w:val="24"/>
          <w:szCs w:val="24"/>
        </w:rPr>
        <w:t>, stanowi kompensatę ustalenia wysokości świadczenia w sposób naruszający prawo: albo w drodze decyzji naruszającej przepis prawa, albo na podstawie przepisów prawa, które okazały się niezgodne z Konstytucją</w:t>
      </w:r>
      <w:r w:rsidR="00A97B91" w:rsidRPr="005214BE">
        <w:rPr>
          <w:rFonts w:ascii="Times New Roman" w:hAnsi="Times New Roman" w:cs="Times New Roman"/>
          <w:sz w:val="24"/>
          <w:szCs w:val="24"/>
        </w:rPr>
        <w:t xml:space="preserve"> RP</w:t>
      </w:r>
      <w:r w:rsidR="00297862" w:rsidRPr="005214BE">
        <w:rPr>
          <w:rFonts w:ascii="Times New Roman" w:hAnsi="Times New Roman" w:cs="Times New Roman"/>
          <w:sz w:val="24"/>
          <w:szCs w:val="24"/>
        </w:rPr>
        <w:t xml:space="preserve">. Tymczasem ten stan rzeczy nie zachodził ani w odniesieniu do decyzji ustalających wysokość emerytur ustalanych po raz pierwszy w czerwcu, ani w odniesieniu do przepisów ustawy o emeryturach </w:t>
      </w:r>
      <w:r w:rsidR="00297862" w:rsidRPr="005214BE">
        <w:rPr>
          <w:rFonts w:ascii="Times New Roman" w:hAnsi="Times New Roman" w:cs="Times New Roman"/>
          <w:sz w:val="24"/>
          <w:szCs w:val="24"/>
        </w:rPr>
        <w:lastRenderedPageBreak/>
        <w:t xml:space="preserve">i rentach z Funduszu Ubezpieczeń Społecznych, które przewidują waloryzację składek na koncie ubezpieczonego. </w:t>
      </w:r>
    </w:p>
    <w:p w14:paraId="65210BDD" w14:textId="0B072EFD" w:rsidR="003E4777" w:rsidRPr="005214BE" w:rsidRDefault="00297862"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Problem niekorzystnego ukształtowania wysokości świadczeń ustalanych po raz pierwszy w czerwcu jest problemem faktycznym, a nie prawnym. Jego źródłem nie jest bowiem sam przepis prawa określający wskaźnik waloryzacji oraz schemat jej przeprowadzania, ale to, jak rozwiązania te zareagowały w określonych warunkach gospodarczych, które faktycznie zaistniały w latach 2009</w:t>
      </w:r>
      <w:r w:rsidR="005214BE">
        <w:rPr>
          <w:rFonts w:ascii="Times New Roman" w:hAnsi="Times New Roman" w:cs="Times New Roman"/>
          <w:sz w:val="24"/>
          <w:szCs w:val="24"/>
        </w:rPr>
        <w:t>–</w:t>
      </w:r>
      <w:r w:rsidRPr="005214BE">
        <w:rPr>
          <w:rFonts w:ascii="Times New Roman" w:hAnsi="Times New Roman" w:cs="Times New Roman"/>
          <w:sz w:val="24"/>
          <w:szCs w:val="24"/>
        </w:rPr>
        <w:t>2019.</w:t>
      </w:r>
    </w:p>
    <w:p w14:paraId="70D351DE" w14:textId="356BF271" w:rsidR="00FD18C5" w:rsidRPr="005214BE" w:rsidRDefault="00E83B0D"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W ocenie projektodawcy przedmiot projektowanej regulacji nie jest sprzeczny z prawem Unii Europejskiej.</w:t>
      </w:r>
    </w:p>
    <w:p w14:paraId="75F8AACE" w14:textId="50C38AA1" w:rsidR="00FD18C5" w:rsidRPr="005214BE" w:rsidRDefault="00E83B0D"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Projekt ustawy nie podlega obowiązkowi przedstawienia właściwym organom i instytucjom Unii Europejskiej, w tym Europejskiemu Bankowi Centralnemu, w celu uzyskania opinii, dokonania powiadomienia, konsultacji albo uzgodnienia.</w:t>
      </w:r>
    </w:p>
    <w:p w14:paraId="1AAFDD16" w14:textId="736D5107" w:rsidR="00FD18C5" w:rsidRPr="005214BE" w:rsidRDefault="00E83B0D" w:rsidP="00836F72">
      <w:pPr>
        <w:autoSpaceDE w:val="0"/>
        <w:autoSpaceDN w:val="0"/>
        <w:adjustRightInd w:val="0"/>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Zgodnie z art. 5 ustawy z dnia 7 lipca 2005 r. o działalności lobbingowej w procesie stanowienia prawa (Dz. U. z 20</w:t>
      </w:r>
      <w:r w:rsidR="00E24DAE" w:rsidRPr="005214BE">
        <w:rPr>
          <w:rFonts w:ascii="Times New Roman" w:hAnsi="Times New Roman" w:cs="Times New Roman"/>
          <w:sz w:val="24"/>
          <w:szCs w:val="24"/>
        </w:rPr>
        <w:t>25</w:t>
      </w:r>
      <w:r w:rsidRPr="005214BE">
        <w:rPr>
          <w:rFonts w:ascii="Times New Roman" w:hAnsi="Times New Roman" w:cs="Times New Roman"/>
          <w:sz w:val="24"/>
          <w:szCs w:val="24"/>
        </w:rPr>
        <w:t xml:space="preserve"> r. poz. </w:t>
      </w:r>
      <w:r w:rsidR="00E24DAE" w:rsidRPr="005214BE">
        <w:rPr>
          <w:rFonts w:ascii="Times New Roman" w:hAnsi="Times New Roman" w:cs="Times New Roman"/>
          <w:sz w:val="24"/>
          <w:szCs w:val="24"/>
        </w:rPr>
        <w:t>677</w:t>
      </w:r>
      <w:r w:rsidRPr="005214BE">
        <w:rPr>
          <w:rFonts w:ascii="Times New Roman" w:hAnsi="Times New Roman" w:cs="Times New Roman"/>
          <w:sz w:val="24"/>
          <w:szCs w:val="24"/>
        </w:rPr>
        <w:t>) oraz § 52 uchwały nr 190 Rady Ministrów z dnia 29 października 2013 r. – Regulamin pracy Rady Ministrów (M.P. z 2024 r. poz. 806</w:t>
      </w:r>
      <w:r w:rsidR="00E24DAE" w:rsidRPr="005214BE">
        <w:rPr>
          <w:rFonts w:ascii="Times New Roman" w:hAnsi="Times New Roman" w:cs="Times New Roman"/>
          <w:sz w:val="24"/>
          <w:szCs w:val="24"/>
        </w:rPr>
        <w:t>, z późn. zm.</w:t>
      </w:r>
      <w:r w:rsidRPr="005214BE">
        <w:rPr>
          <w:rFonts w:ascii="Times New Roman" w:hAnsi="Times New Roman" w:cs="Times New Roman"/>
          <w:sz w:val="24"/>
          <w:szCs w:val="24"/>
        </w:rPr>
        <w:t>) projekt ustawy zosta</w:t>
      </w:r>
      <w:r w:rsidR="00E9485C" w:rsidRPr="005214BE">
        <w:rPr>
          <w:rFonts w:ascii="Times New Roman" w:hAnsi="Times New Roman" w:cs="Times New Roman"/>
          <w:sz w:val="24"/>
          <w:szCs w:val="24"/>
        </w:rPr>
        <w:t>ł</w:t>
      </w:r>
      <w:r w:rsidRPr="005214BE">
        <w:rPr>
          <w:rFonts w:ascii="Times New Roman" w:hAnsi="Times New Roman" w:cs="Times New Roman"/>
          <w:sz w:val="24"/>
          <w:szCs w:val="24"/>
        </w:rPr>
        <w:t xml:space="preserve"> zamieszczony na stronie podmiotowej Rządowego Centrum Legislacji, w serwisie „Rządowy Proces Legislacyjny”.</w:t>
      </w:r>
      <w:r w:rsidR="00A97B91" w:rsidRPr="005214BE">
        <w:rPr>
          <w:rFonts w:ascii="Times New Roman" w:hAnsi="Times New Roman" w:cs="Times New Roman"/>
          <w:sz w:val="24"/>
          <w:szCs w:val="24"/>
        </w:rPr>
        <w:t xml:space="preserve"> </w:t>
      </w:r>
      <w:r w:rsidR="00DC127D" w:rsidRPr="005214BE">
        <w:rPr>
          <w:rFonts w:ascii="Times New Roman" w:hAnsi="Times New Roman" w:cs="Times New Roman"/>
          <w:sz w:val="24"/>
          <w:szCs w:val="24"/>
        </w:rPr>
        <w:t>Nie odnotowano zgłoszeń zainteresowanych podmiotów w trybie przepisów o działalności lobbingowej w procesie stanowienia prawa.</w:t>
      </w:r>
    </w:p>
    <w:p w14:paraId="64B4A158" w14:textId="59D212CC" w:rsidR="003807A0" w:rsidRPr="005214BE" w:rsidRDefault="00E83B0D"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Projektowana ustawa nie zawiera przepisów technicznych w rozumieniu przepisów rozporządzenia Rady Ministrów z dnia 23 grudnia 2002 r. w sprawie sposobu funkcjonowania krajowego systemu notyfikacji norm i aktów prawnych (Dz. U. poz. 2039, z późn. zm.) i w związku z tym nie podlega notyfikacji.</w:t>
      </w:r>
    </w:p>
    <w:p w14:paraId="1C004197" w14:textId="3331F7C6" w:rsidR="003807A0" w:rsidRPr="005214BE" w:rsidRDefault="00E83B0D"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Zaproponowane w projekcie ustawy rozwiązania nie wpływają na funkcjonowanie mikro-, małych i średnich przedsiębiorców. Projekt jest zgodny z przepisami ustawy z dnia 6 marca 2018 r. – Prawo przedsiębiorców (Dz. U. z 2024 r. poz. 236, z późn. zm.).</w:t>
      </w:r>
    </w:p>
    <w:p w14:paraId="61F00C08" w14:textId="2A7C01DB" w:rsidR="003807A0" w:rsidRPr="005214BE" w:rsidRDefault="00E83B0D" w:rsidP="00836F72">
      <w:pPr>
        <w:spacing w:before="120" w:after="0" w:line="360" w:lineRule="auto"/>
        <w:jc w:val="both"/>
        <w:rPr>
          <w:rFonts w:ascii="Times New Roman" w:hAnsi="Times New Roman" w:cs="Times New Roman"/>
          <w:sz w:val="24"/>
          <w:szCs w:val="24"/>
        </w:rPr>
      </w:pPr>
      <w:r w:rsidRPr="005214BE">
        <w:rPr>
          <w:rFonts w:ascii="Times New Roman" w:hAnsi="Times New Roman" w:cs="Times New Roman"/>
          <w:sz w:val="24"/>
          <w:szCs w:val="24"/>
        </w:rPr>
        <w:t>Projektowane przepisy nie stwarzają zagrożeń korupcyjnych</w:t>
      </w:r>
      <w:r w:rsidR="003807A0" w:rsidRPr="005214BE">
        <w:rPr>
          <w:rFonts w:ascii="Times New Roman" w:hAnsi="Times New Roman" w:cs="Times New Roman"/>
          <w:sz w:val="24"/>
          <w:szCs w:val="24"/>
        </w:rPr>
        <w:t>.</w:t>
      </w:r>
    </w:p>
    <w:sectPr w:rsidR="003807A0" w:rsidRPr="005214BE" w:rsidSect="00F9226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1D11" w14:textId="77777777" w:rsidR="00406D9F" w:rsidRDefault="00406D9F" w:rsidP="00E83B0D">
      <w:pPr>
        <w:spacing w:after="0" w:line="240" w:lineRule="auto"/>
      </w:pPr>
      <w:r>
        <w:separator/>
      </w:r>
    </w:p>
  </w:endnote>
  <w:endnote w:type="continuationSeparator" w:id="0">
    <w:p w14:paraId="2769BD8E" w14:textId="77777777" w:rsidR="00406D9F" w:rsidRDefault="00406D9F" w:rsidP="00E8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23073"/>
      <w:docPartObj>
        <w:docPartGallery w:val="Page Numbers (Bottom of Page)"/>
        <w:docPartUnique/>
      </w:docPartObj>
    </w:sdtPr>
    <w:sdtEndPr>
      <w:rPr>
        <w:rFonts w:ascii="Times New Roman" w:hAnsi="Times New Roman" w:cs="Times New Roman"/>
        <w:sz w:val="24"/>
        <w:szCs w:val="24"/>
      </w:rPr>
    </w:sdtEndPr>
    <w:sdtContent>
      <w:p w14:paraId="073094D0" w14:textId="11FE64F9" w:rsidR="00E83B0D" w:rsidRPr="005214BE" w:rsidRDefault="00E83B0D" w:rsidP="005214BE">
        <w:pPr>
          <w:pStyle w:val="Stopka"/>
          <w:jc w:val="center"/>
          <w:rPr>
            <w:rFonts w:ascii="Times New Roman" w:hAnsi="Times New Roman" w:cs="Times New Roman"/>
            <w:sz w:val="24"/>
            <w:szCs w:val="24"/>
          </w:rPr>
        </w:pPr>
        <w:r w:rsidRPr="005214BE">
          <w:rPr>
            <w:rFonts w:ascii="Times New Roman" w:hAnsi="Times New Roman" w:cs="Times New Roman"/>
            <w:sz w:val="24"/>
            <w:szCs w:val="24"/>
          </w:rPr>
          <w:fldChar w:fldCharType="begin"/>
        </w:r>
        <w:r w:rsidRPr="005214BE">
          <w:rPr>
            <w:rFonts w:ascii="Times New Roman" w:hAnsi="Times New Roman" w:cs="Times New Roman"/>
            <w:sz w:val="24"/>
            <w:szCs w:val="24"/>
          </w:rPr>
          <w:instrText>PAGE   \* MERGEFORMAT</w:instrText>
        </w:r>
        <w:r w:rsidRPr="005214BE">
          <w:rPr>
            <w:rFonts w:ascii="Times New Roman" w:hAnsi="Times New Roman" w:cs="Times New Roman"/>
            <w:sz w:val="24"/>
            <w:szCs w:val="24"/>
          </w:rPr>
          <w:fldChar w:fldCharType="separate"/>
        </w:r>
        <w:r w:rsidRPr="005214BE">
          <w:rPr>
            <w:rFonts w:ascii="Times New Roman" w:hAnsi="Times New Roman" w:cs="Times New Roman"/>
            <w:sz w:val="24"/>
            <w:szCs w:val="24"/>
          </w:rPr>
          <w:t>2</w:t>
        </w:r>
        <w:r w:rsidRPr="005214B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FBCE9" w14:textId="77777777" w:rsidR="00406D9F" w:rsidRDefault="00406D9F" w:rsidP="00E83B0D">
      <w:pPr>
        <w:spacing w:after="0" w:line="240" w:lineRule="auto"/>
      </w:pPr>
      <w:r>
        <w:separator/>
      </w:r>
    </w:p>
  </w:footnote>
  <w:footnote w:type="continuationSeparator" w:id="0">
    <w:p w14:paraId="7B06C194" w14:textId="77777777" w:rsidR="00406D9F" w:rsidRDefault="00406D9F" w:rsidP="00E83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F632F"/>
    <w:multiLevelType w:val="hybridMultilevel"/>
    <w:tmpl w:val="E312C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5C7006"/>
    <w:multiLevelType w:val="hybridMultilevel"/>
    <w:tmpl w:val="EFDEA5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C1C16DC"/>
    <w:multiLevelType w:val="hybridMultilevel"/>
    <w:tmpl w:val="7FF2E1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9483201">
    <w:abstractNumId w:val="0"/>
  </w:num>
  <w:num w:numId="2" w16cid:durableId="1213079118">
    <w:abstractNumId w:val="1"/>
  </w:num>
  <w:num w:numId="3" w16cid:durableId="353043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E5"/>
    <w:rsid w:val="000336FB"/>
    <w:rsid w:val="00036851"/>
    <w:rsid w:val="00057D4F"/>
    <w:rsid w:val="000746E5"/>
    <w:rsid w:val="000805E2"/>
    <w:rsid w:val="00081DAC"/>
    <w:rsid w:val="000D5445"/>
    <w:rsid w:val="000E1349"/>
    <w:rsid w:val="000F1750"/>
    <w:rsid w:val="001022D7"/>
    <w:rsid w:val="00120163"/>
    <w:rsid w:val="0012585B"/>
    <w:rsid w:val="0013015E"/>
    <w:rsid w:val="00155B10"/>
    <w:rsid w:val="0016195D"/>
    <w:rsid w:val="0016419E"/>
    <w:rsid w:val="00174733"/>
    <w:rsid w:val="001842A6"/>
    <w:rsid w:val="00184682"/>
    <w:rsid w:val="00194F5E"/>
    <w:rsid w:val="001B6E36"/>
    <w:rsid w:val="001D014E"/>
    <w:rsid w:val="001D7895"/>
    <w:rsid w:val="001E53F2"/>
    <w:rsid w:val="001F1391"/>
    <w:rsid w:val="001F2C59"/>
    <w:rsid w:val="00205517"/>
    <w:rsid w:val="002060C5"/>
    <w:rsid w:val="002419A1"/>
    <w:rsid w:val="00251432"/>
    <w:rsid w:val="00256183"/>
    <w:rsid w:val="002701E8"/>
    <w:rsid w:val="002719B4"/>
    <w:rsid w:val="00273854"/>
    <w:rsid w:val="002871E1"/>
    <w:rsid w:val="002942C1"/>
    <w:rsid w:val="00297862"/>
    <w:rsid w:val="002A55B9"/>
    <w:rsid w:val="002B2693"/>
    <w:rsid w:val="002D64B3"/>
    <w:rsid w:val="002F6619"/>
    <w:rsid w:val="00322E94"/>
    <w:rsid w:val="00340DF8"/>
    <w:rsid w:val="00342807"/>
    <w:rsid w:val="003728B5"/>
    <w:rsid w:val="003807A0"/>
    <w:rsid w:val="00386881"/>
    <w:rsid w:val="00393724"/>
    <w:rsid w:val="003B4264"/>
    <w:rsid w:val="003B6E44"/>
    <w:rsid w:val="003D2506"/>
    <w:rsid w:val="003E4777"/>
    <w:rsid w:val="003F343A"/>
    <w:rsid w:val="00406D9F"/>
    <w:rsid w:val="00433F85"/>
    <w:rsid w:val="00453A65"/>
    <w:rsid w:val="00455B97"/>
    <w:rsid w:val="00463594"/>
    <w:rsid w:val="00465DA6"/>
    <w:rsid w:val="00467450"/>
    <w:rsid w:val="00467914"/>
    <w:rsid w:val="00471A22"/>
    <w:rsid w:val="00476D65"/>
    <w:rsid w:val="00482D04"/>
    <w:rsid w:val="004A3A4E"/>
    <w:rsid w:val="004A4FB0"/>
    <w:rsid w:val="004B30B1"/>
    <w:rsid w:val="004B6386"/>
    <w:rsid w:val="004C0ECF"/>
    <w:rsid w:val="004D6761"/>
    <w:rsid w:val="004F51B9"/>
    <w:rsid w:val="00502D01"/>
    <w:rsid w:val="00504EFE"/>
    <w:rsid w:val="005214BE"/>
    <w:rsid w:val="00525D40"/>
    <w:rsid w:val="005359A2"/>
    <w:rsid w:val="005432BD"/>
    <w:rsid w:val="00584D7F"/>
    <w:rsid w:val="005A197C"/>
    <w:rsid w:val="005A3F97"/>
    <w:rsid w:val="005E2735"/>
    <w:rsid w:val="00604074"/>
    <w:rsid w:val="006323B0"/>
    <w:rsid w:val="006351F6"/>
    <w:rsid w:val="00647909"/>
    <w:rsid w:val="0065720B"/>
    <w:rsid w:val="00661C41"/>
    <w:rsid w:val="0066493A"/>
    <w:rsid w:val="00666BBA"/>
    <w:rsid w:val="00675B30"/>
    <w:rsid w:val="006761B6"/>
    <w:rsid w:val="0068194F"/>
    <w:rsid w:val="006978D3"/>
    <w:rsid w:val="006B1C44"/>
    <w:rsid w:val="006E39C6"/>
    <w:rsid w:val="006E40C0"/>
    <w:rsid w:val="00717DE6"/>
    <w:rsid w:val="00720AAA"/>
    <w:rsid w:val="0072515D"/>
    <w:rsid w:val="007309DF"/>
    <w:rsid w:val="00734134"/>
    <w:rsid w:val="007452D1"/>
    <w:rsid w:val="00751231"/>
    <w:rsid w:val="00752E0E"/>
    <w:rsid w:val="00761A2E"/>
    <w:rsid w:val="00765440"/>
    <w:rsid w:val="007831D2"/>
    <w:rsid w:val="007909E7"/>
    <w:rsid w:val="007A08A5"/>
    <w:rsid w:val="007A4734"/>
    <w:rsid w:val="007B5C77"/>
    <w:rsid w:val="007B7B2B"/>
    <w:rsid w:val="007C0649"/>
    <w:rsid w:val="00813880"/>
    <w:rsid w:val="008202D3"/>
    <w:rsid w:val="00820696"/>
    <w:rsid w:val="00823FB2"/>
    <w:rsid w:val="0082575C"/>
    <w:rsid w:val="00836F72"/>
    <w:rsid w:val="00880744"/>
    <w:rsid w:val="00886614"/>
    <w:rsid w:val="008A6D21"/>
    <w:rsid w:val="008B0773"/>
    <w:rsid w:val="008C6852"/>
    <w:rsid w:val="008D17A1"/>
    <w:rsid w:val="008E2F3E"/>
    <w:rsid w:val="00942422"/>
    <w:rsid w:val="00950394"/>
    <w:rsid w:val="00951982"/>
    <w:rsid w:val="009662FA"/>
    <w:rsid w:val="00977768"/>
    <w:rsid w:val="00977B8A"/>
    <w:rsid w:val="009853EF"/>
    <w:rsid w:val="009869A1"/>
    <w:rsid w:val="00995F21"/>
    <w:rsid w:val="009A5E79"/>
    <w:rsid w:val="009A71E7"/>
    <w:rsid w:val="009B1636"/>
    <w:rsid w:val="009B2679"/>
    <w:rsid w:val="009C0C7F"/>
    <w:rsid w:val="009C0E35"/>
    <w:rsid w:val="009F6654"/>
    <w:rsid w:val="009F7D90"/>
    <w:rsid w:val="009F7F3B"/>
    <w:rsid w:val="00A0339C"/>
    <w:rsid w:val="00A03CF3"/>
    <w:rsid w:val="00A04C70"/>
    <w:rsid w:val="00A100A8"/>
    <w:rsid w:val="00A117AC"/>
    <w:rsid w:val="00A16182"/>
    <w:rsid w:val="00A227A0"/>
    <w:rsid w:val="00A26041"/>
    <w:rsid w:val="00A31905"/>
    <w:rsid w:val="00A4057C"/>
    <w:rsid w:val="00A4736D"/>
    <w:rsid w:val="00A5404A"/>
    <w:rsid w:val="00A629F3"/>
    <w:rsid w:val="00A63F88"/>
    <w:rsid w:val="00A8009D"/>
    <w:rsid w:val="00A97B91"/>
    <w:rsid w:val="00AA598E"/>
    <w:rsid w:val="00AE519B"/>
    <w:rsid w:val="00AF4EEB"/>
    <w:rsid w:val="00AF5E56"/>
    <w:rsid w:val="00AF7A19"/>
    <w:rsid w:val="00B308BB"/>
    <w:rsid w:val="00B43093"/>
    <w:rsid w:val="00B73386"/>
    <w:rsid w:val="00B84912"/>
    <w:rsid w:val="00B85756"/>
    <w:rsid w:val="00B9623F"/>
    <w:rsid w:val="00BA446E"/>
    <w:rsid w:val="00BC4422"/>
    <w:rsid w:val="00BE4FE0"/>
    <w:rsid w:val="00BF235E"/>
    <w:rsid w:val="00BF3206"/>
    <w:rsid w:val="00BF5E44"/>
    <w:rsid w:val="00BF7371"/>
    <w:rsid w:val="00C04289"/>
    <w:rsid w:val="00C07AA1"/>
    <w:rsid w:val="00C07AE8"/>
    <w:rsid w:val="00C12B6D"/>
    <w:rsid w:val="00C145E3"/>
    <w:rsid w:val="00C30550"/>
    <w:rsid w:val="00C436C9"/>
    <w:rsid w:val="00C43F7C"/>
    <w:rsid w:val="00C52C4E"/>
    <w:rsid w:val="00C6040E"/>
    <w:rsid w:val="00C90376"/>
    <w:rsid w:val="00CC430D"/>
    <w:rsid w:val="00CD207F"/>
    <w:rsid w:val="00CE2D71"/>
    <w:rsid w:val="00D25A5C"/>
    <w:rsid w:val="00D32A1A"/>
    <w:rsid w:val="00D4628E"/>
    <w:rsid w:val="00D55366"/>
    <w:rsid w:val="00D715FA"/>
    <w:rsid w:val="00D716E1"/>
    <w:rsid w:val="00D71B9F"/>
    <w:rsid w:val="00D7532E"/>
    <w:rsid w:val="00DA0774"/>
    <w:rsid w:val="00DB2983"/>
    <w:rsid w:val="00DC127D"/>
    <w:rsid w:val="00DC1E01"/>
    <w:rsid w:val="00DC5B54"/>
    <w:rsid w:val="00DE2EDD"/>
    <w:rsid w:val="00DF4EF4"/>
    <w:rsid w:val="00E00565"/>
    <w:rsid w:val="00E1450C"/>
    <w:rsid w:val="00E174D0"/>
    <w:rsid w:val="00E24DAE"/>
    <w:rsid w:val="00E336BD"/>
    <w:rsid w:val="00E34799"/>
    <w:rsid w:val="00E40B00"/>
    <w:rsid w:val="00E417EB"/>
    <w:rsid w:val="00E4249A"/>
    <w:rsid w:val="00E463E8"/>
    <w:rsid w:val="00E518A6"/>
    <w:rsid w:val="00E5735A"/>
    <w:rsid w:val="00E65C1C"/>
    <w:rsid w:val="00E75775"/>
    <w:rsid w:val="00E75A13"/>
    <w:rsid w:val="00E83B0D"/>
    <w:rsid w:val="00E854FB"/>
    <w:rsid w:val="00E9485C"/>
    <w:rsid w:val="00EA57FF"/>
    <w:rsid w:val="00EB2291"/>
    <w:rsid w:val="00EB5924"/>
    <w:rsid w:val="00EB7CD8"/>
    <w:rsid w:val="00EC2537"/>
    <w:rsid w:val="00F02D17"/>
    <w:rsid w:val="00F24528"/>
    <w:rsid w:val="00F277CA"/>
    <w:rsid w:val="00F37E2D"/>
    <w:rsid w:val="00F52D81"/>
    <w:rsid w:val="00F622F4"/>
    <w:rsid w:val="00F73392"/>
    <w:rsid w:val="00F73BEC"/>
    <w:rsid w:val="00F92267"/>
    <w:rsid w:val="00F95521"/>
    <w:rsid w:val="00FA00A7"/>
    <w:rsid w:val="00FD18C5"/>
    <w:rsid w:val="00FF03C5"/>
    <w:rsid w:val="00FF1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0C6F"/>
  <w15:chartTrackingRefBased/>
  <w15:docId w15:val="{80AEDFDE-D3A9-4ABA-A484-83CF4DB3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746E5"/>
    <w:rPr>
      <w:color w:val="0000FF"/>
      <w:u w:val="single"/>
    </w:rPr>
  </w:style>
  <w:style w:type="character" w:customStyle="1" w:styleId="articletitle">
    <w:name w:val="articletitle"/>
    <w:basedOn w:val="Domylnaczcionkaakapitu"/>
    <w:rsid w:val="001B6E36"/>
  </w:style>
  <w:style w:type="paragraph" w:styleId="Akapitzlist">
    <w:name w:val="List Paragraph"/>
    <w:aliases w:val="Normalny PDST,lp1,Preambuła,HŁ_Bullet1"/>
    <w:basedOn w:val="Normalny"/>
    <w:link w:val="AkapitzlistZnak"/>
    <w:uiPriority w:val="34"/>
    <w:qFormat/>
    <w:rsid w:val="001B6E36"/>
    <w:pPr>
      <w:ind w:left="720"/>
      <w:contextualSpacing/>
    </w:pPr>
  </w:style>
  <w:style w:type="character" w:customStyle="1" w:styleId="AkapitzlistZnak">
    <w:name w:val="Akapit z listą Znak"/>
    <w:aliases w:val="Normalny PDST Znak,lp1 Znak,Preambuła Znak,HŁ_Bullet1 Znak"/>
    <w:link w:val="Akapitzlist"/>
    <w:uiPriority w:val="34"/>
    <w:locked/>
    <w:rsid w:val="006E39C6"/>
  </w:style>
  <w:style w:type="paragraph" w:customStyle="1" w:styleId="USTustnpkodeksu">
    <w:name w:val="UST(§) – ust. (§ np. kodeksu)"/>
    <w:basedOn w:val="Normalny"/>
    <w:uiPriority w:val="99"/>
    <w:qFormat/>
    <w:rsid w:val="00D7532E"/>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styleId="Nagwek">
    <w:name w:val="header"/>
    <w:basedOn w:val="Normalny"/>
    <w:link w:val="NagwekZnak"/>
    <w:uiPriority w:val="99"/>
    <w:unhideWhenUsed/>
    <w:rsid w:val="00E83B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3B0D"/>
  </w:style>
  <w:style w:type="paragraph" w:styleId="Stopka">
    <w:name w:val="footer"/>
    <w:basedOn w:val="Normalny"/>
    <w:link w:val="StopkaZnak"/>
    <w:uiPriority w:val="99"/>
    <w:unhideWhenUsed/>
    <w:rsid w:val="00E83B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3B0D"/>
  </w:style>
  <w:style w:type="paragraph" w:styleId="Tekstdymka">
    <w:name w:val="Balloon Text"/>
    <w:basedOn w:val="Normalny"/>
    <w:link w:val="TekstdymkaZnak"/>
    <w:uiPriority w:val="99"/>
    <w:semiHidden/>
    <w:unhideWhenUsed/>
    <w:rsid w:val="002514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432"/>
    <w:rPr>
      <w:rFonts w:ascii="Segoe UI" w:hAnsi="Segoe UI" w:cs="Segoe UI"/>
      <w:sz w:val="18"/>
      <w:szCs w:val="18"/>
    </w:rPr>
  </w:style>
  <w:style w:type="character" w:styleId="Odwoaniedokomentarza">
    <w:name w:val="annotation reference"/>
    <w:basedOn w:val="Domylnaczcionkaakapitu"/>
    <w:uiPriority w:val="99"/>
    <w:semiHidden/>
    <w:unhideWhenUsed/>
    <w:rsid w:val="008E2F3E"/>
    <w:rPr>
      <w:sz w:val="16"/>
      <w:szCs w:val="16"/>
    </w:rPr>
  </w:style>
  <w:style w:type="paragraph" w:styleId="Tekstkomentarza">
    <w:name w:val="annotation text"/>
    <w:basedOn w:val="Normalny"/>
    <w:link w:val="TekstkomentarzaZnak"/>
    <w:uiPriority w:val="99"/>
    <w:semiHidden/>
    <w:unhideWhenUsed/>
    <w:rsid w:val="008E2F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2F3E"/>
    <w:rPr>
      <w:sz w:val="20"/>
      <w:szCs w:val="20"/>
    </w:rPr>
  </w:style>
  <w:style w:type="paragraph" w:styleId="Tematkomentarza">
    <w:name w:val="annotation subject"/>
    <w:basedOn w:val="Tekstkomentarza"/>
    <w:next w:val="Tekstkomentarza"/>
    <w:link w:val="TematkomentarzaZnak"/>
    <w:uiPriority w:val="99"/>
    <w:semiHidden/>
    <w:unhideWhenUsed/>
    <w:rsid w:val="008E2F3E"/>
    <w:rPr>
      <w:b/>
      <w:bCs/>
    </w:rPr>
  </w:style>
  <w:style w:type="character" w:customStyle="1" w:styleId="TematkomentarzaZnak">
    <w:name w:val="Temat komentarza Znak"/>
    <w:basedOn w:val="TekstkomentarzaZnak"/>
    <w:link w:val="Tematkomentarza"/>
    <w:uiPriority w:val="99"/>
    <w:semiHidden/>
    <w:rsid w:val="008E2F3E"/>
    <w:rPr>
      <w:b/>
      <w:bCs/>
      <w:sz w:val="20"/>
      <w:szCs w:val="20"/>
    </w:rPr>
  </w:style>
  <w:style w:type="paragraph" w:styleId="Poprawka">
    <w:name w:val="Revision"/>
    <w:hidden/>
    <w:uiPriority w:val="99"/>
    <w:semiHidden/>
    <w:rsid w:val="005214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20130">
      <w:bodyDiv w:val="1"/>
      <w:marLeft w:val="0"/>
      <w:marRight w:val="0"/>
      <w:marTop w:val="0"/>
      <w:marBottom w:val="0"/>
      <w:divBdr>
        <w:top w:val="none" w:sz="0" w:space="0" w:color="auto"/>
        <w:left w:val="none" w:sz="0" w:space="0" w:color="auto"/>
        <w:bottom w:val="none" w:sz="0" w:space="0" w:color="auto"/>
        <w:right w:val="none" w:sz="0" w:space="0" w:color="auto"/>
      </w:divBdr>
    </w:div>
    <w:div w:id="808984984">
      <w:bodyDiv w:val="1"/>
      <w:marLeft w:val="0"/>
      <w:marRight w:val="0"/>
      <w:marTop w:val="0"/>
      <w:marBottom w:val="0"/>
      <w:divBdr>
        <w:top w:val="none" w:sz="0" w:space="0" w:color="auto"/>
        <w:left w:val="none" w:sz="0" w:space="0" w:color="auto"/>
        <w:bottom w:val="none" w:sz="0" w:space="0" w:color="auto"/>
        <w:right w:val="none" w:sz="0" w:space="0" w:color="auto"/>
      </w:divBdr>
      <w:divsChild>
        <w:div w:id="108820055">
          <w:marLeft w:val="0"/>
          <w:marRight w:val="0"/>
          <w:marTop w:val="150"/>
          <w:marBottom w:val="168"/>
          <w:divBdr>
            <w:top w:val="none" w:sz="0" w:space="0" w:color="auto"/>
            <w:left w:val="none" w:sz="0" w:space="0" w:color="auto"/>
            <w:bottom w:val="none" w:sz="0" w:space="0" w:color="auto"/>
            <w:right w:val="none" w:sz="0" w:space="0" w:color="auto"/>
          </w:divBdr>
        </w:div>
        <w:div w:id="70351533">
          <w:marLeft w:val="75"/>
          <w:marRight w:val="0"/>
          <w:marTop w:val="105"/>
          <w:marBottom w:val="0"/>
          <w:divBdr>
            <w:top w:val="none" w:sz="0" w:space="0" w:color="auto"/>
            <w:left w:val="none" w:sz="0" w:space="0" w:color="auto"/>
            <w:bottom w:val="none" w:sz="0" w:space="0" w:color="auto"/>
            <w:right w:val="none" w:sz="0" w:space="0" w:color="auto"/>
          </w:divBdr>
        </w:div>
        <w:div w:id="1849517563">
          <w:marLeft w:val="75"/>
          <w:marRight w:val="0"/>
          <w:marTop w:val="105"/>
          <w:marBottom w:val="0"/>
          <w:divBdr>
            <w:top w:val="none" w:sz="0" w:space="0" w:color="auto"/>
            <w:left w:val="none" w:sz="0" w:space="0" w:color="auto"/>
            <w:bottom w:val="none" w:sz="0" w:space="0" w:color="auto"/>
            <w:right w:val="none" w:sz="0" w:space="0" w:color="auto"/>
          </w:divBdr>
        </w:div>
        <w:div w:id="124278488">
          <w:marLeft w:val="75"/>
          <w:marRight w:val="0"/>
          <w:marTop w:val="105"/>
          <w:marBottom w:val="0"/>
          <w:divBdr>
            <w:top w:val="none" w:sz="0" w:space="0" w:color="auto"/>
            <w:left w:val="none" w:sz="0" w:space="0" w:color="auto"/>
            <w:bottom w:val="none" w:sz="0" w:space="0" w:color="auto"/>
            <w:right w:val="none" w:sz="0" w:space="0" w:color="auto"/>
          </w:divBdr>
        </w:div>
      </w:divsChild>
    </w:div>
    <w:div w:id="889152985">
      <w:bodyDiv w:val="1"/>
      <w:marLeft w:val="0"/>
      <w:marRight w:val="0"/>
      <w:marTop w:val="0"/>
      <w:marBottom w:val="0"/>
      <w:divBdr>
        <w:top w:val="none" w:sz="0" w:space="0" w:color="auto"/>
        <w:left w:val="none" w:sz="0" w:space="0" w:color="auto"/>
        <w:bottom w:val="none" w:sz="0" w:space="0" w:color="auto"/>
        <w:right w:val="none" w:sz="0" w:space="0" w:color="auto"/>
      </w:divBdr>
    </w:div>
    <w:div w:id="1164975114">
      <w:bodyDiv w:val="1"/>
      <w:marLeft w:val="0"/>
      <w:marRight w:val="0"/>
      <w:marTop w:val="0"/>
      <w:marBottom w:val="0"/>
      <w:divBdr>
        <w:top w:val="none" w:sz="0" w:space="0" w:color="auto"/>
        <w:left w:val="none" w:sz="0" w:space="0" w:color="auto"/>
        <w:bottom w:val="none" w:sz="0" w:space="0" w:color="auto"/>
        <w:right w:val="none" w:sz="0" w:space="0" w:color="auto"/>
      </w:divBdr>
      <w:divsChild>
        <w:div w:id="829174464">
          <w:marLeft w:val="75"/>
          <w:marRight w:val="0"/>
          <w:marTop w:val="105"/>
          <w:marBottom w:val="0"/>
          <w:divBdr>
            <w:top w:val="none" w:sz="0" w:space="0" w:color="auto"/>
            <w:left w:val="none" w:sz="0" w:space="0" w:color="auto"/>
            <w:bottom w:val="none" w:sz="0" w:space="0" w:color="auto"/>
            <w:right w:val="none" w:sz="0" w:space="0" w:color="auto"/>
          </w:divBdr>
        </w:div>
        <w:div w:id="371926930">
          <w:marLeft w:val="75"/>
          <w:marRight w:val="0"/>
          <w:marTop w:val="105"/>
          <w:marBottom w:val="0"/>
          <w:divBdr>
            <w:top w:val="none" w:sz="0" w:space="0" w:color="auto"/>
            <w:left w:val="none" w:sz="0" w:space="0" w:color="auto"/>
            <w:bottom w:val="none" w:sz="0" w:space="0" w:color="auto"/>
            <w:right w:val="none" w:sz="0" w:space="0" w:color="auto"/>
          </w:divBdr>
        </w:div>
        <w:div w:id="601957726">
          <w:marLeft w:val="75"/>
          <w:marRight w:val="0"/>
          <w:marTop w:val="105"/>
          <w:marBottom w:val="0"/>
          <w:divBdr>
            <w:top w:val="none" w:sz="0" w:space="0" w:color="auto"/>
            <w:left w:val="none" w:sz="0" w:space="0" w:color="auto"/>
            <w:bottom w:val="none" w:sz="0" w:space="0" w:color="auto"/>
            <w:right w:val="none" w:sz="0" w:space="0" w:color="auto"/>
          </w:divBdr>
        </w:div>
        <w:div w:id="664012238">
          <w:marLeft w:val="75"/>
          <w:marRight w:val="0"/>
          <w:marTop w:val="105"/>
          <w:marBottom w:val="0"/>
          <w:divBdr>
            <w:top w:val="none" w:sz="0" w:space="0" w:color="auto"/>
            <w:left w:val="none" w:sz="0" w:space="0" w:color="auto"/>
            <w:bottom w:val="none" w:sz="0" w:space="0" w:color="auto"/>
            <w:right w:val="none" w:sz="0" w:space="0" w:color="auto"/>
          </w:divBdr>
        </w:div>
      </w:divsChild>
    </w:div>
    <w:div w:id="1255943706">
      <w:bodyDiv w:val="1"/>
      <w:marLeft w:val="0"/>
      <w:marRight w:val="0"/>
      <w:marTop w:val="0"/>
      <w:marBottom w:val="0"/>
      <w:divBdr>
        <w:top w:val="none" w:sz="0" w:space="0" w:color="auto"/>
        <w:left w:val="none" w:sz="0" w:space="0" w:color="auto"/>
        <w:bottom w:val="none" w:sz="0" w:space="0" w:color="auto"/>
        <w:right w:val="none" w:sz="0" w:space="0" w:color="auto"/>
      </w:divBdr>
      <w:divsChild>
        <w:div w:id="295063783">
          <w:marLeft w:val="0"/>
          <w:marRight w:val="0"/>
          <w:marTop w:val="150"/>
          <w:marBottom w:val="168"/>
          <w:divBdr>
            <w:top w:val="none" w:sz="0" w:space="0" w:color="auto"/>
            <w:left w:val="none" w:sz="0" w:space="0" w:color="auto"/>
            <w:bottom w:val="none" w:sz="0" w:space="0" w:color="auto"/>
            <w:right w:val="none" w:sz="0" w:space="0" w:color="auto"/>
          </w:divBdr>
        </w:div>
        <w:div w:id="1050037817">
          <w:marLeft w:val="0"/>
          <w:marRight w:val="0"/>
          <w:marTop w:val="150"/>
          <w:marBottom w:val="168"/>
          <w:divBdr>
            <w:top w:val="none" w:sz="0" w:space="0" w:color="auto"/>
            <w:left w:val="none" w:sz="0" w:space="0" w:color="auto"/>
            <w:bottom w:val="none" w:sz="0" w:space="0" w:color="auto"/>
            <w:right w:val="none" w:sz="0" w:space="0" w:color="auto"/>
          </w:divBdr>
        </w:div>
        <w:div w:id="1853176832">
          <w:marLeft w:val="255"/>
          <w:marRight w:val="0"/>
          <w:marTop w:val="0"/>
          <w:marBottom w:val="0"/>
          <w:divBdr>
            <w:top w:val="none" w:sz="0" w:space="0" w:color="auto"/>
            <w:left w:val="none" w:sz="0" w:space="0" w:color="auto"/>
            <w:bottom w:val="none" w:sz="0" w:space="0" w:color="auto"/>
            <w:right w:val="none" w:sz="0" w:space="0" w:color="auto"/>
          </w:divBdr>
        </w:div>
        <w:div w:id="2019846440">
          <w:marLeft w:val="255"/>
          <w:marRight w:val="0"/>
          <w:marTop w:val="0"/>
          <w:marBottom w:val="0"/>
          <w:divBdr>
            <w:top w:val="none" w:sz="0" w:space="0" w:color="auto"/>
            <w:left w:val="none" w:sz="0" w:space="0" w:color="auto"/>
            <w:bottom w:val="none" w:sz="0" w:space="0" w:color="auto"/>
            <w:right w:val="none" w:sz="0" w:space="0" w:color="auto"/>
          </w:divBdr>
        </w:div>
      </w:divsChild>
    </w:div>
    <w:div w:id="1779593194">
      <w:bodyDiv w:val="1"/>
      <w:marLeft w:val="0"/>
      <w:marRight w:val="0"/>
      <w:marTop w:val="0"/>
      <w:marBottom w:val="0"/>
      <w:divBdr>
        <w:top w:val="none" w:sz="0" w:space="0" w:color="auto"/>
        <w:left w:val="none" w:sz="0" w:space="0" w:color="auto"/>
        <w:bottom w:val="none" w:sz="0" w:space="0" w:color="auto"/>
        <w:right w:val="none" w:sz="0" w:space="0" w:color="auto"/>
      </w:divBdr>
      <w:divsChild>
        <w:div w:id="2024941746">
          <w:marLeft w:val="75"/>
          <w:marRight w:val="0"/>
          <w:marTop w:val="105"/>
          <w:marBottom w:val="0"/>
          <w:divBdr>
            <w:top w:val="none" w:sz="0" w:space="0" w:color="auto"/>
            <w:left w:val="none" w:sz="0" w:space="0" w:color="auto"/>
            <w:bottom w:val="none" w:sz="0" w:space="0" w:color="auto"/>
            <w:right w:val="none" w:sz="0" w:space="0" w:color="auto"/>
          </w:divBdr>
        </w:div>
        <w:div w:id="1536313062">
          <w:marLeft w:val="255"/>
          <w:marRight w:val="0"/>
          <w:marTop w:val="0"/>
          <w:marBottom w:val="0"/>
          <w:divBdr>
            <w:top w:val="none" w:sz="0" w:space="0" w:color="auto"/>
            <w:left w:val="none" w:sz="0" w:space="0" w:color="auto"/>
            <w:bottom w:val="none" w:sz="0" w:space="0" w:color="auto"/>
            <w:right w:val="none" w:sz="0" w:space="0" w:color="auto"/>
          </w:divBdr>
        </w:div>
        <w:div w:id="187915558">
          <w:marLeft w:val="255"/>
          <w:marRight w:val="0"/>
          <w:marTop w:val="0"/>
          <w:marBottom w:val="0"/>
          <w:divBdr>
            <w:top w:val="none" w:sz="0" w:space="0" w:color="auto"/>
            <w:left w:val="none" w:sz="0" w:space="0" w:color="auto"/>
            <w:bottom w:val="none" w:sz="0" w:space="0" w:color="auto"/>
            <w:right w:val="none" w:sz="0" w:space="0" w:color="auto"/>
          </w:divBdr>
        </w:div>
        <w:div w:id="262569176">
          <w:marLeft w:val="75"/>
          <w:marRight w:val="0"/>
          <w:marTop w:val="105"/>
          <w:marBottom w:val="0"/>
          <w:divBdr>
            <w:top w:val="none" w:sz="0" w:space="0" w:color="auto"/>
            <w:left w:val="none" w:sz="0" w:space="0" w:color="auto"/>
            <w:bottom w:val="none" w:sz="0" w:space="0" w:color="auto"/>
            <w:right w:val="none" w:sz="0" w:space="0" w:color="auto"/>
          </w:divBdr>
        </w:div>
        <w:div w:id="618755228">
          <w:marLeft w:val="0"/>
          <w:marRight w:val="0"/>
          <w:marTop w:val="150"/>
          <w:marBottom w:val="168"/>
          <w:divBdr>
            <w:top w:val="none" w:sz="0" w:space="0" w:color="auto"/>
            <w:left w:val="none" w:sz="0" w:space="0" w:color="auto"/>
            <w:bottom w:val="none" w:sz="0" w:space="0" w:color="auto"/>
            <w:right w:val="none" w:sz="0" w:space="0" w:color="auto"/>
          </w:divBdr>
        </w:div>
        <w:div w:id="983243379">
          <w:marLeft w:val="75"/>
          <w:marRight w:val="0"/>
          <w:marTop w:val="105"/>
          <w:marBottom w:val="0"/>
          <w:divBdr>
            <w:top w:val="none" w:sz="0" w:space="0" w:color="auto"/>
            <w:left w:val="none" w:sz="0" w:space="0" w:color="auto"/>
            <w:bottom w:val="none" w:sz="0" w:space="0" w:color="auto"/>
            <w:right w:val="none" w:sz="0" w:space="0" w:color="auto"/>
          </w:divBdr>
        </w:div>
        <w:div w:id="1311981298">
          <w:marLeft w:val="75"/>
          <w:marRight w:val="0"/>
          <w:marTop w:val="105"/>
          <w:marBottom w:val="0"/>
          <w:divBdr>
            <w:top w:val="none" w:sz="0" w:space="0" w:color="auto"/>
            <w:left w:val="none" w:sz="0" w:space="0" w:color="auto"/>
            <w:bottom w:val="none" w:sz="0" w:space="0" w:color="auto"/>
            <w:right w:val="none" w:sz="0" w:space="0" w:color="auto"/>
          </w:divBdr>
        </w:div>
      </w:divsChild>
    </w:div>
    <w:div w:id="20312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FF849-68D4-4C6A-876D-2096A174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2955</Words>
  <Characters>17735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Bucior Marek</dc:creator>
  <cp:keywords/>
  <dc:description/>
  <cp:lastModifiedBy>Bodych Dominika</cp:lastModifiedBy>
  <cp:revision>2</cp:revision>
  <cp:lastPrinted>2025-05-06T12:17:00Z</cp:lastPrinted>
  <dcterms:created xsi:type="dcterms:W3CDTF">2025-07-11T12:57:00Z</dcterms:created>
  <dcterms:modified xsi:type="dcterms:W3CDTF">2025-07-11T12:57:00Z</dcterms:modified>
</cp:coreProperties>
</file>