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E0B0" w14:textId="77777777" w:rsidR="00E138FC" w:rsidRPr="00E138FC" w:rsidRDefault="00E138FC" w:rsidP="00E138FC">
      <w:pPr>
        <w:spacing w:after="0" w:line="240" w:lineRule="auto"/>
        <w:jc w:val="center"/>
        <w:rPr>
          <w:rFonts w:ascii="Times New Roman" w:eastAsia="Aptos" w:hAnsi="Times New Roman" w:cs="Times New Roman"/>
          <w:b/>
        </w:rPr>
      </w:pPr>
      <w:r w:rsidRPr="00E138FC">
        <w:rPr>
          <w:rFonts w:ascii="Times New Roman" w:eastAsia="Aptos" w:hAnsi="Times New Roman" w:cs="Times New Roman"/>
          <w:b/>
        </w:rPr>
        <w:t>UZASADNIENIE</w:t>
      </w:r>
    </w:p>
    <w:p w14:paraId="55197A75" w14:textId="77777777" w:rsidR="00E138FC" w:rsidRPr="00E138FC" w:rsidRDefault="00E138FC" w:rsidP="00E138FC">
      <w:pPr>
        <w:spacing w:before="240" w:after="200"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1. Potrzeba i cel wydania ustawy oraz rzeczywisty stan w dziedzinie, która ma być unormowana</w:t>
      </w:r>
    </w:p>
    <w:p w14:paraId="4D7BAF06" w14:textId="77777777" w:rsidR="00E138FC" w:rsidRPr="00E138FC" w:rsidRDefault="00E138FC" w:rsidP="00E138FC">
      <w:pPr>
        <w:spacing w:before="240"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Trwający proces wygaszania działalności wydobywczej węgla brunatnego i energetyki konwencjonalnej oraz konieczność wykorzystania istniejącego potencjału i zasobów dla zrównoważenia rozwoju województwa łódzkiego, a przede wszystkim regionu bełchatowskiego czynią zasadnym podjęcie rozwiązań prawnych, które pozwolą na sprawną realizację tych celów.</w:t>
      </w:r>
    </w:p>
    <w:p w14:paraId="1CF64ED3" w14:textId="77777777" w:rsidR="00E138FC" w:rsidRPr="00E138FC" w:rsidRDefault="00E138FC" w:rsidP="00E138FC">
      <w:pPr>
        <w:spacing w:before="240"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Brak umowy społecznej dotyczącej transformacji sektora górnictwa węgla brunatnego, wytwórców energii konwencjonalnej oraz wybranych procesów transformacji województwa łódzkiego wymaga powołania specjalnego Funduszu Transformacji Regionu Bełchatowskiego, którego celem będzie skoordynowanie transformacji terenów pogórniczych, przemysłowych i poprzemysłowych z transformacją województwa łódzkiego. Niniejsza propozycja nie wchodzi w kolizję z ustawą z dnia 17 sierpnia 2023 r. o osłonach socjalnych dla pracowników sektora elektroenergetycznego i branży górnictwa węgla brunatnego.</w:t>
      </w:r>
    </w:p>
    <w:p w14:paraId="303ABFBB" w14:textId="77777777" w:rsidR="00E138FC" w:rsidRPr="00E138FC" w:rsidRDefault="00E138FC" w:rsidP="00E138FC">
      <w:pPr>
        <w:spacing w:before="240"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 xml:space="preserve">Celem </w:t>
      </w:r>
      <w:r w:rsidRPr="00E138FC">
        <w:rPr>
          <w:rFonts w:ascii="Times New Roman" w:eastAsia="Aptos" w:hAnsi="Times New Roman" w:cs="Times New Roman"/>
          <w:iCs/>
        </w:rPr>
        <w:t xml:space="preserve">projektu ustawy </w:t>
      </w:r>
      <w:r w:rsidRPr="00E138FC">
        <w:rPr>
          <w:rFonts w:ascii="Times New Roman" w:eastAsia="Aptos" w:hAnsi="Times New Roman" w:cs="Times New Roman"/>
        </w:rPr>
        <w:t>jest określenie misji publicznej podmiotu, który będzie tworzył mechanizmy i współuczestniczył w procesach transformacji w województwie łódzkim, przede wszystkim poprzez tworzenie i realizację instrumentów wsparcia kierowanych do szerokiego kręgu beneficjentów. Fundusz będzie wykonywał działalność w formie spółki akcyjnej. Będzie to spółka realizująca misję publiczną w rozumieniu przepisów ustawy z dnia 16 grudnia 2016 r. o zasadach zarządzania mieniem państwowym. Z uwagi na powyższe w art. 16 tej zostanie znowelizowany art. 2 pkt 8 ww. ustawy.</w:t>
      </w:r>
    </w:p>
    <w:p w14:paraId="58DA42EC" w14:textId="77777777" w:rsidR="00E138FC" w:rsidRPr="00E138FC" w:rsidRDefault="00E138FC" w:rsidP="00E138FC">
      <w:pPr>
        <w:spacing w:before="240"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Projekt ustawy przewiduje dwa podstawowe zadania o charakterze publicznym, które będzie realizował Fundusz:</w:t>
      </w:r>
    </w:p>
    <w:p w14:paraId="48463758" w14:textId="77777777" w:rsidR="00E138FC" w:rsidRPr="00E138FC" w:rsidRDefault="00E138FC" w:rsidP="00E138FC">
      <w:pPr>
        <w:numPr>
          <w:ilvl w:val="0"/>
          <w:numId w:val="1"/>
        </w:numPr>
        <w:spacing w:before="240" w:after="0" w:line="240" w:lineRule="auto"/>
        <w:contextualSpacing/>
        <w:jc w:val="both"/>
        <w:rPr>
          <w:rFonts w:ascii="Times New Roman" w:eastAsia="Aptos" w:hAnsi="Times New Roman" w:cs="Times New Roman"/>
        </w:rPr>
      </w:pPr>
      <w:r w:rsidRPr="00E138FC">
        <w:rPr>
          <w:rFonts w:ascii="Times New Roman" w:eastAsia="Aptos" w:hAnsi="Times New Roman" w:cs="Times New Roman"/>
        </w:rPr>
        <w:t>wspieranie procesu transformacji województwa łódzkiego, a przede wszystkim regionu bełchatowskiego oraz</w:t>
      </w:r>
    </w:p>
    <w:p w14:paraId="48C5FC1E" w14:textId="77777777" w:rsidR="00E138FC" w:rsidRPr="00E138FC" w:rsidRDefault="00E138FC" w:rsidP="00E138FC">
      <w:pPr>
        <w:numPr>
          <w:ilvl w:val="0"/>
          <w:numId w:val="1"/>
        </w:numPr>
        <w:spacing w:before="240" w:after="0" w:line="240" w:lineRule="auto"/>
        <w:contextualSpacing/>
        <w:jc w:val="both"/>
        <w:rPr>
          <w:rFonts w:ascii="Times New Roman" w:eastAsia="Aptos" w:hAnsi="Times New Roman" w:cs="Times New Roman"/>
        </w:rPr>
      </w:pPr>
      <w:r w:rsidRPr="00E138FC">
        <w:rPr>
          <w:rFonts w:ascii="Times New Roman" w:eastAsia="Aptos" w:hAnsi="Times New Roman" w:cs="Times New Roman"/>
        </w:rPr>
        <w:t>wspieranie podmiotów (m.in. osób fizycznych i prawnych), w celu przeciwdziałania negatywnym skutkom wygaszania działalności gospodarczej, w tym działalności wydobywczej węgla brunatnego i energetyki konwencjonalnej występującym na terytorium województwa łódzkiego oraz poza jego terytorium.</w:t>
      </w:r>
    </w:p>
    <w:p w14:paraId="6E65D9DF" w14:textId="545EA987" w:rsidR="00E138FC" w:rsidRPr="00E138FC" w:rsidRDefault="00E138FC" w:rsidP="00E138FC">
      <w:pPr>
        <w:spacing w:before="240" w:after="0" w:line="240" w:lineRule="auto"/>
        <w:ind w:firstLine="360"/>
        <w:jc w:val="both"/>
        <w:rPr>
          <w:rFonts w:ascii="Times New Roman" w:eastAsia="Aptos" w:hAnsi="Times New Roman" w:cs="Times New Roman"/>
        </w:rPr>
      </w:pPr>
      <w:r w:rsidRPr="00E138FC">
        <w:rPr>
          <w:rFonts w:ascii="Times New Roman" w:eastAsia="Aptos" w:hAnsi="Times New Roman" w:cs="Times New Roman"/>
        </w:rPr>
        <w:t xml:space="preserve">Przez transformację regionu bełchatowskiego rozumie się działania zmierzające do zmiany struktury gospodarki regionu bełchatowskiego, w tym zagospodarowanie sektorów nieposiadających potencjału wzrostowego oraz działania zmierzające do podnoszenia konkurencyjności gospodarki tego regionu, z wykorzystaniem istniejącego potencjału </w:t>
      </w:r>
      <w:r w:rsidR="00CE3264">
        <w:rPr>
          <w:rFonts w:ascii="Times New Roman" w:eastAsia="Aptos" w:hAnsi="Times New Roman" w:cs="Times New Roman"/>
        </w:rPr>
        <w:br/>
      </w:r>
      <w:r w:rsidRPr="00E138FC">
        <w:rPr>
          <w:rFonts w:ascii="Times New Roman" w:eastAsia="Aptos" w:hAnsi="Times New Roman" w:cs="Times New Roman"/>
        </w:rPr>
        <w:t xml:space="preserve">i zasobów. Fundusz może realizować zadania publiczne zarówno na podstawie umów </w:t>
      </w:r>
      <w:r w:rsidR="00CE3264">
        <w:rPr>
          <w:rFonts w:ascii="Times New Roman" w:eastAsia="Aptos" w:hAnsi="Times New Roman" w:cs="Times New Roman"/>
        </w:rPr>
        <w:br/>
        <w:t>oraz</w:t>
      </w:r>
      <w:r w:rsidRPr="00E138FC">
        <w:rPr>
          <w:rFonts w:ascii="Times New Roman" w:eastAsia="Aptos" w:hAnsi="Times New Roman" w:cs="Times New Roman"/>
        </w:rPr>
        <w:t xml:space="preserve"> porozumień zawieranych z organami administracji rządowej, innymi jednostkami, które wykonują zadania publiczne oraz jednostkami samorządu terytorialnego. Ponadto Rada Ministrów, w ramach działalności publicznej Funduszu, może powierzyć mu realizację rządowego programu udzielania przedsiębiorcom wsparcia finansowego. Projekt ustawy określa elementy tego programu. Szeroko określony katalog form działania Funduszu ma na celu zapewnienie elastycznego, proporcjonalnego i adekwatnego w stosunku do potrzeb projektowania zindywidualizowanych instrumentów realizacji zadań Funduszu.</w:t>
      </w:r>
    </w:p>
    <w:p w14:paraId="54642B15" w14:textId="01666DEB" w:rsidR="00E138FC" w:rsidRPr="00E138FC" w:rsidRDefault="00E138FC" w:rsidP="00E138FC">
      <w:pPr>
        <w:spacing w:before="240" w:after="0" w:line="240" w:lineRule="auto"/>
        <w:ind w:firstLine="708"/>
        <w:jc w:val="both"/>
        <w:rPr>
          <w:rFonts w:ascii="Times New Roman" w:eastAsia="Aptos" w:hAnsi="Times New Roman" w:cs="Times New Roman"/>
        </w:rPr>
      </w:pPr>
      <w:r w:rsidRPr="00E138FC">
        <w:rPr>
          <w:rFonts w:ascii="Times New Roman" w:eastAsia="Aptos" w:hAnsi="Times New Roman" w:cs="Times New Roman"/>
        </w:rPr>
        <w:lastRenderedPageBreak/>
        <w:t xml:space="preserve">Łączne dokapitalizowanie w latach 2025-2030 wynosi 1,3 mld zł. Pomimo takiej alokacji skala interwencji z FTRB nie odzwierciedla skali wyzwań społecznych, a powinna być proporcjonalna względem pozostałych regionów węglowych w Polsce. Region Bełchatowski otrzymał dotychczas najmniej środków na cele transformacji energetycznej w przeliczeniu na pracownika. Zagłębie bełchatowskie będzie wygaszane przed regionem śląskim i to region bełchatowski będzie potrzebował natychmiastowej pomocy. Zakłada się zakończenie trwającej obecnie eksploatacji złóż węgla brunatnego w polach Bełchatów i Szczerców odpowiednio </w:t>
      </w:r>
      <w:r w:rsidR="00CE3264">
        <w:rPr>
          <w:rFonts w:ascii="Times New Roman" w:eastAsia="Aptos" w:hAnsi="Times New Roman" w:cs="Times New Roman"/>
        </w:rPr>
        <w:br/>
      </w:r>
      <w:r w:rsidRPr="00E138FC">
        <w:rPr>
          <w:rFonts w:ascii="Times New Roman" w:eastAsia="Aptos" w:hAnsi="Times New Roman" w:cs="Times New Roman"/>
        </w:rPr>
        <w:t>w 2026 r. i 2038 r.</w:t>
      </w:r>
    </w:p>
    <w:p w14:paraId="21D5B433" w14:textId="77777777" w:rsidR="00E138FC" w:rsidRPr="00E138FC" w:rsidRDefault="00E138FC" w:rsidP="00E138FC">
      <w:pPr>
        <w:spacing w:before="240" w:after="0" w:line="240" w:lineRule="auto"/>
        <w:ind w:firstLine="708"/>
        <w:jc w:val="both"/>
        <w:rPr>
          <w:rFonts w:ascii="Times New Roman" w:eastAsia="Aptos" w:hAnsi="Times New Roman" w:cs="Times New Roman"/>
        </w:rPr>
      </w:pPr>
      <w:r w:rsidRPr="00E138FC">
        <w:rPr>
          <w:rFonts w:ascii="Times New Roman" w:eastAsia="Aptos" w:hAnsi="Times New Roman" w:cs="Times New Roman"/>
        </w:rPr>
        <w:t xml:space="preserve">W związku z powyższym przewiduje się </w:t>
      </w:r>
      <w:bookmarkStart w:id="0" w:name="_Hlk199335596"/>
      <w:r w:rsidRPr="00E138FC">
        <w:rPr>
          <w:rFonts w:ascii="Times New Roman" w:eastAsia="Aptos" w:hAnsi="Times New Roman" w:cs="Times New Roman"/>
        </w:rPr>
        <w:t>duży spadek wpływów do budżetów gmin, powiatów i województw z podatków i opłat od PGE SA, co zdecydowanie spowolni rozwój gospodarczy regionu bełchatowskiego. Brak perspektyw znalezienia pracy będzie skutkować wzrostem migracji, szczególnie osób młodych, pogłębiając depopulację. Teren obszaru transformacji dot. 35 gmin, prawdopodobieństwo wystąpienia negatywnych skutków społeczno-gospodarczych m.in. pauperyzacji zamieszkałej populacji.</w:t>
      </w:r>
      <w:bookmarkEnd w:id="0"/>
      <w:r w:rsidRPr="00E138FC">
        <w:rPr>
          <w:rFonts w:ascii="Times New Roman" w:eastAsia="Aptos" w:hAnsi="Times New Roman" w:cs="Times New Roman"/>
        </w:rPr>
        <w:t xml:space="preserve"> Miasto Bełchatów nie posiada własnego systemu ciepłowniczego i jest uzależnione od PGE. Zgodnie z aktualizacją Polityki energetycznej Polski do 2040 r. (PEP2040), Bełchatów jest wskazywany jako druga lokalizacja do budowy elektrowni jądrowej w centralnej Polsce, co również będzie wymagało przygotowania infrastruktury i zasobów ludzkich pod przyszłą inwestycję.</w:t>
      </w:r>
    </w:p>
    <w:p w14:paraId="1E6ECDC3" w14:textId="77777777" w:rsidR="00E138FC" w:rsidRPr="00E138FC" w:rsidRDefault="00E138FC" w:rsidP="00E138FC">
      <w:pPr>
        <w:spacing w:before="240" w:after="200"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 xml:space="preserve">2. Przewidywane skutki prawne w tym różnica pomiędzy dotychczasowym </w:t>
      </w:r>
      <w:r w:rsidRPr="00E138FC">
        <w:rPr>
          <w:rFonts w:ascii="Times New Roman" w:eastAsia="Times New Roman" w:hAnsi="Times New Roman" w:cs="Times New Roman"/>
          <w:b/>
          <w:kern w:val="0"/>
          <w:lang w:eastAsia="pl-PL"/>
          <w14:ligatures w14:val="none"/>
        </w:rPr>
        <w:br/>
        <w:t>a projektowanym stanem prawnym</w:t>
      </w:r>
    </w:p>
    <w:p w14:paraId="1BD88563" w14:textId="77777777" w:rsidR="00E138FC" w:rsidRPr="00E138FC" w:rsidRDefault="00E138FC" w:rsidP="00E138FC">
      <w:pPr>
        <w:spacing w:before="240" w:after="200" w:line="240" w:lineRule="auto"/>
        <w:jc w:val="both"/>
        <w:rPr>
          <w:rFonts w:ascii="Times New Roman" w:eastAsia="Aptos" w:hAnsi="Times New Roman" w:cs="Times New Roman"/>
          <w:iCs/>
        </w:rPr>
      </w:pPr>
      <w:r w:rsidRPr="00E138FC">
        <w:rPr>
          <w:rFonts w:ascii="Times New Roman" w:eastAsia="Times New Roman" w:hAnsi="Times New Roman" w:cs="Times New Roman"/>
          <w:b/>
          <w:kern w:val="0"/>
          <w:lang w:eastAsia="pl-PL"/>
          <w14:ligatures w14:val="none"/>
        </w:rPr>
        <w:tab/>
      </w:r>
      <w:r w:rsidRPr="00E138FC">
        <w:rPr>
          <w:rFonts w:ascii="Times New Roman" w:eastAsia="Times New Roman" w:hAnsi="Times New Roman" w:cs="Times New Roman"/>
          <w:bCs/>
          <w:kern w:val="0"/>
          <w:lang w:eastAsia="pl-PL"/>
          <w14:ligatures w14:val="none"/>
        </w:rPr>
        <w:t xml:space="preserve">W celu osiągnięcia wskazanych powyżej celów należy wprowadzić do polskiego systemu prawnego ustawę </w:t>
      </w:r>
      <w:r w:rsidRPr="00E138FC">
        <w:rPr>
          <w:rFonts w:ascii="Times New Roman" w:eastAsia="Aptos" w:hAnsi="Times New Roman" w:cs="Times New Roman"/>
          <w:iCs/>
        </w:rPr>
        <w:t>o Funduszu Transformacji Regionu Bełchatowskiego, w której przewiduje się preambułę i 28 artykułów, z czego 20 artykułów merytorycznych dotyczących funkcjonowania Funduszu, 3 artykuły dotyczące zmian w obowiązujących ustawach, 4 artykuły dotyczące przepisów przejściowych i wydatków z budżetu państwa oraz artykuł dotyczący vacatio legis ustawy.</w:t>
      </w:r>
    </w:p>
    <w:p w14:paraId="5C81EEBF" w14:textId="51937310" w:rsidR="00E138FC" w:rsidRPr="00E138FC" w:rsidRDefault="00E138FC" w:rsidP="00E138FC">
      <w:pPr>
        <w:spacing w:before="240" w:after="200" w:line="240" w:lineRule="auto"/>
        <w:jc w:val="both"/>
        <w:rPr>
          <w:rFonts w:ascii="Times New Roman" w:eastAsia="Aptos" w:hAnsi="Times New Roman" w:cs="Times New Roman"/>
          <w:bCs/>
          <w:iCs/>
        </w:rPr>
      </w:pPr>
      <w:r w:rsidRPr="00E138FC">
        <w:rPr>
          <w:rFonts w:ascii="Times New Roman" w:eastAsia="Aptos" w:hAnsi="Times New Roman" w:cs="Times New Roman"/>
          <w:iCs/>
        </w:rPr>
        <w:tab/>
        <w:t xml:space="preserve">W </w:t>
      </w:r>
      <w:r w:rsidRPr="00E138FC">
        <w:rPr>
          <w:rFonts w:ascii="Times New Roman" w:eastAsia="Aptos" w:hAnsi="Times New Roman" w:cs="Times New Roman"/>
          <w:b/>
          <w:bCs/>
          <w:iCs/>
        </w:rPr>
        <w:t>preambule</w:t>
      </w:r>
      <w:r w:rsidRPr="00E138FC">
        <w:rPr>
          <w:rFonts w:ascii="Times New Roman" w:eastAsia="Aptos" w:hAnsi="Times New Roman" w:cs="Times New Roman"/>
          <w:iCs/>
        </w:rPr>
        <w:t xml:space="preserve"> projektu ustawy wskazano na </w:t>
      </w:r>
      <w:r w:rsidRPr="00E138FC">
        <w:rPr>
          <w:rFonts w:ascii="Times New Roman" w:eastAsia="Aptos" w:hAnsi="Times New Roman" w:cs="Times New Roman"/>
          <w:bCs/>
          <w:iCs/>
        </w:rPr>
        <w:t xml:space="preserve">konstytucyjną zasadą zrównoważonego rozwoju, wartość historyczną województwa łódzkiego i regionu bełchatowskiego dla Rzeczypospolitej Polskiej oraz potencjał gospodarczy tego regionu i jego zasoby, a także wyzwania jakie stoją przed regionem z uwagi na procesy transformacyjne oczekiwane przez Unię Europejską w wyniku wprowadzania polityki klimatycznej poprzez Europejski Zielony Ład, która będzie generować istotne koszty społeczne i gospodarcze dla regionu bełchatowskiego. Dostrzeżono także konieczność podjęcia działań w kierunku transformacji województwa łódzkiego, przede wszystkim regionu bełchatowskiego mających na celu odejście od obecnej struktury gospodarki regionu w kierunku dostosowania jej do wyzwań społeczno-gospodarczych wynikających z transformacji energetycznej, technologicznej </w:t>
      </w:r>
      <w:r w:rsidR="00CE3264">
        <w:rPr>
          <w:rFonts w:ascii="Times New Roman" w:eastAsia="Aptos" w:hAnsi="Times New Roman" w:cs="Times New Roman"/>
          <w:bCs/>
          <w:iCs/>
        </w:rPr>
        <w:br/>
      </w:r>
      <w:r w:rsidRPr="00E138FC">
        <w:rPr>
          <w:rFonts w:ascii="Times New Roman" w:eastAsia="Aptos" w:hAnsi="Times New Roman" w:cs="Times New Roman"/>
          <w:bCs/>
          <w:iCs/>
        </w:rPr>
        <w:t>i klimatycznej, przy zagwarantowaniu zrównoważonego rozwoju społeczno-gospodarczo-przestrzennego.</w:t>
      </w:r>
    </w:p>
    <w:p w14:paraId="7FB0EFAC" w14:textId="77777777" w:rsidR="00E138FC" w:rsidRPr="00E138FC" w:rsidRDefault="00E138FC" w:rsidP="00E138FC">
      <w:pPr>
        <w:spacing w:before="240" w:after="200" w:line="240" w:lineRule="auto"/>
        <w:jc w:val="both"/>
        <w:rPr>
          <w:rFonts w:ascii="Times New Roman" w:eastAsia="Aptos" w:hAnsi="Times New Roman" w:cs="Times New Roman"/>
          <w:bCs/>
          <w:iCs/>
        </w:rPr>
      </w:pPr>
      <w:r w:rsidRPr="00E138FC">
        <w:rPr>
          <w:rFonts w:ascii="Times New Roman" w:eastAsia="Aptos" w:hAnsi="Times New Roman" w:cs="Times New Roman"/>
          <w:bCs/>
          <w:iCs/>
        </w:rPr>
        <w:tab/>
        <w:t xml:space="preserve">W </w:t>
      </w:r>
      <w:r w:rsidRPr="00E138FC">
        <w:rPr>
          <w:rFonts w:ascii="Times New Roman" w:eastAsia="Aptos" w:hAnsi="Times New Roman" w:cs="Times New Roman"/>
          <w:b/>
          <w:iCs/>
        </w:rPr>
        <w:t xml:space="preserve">art. 1 </w:t>
      </w:r>
      <w:r w:rsidRPr="00E138FC">
        <w:rPr>
          <w:rFonts w:ascii="Times New Roman" w:eastAsia="Aptos" w:hAnsi="Times New Roman" w:cs="Times New Roman"/>
          <w:bCs/>
          <w:iCs/>
        </w:rPr>
        <w:t>wskazano zakres przedmiotowy ustawy, a zatem cel działania Funduszu, instrumenty służące realizację celu Funduszu oraz organizację Funduszu.</w:t>
      </w:r>
    </w:p>
    <w:p w14:paraId="41E794F7" w14:textId="77777777" w:rsidR="00E138FC" w:rsidRPr="00E138FC" w:rsidRDefault="00E138FC" w:rsidP="00E138FC">
      <w:pPr>
        <w:spacing w:before="240" w:after="200" w:line="240" w:lineRule="auto"/>
        <w:jc w:val="both"/>
        <w:rPr>
          <w:rFonts w:ascii="Times New Roman" w:eastAsia="Aptos" w:hAnsi="Times New Roman" w:cs="Times New Roman"/>
          <w:bCs/>
          <w:iCs/>
        </w:rPr>
      </w:pPr>
      <w:r w:rsidRPr="00E138FC">
        <w:rPr>
          <w:rFonts w:ascii="Times New Roman" w:eastAsia="Aptos" w:hAnsi="Times New Roman" w:cs="Times New Roman"/>
          <w:bCs/>
          <w:iCs/>
        </w:rPr>
        <w:tab/>
      </w:r>
      <w:r w:rsidRPr="00E138FC">
        <w:rPr>
          <w:rFonts w:ascii="Times New Roman" w:eastAsia="Aptos" w:hAnsi="Times New Roman" w:cs="Times New Roman"/>
          <w:b/>
          <w:iCs/>
        </w:rPr>
        <w:t>Art. 2</w:t>
      </w:r>
      <w:r w:rsidRPr="00E138FC">
        <w:rPr>
          <w:rFonts w:ascii="Times New Roman" w:eastAsia="Aptos" w:hAnsi="Times New Roman" w:cs="Times New Roman"/>
          <w:bCs/>
          <w:iCs/>
        </w:rPr>
        <w:t xml:space="preserve"> zawiera w ust. 1 rozwiązanie, że Fundusz jest spółką realizującą misję publiczną w rozumieniu przepisów ustawy z dnia 16 grudnia 2016 r. o zasadach zarządzania mieniem państwowym, w ust. 2 wskazanie celu działania Funduszu, w ust. 3 definicję transformacji </w:t>
      </w:r>
      <w:r w:rsidRPr="00E138FC">
        <w:rPr>
          <w:rFonts w:ascii="Times New Roman" w:eastAsia="Aptos" w:hAnsi="Times New Roman" w:cs="Times New Roman"/>
          <w:bCs/>
          <w:iCs/>
        </w:rPr>
        <w:lastRenderedPageBreak/>
        <w:t xml:space="preserve">regionu bełchatowskiego, w ust. 4 definicję regionu bełchatowskiego, a w ust. 5 definicję organizacji związkowych </w:t>
      </w:r>
      <w:bookmarkStart w:id="1" w:name="_Hlk199240422"/>
      <w:r w:rsidRPr="00E138FC">
        <w:rPr>
          <w:rFonts w:ascii="Times New Roman" w:eastAsia="Aptos" w:hAnsi="Times New Roman" w:cs="Times New Roman"/>
          <w:bCs/>
          <w:iCs/>
        </w:rPr>
        <w:t>Kompleksu Górniczo-Energetycznego Bełchatów</w:t>
      </w:r>
      <w:bookmarkEnd w:id="1"/>
      <w:r w:rsidRPr="00E138FC">
        <w:rPr>
          <w:rFonts w:ascii="Times New Roman" w:eastAsia="Aptos" w:hAnsi="Times New Roman" w:cs="Times New Roman"/>
          <w:bCs/>
          <w:iCs/>
        </w:rPr>
        <w:t>.</w:t>
      </w:r>
    </w:p>
    <w:p w14:paraId="6C4AAEC1" w14:textId="20B20A7A"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
          <w:iCs/>
        </w:rPr>
        <w:t>Art. 3</w:t>
      </w:r>
      <w:r w:rsidRPr="00E138FC">
        <w:rPr>
          <w:rFonts w:ascii="Times New Roman" w:eastAsia="Aptos" w:hAnsi="Times New Roman" w:cs="Times New Roman"/>
          <w:bCs/>
          <w:iCs/>
        </w:rPr>
        <w:t xml:space="preserve"> dotyczy Strategii Funduszu Transformacji Regionu Bełchatowskiego, elementów, które ma określać, a także okres, na który będzie opracowywana oraz regulacji, zgonie z którą nie będzie się do niej stosować przepisów ustawy z dnia 6 grudnia 2006 r. </w:t>
      </w:r>
      <w:r w:rsidR="00CE3264">
        <w:rPr>
          <w:rFonts w:ascii="Times New Roman" w:eastAsia="Aptos" w:hAnsi="Times New Roman" w:cs="Times New Roman"/>
          <w:bCs/>
          <w:iCs/>
        </w:rPr>
        <w:br/>
      </w:r>
      <w:r w:rsidRPr="00E138FC">
        <w:rPr>
          <w:rFonts w:ascii="Times New Roman" w:eastAsia="Aptos" w:hAnsi="Times New Roman" w:cs="Times New Roman"/>
          <w:bCs/>
          <w:iCs/>
        </w:rPr>
        <w:t>o zasadach prowadzenia polityki rozwoju.</w:t>
      </w:r>
    </w:p>
    <w:p w14:paraId="081F18F4" w14:textId="6948AB35"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4</w:t>
      </w:r>
      <w:r w:rsidRPr="00E138FC">
        <w:rPr>
          <w:rFonts w:ascii="Times New Roman" w:eastAsia="Aptos" w:hAnsi="Times New Roman" w:cs="Times New Roman"/>
          <w:bCs/>
          <w:iCs/>
        </w:rPr>
        <w:t xml:space="preserve"> zawarto dalsze przepisy dotyczące Strategii. Wskazano, że jej projekt opracowuje zarząd Funduszu, podlega on konsultacjom, a także uregulowano tryb, przebieg </w:t>
      </w:r>
      <w:r w:rsidR="00CE3264">
        <w:rPr>
          <w:rFonts w:ascii="Times New Roman" w:eastAsia="Aptos" w:hAnsi="Times New Roman" w:cs="Times New Roman"/>
          <w:bCs/>
          <w:iCs/>
        </w:rPr>
        <w:br/>
      </w:r>
      <w:r w:rsidRPr="00E138FC">
        <w:rPr>
          <w:rFonts w:ascii="Times New Roman" w:eastAsia="Aptos" w:hAnsi="Times New Roman" w:cs="Times New Roman"/>
          <w:bCs/>
          <w:iCs/>
        </w:rPr>
        <w:t>i termin tych konsultacji oraz dalsze procedury po ich zakończeniu, w tym przekazanie projektu ministrowi właściwemu do spraw finansów publicznych w celu uzgodnienia pod względem możliwości finansowania Strategii ze środków publicznych, a także przedłożenie radzie nadzorczej Funduszu do zaopiniowania oraz sposób przyjęcia i publikacji Strategii, a także jej zmiany.</w:t>
      </w:r>
    </w:p>
    <w:p w14:paraId="2C0CFF6A" w14:textId="6EC81879"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Zgodnie z proponowanym brzmieniem </w:t>
      </w:r>
      <w:r w:rsidRPr="00E138FC">
        <w:rPr>
          <w:rFonts w:ascii="Times New Roman" w:eastAsia="Aptos" w:hAnsi="Times New Roman" w:cs="Times New Roman"/>
          <w:b/>
          <w:iCs/>
        </w:rPr>
        <w:t>art. 5</w:t>
      </w:r>
      <w:r w:rsidRPr="00E138FC">
        <w:rPr>
          <w:rFonts w:ascii="Times New Roman" w:eastAsia="Aptos" w:hAnsi="Times New Roman" w:cs="Times New Roman"/>
          <w:bCs/>
          <w:iCs/>
        </w:rPr>
        <w:t xml:space="preserve"> Zarząd Funduszu, do dnia 31 marca każdego roku, będzie sporządzać sprawozdanie z realizacji Strategii za rok poprzedni</w:t>
      </w:r>
      <w:r w:rsidR="00CE3264">
        <w:rPr>
          <w:rFonts w:ascii="Times New Roman" w:eastAsia="Aptos" w:hAnsi="Times New Roman" w:cs="Times New Roman"/>
          <w:bCs/>
          <w:iCs/>
        </w:rPr>
        <w:br/>
      </w:r>
      <w:r w:rsidRPr="00E138FC">
        <w:rPr>
          <w:rFonts w:ascii="Times New Roman" w:eastAsia="Aptos" w:hAnsi="Times New Roman" w:cs="Times New Roman"/>
          <w:bCs/>
          <w:iCs/>
        </w:rPr>
        <w:t>i przekazywać je radzie nadzorczej Funduszu.</w:t>
      </w:r>
    </w:p>
    <w:p w14:paraId="09AF56E2" w14:textId="55B5F76A"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6</w:t>
      </w:r>
      <w:r w:rsidRPr="00E138FC">
        <w:rPr>
          <w:rFonts w:ascii="Times New Roman" w:eastAsia="Aptos" w:hAnsi="Times New Roman" w:cs="Times New Roman"/>
          <w:bCs/>
          <w:iCs/>
        </w:rPr>
        <w:t xml:space="preserve"> proponuje się wprowadzić regulację, zgodnie z którą Fundusz będzie prowadzić i obsługiwać stronę internetową, za </w:t>
      </w:r>
      <w:r w:rsidR="00CE3264" w:rsidRPr="00E138FC">
        <w:rPr>
          <w:rFonts w:ascii="Times New Roman" w:eastAsia="Aptos" w:hAnsi="Times New Roman" w:cs="Times New Roman"/>
          <w:bCs/>
          <w:iCs/>
        </w:rPr>
        <w:t>pomocą,</w:t>
      </w:r>
      <w:r w:rsidRPr="00E138FC">
        <w:rPr>
          <w:rFonts w:ascii="Times New Roman" w:eastAsia="Aptos" w:hAnsi="Times New Roman" w:cs="Times New Roman"/>
          <w:bCs/>
          <w:iCs/>
        </w:rPr>
        <w:t xml:space="preserve"> której będzie upowszechniać informacje o swojej działalności.</w:t>
      </w:r>
    </w:p>
    <w:p w14:paraId="26A4D99F" w14:textId="0D5FC4E2"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
          <w:iCs/>
        </w:rPr>
        <w:t>Art. 7</w:t>
      </w:r>
      <w:r w:rsidRPr="00E138FC">
        <w:rPr>
          <w:rFonts w:ascii="Times New Roman" w:eastAsia="Aptos" w:hAnsi="Times New Roman" w:cs="Times New Roman"/>
          <w:bCs/>
          <w:iCs/>
        </w:rPr>
        <w:t xml:space="preserve"> dotyczy sposobów realizacji celu działania Funduszu. W ust. 1 wskazano, że Fundusz będzie realizował ten cel, w szczególności przez obejmowanie lub nabywanie udziałów, akcji, warrantów subskrypcyjnych, obligacji lub wierzytelności oraz przystępowanie do spółek osobowych oraz udzielanie przedsiębiorcom, osobom fizycznym, jednostkom samorządu terytorialnego lub organizacjom pozarządowym pożyczek, gwarancji i poręczeń </w:t>
      </w:r>
      <w:r w:rsidR="00CE3264">
        <w:rPr>
          <w:rFonts w:ascii="Times New Roman" w:eastAsia="Aptos" w:hAnsi="Times New Roman" w:cs="Times New Roman"/>
          <w:bCs/>
          <w:iCs/>
        </w:rPr>
        <w:br/>
      </w:r>
      <w:r w:rsidRPr="00E138FC">
        <w:rPr>
          <w:rFonts w:ascii="Times New Roman" w:eastAsia="Aptos" w:hAnsi="Times New Roman" w:cs="Times New Roman"/>
          <w:bCs/>
          <w:iCs/>
        </w:rPr>
        <w:t>i innych form wsparcia. W ust. 2 proponuje się regulację, zgodnie z którą w ramach realizacji celu Fundusz będzie mógł wykonywać zadania powierzone mu na podstawie umów lub porozumień zawieranych w szczególności z organami administracji rządowej, innymi jednostkami wykonującymi zadania publiczne lub jednostkami samorządu terytorialnego oraz we współpracy z instytucjami rozwoju, o których mowa w art. 2 ust. 1 ustawy z dnia 4 lipca 2019 r. o systemie instytucji rozwoju. Ust. 3 i 4 zawierają przepisy dotyczące możliwości powierzenia Funduszowi przez Radę Ministrów realizacji programu udzielania przedsiębiorcom wsparcia finansowego, służącego realizacji celu działania Funduszu oraz cech tego programu. W ust. 5 wprost stwierdzono, że Fundusz jest podmiotem udzielającym pomocy publicznej w rozumieniu ustawy z dnia 30 kwietnia 2004 r. o postępowaniu w sprawach dotyczących pomocy publicznej.</w:t>
      </w:r>
    </w:p>
    <w:p w14:paraId="1D3D611C" w14:textId="55A382FD"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8</w:t>
      </w:r>
      <w:r w:rsidRPr="00E138FC">
        <w:rPr>
          <w:rFonts w:ascii="Times New Roman" w:eastAsia="Aptos" w:hAnsi="Times New Roman" w:cs="Times New Roman"/>
          <w:bCs/>
          <w:iCs/>
        </w:rPr>
        <w:t xml:space="preserve"> w ust. 1 zaproponowano regulację, zgodnie z którą Fundusz będzie udzielać wsparcia finansowego uczestnikom rynku, w tym mikroprzedsiębiorcom oraz małym i średnim przedsiębiorcom, spełniającym warunki określone w załączniku I do rozporządzenia Komisji (UE) nr 651/2014 z dnia 17 czerwca 2014 r. uznającego niektóre rodzaje pomocy za zgodne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z rynkiem wewnętrznym w zastosowaniu art. 107 i 108 Traktatu o funkcjonowaniu Unii Europejskiej. Ust. 2 regulować będzie kwestię przeznaczania wsparcia finansowego poprzez enumeratywne wyliczenie celów, na które będzie można wydatkować te środki. W ust. 3 proponuje się uregulowanie wynagrodzenia Funduszu, uznając, że nie może ono przekraczać </w:t>
      </w:r>
      <w:r w:rsidRPr="00E138FC">
        <w:rPr>
          <w:rFonts w:ascii="Times New Roman" w:eastAsia="Aptos" w:hAnsi="Times New Roman" w:cs="Times New Roman"/>
          <w:bCs/>
          <w:iCs/>
        </w:rPr>
        <w:lastRenderedPageBreak/>
        <w:t xml:space="preserve">stawek rynkowych. Ust. 4 zawiera delegację ustawową dla Rady Ministrów do określenia </w:t>
      </w:r>
      <w:r w:rsidR="00CE3264">
        <w:rPr>
          <w:rFonts w:ascii="Times New Roman" w:eastAsia="Aptos" w:hAnsi="Times New Roman" w:cs="Times New Roman"/>
          <w:bCs/>
          <w:iCs/>
        </w:rPr>
        <w:br/>
      </w:r>
      <w:r w:rsidRPr="00E138FC">
        <w:rPr>
          <w:rFonts w:ascii="Times New Roman" w:eastAsia="Aptos" w:hAnsi="Times New Roman" w:cs="Times New Roman"/>
          <w:bCs/>
          <w:iCs/>
        </w:rPr>
        <w:t>w drodze rozporządzenia szczegółów dotyczących przeznaczenia i warunków udzielania wsparcia finansowego i warunków wypłaty wynagrodzenia.</w:t>
      </w:r>
    </w:p>
    <w:p w14:paraId="56C3396D" w14:textId="7CE4F6B4"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9</w:t>
      </w:r>
      <w:r w:rsidRPr="00E138FC">
        <w:rPr>
          <w:rFonts w:ascii="Times New Roman" w:eastAsia="Aptos" w:hAnsi="Times New Roman" w:cs="Times New Roman"/>
          <w:bCs/>
          <w:iCs/>
        </w:rPr>
        <w:t xml:space="preserve"> proponuje się przepisy dotyczące programu wsparcia, który będzie opracowywany przez Fundusz. W ust. 2 wymienione są elementy, które program będzie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w szczególności określać, w ust. 3 przesądzono, że projekt programu będzie opracowywać zarząd Funduszu, w ust. 4, że projekt ten będzie podlegał uzgodnieniu z ministrem właściwym ze względu na zakres merytoryczny programu oraz ministrem właściwym do spraw finansów publicznych, jeżeli będzie przewidywał finansowanie przedsięwzięć objętych programem ze środków publicznych. Ust. 5-7 zawierają przepisy dotyczące przedłożenia uzgodnionego projektu radzie nadzorczej Funduszu, skutki przedstawienia przez radę nadzorczą negatywnej lub pozytywnej opinii </w:t>
      </w:r>
      <w:r w:rsidR="00CE3264" w:rsidRPr="00E138FC">
        <w:rPr>
          <w:rFonts w:ascii="Times New Roman" w:eastAsia="Aptos" w:hAnsi="Times New Roman" w:cs="Times New Roman"/>
          <w:bCs/>
          <w:iCs/>
        </w:rPr>
        <w:t>oraz</w:t>
      </w:r>
      <w:r w:rsidRPr="00E138FC">
        <w:rPr>
          <w:rFonts w:ascii="Times New Roman" w:eastAsia="Aptos" w:hAnsi="Times New Roman" w:cs="Times New Roman"/>
          <w:bCs/>
          <w:iCs/>
        </w:rPr>
        <w:t xml:space="preserve"> w tym drugim przypadku, przyjęcia programu i jego publikacji.</w:t>
      </w:r>
    </w:p>
    <w:p w14:paraId="1A7EE4AA"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
          <w:iCs/>
        </w:rPr>
        <w:t>Art. 10</w:t>
      </w:r>
      <w:r w:rsidRPr="00E138FC">
        <w:rPr>
          <w:rFonts w:ascii="Times New Roman" w:eastAsia="Aptos" w:hAnsi="Times New Roman" w:cs="Times New Roman"/>
          <w:bCs/>
          <w:iCs/>
        </w:rPr>
        <w:t xml:space="preserve"> dotyczy organizacji i prowadzenia przez Fundusz w trybie konkursowym lub ciągłym naboru wniosków o udzielenie wsparcia w ramach programu, regulaminu naboru wniosków, w tym jego publikacji i zmiany, a także podejmowania przez Fundusz czynności prowadzących do zawarcia umów o udzielenie wsparcia z beneficjentami programu.</w:t>
      </w:r>
    </w:p>
    <w:p w14:paraId="11170DF9"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11</w:t>
      </w:r>
      <w:r w:rsidRPr="00E138FC">
        <w:rPr>
          <w:rFonts w:ascii="Times New Roman" w:eastAsia="Aptos" w:hAnsi="Times New Roman" w:cs="Times New Roman"/>
          <w:bCs/>
          <w:iCs/>
        </w:rPr>
        <w:t xml:space="preserve"> proponuje się, aby minister właściwy ze względu na zakres merytoryczny programu mógł opracować i przyjąć program wsparcia przedsiębiorców, w celu przeciwdziałania negatywnym skutkom wygaszania działalności gospodarczej, w tym działalności wydobywczej węgla brunatnego oraz działalności w zakresie wytwarzania, magazynowania, przesyłania, dystrybucji lub obrotu paliwami lub energią występującym na terytorium regionu bełchatowskiego lub poza jego terytorium, który zwany jest dalej programem okołogórniczym. W ust. 2 wymienione są elementy, które program okołogórniczy będzie w szczególności określać, w ust. 3 wskazano, że realizację tego programu minister będzie powierzać Funduszowi, a w ust. 4-6, że szczegółowy zakres obowiązków Funduszu określi umowa zawarta pomiędzy ministrem a Funduszem, że minister zapewni odpowiednie środki finansowe na jego realizację, a także że do programu okołogórniczego będzie się odpowiednio stosować art. 10.</w:t>
      </w:r>
    </w:p>
    <w:p w14:paraId="3C7FD67C" w14:textId="76D94C93"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12</w:t>
      </w:r>
      <w:r w:rsidRPr="00E138FC">
        <w:rPr>
          <w:rFonts w:ascii="Times New Roman" w:eastAsia="Aptos" w:hAnsi="Times New Roman" w:cs="Times New Roman"/>
          <w:bCs/>
          <w:iCs/>
        </w:rPr>
        <w:t xml:space="preserve"> proponuje się uregulować kwestie przekazywania przez ministra właściwego do spraw budżetu, na wniosek Funduszu, skarbowych papierów wartościowych na podwyższenie kapitału zakładowego Funduszu, jeżeli będzie to niezbędne do realizacji celu działania Funduszu. W ust. 2 wskazano, co będzie musiał w szczególności zawierać wniosek Funduszu, a w ust. 3, że minister określi, przez wydanie listu emisyjnego, warunki emisji skarbowych papierów wartościowych oraz sposób realizacji świadczeń z nich wynikających.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Z kolei w ust. 4 wskazano, co będzie musiał w szczególności zawierać list emisyjny. Zgodnie z proponowanymi ust. 5-6 emisja skarbowych papierów wartościowych </w:t>
      </w:r>
      <w:r w:rsidR="00CE3264" w:rsidRPr="00E138FC">
        <w:rPr>
          <w:rFonts w:ascii="Times New Roman" w:eastAsia="Aptos" w:hAnsi="Times New Roman" w:cs="Times New Roman"/>
          <w:bCs/>
          <w:iCs/>
        </w:rPr>
        <w:t>nastąpi</w:t>
      </w:r>
      <w:r w:rsidRPr="00E138FC">
        <w:rPr>
          <w:rFonts w:ascii="Times New Roman" w:eastAsia="Aptos" w:hAnsi="Times New Roman" w:cs="Times New Roman"/>
          <w:bCs/>
          <w:iCs/>
        </w:rPr>
        <w:t xml:space="preserve"> z dniem zarejestrowania ich w depozycie papierów wartościowych w kwocie równej wartości nominalnej wyemitowanych papierów wartościowych, a do tej emisji nie będzie się stosować przepisów art. 98 i art. 102 ustawy z dnia 27 sierpnia 2009 r. o finansach publicznych ani przepisów wydanych na podstawie art. 97 tej ustawy.</w:t>
      </w:r>
    </w:p>
    <w:p w14:paraId="0F542266" w14:textId="625383A2"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
          <w:iCs/>
        </w:rPr>
        <w:t xml:space="preserve">Art. 13 </w:t>
      </w:r>
      <w:r w:rsidRPr="00E138FC">
        <w:rPr>
          <w:rFonts w:ascii="Times New Roman" w:eastAsia="Aptos" w:hAnsi="Times New Roman" w:cs="Times New Roman"/>
          <w:bCs/>
          <w:iCs/>
        </w:rPr>
        <w:t xml:space="preserve">w ust. 1 dotyczy udzielania przez Radę Ministrów, na wniosek ministra właściwego do spraw finansów publicznych, w imieniu Skarbu Państwa poręczenia lub gwarancji spłaty zobowiązań wynikających z kredytów zaciągniętych lub obligacji wyemitowanych przez Fundusz. W ust. 2-3 wskazano, że środki pochodzące z emisji obligacji </w:t>
      </w:r>
      <w:r w:rsidRPr="00E138FC">
        <w:rPr>
          <w:rFonts w:ascii="Times New Roman" w:eastAsia="Aptos" w:hAnsi="Times New Roman" w:cs="Times New Roman"/>
          <w:bCs/>
          <w:iCs/>
        </w:rPr>
        <w:lastRenderedPageBreak/>
        <w:t xml:space="preserve">lub kredytów z ust. 1 przeznaczać się będzie na przedsięwzięcia inwestycyjne podejmowane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w ramach realizacji celu działania Funduszu, a do poręczeń lub gwarancji z ust. 1 stosować się będzie przepisy ustawy z dnia 8 maja 1997 r. o poręczeniach i gwarancjach udzielanych przez Skarb Państwa oraz niektóre osoby prawne z wyjątkiem art. 3, 7, 12 ust. 1 i 14 tej ustawy.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W ust. 4 proponuje się regulację, zgodnie z którą w przypadku przedsięwzięć inwestycyjnych o charakterze publicznym o szczególnym znaczeniu dla gospodarki narodowej, bezpieczeństwa lub obronności państwa poręczenia lub gwarancje z ust. 1 będą mogą być udzielane do wysokości 100% kwoty zobowiązań wynikających z emisji obligacji lub zaciągnięcia kredytu, objętych poręczeniem albo gwarancją, oraz do wysokości 100% odsetek od tej kwoty wraz </w:t>
      </w:r>
      <w:r w:rsidR="00CE3264">
        <w:rPr>
          <w:rFonts w:ascii="Times New Roman" w:eastAsia="Aptos" w:hAnsi="Times New Roman" w:cs="Times New Roman"/>
          <w:bCs/>
          <w:iCs/>
        </w:rPr>
        <w:br/>
      </w:r>
      <w:r w:rsidRPr="00E138FC">
        <w:rPr>
          <w:rFonts w:ascii="Times New Roman" w:eastAsia="Aptos" w:hAnsi="Times New Roman" w:cs="Times New Roman"/>
          <w:bCs/>
          <w:iCs/>
        </w:rPr>
        <w:t>z innymi kosztami bezpośrednio związanymi z tymi obligacjami lub tym kredytem.</w:t>
      </w:r>
    </w:p>
    <w:p w14:paraId="29B8643E"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14</w:t>
      </w:r>
      <w:r w:rsidRPr="00E138FC">
        <w:rPr>
          <w:rFonts w:ascii="Times New Roman" w:eastAsia="Aptos" w:hAnsi="Times New Roman" w:cs="Times New Roman"/>
          <w:bCs/>
          <w:iCs/>
        </w:rPr>
        <w:t xml:space="preserve"> w ust. 1 wskazano poprzez enumeratywne wylistowanie cele, na które przeznaczać się będzie finansowanie uzyskane na skutek przekazania skarbowych papierów wartościowych, z art. 12 ust. 1, lub udzielenia poręczeń lub gwarancji z art. 13 ust. 1. W ust. 2 wskazano, że finansowanie z ust. 1, przeznaczać się będzie na spłatę zobowiązań zaciągniętych na potrzeby realizacji przedsięwzięć z ust. 1, natomiast w ust. 3 zawarto delegację ustawową do wydania przez Radę Ministrów rozporządzenia, w którym będzie mogła określić szczegółowe przeznaczenie i warunki udzielania finansowania z ust. 1, które stanowić będzie pomoc publiczną.</w:t>
      </w:r>
    </w:p>
    <w:p w14:paraId="21EA796A"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15</w:t>
      </w:r>
      <w:r w:rsidRPr="00E138FC">
        <w:rPr>
          <w:rFonts w:ascii="Times New Roman" w:eastAsia="Aptos" w:hAnsi="Times New Roman" w:cs="Times New Roman"/>
          <w:bCs/>
          <w:iCs/>
        </w:rPr>
        <w:t xml:space="preserve"> przewiduje się wprowadzenie regulacji dotyczących </w:t>
      </w:r>
      <w:r w:rsidRPr="00E138FC">
        <w:rPr>
          <w:rFonts w:ascii="Times New Roman" w:eastAsia="Aptos" w:hAnsi="Times New Roman" w:cs="Times New Roman"/>
          <w:iCs/>
        </w:rPr>
        <w:t xml:space="preserve">możliwości udzielenia przez ministra </w:t>
      </w:r>
      <w:r w:rsidRPr="00E138FC">
        <w:rPr>
          <w:rFonts w:ascii="Times New Roman" w:eastAsia="Aptos" w:hAnsi="Times New Roman" w:cs="Times New Roman"/>
          <w:bCs/>
          <w:iCs/>
        </w:rPr>
        <w:t>właściwego do spraw rozwoju regionalnego, na wniosek Funduszu, dotacji celowej na wykonywanie zadań z art. 7 ust. 2 pkt 1 (obejmowanie lub nabywanie udziałów, akcji, warrantów subskrypcyjnych, obligacji lub wierzytelności oraz przystępowanie do spółek osobowych), związanych z przygotowaniem lub realizacją przedsięwzięć w ramach partnerstwa publiczno-prywatnego w rozumieniu ustawy o partnerstwie publiczno-prywatnym. Jeżeli minister udzieli takiej dotacji, obowiązkowe będzie zawarcie z Funduszem umowy z art. 150 ustawy o finansach publicznych.</w:t>
      </w:r>
    </w:p>
    <w:p w14:paraId="3B4097A6" w14:textId="12C991AF"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
          <w:iCs/>
        </w:rPr>
        <w:t>Art. 16</w:t>
      </w:r>
      <w:r w:rsidRPr="00E138FC">
        <w:rPr>
          <w:rFonts w:ascii="Times New Roman" w:eastAsia="Aptos" w:hAnsi="Times New Roman" w:cs="Times New Roman"/>
          <w:bCs/>
          <w:iCs/>
        </w:rPr>
        <w:t xml:space="preserve"> określa w ust. 1 przychody Funduszu, którymi będą mogły być dotacje podmiotowe, dotacje celowe oraz środki pochodzące z budżetu Unii Europejskiej oraz inne środki pochodzące ze źródeł zagranicznych, niepodlegające zwrotowi, oraz odsetki od nich,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o ile odrębne przepisy lub umowy dotyczące przekazania lub wykorzystania tych środków nie stanowią inaczej. W ust. 2 uregulowano, że dotacje podmiotowe będą udzielane przez ministra właściwego do spraw gospodarki i będą mogły być przeznaczone na dofinansowanie kosztów administracyjnych finansowania przedsiębiorców z wykorzystaniem środków publicznych. Zgodnie z ust. 3 dotacje podmiotowe i celowe nie będą mogły przewyższać koniecznych, rzeczywistych kosztów bezpośrednich i pośrednich poniesionych przez Fundusz oraz obejmować dofinansowania działalności gospodarczej Funduszu. Zgodnie z ust. 4-5 Fundusz będzie prowadzić wyodrębnioną ewidencję dla działań finansowanych ze środków, o których mowa w ust. 1, oraz działalności gospodarczej, a zasady jej prowadzenia Fundusz określi </w:t>
      </w:r>
      <w:r w:rsidR="00CE3264">
        <w:rPr>
          <w:rFonts w:ascii="Times New Roman" w:eastAsia="Aptos" w:hAnsi="Times New Roman" w:cs="Times New Roman"/>
          <w:bCs/>
          <w:iCs/>
        </w:rPr>
        <w:br/>
      </w:r>
      <w:r w:rsidRPr="00E138FC">
        <w:rPr>
          <w:rFonts w:ascii="Times New Roman" w:eastAsia="Aptos" w:hAnsi="Times New Roman" w:cs="Times New Roman"/>
          <w:bCs/>
          <w:iCs/>
        </w:rPr>
        <w:t>w dokumentacji, o której mowa w art. 10 ustawy z dnia 29 września 1994 r. o rachunkowości. Ust. 6 wskazuje, że w zakresie nieuregulowanym w ust. 1-4 stosować się będzie odpowiednio art. 150-152 ustawy o finansach publicznych.</w:t>
      </w:r>
    </w:p>
    <w:p w14:paraId="3806815D"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17</w:t>
      </w:r>
      <w:r w:rsidRPr="00E138FC">
        <w:rPr>
          <w:rFonts w:ascii="Times New Roman" w:eastAsia="Aptos" w:hAnsi="Times New Roman" w:cs="Times New Roman"/>
          <w:bCs/>
          <w:iCs/>
        </w:rPr>
        <w:t xml:space="preserve"> wskazano, że Fundusz będzie wykonywał działalność gospodarczą we własnym imieniu i na własny rachunek, zgodnie z zasadami dobrej praktyki handlowej, dążąc w długim terminie do osiągnięcia rynkowej stopy zwrotu z zainwestowanego kapitału, a także wskazano na czym w szczególności ta działalność Funduszu będzie polegać.</w:t>
      </w:r>
    </w:p>
    <w:p w14:paraId="6C9DA041" w14:textId="59E696C0"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lastRenderedPageBreak/>
        <w:t xml:space="preserve">Zgodnie z projektowanym </w:t>
      </w:r>
      <w:r w:rsidRPr="00E138FC">
        <w:rPr>
          <w:rFonts w:ascii="Times New Roman" w:eastAsia="Aptos" w:hAnsi="Times New Roman" w:cs="Times New Roman"/>
          <w:b/>
          <w:iCs/>
        </w:rPr>
        <w:t xml:space="preserve">art. 18 </w:t>
      </w:r>
      <w:r w:rsidRPr="00E138FC">
        <w:rPr>
          <w:rFonts w:ascii="Times New Roman" w:eastAsia="Aptos" w:hAnsi="Times New Roman" w:cs="Times New Roman"/>
          <w:bCs/>
          <w:iCs/>
        </w:rPr>
        <w:t xml:space="preserve">Prezes Rady Ministrów będzie wykonywać prawa </w:t>
      </w:r>
      <w:r w:rsidR="00CE3264">
        <w:rPr>
          <w:rFonts w:ascii="Times New Roman" w:eastAsia="Aptos" w:hAnsi="Times New Roman" w:cs="Times New Roman"/>
          <w:bCs/>
          <w:iCs/>
        </w:rPr>
        <w:br/>
      </w:r>
      <w:r w:rsidRPr="00E138FC">
        <w:rPr>
          <w:rFonts w:ascii="Times New Roman" w:eastAsia="Aptos" w:hAnsi="Times New Roman" w:cs="Times New Roman"/>
          <w:bCs/>
          <w:iCs/>
        </w:rPr>
        <w:t>z akcji należących do Skarbu Państwa w Funduszu, łącznie z wynikającymi z nich prawami osobistymi albo indywidualnymi.</w:t>
      </w:r>
    </w:p>
    <w:p w14:paraId="7619C4C9" w14:textId="7E323C15"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19</w:t>
      </w:r>
      <w:r w:rsidRPr="00E138FC">
        <w:rPr>
          <w:rFonts w:ascii="Times New Roman" w:eastAsia="Aptos" w:hAnsi="Times New Roman" w:cs="Times New Roman"/>
          <w:bCs/>
          <w:iCs/>
        </w:rPr>
        <w:t xml:space="preserve"> proponuje się przepisy dotyczące zarządu Funduszu, który ma się składać </w:t>
      </w:r>
      <w:r w:rsidR="00CE3264">
        <w:rPr>
          <w:rFonts w:ascii="Times New Roman" w:eastAsia="Aptos" w:hAnsi="Times New Roman" w:cs="Times New Roman"/>
          <w:bCs/>
          <w:iCs/>
        </w:rPr>
        <w:br/>
      </w:r>
      <w:r w:rsidRPr="00E138FC">
        <w:rPr>
          <w:rFonts w:ascii="Times New Roman" w:eastAsia="Aptos" w:hAnsi="Times New Roman" w:cs="Times New Roman"/>
          <w:bCs/>
          <w:iCs/>
        </w:rPr>
        <w:t>z od jednego do trzech członków, w tym prezesa zarządu powoływanych i odwoływanych przez radę nadzorczą Funduszu.</w:t>
      </w:r>
    </w:p>
    <w:p w14:paraId="559F57DE"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 xml:space="preserve">art. 20 </w:t>
      </w:r>
      <w:r w:rsidRPr="00E138FC">
        <w:rPr>
          <w:rFonts w:ascii="Times New Roman" w:eastAsia="Aptos" w:hAnsi="Times New Roman" w:cs="Times New Roman"/>
          <w:bCs/>
          <w:iCs/>
        </w:rPr>
        <w:t>zawarto regulacje dotyczące składu rady nadzorczej Funduszu. Zgodnie z ust. 1-2 w jej skład ma wchodzić:</w:t>
      </w:r>
    </w:p>
    <w:p w14:paraId="5CFABB6F" w14:textId="77777777" w:rsidR="00E138FC" w:rsidRPr="00E138FC" w:rsidRDefault="00E138FC" w:rsidP="00E138FC">
      <w:pPr>
        <w:numPr>
          <w:ilvl w:val="0"/>
          <w:numId w:val="3"/>
        </w:numPr>
        <w:spacing w:before="240" w:after="200" w:line="240" w:lineRule="auto"/>
        <w:contextualSpacing/>
        <w:jc w:val="both"/>
        <w:rPr>
          <w:rFonts w:ascii="Times New Roman" w:eastAsia="Aptos" w:hAnsi="Times New Roman" w:cs="Times New Roman"/>
          <w:bCs/>
          <w:iCs/>
        </w:rPr>
      </w:pPr>
      <w:r w:rsidRPr="00E138FC">
        <w:rPr>
          <w:rFonts w:ascii="Times New Roman" w:eastAsia="Aptos" w:hAnsi="Times New Roman" w:cs="Times New Roman"/>
          <w:bCs/>
          <w:iCs/>
        </w:rPr>
        <w:t>po jednym przedstawicielu Prezesa Rady Ministrów, ministra właściwego do spraw aktywów państwowych, ministra właściwego do spraw gospodarki, ministra właściwego do spraw klimatu oraz ministra właściwego do spraw rozwoju regionalnego;</w:t>
      </w:r>
    </w:p>
    <w:p w14:paraId="19F57EB9" w14:textId="77777777" w:rsidR="00E138FC" w:rsidRPr="00E138FC" w:rsidRDefault="00E138FC" w:rsidP="00E138FC">
      <w:pPr>
        <w:numPr>
          <w:ilvl w:val="0"/>
          <w:numId w:val="3"/>
        </w:numPr>
        <w:spacing w:before="240" w:after="200" w:line="240" w:lineRule="auto"/>
        <w:contextualSpacing/>
        <w:jc w:val="both"/>
        <w:rPr>
          <w:rFonts w:ascii="Times New Roman" w:eastAsia="Aptos" w:hAnsi="Times New Roman" w:cs="Times New Roman"/>
          <w:bCs/>
          <w:iCs/>
        </w:rPr>
      </w:pPr>
      <w:r w:rsidRPr="00E138FC">
        <w:rPr>
          <w:rFonts w:ascii="Times New Roman" w:eastAsia="Aptos" w:hAnsi="Times New Roman" w:cs="Times New Roman"/>
          <w:bCs/>
          <w:iCs/>
        </w:rPr>
        <w:t>jeden przedstawiciel wyznaczony przez zarząd województwa łódzkiego;</w:t>
      </w:r>
    </w:p>
    <w:p w14:paraId="7A0B3A2C" w14:textId="77777777" w:rsidR="00E138FC" w:rsidRPr="00E138FC" w:rsidRDefault="00E138FC" w:rsidP="00E138FC">
      <w:pPr>
        <w:numPr>
          <w:ilvl w:val="0"/>
          <w:numId w:val="3"/>
        </w:numPr>
        <w:spacing w:before="240" w:after="200" w:line="240" w:lineRule="auto"/>
        <w:contextualSpacing/>
        <w:jc w:val="both"/>
        <w:rPr>
          <w:rFonts w:ascii="Times New Roman" w:eastAsia="Aptos" w:hAnsi="Times New Roman" w:cs="Times New Roman"/>
          <w:bCs/>
          <w:iCs/>
        </w:rPr>
      </w:pPr>
      <w:r w:rsidRPr="00E138FC">
        <w:rPr>
          <w:rFonts w:ascii="Times New Roman" w:eastAsia="Aptos" w:hAnsi="Times New Roman" w:cs="Times New Roman"/>
          <w:bCs/>
          <w:iCs/>
        </w:rPr>
        <w:t>jeden przedstawiciel wyznaczony przez Prezydenta Miasta Bełchatowa;</w:t>
      </w:r>
    </w:p>
    <w:p w14:paraId="1BC3A851" w14:textId="77777777" w:rsidR="00E138FC" w:rsidRPr="00E138FC" w:rsidRDefault="00E138FC" w:rsidP="00E138FC">
      <w:pPr>
        <w:numPr>
          <w:ilvl w:val="0"/>
          <w:numId w:val="3"/>
        </w:numPr>
        <w:spacing w:before="240" w:after="200" w:line="240" w:lineRule="auto"/>
        <w:contextualSpacing/>
        <w:jc w:val="both"/>
        <w:rPr>
          <w:rFonts w:ascii="Times New Roman" w:eastAsia="Aptos" w:hAnsi="Times New Roman" w:cs="Times New Roman"/>
          <w:bCs/>
          <w:iCs/>
        </w:rPr>
      </w:pPr>
      <w:r w:rsidRPr="00E138FC">
        <w:rPr>
          <w:rFonts w:ascii="Times New Roman" w:eastAsia="Aptos" w:hAnsi="Times New Roman" w:cs="Times New Roman"/>
          <w:bCs/>
          <w:iCs/>
        </w:rPr>
        <w:t xml:space="preserve">trzech członków, wybranych spośród kandydatów zgłoszonych przez organizacje związkowe </w:t>
      </w:r>
      <w:bookmarkStart w:id="2" w:name="_Hlk199241976"/>
      <w:r w:rsidRPr="00E138FC">
        <w:rPr>
          <w:rFonts w:ascii="Times New Roman" w:eastAsia="Aptos" w:hAnsi="Times New Roman" w:cs="Times New Roman"/>
          <w:bCs/>
          <w:iCs/>
        </w:rPr>
        <w:t xml:space="preserve">Kompleksu Górniczo-Energetycznego Bełchatów </w:t>
      </w:r>
      <w:bookmarkEnd w:id="2"/>
      <w:r w:rsidRPr="00E138FC">
        <w:rPr>
          <w:rFonts w:ascii="Times New Roman" w:eastAsia="Aptos" w:hAnsi="Times New Roman" w:cs="Times New Roman"/>
          <w:bCs/>
          <w:iCs/>
        </w:rPr>
        <w:t>z zachowaniem zasady równych szans dla wszystkich organizacji, na podstawie zgłoszeń, przy czym każda organizacja związkowa wskazuje jednego kandydata, w oparciu o liczbę zatrudnionych członków danej organizacji w zakładach Kompleksu Górniczo-Energetycznego Bełchatów, zgodnie z aktualnymi danymi przekazanymi przez te organizacje.</w:t>
      </w:r>
    </w:p>
    <w:p w14:paraId="3C1CE87E" w14:textId="43A19D02" w:rsidR="00E138FC" w:rsidRPr="00E138FC" w:rsidRDefault="00E138FC" w:rsidP="00E138FC">
      <w:pPr>
        <w:spacing w:before="240" w:after="200" w:line="240" w:lineRule="auto"/>
        <w:jc w:val="both"/>
        <w:rPr>
          <w:rFonts w:ascii="Times New Roman" w:eastAsia="Aptos" w:hAnsi="Times New Roman" w:cs="Times New Roman"/>
          <w:bCs/>
          <w:iCs/>
        </w:rPr>
      </w:pPr>
      <w:r w:rsidRPr="00E138FC">
        <w:rPr>
          <w:rFonts w:ascii="Times New Roman" w:eastAsia="Aptos" w:hAnsi="Times New Roman" w:cs="Times New Roman"/>
          <w:bCs/>
          <w:iCs/>
        </w:rPr>
        <w:t xml:space="preserve">- powoływanych, na wniosek podmiotów zgłaszających, walne zgromadzenie Funduszu. Zgodnie z ust. 3-4 rada nadzorcza będzie zdolna do wykonywania swoich zadań </w:t>
      </w:r>
      <w:r w:rsidR="00CE3264">
        <w:rPr>
          <w:rFonts w:ascii="Times New Roman" w:eastAsia="Aptos" w:hAnsi="Times New Roman" w:cs="Times New Roman"/>
          <w:bCs/>
          <w:iCs/>
        </w:rPr>
        <w:br/>
      </w:r>
      <w:r w:rsidRPr="00E138FC">
        <w:rPr>
          <w:rFonts w:ascii="Times New Roman" w:eastAsia="Aptos" w:hAnsi="Times New Roman" w:cs="Times New Roman"/>
          <w:bCs/>
          <w:iCs/>
        </w:rPr>
        <w:t xml:space="preserve">i podejmowania uchwał, jeżeli liczba jej członków wynosi nie mniej niż 6 osób, a gdy liczba jej członków będzie wynosić mniej niż 7 osób, w terminie 30 dni podejmie się czynności </w:t>
      </w:r>
      <w:r w:rsidR="00CE3264">
        <w:rPr>
          <w:rFonts w:ascii="Times New Roman" w:eastAsia="Aptos" w:hAnsi="Times New Roman" w:cs="Times New Roman"/>
          <w:bCs/>
          <w:iCs/>
        </w:rPr>
        <w:br/>
      </w:r>
      <w:r w:rsidRPr="00E138FC">
        <w:rPr>
          <w:rFonts w:ascii="Times New Roman" w:eastAsia="Aptos" w:hAnsi="Times New Roman" w:cs="Times New Roman"/>
          <w:bCs/>
          <w:iCs/>
        </w:rPr>
        <w:t>w celu uzupełnienia składu do 7 osób.</w:t>
      </w:r>
    </w:p>
    <w:p w14:paraId="3C100509" w14:textId="77777777" w:rsidR="00E138FC" w:rsidRPr="00E138FC" w:rsidRDefault="00E138FC" w:rsidP="00E138FC">
      <w:pPr>
        <w:spacing w:before="240" w:after="200" w:line="240" w:lineRule="auto"/>
        <w:jc w:val="both"/>
        <w:rPr>
          <w:rFonts w:ascii="Times New Roman" w:eastAsia="Aptos" w:hAnsi="Times New Roman" w:cs="Times New Roman"/>
          <w:bCs/>
          <w:iCs/>
        </w:rPr>
      </w:pPr>
      <w:r w:rsidRPr="00E138FC">
        <w:rPr>
          <w:rFonts w:ascii="Times New Roman" w:eastAsia="Aptos" w:hAnsi="Times New Roman" w:cs="Times New Roman"/>
          <w:bCs/>
          <w:iCs/>
        </w:rPr>
        <w:tab/>
        <w:t xml:space="preserve">W </w:t>
      </w:r>
      <w:r w:rsidRPr="00E138FC">
        <w:rPr>
          <w:rFonts w:ascii="Times New Roman" w:eastAsia="Aptos" w:hAnsi="Times New Roman" w:cs="Times New Roman"/>
          <w:b/>
          <w:iCs/>
        </w:rPr>
        <w:t>art. 21</w:t>
      </w:r>
      <w:r w:rsidRPr="00E138FC">
        <w:rPr>
          <w:rFonts w:ascii="Times New Roman" w:eastAsia="Aptos" w:hAnsi="Times New Roman" w:cs="Times New Roman"/>
          <w:bCs/>
          <w:iCs/>
        </w:rPr>
        <w:t xml:space="preserve"> proponuje się dodanie w art. 16a ustawy o partnerstwie publiczno-prywatnym ust. 5 w brzmieniu:</w:t>
      </w:r>
    </w:p>
    <w:p w14:paraId="4D9E0D40"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„5. Organ właściwy może, w drodze umowy, powierzyć Funduszowi Transformacji Regionu Bełchatowskiego Spółce Akcyjnej, o której mowa w art. 1 pkt 1 ustawy z dnia … 2025 r. o Funduszu Transformacji Regionu Bełchatowskiego Spółce Akcyjnej, wykonywanie zadań związanych z przygotowaniem lub realizacją przedsięwzięć w ramach partnerstwa publiczno-prywatnego”.</w:t>
      </w:r>
    </w:p>
    <w:p w14:paraId="436F2811" w14:textId="2A1129F3"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22</w:t>
      </w:r>
      <w:r w:rsidRPr="00E138FC">
        <w:rPr>
          <w:rFonts w:ascii="Times New Roman" w:eastAsia="Aptos" w:hAnsi="Times New Roman" w:cs="Times New Roman"/>
          <w:bCs/>
          <w:iCs/>
        </w:rPr>
        <w:t xml:space="preserve"> proponuje się zmiany w art. 2 w pkt 8 ustawy o zasadach zarządzania mieniem państwowym polegające na zastąpieniu w lit. f średnika przecinkiem i dodaniu lit. g </w:t>
      </w:r>
      <w:r w:rsidR="00CE3264">
        <w:rPr>
          <w:rFonts w:ascii="Times New Roman" w:eastAsia="Aptos" w:hAnsi="Times New Roman" w:cs="Times New Roman"/>
          <w:bCs/>
          <w:iCs/>
        </w:rPr>
        <w:br/>
      </w:r>
      <w:r w:rsidRPr="00E138FC">
        <w:rPr>
          <w:rFonts w:ascii="Times New Roman" w:eastAsia="Aptos" w:hAnsi="Times New Roman" w:cs="Times New Roman"/>
          <w:bCs/>
          <w:iCs/>
        </w:rPr>
        <w:t>w brzmieniu:</w:t>
      </w:r>
    </w:p>
    <w:p w14:paraId="1A60E986"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„g) Fundusz Transformacji Regionu Bełchatowskiego Spółkę Akcyjną z siedzibą w Bełchatowie;”.</w:t>
      </w:r>
    </w:p>
    <w:p w14:paraId="12EB68E3"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W </w:t>
      </w:r>
      <w:r w:rsidRPr="00E138FC">
        <w:rPr>
          <w:rFonts w:ascii="Times New Roman" w:eastAsia="Aptos" w:hAnsi="Times New Roman" w:cs="Times New Roman"/>
          <w:b/>
          <w:iCs/>
        </w:rPr>
        <w:t>art. 23</w:t>
      </w:r>
      <w:r w:rsidRPr="00E138FC">
        <w:rPr>
          <w:rFonts w:ascii="Times New Roman" w:eastAsia="Aptos" w:hAnsi="Times New Roman" w:cs="Times New Roman"/>
          <w:bCs/>
          <w:iCs/>
        </w:rPr>
        <w:t xml:space="preserve"> proponuje się dodanie w art. 2 ustawy z dnia 4 lipca 2019 r. o systemie instytucji rozwoju ust. 5 w brzmieniu:</w:t>
      </w:r>
    </w:p>
    <w:p w14:paraId="6C239093"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 xml:space="preserve">„5. Fundusz Transformacji Regionu Bełchatowskiego Spółka Akcyjna, z siedzibą w Bełchatowie, o której mowa w ustawie z dnia … 2025 r. o Funduszu Transformacji Regionu </w:t>
      </w:r>
      <w:r w:rsidRPr="00E138FC">
        <w:rPr>
          <w:rFonts w:ascii="Times New Roman" w:eastAsia="Aptos" w:hAnsi="Times New Roman" w:cs="Times New Roman"/>
          <w:bCs/>
          <w:iCs/>
        </w:rPr>
        <w:lastRenderedPageBreak/>
        <w:t>Bełchatowskiego Spółce Akcyjnej, może realizować zadania we współpracy z instytucjami rozwoju.”</w:t>
      </w:r>
    </w:p>
    <w:p w14:paraId="2B6E3584" w14:textId="77777777" w:rsidR="00E138FC" w:rsidRPr="00E138FC" w:rsidRDefault="00E138FC" w:rsidP="00E138FC">
      <w:pPr>
        <w:spacing w:before="240" w:after="200" w:line="240" w:lineRule="auto"/>
        <w:ind w:firstLine="708"/>
        <w:jc w:val="both"/>
        <w:rPr>
          <w:rFonts w:ascii="Times New Roman" w:eastAsia="Aptos" w:hAnsi="Times New Roman" w:cs="Times New Roman"/>
          <w:bCs/>
          <w:iCs/>
        </w:rPr>
      </w:pPr>
      <w:r w:rsidRPr="00E138FC">
        <w:rPr>
          <w:rFonts w:ascii="Times New Roman" w:eastAsia="Aptos" w:hAnsi="Times New Roman" w:cs="Times New Roman"/>
          <w:bCs/>
          <w:iCs/>
        </w:rPr>
        <w:t>oraz dodanie w art. 4 tej ustawy ust. 3b w brzmieniu:</w:t>
      </w:r>
    </w:p>
    <w:p w14:paraId="3E07C1D3" w14:textId="77777777"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Theme="minorEastAsia" w:hAnsi="Times New Roman" w:cs="Times New Roman"/>
          <w:kern w:val="0"/>
          <w:szCs w:val="20"/>
          <w:lang w:eastAsia="pl-PL"/>
          <w14:ligatures w14:val="none"/>
        </w:rPr>
      </w:pPr>
      <w:r w:rsidRPr="00E138FC">
        <w:rPr>
          <w:rFonts w:ascii="Times New Roman" w:eastAsiaTheme="minorEastAsia" w:hAnsi="Times New Roman" w:cs="Times New Roman"/>
          <w:kern w:val="0"/>
          <w:szCs w:val="20"/>
          <w:lang w:eastAsia="pl-PL"/>
          <w14:ligatures w14:val="none"/>
        </w:rPr>
        <w:t>„3b. Przewodniczący Rady może zapraszać do udziału w pracach Rady prezesa zarządu Funduszu Transformacji Regionu Bełchatowskiego Spółki Akcyjnej, z siedzibą w Bełchatowie, bez prawa głosu.”.</w:t>
      </w:r>
    </w:p>
    <w:p w14:paraId="4AA39052" w14:textId="10FEECED"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Theme="minorEastAsia" w:hAnsi="Times New Roman" w:cs="Times New Roman"/>
          <w:bCs/>
          <w:kern w:val="0"/>
          <w:szCs w:val="20"/>
          <w:lang w:eastAsia="pl-PL"/>
          <w14:ligatures w14:val="none"/>
        </w:rPr>
      </w:pPr>
      <w:r w:rsidRPr="00E138FC">
        <w:rPr>
          <w:rFonts w:ascii="Times New Roman" w:eastAsiaTheme="minorEastAsia" w:hAnsi="Times New Roman" w:cs="Times New Roman"/>
          <w:kern w:val="0"/>
          <w:szCs w:val="20"/>
          <w:lang w:eastAsia="pl-PL"/>
          <w14:ligatures w14:val="none"/>
        </w:rPr>
        <w:t xml:space="preserve">Zgodnie z </w:t>
      </w:r>
      <w:r w:rsidRPr="00E138FC">
        <w:rPr>
          <w:rFonts w:ascii="Times New Roman" w:eastAsiaTheme="minorEastAsia" w:hAnsi="Times New Roman" w:cs="Times New Roman"/>
          <w:b/>
          <w:bCs/>
          <w:kern w:val="0"/>
          <w:szCs w:val="20"/>
          <w:lang w:eastAsia="pl-PL"/>
          <w14:ligatures w14:val="none"/>
        </w:rPr>
        <w:t>art. 24</w:t>
      </w:r>
      <w:r w:rsidRPr="00E138FC">
        <w:rPr>
          <w:rFonts w:ascii="Times New Roman" w:eastAsiaTheme="minorEastAsia" w:hAnsi="Times New Roman" w:cs="Times New Roman"/>
          <w:kern w:val="0"/>
          <w:szCs w:val="20"/>
          <w:lang w:eastAsia="pl-PL"/>
          <w14:ligatures w14:val="none"/>
        </w:rPr>
        <w:t xml:space="preserve"> </w:t>
      </w:r>
      <w:r w:rsidRPr="00E138FC">
        <w:rPr>
          <w:rFonts w:ascii="Times New Roman" w:eastAsiaTheme="minorEastAsia" w:hAnsi="Times New Roman" w:cs="Times New Roman"/>
          <w:bCs/>
          <w:kern w:val="0"/>
          <w:szCs w:val="20"/>
          <w:lang w:eastAsia="pl-PL"/>
          <w14:ligatures w14:val="none"/>
        </w:rPr>
        <w:t>w</w:t>
      </w:r>
      <w:r w:rsidRPr="00E138FC">
        <w:rPr>
          <w:rFonts w:ascii="Times New Roman" w:eastAsiaTheme="minorEastAsia" w:hAnsi="Times New Roman" w:cs="Times New Roman"/>
          <w:kern w:val="0"/>
          <w:szCs w:val="20"/>
          <w:lang w:eastAsia="pl-PL"/>
          <w14:ligatures w14:val="none"/>
        </w:rPr>
        <w:t xml:space="preserve"> związku z wykonywaniem zadań wynikających z ustawy w roku 2025 Prezes Rady Ministrów przeznaczy, z Funduszu Inwestycji Kapitałowych środki </w:t>
      </w:r>
      <w:r w:rsidR="00CE3264">
        <w:rPr>
          <w:rFonts w:ascii="Times New Roman" w:eastAsiaTheme="minorEastAsia" w:hAnsi="Times New Roman" w:cs="Times New Roman"/>
          <w:kern w:val="0"/>
          <w:szCs w:val="20"/>
          <w:lang w:eastAsia="pl-PL"/>
          <w14:ligatures w14:val="none"/>
        </w:rPr>
        <w:br/>
      </w:r>
      <w:r w:rsidRPr="00E138FC">
        <w:rPr>
          <w:rFonts w:ascii="Times New Roman" w:eastAsiaTheme="minorEastAsia" w:hAnsi="Times New Roman" w:cs="Times New Roman"/>
          <w:kern w:val="0"/>
          <w:szCs w:val="20"/>
          <w:lang w:eastAsia="pl-PL"/>
          <w14:ligatures w14:val="none"/>
        </w:rPr>
        <w:t xml:space="preserve">w wysokości do 500 mln zł na nabycie i objęcie akcji w podwyższonym kapitale zakładowym Funduszu, a </w:t>
      </w:r>
      <w:r w:rsidRPr="00E138FC">
        <w:rPr>
          <w:rFonts w:ascii="Times New Roman" w:eastAsiaTheme="minorEastAsia" w:hAnsi="Times New Roman" w:cs="Times New Roman"/>
          <w:bCs/>
          <w:kern w:val="0"/>
          <w:szCs w:val="20"/>
          <w:lang w:eastAsia="pl-PL"/>
          <w14:ligatures w14:val="none"/>
        </w:rPr>
        <w:t xml:space="preserve">nabycie i objęcie tych akcji </w:t>
      </w:r>
      <w:r w:rsidR="00CE3264" w:rsidRPr="00E138FC">
        <w:rPr>
          <w:rFonts w:ascii="Times New Roman" w:eastAsiaTheme="minorEastAsia" w:hAnsi="Times New Roman" w:cs="Times New Roman"/>
          <w:bCs/>
          <w:kern w:val="0"/>
          <w:szCs w:val="20"/>
          <w:lang w:eastAsia="pl-PL"/>
          <w14:ligatures w14:val="none"/>
        </w:rPr>
        <w:t>nastąpi</w:t>
      </w:r>
      <w:r w:rsidRPr="00E138FC">
        <w:rPr>
          <w:rFonts w:ascii="Times New Roman" w:eastAsiaTheme="minorEastAsia" w:hAnsi="Times New Roman" w:cs="Times New Roman"/>
          <w:bCs/>
          <w:kern w:val="0"/>
          <w:szCs w:val="20"/>
          <w:lang w:eastAsia="pl-PL"/>
          <w14:ligatures w14:val="none"/>
        </w:rPr>
        <w:t xml:space="preserve"> na zasadach i w trybie określonych </w:t>
      </w:r>
      <w:r w:rsidR="00CE3264">
        <w:rPr>
          <w:rFonts w:ascii="Times New Roman" w:eastAsiaTheme="minorEastAsia" w:hAnsi="Times New Roman" w:cs="Times New Roman"/>
          <w:bCs/>
          <w:kern w:val="0"/>
          <w:szCs w:val="20"/>
          <w:lang w:eastAsia="pl-PL"/>
          <w14:ligatures w14:val="none"/>
        </w:rPr>
        <w:br/>
      </w:r>
      <w:r w:rsidRPr="00E138FC">
        <w:rPr>
          <w:rFonts w:ascii="Times New Roman" w:eastAsiaTheme="minorEastAsia" w:hAnsi="Times New Roman" w:cs="Times New Roman"/>
          <w:bCs/>
          <w:kern w:val="0"/>
          <w:szCs w:val="20"/>
          <w:lang w:eastAsia="pl-PL"/>
          <w14:ligatures w14:val="none"/>
        </w:rPr>
        <w:t>w przepisach ustawy o zasadach zarządzania mieniem państwowym.</w:t>
      </w:r>
    </w:p>
    <w:p w14:paraId="7FE47D5D" w14:textId="77777777"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Theme="minorEastAsia" w:hAnsi="Times New Roman" w:cs="Times New Roman"/>
          <w:bCs/>
          <w:kern w:val="0"/>
          <w:szCs w:val="20"/>
          <w:lang w:eastAsia="pl-PL"/>
          <w14:ligatures w14:val="none"/>
        </w:rPr>
      </w:pPr>
      <w:r w:rsidRPr="00E138FC">
        <w:rPr>
          <w:rFonts w:ascii="Times New Roman" w:eastAsiaTheme="minorEastAsia" w:hAnsi="Times New Roman" w:cs="Times New Roman"/>
          <w:b/>
          <w:bCs/>
          <w:kern w:val="0"/>
          <w:szCs w:val="20"/>
          <w:lang w:eastAsia="pl-PL"/>
          <w14:ligatures w14:val="none"/>
        </w:rPr>
        <w:t>Art. 25</w:t>
      </w:r>
      <w:r w:rsidRPr="00E138FC">
        <w:rPr>
          <w:rFonts w:ascii="Times New Roman" w:eastAsiaTheme="minorEastAsia" w:hAnsi="Times New Roman" w:cs="Times New Roman"/>
          <w:kern w:val="0"/>
          <w:szCs w:val="20"/>
          <w:lang w:eastAsia="pl-PL"/>
          <w14:ligatures w14:val="none"/>
        </w:rPr>
        <w:t xml:space="preserve"> zawiera przepisy przejściowe, zgodnie z którymi </w:t>
      </w:r>
      <w:r w:rsidRPr="00E138FC">
        <w:rPr>
          <w:rFonts w:ascii="Times New Roman" w:eastAsiaTheme="minorEastAsia" w:hAnsi="Times New Roman" w:cs="Times New Roman"/>
          <w:bCs/>
          <w:kern w:val="0"/>
          <w:szCs w:val="20"/>
          <w:lang w:eastAsia="pl-PL"/>
          <w14:ligatures w14:val="none"/>
        </w:rPr>
        <w:t>w</w:t>
      </w:r>
      <w:r w:rsidRPr="00E138FC">
        <w:rPr>
          <w:rFonts w:ascii="Times New Roman" w:eastAsiaTheme="minorEastAsia" w:hAnsi="Times New Roman" w:cs="Times New Roman"/>
          <w:b/>
          <w:kern w:val="0"/>
          <w:szCs w:val="20"/>
          <w:lang w:eastAsia="pl-PL"/>
          <w14:ligatures w14:val="none"/>
        </w:rPr>
        <w:t xml:space="preserve"> </w:t>
      </w:r>
      <w:r w:rsidRPr="00E138FC">
        <w:rPr>
          <w:rFonts w:ascii="Times New Roman" w:eastAsiaTheme="minorEastAsia" w:hAnsi="Times New Roman" w:cs="Times New Roman"/>
          <w:kern w:val="0"/>
          <w:szCs w:val="20"/>
          <w:lang w:eastAsia="pl-PL"/>
          <w14:ligatures w14:val="none"/>
        </w:rPr>
        <w:t xml:space="preserve">terminie 3 miesięcy od dnia rejestracji podwyższenia kapitału zakładowego Funduszu w Krajowym Rejestrze Sądowym walne zgromadzenie tej spółki podejmie czynności zmierzające do dostosowania jej statutu do przepisów ustawy oraz powołania rady nadzorczej Funduszu, natomiast </w:t>
      </w:r>
      <w:r w:rsidRPr="00E138FC">
        <w:rPr>
          <w:rFonts w:ascii="Times New Roman" w:eastAsiaTheme="minorEastAsia" w:hAnsi="Times New Roman" w:cs="Times New Roman"/>
          <w:bCs/>
          <w:kern w:val="0"/>
          <w:szCs w:val="20"/>
          <w:lang w:eastAsia="pl-PL"/>
          <w14:ligatures w14:val="none"/>
        </w:rPr>
        <w:t>w terminie 3 miesięcy od dnia powołania rady nadzorczej rada ta podejmie czynności zmierzające do dostosowania składu zarządu Funduszu do przepisów ustawy.</w:t>
      </w:r>
    </w:p>
    <w:p w14:paraId="7BAA6858" w14:textId="77777777"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Theme="minorEastAsia" w:hAnsi="Times New Roman" w:cs="Times New Roman"/>
          <w:bCs/>
          <w:kern w:val="0"/>
          <w:szCs w:val="20"/>
          <w:lang w:eastAsia="pl-PL"/>
          <w14:ligatures w14:val="none"/>
        </w:rPr>
      </w:pPr>
      <w:r w:rsidRPr="00E138FC">
        <w:rPr>
          <w:rFonts w:ascii="Times New Roman" w:eastAsiaTheme="minorEastAsia" w:hAnsi="Times New Roman" w:cs="Times New Roman"/>
          <w:bCs/>
          <w:kern w:val="0"/>
          <w:szCs w:val="20"/>
          <w:lang w:eastAsia="pl-PL"/>
          <w14:ligatures w14:val="none"/>
        </w:rPr>
        <w:t xml:space="preserve">Zgodnie z </w:t>
      </w:r>
      <w:r w:rsidRPr="00E138FC">
        <w:rPr>
          <w:rFonts w:ascii="Times New Roman" w:eastAsiaTheme="minorEastAsia" w:hAnsi="Times New Roman" w:cs="Times New Roman"/>
          <w:b/>
          <w:kern w:val="0"/>
          <w:szCs w:val="20"/>
          <w:lang w:eastAsia="pl-PL"/>
          <w14:ligatures w14:val="none"/>
        </w:rPr>
        <w:t xml:space="preserve">art. 26 </w:t>
      </w:r>
      <w:r w:rsidRPr="00E138FC">
        <w:rPr>
          <w:rFonts w:ascii="Times New Roman" w:eastAsiaTheme="minorEastAsia" w:hAnsi="Times New Roman" w:cs="Times New Roman"/>
          <w:bCs/>
          <w:kern w:val="0"/>
          <w:szCs w:val="20"/>
          <w:lang w:eastAsia="pl-PL"/>
          <w14:ligatures w14:val="none"/>
        </w:rPr>
        <w:t>w terminie 9 miesięcy od dnia rejestracji podwyższenia kapitału zakładowego Funduszu w Krajowym Rejestrze Sądowym zarząd Funduszu przyjmie Strategię Funduszu.</w:t>
      </w:r>
    </w:p>
    <w:p w14:paraId="5371F912" w14:textId="44062225"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Theme="minorEastAsia" w:hAnsi="Times New Roman" w:cs="Times New Roman"/>
          <w:bCs/>
          <w:kern w:val="0"/>
          <w:szCs w:val="20"/>
          <w:lang w:eastAsia="pl-PL"/>
          <w14:ligatures w14:val="none"/>
        </w:rPr>
      </w:pPr>
      <w:r w:rsidRPr="00E138FC">
        <w:rPr>
          <w:rFonts w:ascii="Times New Roman" w:eastAsiaTheme="minorEastAsia" w:hAnsi="Times New Roman" w:cs="Times New Roman"/>
          <w:b/>
          <w:kern w:val="0"/>
          <w:szCs w:val="20"/>
          <w:lang w:eastAsia="pl-PL"/>
          <w14:ligatures w14:val="none"/>
        </w:rPr>
        <w:t>Art. 27</w:t>
      </w:r>
      <w:r w:rsidRPr="00E138FC">
        <w:rPr>
          <w:rFonts w:ascii="Times New Roman" w:eastAsiaTheme="minorEastAsia" w:hAnsi="Times New Roman" w:cs="Times New Roman"/>
          <w:bCs/>
          <w:kern w:val="0"/>
          <w:szCs w:val="20"/>
          <w:lang w:eastAsia="pl-PL"/>
          <w14:ligatures w14:val="none"/>
        </w:rPr>
        <w:t xml:space="preserve"> zawiera przepisy dotyczące maksymalnego limitu wydatków z budżetu państwa przeznaczonych na realizację ustawy, który będzie wynosił 0 zł w 2025 r., 100 000 000 zł </w:t>
      </w:r>
      <w:r w:rsidR="00CE3264">
        <w:rPr>
          <w:rFonts w:ascii="Times New Roman" w:eastAsiaTheme="minorEastAsia" w:hAnsi="Times New Roman" w:cs="Times New Roman"/>
          <w:bCs/>
          <w:kern w:val="0"/>
          <w:szCs w:val="20"/>
          <w:lang w:eastAsia="pl-PL"/>
          <w14:ligatures w14:val="none"/>
        </w:rPr>
        <w:br/>
      </w:r>
      <w:r w:rsidRPr="00E138FC">
        <w:rPr>
          <w:rFonts w:ascii="Times New Roman" w:eastAsiaTheme="minorEastAsia" w:hAnsi="Times New Roman" w:cs="Times New Roman"/>
          <w:bCs/>
          <w:kern w:val="0"/>
          <w:szCs w:val="20"/>
          <w:lang w:eastAsia="pl-PL"/>
          <w14:ligatures w14:val="none"/>
        </w:rPr>
        <w:t xml:space="preserve">w 2026 r. i 2030 r. oraz odpowiednio 150 000 000 zł w 2027 r., 200 000 000 zł w 2028 r. oraz 250 000 000 zł w 2029 r. Zgodnie z ust. 2-3 minister właściwy do spraw gospodarki będzie monitorować wykorzystanie limitu wydatków, a gdy wielkość wydatków po pierwszym półroczu danego roku budżetowego wyniesie więcej niż 65% limitu wydatków przewidzianych na dany rok, dysponent środków obniży wielkość środków przeznaczonych na wydatki </w:t>
      </w:r>
      <w:r w:rsidR="00CE3264">
        <w:rPr>
          <w:rFonts w:ascii="Times New Roman" w:eastAsiaTheme="minorEastAsia" w:hAnsi="Times New Roman" w:cs="Times New Roman"/>
          <w:bCs/>
          <w:kern w:val="0"/>
          <w:szCs w:val="20"/>
          <w:lang w:eastAsia="pl-PL"/>
          <w14:ligatures w14:val="none"/>
        </w:rPr>
        <w:br/>
      </w:r>
      <w:r w:rsidRPr="00E138FC">
        <w:rPr>
          <w:rFonts w:ascii="Times New Roman" w:eastAsiaTheme="minorEastAsia" w:hAnsi="Times New Roman" w:cs="Times New Roman"/>
          <w:bCs/>
          <w:kern w:val="0"/>
          <w:szCs w:val="20"/>
          <w:lang w:eastAsia="pl-PL"/>
          <w14:ligatures w14:val="none"/>
        </w:rPr>
        <w:t>w drugim półroczu o kwotę stanowiącą różnicę między wielkością tego limitu a kwotą przekroczenia wydatków.</w:t>
      </w:r>
    </w:p>
    <w:p w14:paraId="566D002E" w14:textId="77777777" w:rsidR="00E138FC" w:rsidRPr="00E138FC" w:rsidRDefault="00E138FC" w:rsidP="00E138FC">
      <w:pPr>
        <w:suppressAutoHyphens/>
        <w:autoSpaceDE w:val="0"/>
        <w:autoSpaceDN w:val="0"/>
        <w:adjustRightInd w:val="0"/>
        <w:spacing w:before="240"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 xml:space="preserve">W </w:t>
      </w:r>
      <w:r w:rsidRPr="00E138FC">
        <w:rPr>
          <w:rFonts w:ascii="Times New Roman" w:eastAsia="Aptos" w:hAnsi="Times New Roman" w:cs="Times New Roman"/>
          <w:b/>
          <w:bCs/>
        </w:rPr>
        <w:t>art. 28</w:t>
      </w:r>
      <w:r w:rsidRPr="00E138FC">
        <w:rPr>
          <w:rFonts w:ascii="Times New Roman" w:eastAsia="Aptos" w:hAnsi="Times New Roman" w:cs="Times New Roman"/>
        </w:rPr>
        <w:t xml:space="preserve"> przewiduje się, że projektowana ustawa wejdzie w życie po upływie 14 dni od dnia jej ogłoszenia.</w:t>
      </w:r>
    </w:p>
    <w:p w14:paraId="2EACB9FB" w14:textId="77777777" w:rsidR="00E138FC" w:rsidRPr="00E138FC" w:rsidRDefault="00E138FC" w:rsidP="00E138FC">
      <w:pPr>
        <w:spacing w:after="200" w:line="240" w:lineRule="auto"/>
        <w:ind w:firstLine="720"/>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 xml:space="preserve">Projektowane rozwiązania są spójne z dotychczasowymi regulacjami pod kątem systemowym i terminologicznym. Projektowane rozwiązania są zgodne z Konstytucją RP, </w:t>
      </w:r>
      <w:r w:rsidRPr="00E138FC">
        <w:rPr>
          <w:rFonts w:ascii="Times New Roman" w:eastAsia="Times New Roman" w:hAnsi="Times New Roman" w:cs="Times New Roman"/>
          <w:kern w:val="0"/>
          <w:lang w:eastAsia="pl-PL"/>
          <w14:ligatures w14:val="none"/>
        </w:rPr>
        <w:br/>
        <w:t>w tym z konstytucyjnym standardem ochrony wolności i praw.</w:t>
      </w:r>
    </w:p>
    <w:p w14:paraId="3367A0C9" w14:textId="77777777" w:rsidR="00E138FC" w:rsidRPr="00E138FC" w:rsidRDefault="00E138FC" w:rsidP="00E138FC">
      <w:pPr>
        <w:spacing w:after="240" w:line="240" w:lineRule="auto"/>
        <w:ind w:firstLine="708"/>
        <w:jc w:val="both"/>
        <w:rPr>
          <w:rFonts w:ascii="Times New Roman" w:eastAsia="Aptos" w:hAnsi="Times New Roman" w:cs="Times New Roman"/>
        </w:rPr>
      </w:pPr>
      <w:r w:rsidRPr="00E138FC">
        <w:rPr>
          <w:rFonts w:ascii="Times New Roman" w:eastAsia="Aptos" w:hAnsi="Times New Roman" w:cs="Times New Roman"/>
        </w:rPr>
        <w:t>Projekt ustawy jest zgodny z prawem Unii Europejskiej. Nie ma możliwości podjęcia alternatywnych w stosunku do uchwalenia projektowanej ustawy środków umożliwiających osiągnięcie zamierzonego celu.</w:t>
      </w:r>
    </w:p>
    <w:p w14:paraId="29900741" w14:textId="77777777" w:rsidR="00E138FC" w:rsidRPr="00E138FC" w:rsidRDefault="00E138FC" w:rsidP="00E138FC">
      <w:pPr>
        <w:spacing w:after="200"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3. Przewidywane skutki społeczne, gospodarcze, finansowe</w:t>
      </w:r>
    </w:p>
    <w:p w14:paraId="1572FFFD" w14:textId="77777777" w:rsidR="00E138FC" w:rsidRDefault="00E138FC" w:rsidP="00E138FC">
      <w:pPr>
        <w:numPr>
          <w:ilvl w:val="0"/>
          <w:numId w:val="2"/>
        </w:numPr>
        <w:spacing w:before="240" w:after="200"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Skutki społeczne i gospodarcze</w:t>
      </w:r>
    </w:p>
    <w:p w14:paraId="0D1528BE" w14:textId="77777777" w:rsidR="00CE3264" w:rsidRPr="00CE3264"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kern w:val="0"/>
          <w:lang w:eastAsia="pl-PL"/>
          <w14:ligatures w14:val="none"/>
        </w:rPr>
        <w:lastRenderedPageBreak/>
        <w:t xml:space="preserve">Projektowana ustawa przyniesie pozytywne skutki społeczne i gospodarcze. </w:t>
      </w:r>
      <w:r w:rsidRPr="00CE3264">
        <w:rPr>
          <w:rFonts w:ascii="Times New Roman" w:eastAsia="Times New Roman" w:hAnsi="Times New Roman" w:cs="Times New Roman"/>
          <w:bCs/>
          <w:kern w:val="0"/>
          <w:lang w:eastAsia="pl-PL"/>
          <w14:ligatures w14:val="none"/>
        </w:rPr>
        <w:t xml:space="preserve">Jej głównym celem jest zniwelowanie kosztów ponoszonych przez region bełchatowski w związku z procesami transformacyjnymi wynikającymi z realizacji unijnej polityki klimatycznej, </w:t>
      </w:r>
      <w:r w:rsidRPr="00CE3264">
        <w:rPr>
          <w:rFonts w:ascii="Times New Roman" w:eastAsia="Times New Roman" w:hAnsi="Times New Roman" w:cs="Times New Roman"/>
          <w:bCs/>
          <w:kern w:val="0"/>
          <w:lang w:eastAsia="pl-PL"/>
          <w14:ligatures w14:val="none"/>
        </w:rPr>
        <w:br/>
        <w:t>w szczególności w ramach Europejskiego Zielonego Ładu.</w:t>
      </w:r>
    </w:p>
    <w:p w14:paraId="7FC8C92D" w14:textId="77777777" w:rsidR="00CE3264" w:rsidRPr="00CE3264"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Do najpoważniejszych skutków społeczno-gospodarczych należą:</w:t>
      </w:r>
    </w:p>
    <w:p w14:paraId="54DAC07A" w14:textId="77777777" w:rsidR="00CE3264" w:rsidRPr="00CE3264" w:rsidRDefault="00CE3264" w:rsidP="00CE3264">
      <w:pPr>
        <w:numPr>
          <w:ilvl w:val="0"/>
          <w:numId w:val="4"/>
        </w:numPr>
        <w:spacing w:before="240" w:after="200" w:line="240" w:lineRule="auto"/>
        <w:contextualSpacing/>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znaczny spadek wpływów z podatków i opłat uiszczanych przez PGE S.A. do budżetów gmin, powiatów i województwa,</w:t>
      </w:r>
    </w:p>
    <w:p w14:paraId="6716EF58" w14:textId="181FC5A9" w:rsidR="00CE3264" w:rsidRPr="00CE3264" w:rsidRDefault="00CE3264" w:rsidP="00CE3264">
      <w:pPr>
        <w:numPr>
          <w:ilvl w:val="0"/>
          <w:numId w:val="4"/>
        </w:numPr>
        <w:spacing w:before="240" w:after="200" w:line="240" w:lineRule="auto"/>
        <w:contextualSpacing/>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spowolnienie rozwoju gospodarczego regionu</w:t>
      </w:r>
      <w:r>
        <w:rPr>
          <w:rFonts w:ascii="Times New Roman" w:eastAsia="Times New Roman" w:hAnsi="Times New Roman" w:cs="Times New Roman"/>
          <w:bCs/>
          <w:kern w:val="0"/>
          <w:lang w:eastAsia="pl-PL"/>
          <w14:ligatures w14:val="none"/>
        </w:rPr>
        <w:t>,</w:t>
      </w:r>
    </w:p>
    <w:p w14:paraId="75E8F9CD" w14:textId="7CF1BB6E" w:rsidR="00CE3264" w:rsidRPr="00CE3264" w:rsidRDefault="00CE3264" w:rsidP="00CE3264">
      <w:pPr>
        <w:numPr>
          <w:ilvl w:val="0"/>
          <w:numId w:val="4"/>
        </w:numPr>
        <w:spacing w:before="240" w:after="200" w:line="240" w:lineRule="auto"/>
        <w:contextualSpacing/>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pogorszenie perspektyw zatrudnienia</w:t>
      </w:r>
      <w:r>
        <w:rPr>
          <w:rFonts w:ascii="Times New Roman" w:eastAsia="Times New Roman" w:hAnsi="Times New Roman" w:cs="Times New Roman"/>
          <w:bCs/>
          <w:kern w:val="0"/>
          <w:lang w:eastAsia="pl-PL"/>
          <w14:ligatures w14:val="none"/>
        </w:rPr>
        <w:t>,</w:t>
      </w:r>
    </w:p>
    <w:p w14:paraId="05C430D3" w14:textId="77777777" w:rsidR="00CE3264" w:rsidRPr="00CE3264" w:rsidRDefault="00CE3264" w:rsidP="00CE3264">
      <w:pPr>
        <w:numPr>
          <w:ilvl w:val="0"/>
          <w:numId w:val="4"/>
        </w:numPr>
        <w:spacing w:before="240" w:after="200" w:line="240" w:lineRule="auto"/>
        <w:contextualSpacing/>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nasilająca się migracja – zwłaszcza osób młodych – prowadząca do pogłębiania się depopulacji i pauperyzacji lokalnej społeczności. </w:t>
      </w:r>
    </w:p>
    <w:p w14:paraId="5291D229" w14:textId="77777777" w:rsidR="00CE3264" w:rsidRPr="00CE3264"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Problemy te, w ocenie dotychczasowych władz, nie zasługiwały na objęcie regionu bełchatowskiego społeczną umową transformacyjną – na wzór tej przyjętej dla województwa śląskiego – mimo że dotykają one sektora górnictwa węgla brunatnego, konwencjonalnej energetyki oraz kluczowych procesów przemian województwa łódzkiego.</w:t>
      </w:r>
    </w:p>
    <w:p w14:paraId="3F3861FC" w14:textId="77777777" w:rsidR="00CE3264" w:rsidRPr="00CE3264"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Projektowana ustawa ma na celu uzupełnienie tej luki i zapewnienie adekwatnego wsparcia legislacyjnego. Ustawa zmierza do przebudowy struktury gospodarczej województwa łódzkiego, ze szczególnym uwzględnieniem regionu bełchatowskiego. Zakłada zagospodarowanie sektorów pozbawionych potencjału wzrostowego oraz działania na rzecz zwiększenia konkurencyjności gospodarki, przy wykorzystaniu istniejących zasobów i atutów regionu. </w:t>
      </w:r>
    </w:p>
    <w:p w14:paraId="7113DA62" w14:textId="77777777" w:rsidR="00CE3264" w:rsidRPr="00CE3264"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Fundusz będzie wspierał rozwój w szczególności przez obejmowanie lub nabywanie udziałów, akcji, warrantów subskrypcyjnych, obligacji czy wierzytelności; przystępowanie do spółek osobowych; udzielanie pożyczek, gwarancji, poręczeń oraz innych form wsparcia dla przedsiębiorców, osób fizycznych, jednostek samorządu terytorialnego i organizacji pozarządowych. Działania te przyczynią się do rozwoju gospodarczego regionu, utrzymania miejsc pracy, ograniczenia depopulacji oraz przeciwdziałania zubożeniu lokalnej społeczności. </w:t>
      </w:r>
    </w:p>
    <w:p w14:paraId="1EA0B260" w14:textId="4B2E5818" w:rsidR="00CE3264" w:rsidRPr="00E138FC" w:rsidRDefault="00CE3264" w:rsidP="00CE3264">
      <w:pPr>
        <w:spacing w:before="240" w:after="200" w:line="240" w:lineRule="auto"/>
        <w:ind w:firstLine="708"/>
        <w:jc w:val="both"/>
        <w:rPr>
          <w:rFonts w:ascii="Times New Roman" w:eastAsia="Times New Roman" w:hAnsi="Times New Roman" w:cs="Times New Roman"/>
          <w:bCs/>
          <w:kern w:val="0"/>
          <w:lang w:eastAsia="pl-PL"/>
          <w14:ligatures w14:val="none"/>
        </w:rPr>
      </w:pPr>
      <w:r w:rsidRPr="00CE3264">
        <w:rPr>
          <w:rFonts w:ascii="Times New Roman" w:eastAsia="Times New Roman" w:hAnsi="Times New Roman" w:cs="Times New Roman"/>
          <w:bCs/>
          <w:kern w:val="0"/>
          <w:lang w:eastAsia="pl-PL"/>
          <w14:ligatures w14:val="none"/>
        </w:rPr>
        <w:t xml:space="preserve">Zarówno duże przedsiębiorstwa, jak i sektor małych i średnich przedsiębiorstw uzyskają wsparcie w utrzymaniu płynności finansowej, co pozwoli złagodzić negatywne skutki transformacji, wspierać tworzenie nowych miejsc pracy, rozwijać nowe sektory gospodarki </w:t>
      </w:r>
      <w:r w:rsidRPr="00CE3264">
        <w:rPr>
          <w:rFonts w:ascii="Times New Roman" w:eastAsia="Times New Roman" w:hAnsi="Times New Roman" w:cs="Times New Roman"/>
          <w:bCs/>
          <w:kern w:val="0"/>
          <w:lang w:eastAsia="pl-PL"/>
          <w14:ligatures w14:val="none"/>
        </w:rPr>
        <w:br/>
        <w:t>i budować przewagi technologiczne regionu.</w:t>
      </w:r>
    </w:p>
    <w:p w14:paraId="1BC63BF1" w14:textId="77777777" w:rsidR="00E138FC" w:rsidRPr="00E138FC" w:rsidRDefault="00E138FC" w:rsidP="00E138FC">
      <w:pPr>
        <w:numPr>
          <w:ilvl w:val="0"/>
          <w:numId w:val="2"/>
        </w:numPr>
        <w:spacing w:before="240" w:after="200"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Skutki finansowe</w:t>
      </w:r>
    </w:p>
    <w:p w14:paraId="1EF65E99" w14:textId="77777777" w:rsidR="00E138FC" w:rsidRPr="00E138FC" w:rsidRDefault="00E138FC" w:rsidP="00E138FC">
      <w:pPr>
        <w:spacing w:before="240" w:after="200" w:line="240" w:lineRule="auto"/>
        <w:ind w:firstLine="708"/>
        <w:jc w:val="both"/>
        <w:rPr>
          <w:rFonts w:ascii="Times New Roman" w:eastAsia="Times"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 ustawy będzie rodził koszty dla budżetu państwa</w:t>
      </w:r>
      <w:r w:rsidRPr="00E138FC">
        <w:rPr>
          <w:rFonts w:ascii="Times New Roman" w:eastAsia="Times" w:hAnsi="Times New Roman" w:cs="Times New Roman"/>
          <w:kern w:val="0"/>
          <w:lang w:eastAsia="pl-PL"/>
          <w14:ligatures w14:val="none"/>
        </w:rPr>
        <w:t>, które jednak, biorąc pod uwagę długotrwałość procesów rewitalizacji będzie mocno rozciągnięte w czasie.</w:t>
      </w:r>
    </w:p>
    <w:p w14:paraId="6C97E973" w14:textId="77777777" w:rsidR="00E138FC" w:rsidRPr="00E138FC" w:rsidRDefault="00E138FC" w:rsidP="00E138FC">
      <w:pPr>
        <w:spacing w:before="240" w:after="200" w:line="240" w:lineRule="auto"/>
        <w:ind w:firstLine="708"/>
        <w:jc w:val="both"/>
        <w:rPr>
          <w:rFonts w:ascii="Times New Roman" w:eastAsia="Arial Narrow" w:hAnsi="Times New Roman" w:cs="Times New Roman"/>
          <w:bCs/>
          <w:kern w:val="0"/>
          <w:lang w:eastAsia="pl-PL"/>
          <w14:ligatures w14:val="none"/>
        </w:rPr>
      </w:pPr>
      <w:r w:rsidRPr="00E138FC">
        <w:rPr>
          <w:rFonts w:ascii="Times New Roman" w:eastAsia="Times" w:hAnsi="Times New Roman" w:cs="Times New Roman"/>
          <w:kern w:val="0"/>
          <w:lang w:eastAsia="pl-PL"/>
          <w14:ligatures w14:val="none"/>
        </w:rPr>
        <w:t>M</w:t>
      </w:r>
      <w:r w:rsidRPr="00E138FC">
        <w:rPr>
          <w:rFonts w:ascii="Times New Roman" w:eastAsia="Arial Narrow" w:hAnsi="Times New Roman" w:cs="Times New Roman"/>
          <w:bCs/>
          <w:kern w:val="0"/>
          <w:lang w:eastAsia="pl-PL"/>
          <w14:ligatures w14:val="none"/>
        </w:rPr>
        <w:t>aksymalny limit wydatków z budżetu państwa przeznaczonych na realizację ustawy, będzie wynosił 0 zł w 2025 r., 100 000 000 zł w 2026 r. i 2030 r. oraz odpowiednio 150 000 000 zł w 2027 r., 200 000 000 zł w 2028 r. oraz 250 000 000 zł w 2029 r.</w:t>
      </w:r>
    </w:p>
    <w:p w14:paraId="2E66C68B" w14:textId="4BF67605" w:rsidR="00E138FC" w:rsidRPr="00E138FC" w:rsidRDefault="00E138FC" w:rsidP="00CE3264">
      <w:pPr>
        <w:spacing w:before="240" w:after="200" w:line="240" w:lineRule="auto"/>
        <w:ind w:firstLine="708"/>
        <w:jc w:val="both"/>
        <w:rPr>
          <w:rFonts w:ascii="Times New Roman" w:eastAsiaTheme="minorEastAsia" w:hAnsi="Times New Roman" w:cs="Times New Roman"/>
          <w:bCs/>
          <w:kern w:val="0"/>
          <w:lang w:eastAsia="pl-PL"/>
          <w14:ligatures w14:val="none"/>
        </w:rPr>
      </w:pPr>
      <w:r w:rsidRPr="00E138FC">
        <w:rPr>
          <w:rFonts w:ascii="Times New Roman" w:eastAsia="Arial Narrow" w:hAnsi="Times New Roman" w:cs="Times New Roman"/>
          <w:bCs/>
          <w:kern w:val="0"/>
          <w:lang w:eastAsia="pl-PL"/>
          <w14:ligatures w14:val="none"/>
        </w:rPr>
        <w:t>Minister</w:t>
      </w:r>
      <w:r w:rsidRPr="00E138FC">
        <w:rPr>
          <w:rFonts w:ascii="Times New Roman" w:eastAsiaTheme="minorEastAsia" w:hAnsi="Times New Roman" w:cs="Times New Roman"/>
          <w:bCs/>
          <w:kern w:val="0"/>
          <w:lang w:eastAsia="pl-PL"/>
          <w14:ligatures w14:val="none"/>
        </w:rPr>
        <w:t xml:space="preserve"> właściwy do spraw gospodarki </w:t>
      </w:r>
      <w:r w:rsidRPr="00E138FC">
        <w:rPr>
          <w:rFonts w:ascii="Times New Roman" w:eastAsia="Arial Narrow" w:hAnsi="Times New Roman" w:cs="Times New Roman"/>
          <w:bCs/>
          <w:kern w:val="0"/>
          <w:lang w:eastAsia="pl-PL"/>
          <w14:ligatures w14:val="none"/>
        </w:rPr>
        <w:t xml:space="preserve">będzie </w:t>
      </w:r>
      <w:r w:rsidRPr="00E138FC">
        <w:rPr>
          <w:rFonts w:ascii="Times New Roman" w:eastAsiaTheme="minorEastAsia" w:hAnsi="Times New Roman" w:cs="Times New Roman"/>
          <w:bCs/>
          <w:kern w:val="0"/>
          <w:lang w:eastAsia="pl-PL"/>
          <w14:ligatures w14:val="none"/>
        </w:rPr>
        <w:t>monitor</w:t>
      </w:r>
      <w:r w:rsidRPr="00E138FC">
        <w:rPr>
          <w:rFonts w:ascii="Times New Roman" w:eastAsia="Arial Narrow" w:hAnsi="Times New Roman" w:cs="Times New Roman"/>
          <w:bCs/>
          <w:kern w:val="0"/>
          <w:lang w:eastAsia="pl-PL"/>
          <w14:ligatures w14:val="none"/>
        </w:rPr>
        <w:t>ować</w:t>
      </w:r>
      <w:r w:rsidRPr="00E138FC">
        <w:rPr>
          <w:rFonts w:ascii="Times New Roman" w:eastAsiaTheme="minorEastAsia" w:hAnsi="Times New Roman" w:cs="Times New Roman"/>
          <w:bCs/>
          <w:kern w:val="0"/>
          <w:lang w:eastAsia="pl-PL"/>
          <w14:ligatures w14:val="none"/>
        </w:rPr>
        <w:t xml:space="preserve"> wykorzystanie limitu wydatków, </w:t>
      </w:r>
      <w:r w:rsidRPr="00E138FC">
        <w:rPr>
          <w:rFonts w:ascii="Times New Roman" w:eastAsia="Arial Narrow" w:hAnsi="Times New Roman" w:cs="Times New Roman"/>
          <w:bCs/>
          <w:kern w:val="0"/>
          <w:lang w:eastAsia="pl-PL"/>
          <w14:ligatures w14:val="none"/>
        </w:rPr>
        <w:t xml:space="preserve">a </w:t>
      </w:r>
      <w:r w:rsidRPr="00E138FC">
        <w:rPr>
          <w:rFonts w:ascii="Times New Roman" w:eastAsiaTheme="minorEastAsia" w:hAnsi="Times New Roman" w:cs="Times New Roman"/>
          <w:bCs/>
          <w:kern w:val="0"/>
          <w:lang w:eastAsia="pl-PL"/>
          <w14:ligatures w14:val="none"/>
        </w:rPr>
        <w:t xml:space="preserve">gdy wielkość wydatków po pierwszym półroczu danego roku budżetowego wyniesie więcej niż 65% limitu wydatków przewidzianych na dany rok, dysponent środków </w:t>
      </w:r>
      <w:r w:rsidRPr="00E138FC">
        <w:rPr>
          <w:rFonts w:ascii="Times New Roman" w:eastAsiaTheme="minorEastAsia" w:hAnsi="Times New Roman" w:cs="Times New Roman"/>
          <w:bCs/>
          <w:kern w:val="0"/>
          <w:lang w:eastAsia="pl-PL"/>
          <w14:ligatures w14:val="none"/>
        </w:rPr>
        <w:lastRenderedPageBreak/>
        <w:t>obniż</w:t>
      </w:r>
      <w:r w:rsidRPr="00E138FC">
        <w:rPr>
          <w:rFonts w:ascii="Times New Roman" w:eastAsia="Arial Narrow" w:hAnsi="Times New Roman" w:cs="Times New Roman"/>
          <w:bCs/>
          <w:kern w:val="0"/>
          <w:lang w:eastAsia="pl-PL"/>
          <w14:ligatures w14:val="none"/>
        </w:rPr>
        <w:t>y</w:t>
      </w:r>
      <w:r w:rsidRPr="00E138FC">
        <w:rPr>
          <w:rFonts w:ascii="Times New Roman" w:eastAsiaTheme="minorEastAsia" w:hAnsi="Times New Roman" w:cs="Times New Roman"/>
          <w:bCs/>
          <w:kern w:val="0"/>
          <w:lang w:eastAsia="pl-PL"/>
          <w14:ligatures w14:val="none"/>
        </w:rPr>
        <w:t xml:space="preserve"> wielkość środków przeznaczonych na wydatki w drugim półroczu o kwotę stanowiącą różnicę między wielkością tego limitu a kwotą przekroczenia wydatków.</w:t>
      </w:r>
    </w:p>
    <w:p w14:paraId="37DB83D6" w14:textId="77777777" w:rsidR="00E138FC" w:rsidRPr="00E138FC" w:rsidRDefault="00E138FC" w:rsidP="00E138FC">
      <w:pPr>
        <w:spacing w:before="240" w:after="200" w:line="240" w:lineRule="auto"/>
        <w:ind w:firstLine="708"/>
        <w:jc w:val="both"/>
        <w:rPr>
          <w:rFonts w:ascii="Times New Roman" w:eastAsia="Times" w:hAnsi="Times New Roman" w:cs="Times New Roman"/>
          <w:kern w:val="0"/>
          <w:lang w:eastAsia="pl-PL"/>
          <w14:ligatures w14:val="none"/>
        </w:rPr>
      </w:pPr>
      <w:r w:rsidRPr="00E138FC">
        <w:rPr>
          <w:rFonts w:ascii="Times New Roman" w:eastAsia="Times" w:hAnsi="Times New Roman" w:cs="Times New Roman"/>
          <w:kern w:val="0"/>
          <w:lang w:eastAsia="pl-PL"/>
          <w14:ligatures w14:val="none"/>
        </w:rPr>
        <w:t>Koszty dla budżetu państwa mogą zostać pokryte przez uszczelnienie systemu podatkowego, zwłaszcza poprzez uproszczenie podatków, co wpłynie pozytywnie na przychody podatkowe, a także przez dokonanie oszczędności budżetowych polegających na zaprzestaniu dodatkowego dotowania mediów publicznych (19 spółek TVP i Polskiego Radia łącznie, zaplanowało swoje koszty funkcjonowania w latach 2025-2029 na poziomie ok 3,5 mld zł rocznie), a także zmniejszeniu wypłacania świadczeń socjalnych dla obywateli Ukrainy, którzy w Polsce nie mieszkają lub nie płacą podatków.</w:t>
      </w:r>
    </w:p>
    <w:p w14:paraId="7B5D6B33" w14:textId="77777777" w:rsidR="00E138FC" w:rsidRPr="00E138FC" w:rsidRDefault="00E138FC" w:rsidP="00E138FC">
      <w:pPr>
        <w:spacing w:before="240" w:line="240" w:lineRule="auto"/>
        <w:jc w:val="both"/>
        <w:rPr>
          <w:rFonts w:ascii="Times New Roman" w:eastAsia="Times" w:hAnsi="Times New Roman" w:cs="Times New Roman"/>
          <w:b/>
          <w:bCs/>
          <w:kern w:val="0"/>
          <w:lang w:eastAsia="pl-PL"/>
          <w14:ligatures w14:val="none"/>
        </w:rPr>
      </w:pPr>
      <w:r w:rsidRPr="00E138FC">
        <w:rPr>
          <w:rFonts w:ascii="Times New Roman" w:eastAsia="Times" w:hAnsi="Times New Roman" w:cs="Times New Roman"/>
          <w:b/>
          <w:bCs/>
          <w:kern w:val="0"/>
          <w:lang w:eastAsia="pl-PL"/>
          <w14:ligatures w14:val="none"/>
        </w:rPr>
        <w:t>4. Założenia podstawowych aktów wykonawczych</w:t>
      </w:r>
    </w:p>
    <w:p w14:paraId="49E68826" w14:textId="77777777" w:rsidR="00E138FC" w:rsidRPr="00E138FC" w:rsidRDefault="00E138FC" w:rsidP="00E138FC">
      <w:pPr>
        <w:spacing w:before="240" w:line="240" w:lineRule="auto"/>
        <w:ind w:firstLine="708"/>
        <w:jc w:val="both"/>
        <w:rPr>
          <w:rFonts w:ascii="Times New Roman" w:eastAsia="Times" w:hAnsi="Times New Roman" w:cs="Times New Roman"/>
          <w:kern w:val="0"/>
          <w:lang w:eastAsia="pl-PL"/>
          <w14:ligatures w14:val="none"/>
        </w:rPr>
      </w:pPr>
      <w:r w:rsidRPr="00E138FC">
        <w:rPr>
          <w:rFonts w:ascii="Times New Roman" w:eastAsia="Times" w:hAnsi="Times New Roman" w:cs="Times New Roman"/>
          <w:kern w:val="0"/>
          <w:lang w:eastAsia="pl-PL"/>
          <w14:ligatures w14:val="none"/>
        </w:rPr>
        <w:t>Projekt ustawy przewiduje możliwość wydania dwóch rozporządzeń Rady Ministrów.</w:t>
      </w:r>
    </w:p>
    <w:p w14:paraId="2C020720" w14:textId="40856346" w:rsidR="00E138FC" w:rsidRPr="00E138FC" w:rsidRDefault="00E138FC" w:rsidP="00E138FC">
      <w:pPr>
        <w:spacing w:before="240" w:line="240" w:lineRule="auto"/>
        <w:ind w:firstLine="708"/>
        <w:jc w:val="both"/>
        <w:rPr>
          <w:rFonts w:ascii="Times New Roman" w:eastAsia="Times" w:hAnsi="Times New Roman" w:cs="Times New Roman"/>
          <w:bCs/>
          <w:kern w:val="0"/>
          <w:lang w:eastAsia="pl-PL"/>
          <w14:ligatures w14:val="none"/>
        </w:rPr>
      </w:pPr>
      <w:r w:rsidRPr="00E138FC">
        <w:rPr>
          <w:rFonts w:ascii="Times New Roman" w:eastAsia="Times" w:hAnsi="Times New Roman" w:cs="Times New Roman"/>
          <w:kern w:val="0"/>
          <w:lang w:eastAsia="pl-PL"/>
          <w14:ligatures w14:val="none"/>
        </w:rPr>
        <w:t xml:space="preserve">Delegacja do wydania pierwszego z nich znajduje się w art. 8 ust. 4 projektu ustawy, zgodnie z którym </w:t>
      </w:r>
      <w:bookmarkStart w:id="3" w:name="_Hlk199333722"/>
      <w:r w:rsidRPr="00E138FC">
        <w:rPr>
          <w:rFonts w:ascii="Times New Roman" w:eastAsia="Times" w:hAnsi="Times New Roman" w:cs="Times New Roman"/>
          <w:kern w:val="0"/>
          <w:lang w:eastAsia="pl-PL"/>
          <w14:ligatures w14:val="none"/>
        </w:rPr>
        <w:t xml:space="preserve">Rada Ministrów będzie mogła określić w nim szczegółowe przeznaczenie </w:t>
      </w:r>
      <w:r w:rsidR="00CE3264">
        <w:rPr>
          <w:rFonts w:ascii="Times New Roman" w:eastAsia="Times" w:hAnsi="Times New Roman" w:cs="Times New Roman"/>
          <w:kern w:val="0"/>
          <w:lang w:eastAsia="pl-PL"/>
          <w14:ligatures w14:val="none"/>
        </w:rPr>
        <w:t xml:space="preserve">      </w:t>
      </w:r>
      <w:r w:rsidRPr="00E138FC">
        <w:rPr>
          <w:rFonts w:ascii="Times New Roman" w:eastAsia="Times" w:hAnsi="Times New Roman" w:cs="Times New Roman"/>
          <w:kern w:val="0"/>
          <w:lang w:eastAsia="pl-PL"/>
          <w14:ligatures w14:val="none"/>
        </w:rPr>
        <w:t xml:space="preserve">i warunki udzielania </w:t>
      </w:r>
      <w:bookmarkEnd w:id="3"/>
      <w:r w:rsidRPr="00E138FC">
        <w:rPr>
          <w:rFonts w:ascii="Times New Roman" w:eastAsia="Times" w:hAnsi="Times New Roman" w:cs="Times New Roman"/>
          <w:kern w:val="0"/>
          <w:lang w:eastAsia="pl-PL"/>
          <w14:ligatures w14:val="none"/>
        </w:rPr>
        <w:t xml:space="preserve">wsparcia finansowego </w:t>
      </w:r>
      <w:r w:rsidRPr="00E138FC">
        <w:rPr>
          <w:rFonts w:ascii="Times New Roman" w:eastAsia="Times" w:hAnsi="Times New Roman" w:cs="Times New Roman"/>
          <w:bCs/>
          <w:kern w:val="0"/>
          <w:lang w:eastAsia="pl-PL"/>
          <w14:ligatures w14:val="none"/>
        </w:rPr>
        <w:t>przeznaczanego na inwestycje, w tym inwestycje kapitałowe, ochronę środowiska, badania, rozwój i innowacje, szkolenia i doradztwo, rekrutację i zatrudnienie pracowników znajdujących się w szczególnie niekorzystnej sytuacji oraz pracowników niepełnosprawnych, zapobieganie lub naprawienie szkód spowodowanych klęskami żywiołowymi, przedsięwzięcia o charakterze społecznym w zakresie transportu na rzecz mieszkańców regionów oddalonych, infrastrukturę szerokopasmową, kulturę</w:t>
      </w:r>
      <w:r w:rsidR="00CE3264">
        <w:rPr>
          <w:rFonts w:ascii="Times New Roman" w:eastAsia="Times" w:hAnsi="Times New Roman" w:cs="Times New Roman"/>
          <w:bCs/>
          <w:kern w:val="0"/>
          <w:lang w:eastAsia="pl-PL"/>
          <w14:ligatures w14:val="none"/>
        </w:rPr>
        <w:t xml:space="preserve">                            </w:t>
      </w:r>
      <w:r w:rsidRPr="00E138FC">
        <w:rPr>
          <w:rFonts w:ascii="Times New Roman" w:eastAsia="Times" w:hAnsi="Times New Roman" w:cs="Times New Roman"/>
          <w:bCs/>
          <w:kern w:val="0"/>
          <w:lang w:eastAsia="pl-PL"/>
          <w14:ligatures w14:val="none"/>
        </w:rPr>
        <w:t>i zachowanie dziedzictwa kulturowego, infrastrukturę sportową i wielofunkcyjną infrastrukturę rekreacyjną, infrastrukturę lokalną oraz infrastrukturę transportu lotniczego i infrastrukturę krytyczną portów lotniczych, a także określić szczegółowe warunki wypłaty wynagrodzenia Funduszu za udzielenie takiego wsparcia, które nie będzie mogło przekraczać stawek rynkowych. Rozporządzenie to będzie mogło uszczegółowić zasady przyznawania wsparcia oraz zasady wynagradzania Funduszu za jego udzielenie, w taki sposób, aby mieć na uwadze dopuszczalność i warunki udzielania pomocy państwa, określone przez właściwe organy Unii Europejskiej.</w:t>
      </w:r>
    </w:p>
    <w:p w14:paraId="64D830FD" w14:textId="51CF06B1" w:rsidR="00E138FC" w:rsidRPr="00E138FC" w:rsidRDefault="00E138FC" w:rsidP="00E138FC">
      <w:pPr>
        <w:spacing w:before="240" w:line="240" w:lineRule="auto"/>
        <w:ind w:firstLine="708"/>
        <w:jc w:val="both"/>
        <w:rPr>
          <w:rFonts w:ascii="Times New Roman" w:eastAsia="Times" w:hAnsi="Times New Roman" w:cs="Times New Roman"/>
          <w:bCs/>
          <w:kern w:val="0"/>
          <w:lang w:eastAsia="pl-PL"/>
          <w14:ligatures w14:val="none"/>
        </w:rPr>
      </w:pPr>
      <w:r w:rsidRPr="00E138FC">
        <w:rPr>
          <w:rFonts w:ascii="Times New Roman" w:eastAsia="Times" w:hAnsi="Times New Roman" w:cs="Times New Roman"/>
          <w:bCs/>
          <w:kern w:val="0"/>
          <w:lang w:eastAsia="pl-PL"/>
          <w14:ligatures w14:val="none"/>
        </w:rPr>
        <w:t xml:space="preserve">Delegacja do wydania drugiego z nich znajduje się w art. 14 ust. 3 projektu ustawy, zgodnie z którym Rada Ministrów będzie mogła określić w nim szczegółowe przeznaczenie </w:t>
      </w:r>
      <w:r w:rsidR="00CE3264">
        <w:rPr>
          <w:rFonts w:ascii="Times New Roman" w:eastAsia="Times" w:hAnsi="Times New Roman" w:cs="Times New Roman"/>
          <w:bCs/>
          <w:kern w:val="0"/>
          <w:lang w:eastAsia="pl-PL"/>
          <w14:ligatures w14:val="none"/>
        </w:rPr>
        <w:t xml:space="preserve">        </w:t>
      </w:r>
      <w:r w:rsidRPr="00E138FC">
        <w:rPr>
          <w:rFonts w:ascii="Times New Roman" w:eastAsia="Times" w:hAnsi="Times New Roman" w:cs="Times New Roman"/>
          <w:bCs/>
          <w:kern w:val="0"/>
          <w:lang w:eastAsia="pl-PL"/>
          <w14:ligatures w14:val="none"/>
        </w:rPr>
        <w:t xml:space="preserve">i warunki udzielania finansowania, o którym mowa w ust. 1, które stanowi pomoc publiczną, przeznaczonego na inwestycje, w tym inwestycje kapitałowe, wspieranie przedsiębiorców, ochronę środowiska, badania, rozwój i innowacje, szkolenia i doradztwo, przedsięwzięcia </w:t>
      </w:r>
      <w:r w:rsidR="00CE3264">
        <w:rPr>
          <w:rFonts w:ascii="Times New Roman" w:eastAsia="Times" w:hAnsi="Times New Roman" w:cs="Times New Roman"/>
          <w:bCs/>
          <w:kern w:val="0"/>
          <w:lang w:eastAsia="pl-PL"/>
          <w14:ligatures w14:val="none"/>
        </w:rPr>
        <w:t xml:space="preserve">           </w:t>
      </w:r>
      <w:r w:rsidRPr="00E138FC">
        <w:rPr>
          <w:rFonts w:ascii="Times New Roman" w:eastAsia="Times" w:hAnsi="Times New Roman" w:cs="Times New Roman"/>
          <w:bCs/>
          <w:kern w:val="0"/>
          <w:lang w:eastAsia="pl-PL"/>
          <w14:ligatures w14:val="none"/>
        </w:rPr>
        <w:t xml:space="preserve">o charakterze społecznym w zakresie transportu na rzecz mieszkańców regionów oddalonych, infrastrukturę szerokopasmową, infrastrukturę lokalną, kulturę i zachowanie dziedzictwa kulturowego, edukację i kształcenie zawodowe, w tym infrastrukturę edukacyjną, infrastrukturę sportową i wielofunkcyjną infrastrukturę rekreacyjną, regionalne porty lotnicze, infrastrukturę zdrowotną, w tym profilaktyczną, naprawienie szkód spowodowanych klęskami żywiołowymi i zdarzeniami nadzwyczajnymi, zadania powierzone przez organy administracji rządowej, inne jednostki wykonujące zadania publiczne lub jednostki samorządu terytorialnego pod warunkiem, że przedsięwzięcia te będą podjęte w ramach realizacji celu działania Funduszu, </w:t>
      </w:r>
      <w:r w:rsidR="00CE3264">
        <w:rPr>
          <w:rFonts w:ascii="Times New Roman" w:eastAsia="Times" w:hAnsi="Times New Roman" w:cs="Times New Roman"/>
          <w:bCs/>
          <w:kern w:val="0"/>
          <w:lang w:eastAsia="pl-PL"/>
          <w14:ligatures w14:val="none"/>
        </w:rPr>
        <w:t xml:space="preserve">      </w:t>
      </w:r>
      <w:r w:rsidRPr="00E138FC">
        <w:rPr>
          <w:rFonts w:ascii="Times New Roman" w:eastAsia="Times" w:hAnsi="Times New Roman" w:cs="Times New Roman"/>
          <w:bCs/>
          <w:kern w:val="0"/>
          <w:lang w:eastAsia="pl-PL"/>
          <w14:ligatures w14:val="none"/>
        </w:rPr>
        <w:t xml:space="preserve">a więc wspierania procesu transformacji regionu bełchatowskiego oraz podmiotów, w celu przeciwdziałania negatywnym skutkom wygaszania działalności gospodarczej, w tym działalności wydobywczej węgla brunatnego i energetyki konwencjonalnej, występującym na terytorium województwa łódzkiego lub poza jego terytorium. Rozporządzenie to będzie mogło </w:t>
      </w:r>
      <w:r w:rsidRPr="00E138FC">
        <w:rPr>
          <w:rFonts w:ascii="Times New Roman" w:eastAsia="Times" w:hAnsi="Times New Roman" w:cs="Times New Roman"/>
          <w:bCs/>
          <w:kern w:val="0"/>
          <w:lang w:eastAsia="pl-PL"/>
          <w14:ligatures w14:val="none"/>
        </w:rPr>
        <w:lastRenderedPageBreak/>
        <w:t>uszczegółowić zasady finansowania tych przedsięwzięć w taki sposób, aby mieć na uwadze dopuszczalność i warunki udzielania pomocy państwa określone przez właściwe organy Unii Europejskiej. Jeżeli przewidywane będzie udzielenie pomocy publicznej w ramach dopuszczonych prawem unijnym, to celowe będzie wydanie aktu wykonawczego określającego warunki i przeznaczenie takiej pomocy.</w:t>
      </w:r>
    </w:p>
    <w:p w14:paraId="54DC35FF" w14:textId="77777777" w:rsidR="00E138FC" w:rsidRPr="00E138FC" w:rsidRDefault="00E138FC" w:rsidP="00E138FC">
      <w:pPr>
        <w:spacing w:line="240" w:lineRule="auto"/>
        <w:jc w:val="both"/>
        <w:rPr>
          <w:rFonts w:ascii="Times New Roman" w:eastAsia="Times New Roman" w:hAnsi="Times New Roman" w:cs="Times New Roman"/>
          <w:b/>
          <w:kern w:val="0"/>
          <w:lang w:eastAsia="pl-PL"/>
          <w14:ligatures w14:val="none"/>
        </w:rPr>
      </w:pPr>
      <w:r w:rsidRPr="00E138FC">
        <w:rPr>
          <w:rFonts w:ascii="Times New Roman" w:eastAsia="Times New Roman" w:hAnsi="Times New Roman" w:cs="Times New Roman"/>
          <w:b/>
          <w:kern w:val="0"/>
          <w:lang w:eastAsia="pl-PL"/>
          <w14:ligatures w14:val="none"/>
        </w:rPr>
        <w:t>5. Informacje dodatkowe</w:t>
      </w:r>
    </w:p>
    <w:p w14:paraId="1F105A8B"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 nie był poddawany formalnym konsultacjom społecznym.</w:t>
      </w:r>
    </w:p>
    <w:p w14:paraId="516E5758"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 nie zawiera przepisów określających zasady podejmowania, wykonywania lub zakończenia działalności gospodarczej.</w:t>
      </w:r>
    </w:p>
    <w:p w14:paraId="1119A470"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Wdrożenie projektowanych przepisów nie spowoduje wzrostu obciążeń administracyjnych mikroprzedsiębiorców, małych i średnich przedsiębiorców.</w:t>
      </w:r>
    </w:p>
    <w:p w14:paraId="1FC60B85"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 ustawy jest zgodny z przepisami ustawy z dnia 6 marca 2018 r. – Prawo przedsiębiorców (Dz. U. z 2024 r. poz. 236, 1222).</w:t>
      </w:r>
    </w:p>
    <w:p w14:paraId="0BB4B4F4" w14:textId="6B35D6B9"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 xml:space="preserve">Projekt ustawy będzie wpływał bezpośrednio na duże przedsiębiorstwa, sektor małych i średnich przedsiębiorstw, przez zapewnienie płynności finansowej przedsiębiorstw w celu złagodzenia negatywnych skutków transformacji regionu bełchatowskiego, która wiąże się </w:t>
      </w:r>
      <w:r w:rsidR="00CE3264">
        <w:rPr>
          <w:rFonts w:ascii="Times New Roman" w:eastAsia="Times New Roman" w:hAnsi="Times New Roman" w:cs="Times New Roman"/>
          <w:kern w:val="0"/>
          <w:lang w:eastAsia="pl-PL"/>
          <w14:ligatures w14:val="none"/>
        </w:rPr>
        <w:t xml:space="preserve">          </w:t>
      </w:r>
      <w:r w:rsidRPr="00E138FC">
        <w:rPr>
          <w:rFonts w:ascii="Times New Roman" w:eastAsia="Times New Roman" w:hAnsi="Times New Roman" w:cs="Times New Roman"/>
          <w:kern w:val="0"/>
          <w:lang w:eastAsia="pl-PL"/>
          <w14:ligatures w14:val="none"/>
        </w:rPr>
        <w:t xml:space="preserve">z potrzebą budowy nowych sektorów gospodarki, tworzeniem miejsc pracy i przewag technologicznych kraju i regionu. Przedsiębiorstwa te będą mogły korzystać z utworzonych </w:t>
      </w:r>
      <w:r w:rsidR="00CE3264">
        <w:rPr>
          <w:rFonts w:ascii="Times New Roman" w:eastAsia="Times New Roman" w:hAnsi="Times New Roman" w:cs="Times New Roman"/>
          <w:kern w:val="0"/>
          <w:lang w:eastAsia="pl-PL"/>
          <w14:ligatures w14:val="none"/>
        </w:rPr>
        <w:t xml:space="preserve">         </w:t>
      </w:r>
      <w:r w:rsidRPr="00E138FC">
        <w:rPr>
          <w:rFonts w:ascii="Times New Roman" w:eastAsia="Times New Roman" w:hAnsi="Times New Roman" w:cs="Times New Roman"/>
          <w:kern w:val="0"/>
          <w:lang w:eastAsia="pl-PL"/>
          <w14:ligatures w14:val="none"/>
        </w:rPr>
        <w:t>i realizowanych przez Fundusz, w ramach realizacji jego misji publicznej, instrumentów wsparcia.</w:t>
      </w:r>
    </w:p>
    <w:p w14:paraId="2E8E9AA1"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 nie zawiera przepisów regulacyjnych i nie określa wymogów dotyczących świadczenia usług transgranicznych w rozumieniu ustawy z dnia 22 grudnia 2015 r. o zasadach uznawania kwalifikacji zawodowych nabytych w państwach członkowskich Unii Europejskiej (t.j. Dz.U. z 2023 r. poz. 334).</w:t>
      </w:r>
    </w:p>
    <w:p w14:paraId="2FCEEFDA"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Projektowana ustawa nie wymaga przedstawienia właściwym organom i instytucjom Unii Europejskiej, w tym Europejskiemu Bankowi Centralnemu, w celu uzyskania opinii, dokonania powiadomienia, konsultacji albo uzgodnienia.</w:t>
      </w:r>
    </w:p>
    <w:p w14:paraId="30D43E1C" w14:textId="77777777" w:rsidR="00E138FC" w:rsidRPr="00E138FC" w:rsidRDefault="00E138FC" w:rsidP="00E138FC">
      <w:pPr>
        <w:spacing w:after="200" w:line="240" w:lineRule="auto"/>
        <w:ind w:firstLine="708"/>
        <w:jc w:val="both"/>
        <w:rPr>
          <w:rFonts w:ascii="Times New Roman" w:eastAsia="Times New Roman" w:hAnsi="Times New Roman" w:cs="Times New Roman"/>
          <w:kern w:val="0"/>
          <w:lang w:eastAsia="pl-PL"/>
          <w14:ligatures w14:val="none"/>
        </w:rPr>
      </w:pPr>
      <w:r w:rsidRPr="00E138FC">
        <w:rPr>
          <w:rFonts w:ascii="Times New Roman" w:eastAsia="Times New Roman" w:hAnsi="Times New Roman" w:cs="Times New Roman"/>
          <w:kern w:val="0"/>
          <w:lang w:eastAsia="pl-PL"/>
          <w14:ligatures w14:val="none"/>
        </w:rPr>
        <w:t>Projektowana ustawa nie zawiera przepisów technicznych i nie podlega notyfikacji zgodnie z przepisami rozporządzenia Rady Ministrów z dnia 23 grudnia 2002 r. w sprawie sposobu funkcjonowania krajowego systemu notyfikacji norm i aktów prawnych (Dz. U. poz. 2039 oraz z 2004 r. poz. 597).</w:t>
      </w:r>
    </w:p>
    <w:p w14:paraId="5F2CC64D" w14:textId="77777777" w:rsidR="00D94B6F" w:rsidRDefault="00D94B6F"/>
    <w:sectPr w:rsidR="00D94B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62D3C" w14:textId="77777777" w:rsidR="007229E2" w:rsidRDefault="007229E2" w:rsidP="00E138FC">
      <w:pPr>
        <w:spacing w:after="0" w:line="240" w:lineRule="auto"/>
      </w:pPr>
      <w:r>
        <w:separator/>
      </w:r>
    </w:p>
  </w:endnote>
  <w:endnote w:type="continuationSeparator" w:id="0">
    <w:p w14:paraId="101B75EE" w14:textId="77777777" w:rsidR="007229E2" w:rsidRDefault="007229E2" w:rsidP="00E1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576739"/>
      <w:docPartObj>
        <w:docPartGallery w:val="Page Numbers (Bottom of Page)"/>
        <w:docPartUnique/>
      </w:docPartObj>
    </w:sdtPr>
    <w:sdtEndPr>
      <w:rPr>
        <w:rFonts w:ascii="Times New Roman" w:hAnsi="Times New Roman" w:cs="Times New Roman"/>
      </w:rPr>
    </w:sdtEndPr>
    <w:sdtContent>
      <w:p w14:paraId="26EFCDAC" w14:textId="7D011B33" w:rsidR="00CE3264" w:rsidRDefault="00CE3264" w:rsidP="00CE3264">
        <w:pPr>
          <w:pStyle w:val="Stopka"/>
          <w:jc w:val="center"/>
          <w:rPr>
            <w:rFonts w:ascii="Times New Roman" w:hAnsi="Times New Roman" w:cs="Times New Roman"/>
          </w:rPr>
        </w:pPr>
        <w:r w:rsidRPr="00CE3264">
          <w:rPr>
            <w:rFonts w:ascii="Times New Roman" w:hAnsi="Times New Roman" w:cs="Times New Roman"/>
          </w:rPr>
          <w:fldChar w:fldCharType="begin"/>
        </w:r>
        <w:r w:rsidRPr="00CE3264">
          <w:rPr>
            <w:rFonts w:ascii="Times New Roman" w:hAnsi="Times New Roman" w:cs="Times New Roman"/>
          </w:rPr>
          <w:instrText>PAGE   \* MERGEFORMAT</w:instrText>
        </w:r>
        <w:r w:rsidRPr="00CE3264">
          <w:rPr>
            <w:rFonts w:ascii="Times New Roman" w:hAnsi="Times New Roman" w:cs="Times New Roman"/>
          </w:rPr>
          <w:fldChar w:fldCharType="separate"/>
        </w:r>
        <w:r w:rsidRPr="00CE3264">
          <w:rPr>
            <w:rFonts w:ascii="Times New Roman" w:hAnsi="Times New Roman" w:cs="Times New Roman"/>
          </w:rPr>
          <w:t>2</w:t>
        </w:r>
        <w:r w:rsidRPr="00CE3264">
          <w:rPr>
            <w:rFonts w:ascii="Times New Roman" w:hAnsi="Times New Roman" w:cs="Times New Roman"/>
          </w:rPr>
          <w:fldChar w:fldCharType="end"/>
        </w:r>
      </w:p>
      <w:p w14:paraId="14A8553F" w14:textId="77777777" w:rsidR="00CE3264" w:rsidRPr="00CE3264" w:rsidRDefault="00CE3264" w:rsidP="00CE3264">
        <w:pPr>
          <w:pBdr>
            <w:top w:val="nil"/>
            <w:left w:val="nil"/>
            <w:bottom w:val="single" w:sz="6" w:space="1" w:color="000000"/>
            <w:right w:val="nil"/>
            <w:between w:val="nil"/>
          </w:pBdr>
          <w:spacing w:after="0" w:line="240" w:lineRule="auto"/>
          <w:rPr>
            <w:rFonts w:ascii="Times New Roman" w:eastAsia="Times New Roman" w:hAnsi="Times New Roman" w:cs="Times New Roman"/>
            <w:color w:val="000000"/>
            <w:kern w:val="0"/>
            <w:lang w:eastAsia="pl-PL"/>
            <w14:ligatures w14:val="none"/>
          </w:rPr>
        </w:pPr>
        <w:bookmarkStart w:id="4" w:name="_Hlk199494664"/>
        <w:bookmarkStart w:id="5" w:name="_Hlk199494663"/>
      </w:p>
      <w:p w14:paraId="233DB24C" w14:textId="16B17F3A" w:rsidR="00CE3264" w:rsidRPr="00CE3264" w:rsidRDefault="00CE3264" w:rsidP="00CE3264">
        <w:pPr>
          <w:pBdr>
            <w:top w:val="nil"/>
            <w:left w:val="nil"/>
            <w:bottom w:val="nil"/>
            <w:right w:val="nil"/>
            <w:between w:val="nil"/>
          </w:pBdr>
          <w:tabs>
            <w:tab w:val="center" w:pos="4536"/>
            <w:tab w:val="right" w:pos="9072"/>
          </w:tabs>
          <w:spacing w:after="0" w:line="240" w:lineRule="auto"/>
          <w:jc w:val="center"/>
          <w:rPr>
            <w:rFonts w:ascii="Arial Narrow" w:eastAsia="Arial Narrow" w:hAnsi="Arial Narrow" w:cs="Arial Narrow"/>
            <w:color w:val="000000"/>
            <w:kern w:val="0"/>
            <w:sz w:val="22"/>
            <w:szCs w:val="22"/>
            <w:lang w:eastAsia="pl-PL"/>
            <w14:ligatures w14:val="none"/>
          </w:rPr>
        </w:pPr>
        <w:r w:rsidRPr="00CE3264">
          <w:rPr>
            <w:rFonts w:ascii="Arial Narrow" w:eastAsia="Arial Narrow" w:hAnsi="Arial Narrow" w:cs="Arial Narrow"/>
            <w:color w:val="000000"/>
            <w:kern w:val="0"/>
            <w:sz w:val="22"/>
            <w:szCs w:val="22"/>
            <w:lang w:eastAsia="pl-PL"/>
            <w14:ligatures w14:val="none"/>
          </w:rPr>
          <w:br/>
        </w:r>
        <w:r w:rsidRPr="00CE3264">
          <w:rPr>
            <w:rFonts w:ascii="Calibri" w:eastAsia="Calibri" w:hAnsi="Calibri" w:cs="Calibri"/>
            <w:b/>
            <w:color w:val="132D4D"/>
            <w:kern w:val="0"/>
            <w:sz w:val="22"/>
            <w:szCs w:val="22"/>
            <w:lang w:eastAsia="pl-PL"/>
            <w14:ligatures w14:val="none"/>
          </w:rPr>
          <w:t>Konfederacja Wolność i Niepodległość</w:t>
        </w:r>
        <w:r w:rsidRPr="00CE3264">
          <w:rPr>
            <w:rFonts w:ascii="Calibri" w:eastAsia="Calibri" w:hAnsi="Calibri" w:cs="Calibri"/>
            <w:color w:val="132D4D"/>
            <w:kern w:val="0"/>
            <w:sz w:val="22"/>
            <w:szCs w:val="22"/>
            <w:lang w:eastAsia="pl-PL"/>
            <w14:ligatures w14:val="none"/>
          </w:rPr>
          <w:t xml:space="preserve"> | konfederacja.pl</w:t>
        </w:r>
      </w:p>
      <w:bookmarkEnd w:id="5" w:displacedByCustomXml="next"/>
      <w:bookmarkEnd w:id="4"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824B" w14:textId="77777777" w:rsidR="007229E2" w:rsidRDefault="007229E2" w:rsidP="00E138FC">
      <w:pPr>
        <w:spacing w:after="0" w:line="240" w:lineRule="auto"/>
      </w:pPr>
      <w:r>
        <w:separator/>
      </w:r>
    </w:p>
  </w:footnote>
  <w:footnote w:type="continuationSeparator" w:id="0">
    <w:p w14:paraId="06D5E837" w14:textId="77777777" w:rsidR="007229E2" w:rsidRDefault="007229E2" w:rsidP="00E1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37DE" w14:textId="6128900C" w:rsidR="00E138FC" w:rsidRDefault="00CE3264">
    <w:pPr>
      <w:pStyle w:val="Nagwek"/>
    </w:pPr>
    <w:r>
      <w:rPr>
        <w:rFonts w:ascii="Calibri" w:eastAsia="Calibri" w:hAnsi="Calibri" w:cs="Calibri"/>
        <w:noProof/>
        <w:color w:val="000000"/>
      </w:rPr>
      <w:drawing>
        <wp:inline distT="0" distB="0" distL="0" distR="0" wp14:anchorId="6C2B1691" wp14:editId="4C0D9C54">
          <wp:extent cx="2733675" cy="495300"/>
          <wp:effectExtent l="0" t="0" r="0" b="0"/>
          <wp:docPr id="9" name="image1.jpg"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Czcionka, logo, Grafika&#10;&#10;Opis wygenerowany automatycznie"/>
                  <pic:cNvPicPr preferRelativeResize="0"/>
                </pic:nvPicPr>
                <pic:blipFill>
                  <a:blip r:embed="rId1"/>
                  <a:srcRect/>
                  <a:stretch>
                    <a:fillRect/>
                  </a:stretch>
                </pic:blipFill>
                <pic:spPr>
                  <a:xfrm>
                    <a:off x="0" y="0"/>
                    <a:ext cx="2733675" cy="495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61637"/>
    <w:multiLevelType w:val="hybridMultilevel"/>
    <w:tmpl w:val="C8A03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6631591"/>
    <w:multiLevelType w:val="hybridMultilevel"/>
    <w:tmpl w:val="25FED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B100F9"/>
    <w:multiLevelType w:val="hybridMultilevel"/>
    <w:tmpl w:val="10F4E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2B06EB"/>
    <w:multiLevelType w:val="multilevel"/>
    <w:tmpl w:val="266A2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2054516">
    <w:abstractNumId w:val="2"/>
  </w:num>
  <w:num w:numId="2" w16cid:durableId="1594968787">
    <w:abstractNumId w:val="3"/>
  </w:num>
  <w:num w:numId="3" w16cid:durableId="329214819">
    <w:abstractNumId w:val="1"/>
  </w:num>
  <w:num w:numId="4" w16cid:durableId="84582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FC"/>
    <w:rsid w:val="0044644A"/>
    <w:rsid w:val="004D745D"/>
    <w:rsid w:val="00501B42"/>
    <w:rsid w:val="007229E2"/>
    <w:rsid w:val="007F3064"/>
    <w:rsid w:val="00AC27AF"/>
    <w:rsid w:val="00BE114D"/>
    <w:rsid w:val="00CC163F"/>
    <w:rsid w:val="00CE3264"/>
    <w:rsid w:val="00D94B6F"/>
    <w:rsid w:val="00E138FC"/>
    <w:rsid w:val="00FF3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7FE"/>
  <w15:chartTrackingRefBased/>
  <w15:docId w15:val="{1B14C7ED-E74D-4695-BEE3-62B87687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38F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38F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38F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38F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38F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38F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38F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38F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38F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38F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38F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38F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38F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38F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38F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38FC"/>
    <w:rPr>
      <w:rFonts w:eastAsiaTheme="majorEastAsia" w:cstheme="majorBidi"/>
      <w:color w:val="272727" w:themeColor="text1" w:themeTint="D8"/>
    </w:rPr>
  </w:style>
  <w:style w:type="paragraph" w:styleId="Tytu">
    <w:name w:val="Title"/>
    <w:basedOn w:val="Normalny"/>
    <w:next w:val="Normalny"/>
    <w:link w:val="TytuZnak"/>
    <w:uiPriority w:val="10"/>
    <w:qFormat/>
    <w:rsid w:val="00E1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38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38F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38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38F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38FC"/>
    <w:rPr>
      <w:i/>
      <w:iCs/>
      <w:color w:val="404040" w:themeColor="text1" w:themeTint="BF"/>
    </w:rPr>
  </w:style>
  <w:style w:type="paragraph" w:styleId="Akapitzlist">
    <w:name w:val="List Paragraph"/>
    <w:basedOn w:val="Normalny"/>
    <w:uiPriority w:val="34"/>
    <w:qFormat/>
    <w:rsid w:val="00E138FC"/>
    <w:pPr>
      <w:ind w:left="720"/>
      <w:contextualSpacing/>
    </w:pPr>
  </w:style>
  <w:style w:type="character" w:styleId="Wyrnienieintensywne">
    <w:name w:val="Intense Emphasis"/>
    <w:basedOn w:val="Domylnaczcionkaakapitu"/>
    <w:uiPriority w:val="21"/>
    <w:qFormat/>
    <w:rsid w:val="00E138FC"/>
    <w:rPr>
      <w:i/>
      <w:iCs/>
      <w:color w:val="0F4761" w:themeColor="accent1" w:themeShade="BF"/>
    </w:rPr>
  </w:style>
  <w:style w:type="paragraph" w:styleId="Cytatintensywny">
    <w:name w:val="Intense Quote"/>
    <w:basedOn w:val="Normalny"/>
    <w:next w:val="Normalny"/>
    <w:link w:val="CytatintensywnyZnak"/>
    <w:uiPriority w:val="30"/>
    <w:qFormat/>
    <w:rsid w:val="00E1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38FC"/>
    <w:rPr>
      <w:i/>
      <w:iCs/>
      <w:color w:val="0F4761" w:themeColor="accent1" w:themeShade="BF"/>
    </w:rPr>
  </w:style>
  <w:style w:type="character" w:styleId="Odwoanieintensywne">
    <w:name w:val="Intense Reference"/>
    <w:basedOn w:val="Domylnaczcionkaakapitu"/>
    <w:uiPriority w:val="32"/>
    <w:qFormat/>
    <w:rsid w:val="00E138FC"/>
    <w:rPr>
      <w:b/>
      <w:bCs/>
      <w:smallCaps/>
      <w:color w:val="0F4761" w:themeColor="accent1" w:themeShade="BF"/>
      <w:spacing w:val="5"/>
    </w:rPr>
  </w:style>
  <w:style w:type="paragraph" w:styleId="Nagwek">
    <w:name w:val="header"/>
    <w:basedOn w:val="Normalny"/>
    <w:link w:val="NagwekZnak"/>
    <w:uiPriority w:val="99"/>
    <w:unhideWhenUsed/>
    <w:rsid w:val="00E138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8FC"/>
  </w:style>
  <w:style w:type="paragraph" w:styleId="Stopka">
    <w:name w:val="footer"/>
    <w:basedOn w:val="Normalny"/>
    <w:link w:val="StopkaZnak"/>
    <w:uiPriority w:val="99"/>
    <w:unhideWhenUsed/>
    <w:rsid w:val="00E138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4512</Words>
  <Characters>27074</Characters>
  <Application>Microsoft Office Word</Application>
  <DocSecurity>0</DocSecurity>
  <Lines>225</Lines>
  <Paragraphs>63</Paragraphs>
  <ScaleCrop>false</ScaleCrop>
  <Company>Kancelaria Sejmu</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Stoch</dc:creator>
  <cp:keywords/>
  <dc:description/>
  <cp:lastModifiedBy>Witold Stoch</cp:lastModifiedBy>
  <cp:revision>4</cp:revision>
  <cp:lastPrinted>2025-06-25T09:29:00Z</cp:lastPrinted>
  <dcterms:created xsi:type="dcterms:W3CDTF">2025-05-30T09:07:00Z</dcterms:created>
  <dcterms:modified xsi:type="dcterms:W3CDTF">2025-06-25T09:30:00Z</dcterms:modified>
</cp:coreProperties>
</file>