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03BE" w14:textId="77777777" w:rsidR="00655207" w:rsidRPr="008C4A2B" w:rsidRDefault="00655207" w:rsidP="00655207">
      <w:pPr>
        <w:pStyle w:val="OZNPROJEKTUwskazaniedatylubwersjiprojektu"/>
      </w:pPr>
      <w:r w:rsidRPr="008C4A2B">
        <w:t>Projekt</w:t>
      </w:r>
    </w:p>
    <w:p w14:paraId="655D509C" w14:textId="77777777" w:rsidR="00655207" w:rsidRPr="008C4A2B" w:rsidRDefault="00655207" w:rsidP="00655207">
      <w:pPr>
        <w:pStyle w:val="OZNRODZAKTUtznustawalubrozporzdzenieiorganwydajcy"/>
      </w:pPr>
      <w:r w:rsidRPr="008C4A2B">
        <w:t>USTAWA</w:t>
      </w:r>
    </w:p>
    <w:p w14:paraId="47EA608A" w14:textId="77777777" w:rsidR="00655207" w:rsidRPr="008C4A2B" w:rsidRDefault="00655207" w:rsidP="00655207">
      <w:pPr>
        <w:pStyle w:val="DATAAKTUdatauchwalenialubwydaniaaktu"/>
      </w:pPr>
      <w:r w:rsidRPr="008C4A2B">
        <w:t>z dnia</w:t>
      </w:r>
    </w:p>
    <w:p w14:paraId="05866F3E" w14:textId="77777777" w:rsidR="00655207" w:rsidRPr="008C4A2B" w:rsidRDefault="00655207" w:rsidP="00655207">
      <w:pPr>
        <w:pStyle w:val="TYTUAKTUprzedmiotregulacjiustawylubrozporzdzenia"/>
      </w:pPr>
      <w:r w:rsidRPr="008C4A2B">
        <w:t xml:space="preserve">o zmianie ustawy o </w:t>
      </w:r>
      <w:r>
        <w:t>ubezpieczeniach obowiązkowych, Ubezpieczeniowym Funduszu Gwarancyjnym i Polskim Biurze Ubezpieczycieli Komunikacyjnych</w:t>
      </w:r>
    </w:p>
    <w:p w14:paraId="11666096" w14:textId="77777777" w:rsidR="00655207" w:rsidRDefault="00655207" w:rsidP="00655207">
      <w:pPr>
        <w:pStyle w:val="ARTartustawynprozporzdzenia"/>
      </w:pPr>
      <w:r w:rsidRPr="008C4A2B">
        <w:rPr>
          <w:rStyle w:val="Ppogrubienie"/>
        </w:rPr>
        <w:t>Art.</w:t>
      </w:r>
      <w:r>
        <w:rPr>
          <w:rStyle w:val="Ppogrubienie"/>
        </w:rPr>
        <w:t> </w:t>
      </w:r>
      <w:r w:rsidRPr="008C4A2B">
        <w:rPr>
          <w:rStyle w:val="Ppogrubienie"/>
        </w:rPr>
        <w:t>1.</w:t>
      </w:r>
      <w:r>
        <w:t> </w:t>
      </w:r>
      <w:r w:rsidRPr="008C4A2B">
        <w:t xml:space="preserve">W ustawie z dnia </w:t>
      </w:r>
      <w:r>
        <w:t xml:space="preserve">22 maja 2003 r. o ubezpieczeniach </w:t>
      </w:r>
      <w:r w:rsidRPr="00710C3D">
        <w:t>obowiązkowych, Ubezpieczeniowym Funduszu Gwarancyjnym i Polskim Biurze Ubezpieczycieli Komunikacyjnych</w:t>
      </w:r>
      <w:r w:rsidRPr="008C4A2B">
        <w:t xml:space="preserve"> (Dz. U. z 202</w:t>
      </w:r>
      <w:r>
        <w:t>5</w:t>
      </w:r>
      <w:r w:rsidRPr="008C4A2B">
        <w:t xml:space="preserve"> r. poz. </w:t>
      </w:r>
      <w:r>
        <w:t>367</w:t>
      </w:r>
      <w:r w:rsidRPr="008C4A2B">
        <w:t>)</w:t>
      </w:r>
      <w:r>
        <w:t xml:space="preserve"> </w:t>
      </w:r>
      <w:r w:rsidRPr="00246F8A">
        <w:t>wprowadza się następujące zmiany:</w:t>
      </w:r>
    </w:p>
    <w:p w14:paraId="1F9423C6" w14:textId="77777777" w:rsidR="00655207" w:rsidRDefault="00655207" w:rsidP="00655207">
      <w:pPr>
        <w:pStyle w:val="PKTpunkt"/>
      </w:pPr>
      <w:r>
        <w:t>1)</w:t>
      </w:r>
      <w:r>
        <w:tab/>
      </w:r>
      <w:r w:rsidRPr="00246F8A">
        <w:t xml:space="preserve">w art. </w:t>
      </w:r>
      <w:r>
        <w:t>31:</w:t>
      </w:r>
    </w:p>
    <w:p w14:paraId="112D2F23" w14:textId="77777777" w:rsidR="00655207" w:rsidRPr="00A82582" w:rsidRDefault="00655207" w:rsidP="00655207">
      <w:pPr>
        <w:pStyle w:val="LITlitera"/>
      </w:pPr>
      <w:r w:rsidRPr="00A82582">
        <w:t>a)</w:t>
      </w:r>
      <w:r w:rsidRPr="00A82582">
        <w:tab/>
      </w:r>
      <w:r>
        <w:t>ust. 1</w:t>
      </w:r>
      <w:r w:rsidRPr="00A82582">
        <w:t xml:space="preserve"> otrzymuje brzmienie:</w:t>
      </w:r>
    </w:p>
    <w:p w14:paraId="0D75FAC7" w14:textId="3BB06FC9" w:rsidR="00655207" w:rsidRDefault="00655207" w:rsidP="00655207">
      <w:pPr>
        <w:pStyle w:val="ZLITUSTzmustliter"/>
      </w:pPr>
      <w:r w:rsidRPr="00133B91">
        <w:t>„</w:t>
      </w:r>
      <w:r>
        <w:t>1. W razie przejścia lub przeniesienia prawa własności pojazdu mechanicznego, którego posiadacz zawarł umowę ubezpieczenia OC posiadaczy pojazdów mechanicznych, na posiadacza pojazdu, na którego przeszło lub zostało przeniesione prawo własności, przechodzą prawa i obowiązki poprzedniego posiadacza wynikające z tej umowy. Umowa ubezpieczenia OC ulega rozwiązaniu z upływem okresu, na który została zawarta, chyba że posiadacz, na którego przeszło lub zostało przeniesione prawo własności, wypowie ją na piśmie. W przypadku wypowiedzenia umowy ubezpieczenia OC ulega ona rozwiązaniu z dniem wskazanym w oświadczeniu o jej wypowiedzeniu, a w przypadku braku wskazania takiego dnia – z dniem jej wypowiedzenia. Dzień wskazany w oświadczeniu o wypowiedzeniu umowy nie może być dniem wcześniejszym niż dzień złożenia tego oświadczenia. Przepisów art. 28 nie stosuje się.</w:t>
      </w:r>
      <w:bookmarkStart w:id="0" w:name="_Hlk199859276"/>
      <w:r w:rsidRPr="00874B1A">
        <w:t>”</w:t>
      </w:r>
      <w:bookmarkEnd w:id="0"/>
      <w:r>
        <w:t>,</w:t>
      </w:r>
    </w:p>
    <w:p w14:paraId="02226C74" w14:textId="77777777" w:rsidR="00655207" w:rsidRPr="00A82582" w:rsidRDefault="00655207" w:rsidP="00655207">
      <w:pPr>
        <w:pStyle w:val="LITlitera"/>
      </w:pPr>
      <w:r>
        <w:t>b</w:t>
      </w:r>
      <w:r w:rsidRPr="00A82582">
        <w:t>)</w:t>
      </w:r>
      <w:r w:rsidRPr="00A82582">
        <w:tab/>
      </w:r>
      <w:r>
        <w:t>ust. 4</w:t>
      </w:r>
      <w:r w:rsidRPr="00A82582">
        <w:t xml:space="preserve"> otrzymuje brzmienie:</w:t>
      </w:r>
    </w:p>
    <w:p w14:paraId="7DA74E8A" w14:textId="7ABD566C" w:rsidR="00655207" w:rsidRDefault="00655207" w:rsidP="00655207">
      <w:pPr>
        <w:pStyle w:val="ZLITUSTzmustliter"/>
      </w:pPr>
      <w:r w:rsidRPr="00133B91">
        <w:t>„</w:t>
      </w:r>
      <w:r>
        <w:t xml:space="preserve">4. W razie zawarcia umowy ubezpieczenia OC posiadaczy pojazdów mechanicznych przez posiadacza pojazdu mechanicznego niebędącego właścicielem tego pojazdu, prawa i obowiązki tego posiadacza, wynikające z zawartej umowy ubezpieczenia, przechodzą na właściciela pojazdu mechanicznego z chwilą, gdy posiadacz utracił posiadanie tego pojazdu na rzecz właściciela. Umowa ubezpieczenia ulega rozwiązaniu z upływem okresu, na który została zawarta, chyba że właściciel pojazdu mechanicznego wypowie ją na piśmie. W przypadku wypowiedzenia </w:t>
      </w:r>
      <w:r>
        <w:lastRenderedPageBreak/>
        <w:t xml:space="preserve">umowy ubezpieczenia OC ulega ona rozwiązaniu z dniem wskazanym w oświadczeniu o jej wypowiedzeniu, a w przypadku braku wskazania takiego dnia </w:t>
      </w:r>
      <w:r w:rsidRPr="00A430D0">
        <w:t xml:space="preserve">– </w:t>
      </w:r>
      <w:r>
        <w:t xml:space="preserve">z dniem jej wypowiedzenia. </w:t>
      </w:r>
      <w:r w:rsidRPr="002001A7">
        <w:t xml:space="preserve">Dzień wskazany w oświadczeniu o wypowiedzeniu </w:t>
      </w:r>
      <w:r>
        <w:t xml:space="preserve">umowy </w:t>
      </w:r>
      <w:r w:rsidRPr="002001A7">
        <w:t xml:space="preserve">nie może być dniem wcześniejszym niż dzień złożenia tego oświadczenia. </w:t>
      </w:r>
      <w:r>
        <w:t>Przepisów art. 28 nie stosuje się.</w:t>
      </w:r>
      <w:r w:rsidRPr="003457F2">
        <w:t>”</w:t>
      </w:r>
      <w:r>
        <w:t>;</w:t>
      </w:r>
    </w:p>
    <w:p w14:paraId="167D1161" w14:textId="77777777" w:rsidR="00655207" w:rsidRDefault="00655207" w:rsidP="00655207">
      <w:pPr>
        <w:pStyle w:val="PKTpunkt"/>
      </w:pPr>
      <w:r>
        <w:t>2)</w:t>
      </w:r>
      <w:r>
        <w:tab/>
      </w:r>
      <w:r w:rsidRPr="009121CD">
        <w:t>w art. 4</w:t>
      </w:r>
      <w:r>
        <w:t>1</w:t>
      </w:r>
      <w:r w:rsidRPr="009121CD">
        <w:t xml:space="preserve"> </w:t>
      </w:r>
      <w:r>
        <w:t xml:space="preserve">w </w:t>
      </w:r>
      <w:r w:rsidRPr="009121CD">
        <w:t xml:space="preserve">ust. </w:t>
      </w:r>
      <w:r>
        <w:t>4</w:t>
      </w:r>
      <w:r w:rsidRPr="009121CD">
        <w:t xml:space="preserve"> </w:t>
      </w:r>
      <w:r>
        <w:t>wyrazy „od dnia wypowiedzenia umowy ubezpieczenia” zastępuje się wyrazami „od dnia rozwiązania umowy ubezpieczenia”;</w:t>
      </w:r>
    </w:p>
    <w:p w14:paraId="5710696A" w14:textId="77777777" w:rsidR="00655207" w:rsidRPr="002D2437" w:rsidRDefault="00655207" w:rsidP="00655207">
      <w:pPr>
        <w:pStyle w:val="PKTpunkt"/>
      </w:pPr>
      <w:r>
        <w:t>3)</w:t>
      </w:r>
      <w:bookmarkStart w:id="1" w:name="_Hlk198032518"/>
      <w:r>
        <w:tab/>
        <w:t xml:space="preserve">w art. 47 ust. 2 </w:t>
      </w:r>
      <w:r w:rsidRPr="002D2437">
        <w:t>otrzymuje brzmienie:</w:t>
      </w:r>
    </w:p>
    <w:p w14:paraId="2BA8E3AC" w14:textId="4CA9565C" w:rsidR="00655207" w:rsidRDefault="00655207" w:rsidP="00655207">
      <w:pPr>
        <w:pStyle w:val="ZUSTzmustartykuempunktem"/>
      </w:pPr>
      <w:r w:rsidRPr="002D2437">
        <w:t>„</w:t>
      </w:r>
      <w:r>
        <w:t>2.</w:t>
      </w:r>
      <w:r w:rsidRPr="002D2437">
        <w:t xml:space="preserve"> </w:t>
      </w:r>
      <w:r>
        <w:t xml:space="preserve">Jeżeli po zawarciu przez rolnika umowy ubezpieczenia OC rolników posiadanie gospodarstwa rolnego przeszło na inną osobę, prawa i obowiązki rolnika wynikające z umowy ubezpieczenia OC rolników przechodzą na tę osobę. Umowa ubezpieczenia rozwiązuje się z upływem 12 miesięcy, na które została zawarta, chyba że osoba obejmująca gospodarstwo rolne w posiadanie wypowie ją na piśmie. W przypadku wypowiedzenia umowy ubezpieczenia OC rolników ulega ona rozwiązaniu z dniem wskazanym w oświadczeniu o jej wypowiedzeniu, a w przypadku braku wskazania takiego dnia – z dniem jej wypowiedzenia. </w:t>
      </w:r>
      <w:r w:rsidRPr="002001A7">
        <w:t xml:space="preserve">Dzień wskazany w oświadczeniu o wypowiedzeniu </w:t>
      </w:r>
      <w:r>
        <w:t xml:space="preserve">umowy </w:t>
      </w:r>
      <w:r w:rsidRPr="002001A7">
        <w:t xml:space="preserve">nie może być dniem wcześniejszym niż dzień złożenia tego oświadczenia. </w:t>
      </w:r>
      <w:r>
        <w:t>Przepisów art. 46 nie stosuje się.</w:t>
      </w:r>
      <w:r w:rsidRPr="002D2437">
        <w:t>”</w:t>
      </w:r>
      <w:bookmarkEnd w:id="1"/>
      <w:r w:rsidRPr="002D2437">
        <w:t>;</w:t>
      </w:r>
    </w:p>
    <w:p w14:paraId="09330100" w14:textId="77777777" w:rsidR="00655207" w:rsidRDefault="00655207" w:rsidP="00655207">
      <w:pPr>
        <w:pStyle w:val="PKTpunkt"/>
      </w:pPr>
      <w:r>
        <w:t>4)</w:t>
      </w:r>
      <w:r w:rsidRPr="009121CD">
        <w:tab/>
        <w:t xml:space="preserve">w art. </w:t>
      </w:r>
      <w:r>
        <w:t>56</w:t>
      </w:r>
      <w:r w:rsidRPr="009121CD">
        <w:t xml:space="preserve"> w ust. </w:t>
      </w:r>
      <w:r>
        <w:t>3</w:t>
      </w:r>
      <w:r w:rsidRPr="009121CD">
        <w:t xml:space="preserve"> wyrazy </w:t>
      </w:r>
      <w:r>
        <w:t>„</w:t>
      </w:r>
      <w:r w:rsidRPr="009121CD">
        <w:t>od dnia wypowiedzenia umowy ubezpieczenia</w:t>
      </w:r>
      <w:r>
        <w:t>”</w:t>
      </w:r>
      <w:r w:rsidRPr="009121CD">
        <w:t xml:space="preserve"> zastępuje się wyrazami </w:t>
      </w:r>
      <w:r>
        <w:t>„</w:t>
      </w:r>
      <w:r w:rsidRPr="009121CD">
        <w:t>od dnia rozwiązania umowy ubezpieczenia</w:t>
      </w:r>
      <w:r>
        <w:t>”</w:t>
      </w:r>
      <w:r w:rsidRPr="009121CD">
        <w:t>;</w:t>
      </w:r>
    </w:p>
    <w:p w14:paraId="04BA035E" w14:textId="77777777" w:rsidR="00655207" w:rsidRPr="002D2437" w:rsidRDefault="00655207" w:rsidP="00655207">
      <w:pPr>
        <w:pStyle w:val="PKTpunkt"/>
      </w:pPr>
      <w:r>
        <w:t>5)</w:t>
      </w:r>
      <w:r>
        <w:tab/>
      </w:r>
      <w:r w:rsidRPr="002D2437">
        <w:t>w art. 6</w:t>
      </w:r>
      <w:r>
        <w:t>3</w:t>
      </w:r>
      <w:r w:rsidRPr="002D2437">
        <w:t xml:space="preserve"> ust. 1 otrzymuje brzmienie:</w:t>
      </w:r>
    </w:p>
    <w:p w14:paraId="6F1FE09F" w14:textId="1762DB45" w:rsidR="00655207" w:rsidRDefault="00655207" w:rsidP="00655207">
      <w:pPr>
        <w:pStyle w:val="ZUSTzmustartykuempunktem"/>
      </w:pPr>
      <w:r w:rsidRPr="002D2437">
        <w:t>„1</w:t>
      </w:r>
      <w:r>
        <w:t>.</w:t>
      </w:r>
      <w:r w:rsidRPr="002D2437">
        <w:t xml:space="preserve"> </w:t>
      </w:r>
      <w:r>
        <w:t>Jeżeli po zawarciu umowy ubezpieczenia budynków rolniczych posiadanie gospodarstwa rolnego, w skład którego wchodzą te budynki, przeszło na inną osobę, prawa i obowiązki wynikające z umowy ubezpieczenia budynków rolniczych przechodzą na tę osobę. Umowa ubezpieczenia ulega rozwiązaniu z upływem 12 miesięcy, na które została zawarta, chyba że osoba obejmująca gospodarstwo rolne w posiadanie wypowie ją na piśmie. W przypadku wypowiedzenia umowy ubezpieczenia budynków rolniczych ulega ona rozwiązaniu z dniem wskazanym w oświadczeniu o jej wypowiedzeniu, a w przypadku braku wskazania takiego dnia – z dniem jej wypowiedzenia.</w:t>
      </w:r>
      <w:r w:rsidRPr="0087097F">
        <w:t xml:space="preserve"> </w:t>
      </w:r>
      <w:r w:rsidRPr="002001A7">
        <w:t xml:space="preserve">Dzień wskazany w oświadczeniu o wypowiedzeniu </w:t>
      </w:r>
      <w:r>
        <w:t xml:space="preserve">umowy </w:t>
      </w:r>
      <w:r w:rsidRPr="002001A7">
        <w:t xml:space="preserve">nie może być dniem </w:t>
      </w:r>
      <w:r w:rsidRPr="002001A7">
        <w:lastRenderedPageBreak/>
        <w:t xml:space="preserve">wcześniejszym niż dzień złożenia tego oświadczenia. </w:t>
      </w:r>
      <w:r>
        <w:t>Przepisów art. 62 nie stosuje się.</w:t>
      </w:r>
      <w:r w:rsidRPr="002D2437">
        <w:t>”</w:t>
      </w:r>
      <w:r>
        <w:t>;</w:t>
      </w:r>
    </w:p>
    <w:p w14:paraId="34F92BCC" w14:textId="77777777" w:rsidR="00655207" w:rsidRDefault="00655207" w:rsidP="00655207">
      <w:pPr>
        <w:pStyle w:val="PKTpunkt"/>
      </w:pPr>
      <w:r>
        <w:t>6)</w:t>
      </w:r>
      <w:r w:rsidRPr="000C6EC6">
        <w:tab/>
        <w:t xml:space="preserve">w art. </w:t>
      </w:r>
      <w:r>
        <w:t>76</w:t>
      </w:r>
      <w:r w:rsidRPr="000C6EC6">
        <w:t xml:space="preserve"> w ust. </w:t>
      </w:r>
      <w:r>
        <w:t>2</w:t>
      </w:r>
      <w:r w:rsidRPr="000C6EC6">
        <w:t xml:space="preserve"> wyrazy </w:t>
      </w:r>
      <w:r>
        <w:t>„</w:t>
      </w:r>
      <w:r w:rsidRPr="000C6EC6">
        <w:t>od dnia wypowiedzenia umowy ubezpieczenia</w:t>
      </w:r>
      <w:r>
        <w:t>”</w:t>
      </w:r>
      <w:r w:rsidRPr="000C6EC6">
        <w:t xml:space="preserve"> zastępuje się wyrazami </w:t>
      </w:r>
      <w:r>
        <w:t>„</w:t>
      </w:r>
      <w:r w:rsidRPr="000C6EC6">
        <w:t>od dnia rozwiązania umowy ubezpieczenia</w:t>
      </w:r>
      <w:r>
        <w:t>”.</w:t>
      </w:r>
    </w:p>
    <w:p w14:paraId="56120AA6" w14:textId="77777777" w:rsidR="00655207" w:rsidRPr="00147E96" w:rsidRDefault="00655207" w:rsidP="00655207">
      <w:pPr>
        <w:pStyle w:val="ARTartustawynprozporzdzenia"/>
      </w:pPr>
      <w:r w:rsidRPr="00133B91">
        <w:rPr>
          <w:rStyle w:val="Ppogrubienie"/>
        </w:rPr>
        <w:t>Art.</w:t>
      </w:r>
      <w:r>
        <w:rPr>
          <w:rStyle w:val="Ppogrubienie"/>
        </w:rPr>
        <w:t> 2</w:t>
      </w:r>
      <w:r w:rsidRPr="00133B91">
        <w:rPr>
          <w:rStyle w:val="Ppogrubienie"/>
        </w:rPr>
        <w:t>.</w:t>
      </w:r>
      <w:r>
        <w:t> </w:t>
      </w:r>
      <w:r w:rsidRPr="008C4A2B">
        <w:t xml:space="preserve">Ustawa </w:t>
      </w:r>
      <w:r w:rsidRPr="00AC11B7">
        <w:t>wchodzi</w:t>
      </w:r>
      <w:r w:rsidRPr="008C4A2B">
        <w:t xml:space="preserve"> w życie </w:t>
      </w:r>
      <w:r>
        <w:t xml:space="preserve">po upływie 14 dni od dnia </w:t>
      </w:r>
      <w:r w:rsidRPr="008C4A2B">
        <w:t>ogłoszenia</w:t>
      </w:r>
      <w:r>
        <w:t>.</w:t>
      </w:r>
    </w:p>
    <w:p w14:paraId="5A48AD4F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DB23" w14:textId="77777777" w:rsidR="009C59CC" w:rsidRDefault="009C59CC">
      <w:r>
        <w:separator/>
      </w:r>
    </w:p>
  </w:endnote>
  <w:endnote w:type="continuationSeparator" w:id="0">
    <w:p w14:paraId="6934ECC6" w14:textId="77777777" w:rsidR="009C59CC" w:rsidRDefault="009C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2AEC" w14:textId="77777777" w:rsidR="009C59CC" w:rsidRDefault="009C59CC">
      <w:r>
        <w:separator/>
      </w:r>
    </w:p>
  </w:footnote>
  <w:footnote w:type="continuationSeparator" w:id="0">
    <w:p w14:paraId="74598675" w14:textId="77777777" w:rsidR="009C59CC" w:rsidRDefault="009C5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CC8D" w14:textId="570E53CD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00964">
      <w:rPr>
        <w:rStyle w:val="Ppogrubienie"/>
        <w:noProof/>
      </w:rPr>
      <w:t>2025-07-24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00964">
          <w:rPr>
            <w:rStyle w:val="Ppogrubienie"/>
            <w:noProof/>
          </w:rPr>
          <w:t>V2_839-14.NK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0B32273" w14:textId="0AED4C8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1B50E0" wp14:editId="20FA6F3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55207">
      <w:rPr>
        <w:rStyle w:val="Ppogrubienie"/>
      </w:rPr>
      <w:t xml:space="preserve"> 1436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6049" w14:textId="46EACF3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00964">
      <w:rPr>
        <w:rStyle w:val="Ppogrubienie"/>
        <w:noProof/>
      </w:rPr>
      <w:t>2025-07-24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00964">
          <w:rPr>
            <w:rStyle w:val="Ppogrubienie"/>
            <w:noProof/>
          </w:rPr>
          <w:t>V2_839-14.NK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60DAE0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89D358" wp14:editId="3C7DB78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8721474">
    <w:abstractNumId w:val="24"/>
  </w:num>
  <w:num w:numId="2" w16cid:durableId="1618097033">
    <w:abstractNumId w:val="24"/>
  </w:num>
  <w:num w:numId="3" w16cid:durableId="252933249">
    <w:abstractNumId w:val="19"/>
  </w:num>
  <w:num w:numId="4" w16cid:durableId="371539336">
    <w:abstractNumId w:val="19"/>
  </w:num>
  <w:num w:numId="5" w16cid:durableId="174930808">
    <w:abstractNumId w:val="38"/>
  </w:num>
  <w:num w:numId="6" w16cid:durableId="739249089">
    <w:abstractNumId w:val="34"/>
  </w:num>
  <w:num w:numId="7" w16cid:durableId="1947538818">
    <w:abstractNumId w:val="38"/>
  </w:num>
  <w:num w:numId="8" w16cid:durableId="1450474340">
    <w:abstractNumId w:val="34"/>
  </w:num>
  <w:num w:numId="9" w16cid:durableId="1151795376">
    <w:abstractNumId w:val="38"/>
  </w:num>
  <w:num w:numId="10" w16cid:durableId="715472847">
    <w:abstractNumId w:val="34"/>
  </w:num>
  <w:num w:numId="11" w16cid:durableId="1505320804">
    <w:abstractNumId w:val="15"/>
  </w:num>
  <w:num w:numId="12" w16cid:durableId="511182618">
    <w:abstractNumId w:val="10"/>
  </w:num>
  <w:num w:numId="13" w16cid:durableId="305201755">
    <w:abstractNumId w:val="16"/>
  </w:num>
  <w:num w:numId="14" w16cid:durableId="373969095">
    <w:abstractNumId w:val="28"/>
  </w:num>
  <w:num w:numId="15" w16cid:durableId="894973909">
    <w:abstractNumId w:val="15"/>
  </w:num>
  <w:num w:numId="16" w16cid:durableId="424422923">
    <w:abstractNumId w:val="17"/>
  </w:num>
  <w:num w:numId="17" w16cid:durableId="738140462">
    <w:abstractNumId w:val="8"/>
  </w:num>
  <w:num w:numId="18" w16cid:durableId="649410273">
    <w:abstractNumId w:val="3"/>
  </w:num>
  <w:num w:numId="19" w16cid:durableId="941495074">
    <w:abstractNumId w:val="2"/>
  </w:num>
  <w:num w:numId="20" w16cid:durableId="1070348469">
    <w:abstractNumId w:val="1"/>
  </w:num>
  <w:num w:numId="21" w16cid:durableId="1497644419">
    <w:abstractNumId w:val="0"/>
  </w:num>
  <w:num w:numId="22" w16cid:durableId="1816876083">
    <w:abstractNumId w:val="9"/>
  </w:num>
  <w:num w:numId="23" w16cid:durableId="1632320237">
    <w:abstractNumId w:val="7"/>
  </w:num>
  <w:num w:numId="24" w16cid:durableId="839124455">
    <w:abstractNumId w:val="6"/>
  </w:num>
  <w:num w:numId="25" w16cid:durableId="1373456315">
    <w:abstractNumId w:val="5"/>
  </w:num>
  <w:num w:numId="26" w16cid:durableId="1533688564">
    <w:abstractNumId w:val="4"/>
  </w:num>
  <w:num w:numId="27" w16cid:durableId="1410929328">
    <w:abstractNumId w:val="36"/>
  </w:num>
  <w:num w:numId="28" w16cid:durableId="302808510">
    <w:abstractNumId w:val="27"/>
  </w:num>
  <w:num w:numId="29" w16cid:durableId="2035036022">
    <w:abstractNumId w:val="39"/>
  </w:num>
  <w:num w:numId="30" w16cid:durableId="1550261953">
    <w:abstractNumId w:val="35"/>
  </w:num>
  <w:num w:numId="31" w16cid:durableId="1598126457">
    <w:abstractNumId w:val="20"/>
  </w:num>
  <w:num w:numId="32" w16cid:durableId="124083446">
    <w:abstractNumId w:val="11"/>
  </w:num>
  <w:num w:numId="33" w16cid:durableId="692220025">
    <w:abstractNumId w:val="33"/>
  </w:num>
  <w:num w:numId="34" w16cid:durableId="718087968">
    <w:abstractNumId w:val="21"/>
  </w:num>
  <w:num w:numId="35" w16cid:durableId="101800004">
    <w:abstractNumId w:val="18"/>
  </w:num>
  <w:num w:numId="36" w16cid:durableId="1896314599">
    <w:abstractNumId w:val="23"/>
  </w:num>
  <w:num w:numId="37" w16cid:durableId="1258251569">
    <w:abstractNumId w:val="29"/>
  </w:num>
  <w:num w:numId="38" w16cid:durableId="1252355115">
    <w:abstractNumId w:val="26"/>
  </w:num>
  <w:num w:numId="39" w16cid:durableId="970355931">
    <w:abstractNumId w:val="14"/>
  </w:num>
  <w:num w:numId="40" w16cid:durableId="714811939">
    <w:abstractNumId w:val="32"/>
  </w:num>
  <w:num w:numId="41" w16cid:durableId="1022364905">
    <w:abstractNumId w:val="30"/>
  </w:num>
  <w:num w:numId="42" w16cid:durableId="480972387">
    <w:abstractNumId w:val="22"/>
  </w:num>
  <w:num w:numId="43" w16cid:durableId="1188913049">
    <w:abstractNumId w:val="37"/>
  </w:num>
  <w:num w:numId="44" w16cid:durableId="390270880">
    <w:abstractNumId w:val="13"/>
  </w:num>
  <w:num w:numId="45" w16cid:durableId="1816220162">
    <w:abstractNumId w:val="40"/>
  </w:num>
  <w:num w:numId="46" w16cid:durableId="985665081">
    <w:abstractNumId w:val="25"/>
  </w:num>
  <w:num w:numId="47" w16cid:durableId="284970671">
    <w:abstractNumId w:val="12"/>
  </w:num>
  <w:num w:numId="48" w16cid:durableId="745231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286F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B27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44AA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5207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CC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6C0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1586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6BF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7505"/>
    <w:rsid w:val="00900964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7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59CC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0B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56F1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4225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47E7E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8DA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349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2025-07-24T06:54:00Z</dcterms:created>
  <dcterms:modified xsi:type="dcterms:W3CDTF">2025-07-24T06:54:00Z</dcterms:modified>
  <cp:category/>
</cp:coreProperties>
</file>