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4F903" w14:textId="0FE48F6A" w:rsidR="00E6032A" w:rsidRPr="00FC7999" w:rsidRDefault="00E6032A" w:rsidP="001D593D">
      <w:pPr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0" w:name="_GoBack"/>
      <w:bookmarkEnd w:id="0"/>
      <w:r w:rsidRPr="00FC7999">
        <w:rPr>
          <w:rFonts w:ascii="Tahoma" w:hAnsi="Tahoma" w:cs="Tahoma"/>
          <w:b/>
          <w:bCs/>
          <w:color w:val="auto"/>
          <w:sz w:val="24"/>
          <w:szCs w:val="24"/>
        </w:rPr>
        <w:t>Uzasadnienie</w:t>
      </w:r>
    </w:p>
    <w:p w14:paraId="4ED556EB" w14:textId="77777777" w:rsidR="00E6032A" w:rsidRPr="00FC7999" w:rsidRDefault="00E6032A" w:rsidP="001D593D">
      <w:pPr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51011518" w14:textId="77777777" w:rsidR="001D593D" w:rsidRPr="00FC7999" w:rsidRDefault="00E6032A" w:rsidP="001D593D">
      <w:pPr>
        <w:spacing w:after="200" w:line="360" w:lineRule="auto"/>
        <w:ind w:left="-15" w:right="0" w:firstLine="0"/>
        <w:rPr>
          <w:rFonts w:ascii="Tahoma" w:eastAsia="Tahoma" w:hAnsi="Tahoma" w:cs="Tahoma"/>
          <w:color w:val="auto"/>
          <w:sz w:val="24"/>
          <w:szCs w:val="24"/>
        </w:rPr>
      </w:pPr>
      <w:r w:rsidRPr="00FC7999">
        <w:rPr>
          <w:rFonts w:ascii="Tahoma" w:eastAsia="Tahoma" w:hAnsi="Tahoma" w:cs="Tahoma"/>
          <w:color w:val="auto"/>
          <w:sz w:val="24"/>
          <w:szCs w:val="24"/>
        </w:rPr>
        <w:t>Przedmiotowy projekt ma na celu wprowadzenie zasady, zgodnie z którą majątki odrębne małżonków najważniejszych osób pełniących funkcje publiczne tj.: Prezydenta Rzeczypospolitej Polskiej, Marszałka Sejmu, Marszałka Senatu, Prezesa Rady Ministrów, wicemarszałka Sejmu, wicemarszałka Senatu, wiceprezesa Rady Ministrów, ministra</w:t>
      </w:r>
      <w:r w:rsidR="005C6F83" w:rsidRPr="00FC7999">
        <w:rPr>
          <w:rFonts w:ascii="Tahoma" w:eastAsia="Tahoma" w:hAnsi="Tahoma" w:cs="Tahoma"/>
          <w:color w:val="auto"/>
          <w:sz w:val="24"/>
          <w:szCs w:val="24"/>
        </w:rPr>
        <w:t xml:space="preserve">, jak również wójta, burmistrza, prezydenta miasta, członków zarządu powiatu i województwa, jak również posłów i senatorów  będą podlegać ujawnieniu w oświadczeniu majątkowym. </w:t>
      </w:r>
      <w:r w:rsidR="001D593D" w:rsidRPr="00FC7999">
        <w:rPr>
          <w:rFonts w:ascii="Tahoma" w:eastAsia="Tahoma" w:hAnsi="Tahoma" w:cs="Tahoma"/>
          <w:color w:val="auto"/>
          <w:sz w:val="24"/>
          <w:szCs w:val="24"/>
        </w:rPr>
        <w:t xml:space="preserve">Zgodnie z aktualnym stanem prawnym, w sytuacji rozdzielności majątkowej, tego typu majątki odrębne nie podlegają zasadom jawnych oświadczeń majątkowych określonych w ustawie nowelizowanej niniejszym projektem. </w:t>
      </w:r>
    </w:p>
    <w:p w14:paraId="49179362" w14:textId="706CC999" w:rsidR="00E6032A" w:rsidRPr="00FC7999" w:rsidRDefault="00E6032A" w:rsidP="001D593D">
      <w:pPr>
        <w:spacing w:after="200" w:line="360" w:lineRule="auto"/>
        <w:ind w:left="0" w:right="0" w:firstLine="0"/>
        <w:rPr>
          <w:rFonts w:ascii="Tahoma" w:eastAsia="Tahoma" w:hAnsi="Tahoma" w:cs="Tahoma"/>
          <w:color w:val="auto"/>
          <w:sz w:val="24"/>
          <w:szCs w:val="24"/>
        </w:rPr>
      </w:pPr>
      <w:r w:rsidRPr="00FC7999">
        <w:rPr>
          <w:rFonts w:ascii="Tahoma" w:eastAsia="Tahoma" w:hAnsi="Tahoma" w:cs="Tahoma"/>
          <w:color w:val="auto"/>
          <w:sz w:val="24"/>
          <w:szCs w:val="24"/>
        </w:rPr>
        <w:t xml:space="preserve">Z powodu aktualizacji treści przedmiotowych oświadczeń majątkowych należało również określić czas, w którym Prezydent wyda nowe rozporządzenie dotyczące treści oświadczenia majątkowego a także należało określić termin na wypełnienie nowych oświadczeń majątkowych przez osoby wskazane w ramach niniejszej nowelizacji.  </w:t>
      </w:r>
    </w:p>
    <w:p w14:paraId="287DF58A" w14:textId="77777777" w:rsidR="00E6032A" w:rsidRPr="00FC7999" w:rsidRDefault="00E6032A" w:rsidP="001D593D">
      <w:pPr>
        <w:spacing w:after="200" w:line="360" w:lineRule="auto"/>
        <w:ind w:left="-5" w:right="0" w:hanging="10"/>
        <w:rPr>
          <w:rFonts w:ascii="Tahoma" w:eastAsia="Tahoma" w:hAnsi="Tahoma" w:cs="Tahoma"/>
          <w:color w:val="auto"/>
          <w:sz w:val="24"/>
          <w:szCs w:val="24"/>
        </w:rPr>
      </w:pPr>
      <w:r w:rsidRPr="00FC7999">
        <w:rPr>
          <w:rFonts w:ascii="Tahoma" w:eastAsia="Tahoma" w:hAnsi="Tahoma" w:cs="Tahoma"/>
          <w:color w:val="auto"/>
          <w:sz w:val="24"/>
          <w:szCs w:val="24"/>
        </w:rPr>
        <w:t xml:space="preserve">Nowelizacja rozporządzenia wydanego na podstawie art. 11 ustawy z dnia 21 sierpnia 1997 r. o ograniczeniu prowadzenia działalności gospodarczej przez osoby pełniące funkcje publiczne będzie konieczna w związku z proponowaną zmianą art. 10 ww. ustawy, zgodnie z którą majątki odrębne małżonków najważniejszych osób pełniących funkcje publiczne, podlegać będą ujawnieniu w ich oświadczeniach majątkowych.   </w:t>
      </w:r>
    </w:p>
    <w:p w14:paraId="0E11ED3D" w14:textId="2C341F9E" w:rsidR="00E6032A" w:rsidRPr="00FC7999" w:rsidRDefault="00E6032A" w:rsidP="001D593D">
      <w:pPr>
        <w:spacing w:after="161" w:line="360" w:lineRule="auto"/>
        <w:ind w:left="-5" w:right="0" w:hanging="10"/>
        <w:rPr>
          <w:rFonts w:ascii="Tahoma" w:eastAsia="Tahoma" w:hAnsi="Tahoma" w:cs="Tahoma"/>
          <w:color w:val="auto"/>
          <w:sz w:val="24"/>
          <w:szCs w:val="24"/>
        </w:rPr>
      </w:pPr>
      <w:r w:rsidRPr="00FC7999">
        <w:rPr>
          <w:rFonts w:ascii="Tahoma" w:eastAsia="Tahoma" w:hAnsi="Tahoma" w:cs="Tahoma"/>
          <w:color w:val="auto"/>
          <w:sz w:val="24"/>
          <w:szCs w:val="24"/>
        </w:rPr>
        <w:t>Podstawowym założeniem rozporządzenia jest uzupełnienie treści druku oświadczenia majątkowego składanego przez Prezydenta RP, Marszałków Sejmu i Senatu, Wicemarszałków Sejmu i Senatu, Premiera, Wicepremiera oraz ministrów o część dotyczącą majątku odrębnego małżonka oraz majątku objętego małżeńską wspólnością majątkową.</w:t>
      </w:r>
    </w:p>
    <w:p w14:paraId="56F0027A" w14:textId="77777777" w:rsidR="001D593D" w:rsidRPr="00FC7999" w:rsidRDefault="001D593D" w:rsidP="001D593D">
      <w:pPr>
        <w:spacing w:after="0" w:line="360" w:lineRule="auto"/>
        <w:ind w:left="0" w:right="0" w:firstLine="0"/>
        <w:jc w:val="left"/>
        <w:rPr>
          <w:rFonts w:ascii="Tahoma" w:eastAsia="Tahoma" w:hAnsi="Tahoma" w:cs="Tahoma"/>
          <w:color w:val="auto"/>
          <w:sz w:val="24"/>
          <w:szCs w:val="24"/>
        </w:rPr>
      </w:pPr>
    </w:p>
    <w:p w14:paraId="0051B6E1" w14:textId="49DD252C" w:rsidR="00E6032A" w:rsidRPr="00FC7999" w:rsidRDefault="00E6032A" w:rsidP="001D593D">
      <w:pPr>
        <w:spacing w:after="0" w:line="360" w:lineRule="auto"/>
        <w:ind w:left="0" w:right="0" w:firstLine="0"/>
        <w:rPr>
          <w:rFonts w:ascii="Tahoma" w:eastAsia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 xml:space="preserve">Zgodnie z ustawą o ograniczeniu prowadzenia działalności gospodarczej przez osoby pełniące funkcje publiczne </w:t>
      </w:r>
      <w:r w:rsidR="00891360" w:rsidRPr="00FC7999">
        <w:rPr>
          <w:rFonts w:ascii="Tahoma" w:hAnsi="Tahoma" w:cs="Tahoma"/>
          <w:color w:val="auto"/>
          <w:sz w:val="24"/>
          <w:szCs w:val="24"/>
        </w:rPr>
        <w:t xml:space="preserve">nie są jawne </w:t>
      </w:r>
      <w:r w:rsidRPr="00FC7999">
        <w:rPr>
          <w:rFonts w:ascii="Tahoma" w:hAnsi="Tahoma" w:cs="Tahoma"/>
          <w:color w:val="auto"/>
          <w:sz w:val="24"/>
          <w:szCs w:val="24"/>
        </w:rPr>
        <w:t>oświadczenia majątkowe składa</w:t>
      </w:r>
      <w:r w:rsidR="00891360" w:rsidRPr="00FC7999">
        <w:rPr>
          <w:rFonts w:ascii="Tahoma" w:hAnsi="Tahoma" w:cs="Tahoma"/>
          <w:color w:val="auto"/>
          <w:sz w:val="24"/>
          <w:szCs w:val="24"/>
        </w:rPr>
        <w:t xml:space="preserve">ne </w:t>
      </w:r>
      <w:r w:rsidRPr="00FC7999">
        <w:rPr>
          <w:rFonts w:ascii="Tahoma" w:hAnsi="Tahoma" w:cs="Tahoma"/>
          <w:color w:val="auto"/>
          <w:sz w:val="24"/>
          <w:szCs w:val="24"/>
        </w:rPr>
        <w:t>m.in.</w:t>
      </w:r>
      <w:r w:rsidR="00891360" w:rsidRPr="00FC7999">
        <w:rPr>
          <w:rFonts w:ascii="Tahoma" w:hAnsi="Tahoma" w:cs="Tahoma"/>
          <w:color w:val="auto"/>
          <w:sz w:val="24"/>
          <w:szCs w:val="24"/>
        </w:rPr>
        <w:t xml:space="preserve"> przez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osoby pełniące w jednoosobowych spółkach Skarbu Państwa oraz spółkach, w których </w:t>
      </w:r>
      <w:r w:rsidRPr="00FC7999">
        <w:rPr>
          <w:rFonts w:ascii="Tahoma" w:hAnsi="Tahoma" w:cs="Tahoma"/>
          <w:color w:val="auto"/>
          <w:sz w:val="24"/>
          <w:szCs w:val="24"/>
        </w:rPr>
        <w:lastRenderedPageBreak/>
        <w:t>udział Skarbu Państwa przekracza 50% kapitału zakładowego lub 50% liczby akcji, funkcje: prezesa, wiceprezesa i członka zarządu oraz pracownicy agencji państwowych zajmujących stanowiska: prezesa, wiceprezesa, dyrektora zespołu, dyrektora oddziału terenowego i jego zastępcy - lub stanowiska.</w:t>
      </w:r>
    </w:p>
    <w:p w14:paraId="59E19796" w14:textId="77777777" w:rsidR="00E6032A" w:rsidRPr="00FC7999" w:rsidRDefault="00E6032A" w:rsidP="00891360">
      <w:pPr>
        <w:spacing w:after="118" w:line="360" w:lineRule="auto"/>
        <w:ind w:left="0" w:right="81" w:firstLine="0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W obliczu pojawiających się informacji o budzących wątpliwości dochodach osób zarządzających spółkami z udziałem skarbu państwa, w opinii projektodawców przepisami ustawy, a w szczególności obowiązkiem składania oświadczeń majątkowych objąć należy wszystkich prezesów, wiceprezesów i członków zarządu spółek z udziałem Skarbu Państwa bez względu na jego wielkość.</w:t>
      </w:r>
    </w:p>
    <w:p w14:paraId="3E8131D9" w14:textId="00B930B1" w:rsidR="00E6032A" w:rsidRPr="00FC7999" w:rsidRDefault="00E6032A" w:rsidP="00891360">
      <w:pPr>
        <w:spacing w:after="133" w:line="360" w:lineRule="auto"/>
        <w:ind w:left="0" w:right="144" w:firstLine="0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 xml:space="preserve">W art. 1 projektu zostały zaproponowane zmiany art. 2 pkt 9 </w:t>
      </w:r>
      <w:r w:rsidR="005C6F83" w:rsidRPr="00FC7999">
        <w:rPr>
          <w:rFonts w:ascii="Tahoma" w:hAnsi="Tahoma" w:cs="Tahoma"/>
          <w:color w:val="auto"/>
          <w:sz w:val="24"/>
          <w:szCs w:val="24"/>
        </w:rPr>
        <w:t xml:space="preserve">na </w:t>
      </w:r>
      <w:r w:rsidRPr="00FC7999">
        <w:rPr>
          <w:rFonts w:ascii="Tahoma" w:hAnsi="Tahoma" w:cs="Tahoma"/>
          <w:color w:val="auto"/>
          <w:sz w:val="24"/>
          <w:szCs w:val="24"/>
        </w:rPr>
        <w:t>podstawie, których oświadczenia o stanie majątkowym prezesów, wiceprezesów i członków zarządu spółek z udziałem Skarbu Państwa, jak również pracowników agencji państwowych zajmujących stanowiska: prezesa, wiceprezesa, dyrektora zespołu, dyrektora oddziału terenowego i jego zastępcy - lub stanowiska równorzędne będą jawne, z wyjątkiem danych adresowych, informacji o miejscu położenia nieruchomości, a także informacji umożliwiających identyfikację mienia.</w:t>
      </w:r>
    </w:p>
    <w:p w14:paraId="13553F1F" w14:textId="77777777" w:rsidR="001D593D" w:rsidRPr="00FC7999" w:rsidRDefault="00E6032A" w:rsidP="00891360">
      <w:pPr>
        <w:spacing w:after="670" w:line="360" w:lineRule="auto"/>
        <w:ind w:left="0" w:right="187" w:firstLine="0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 xml:space="preserve">W związku z rozszerzeniem katalogu podmiotowego ustawy o ograniczeniu prowadzenia działalności gospodarczej przez osoby pełniące funkcje publiczne o prezesów, wiceprezesów i członków zarządu wszystkich spółek z udziałem Skarbu Państwa konieczne jest rozstrzygnięcie kwestii dotyczącej regulowanej przez ustawę działalności/ aktywności prowadzonej przed dniem wejścia w życie projektowanej regulacji przez ww. osoby. W art. </w:t>
      </w:r>
      <w:r w:rsidR="005C6F83" w:rsidRPr="00FC7999">
        <w:rPr>
          <w:rFonts w:ascii="Tahoma" w:hAnsi="Tahoma" w:cs="Tahoma"/>
          <w:color w:val="auto"/>
          <w:sz w:val="24"/>
          <w:szCs w:val="24"/>
        </w:rPr>
        <w:t>10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projektu dodano przepis, zgodnie z którym w przypadku gdy prezes, wiceprezes bądź członek zarządu spółki z udziałem Skarbu Państwa, przed dniem wejścia w życie ustawy pełnił funkcję, prowadził działalność gospodarczą albo posiadał akcje lub udziały, których prowadzenie lub posiadanie jest zabronione na podstawie ustawy o ograniczeniu prowadzenia działalności gospodarczej przez osoby pełniące funkcje publiczne, będzie obowiązany w ciągu 3 miesięcy od dnia wejścia w życie ustawy do zrzeczenia się funkcji, zaprzestania prowadzenia działalności gospodarczej albo do zbycia udziałów lub akcji.</w:t>
      </w:r>
    </w:p>
    <w:p w14:paraId="2A406D04" w14:textId="77777777" w:rsidR="001D593D" w:rsidRPr="00FC7999" w:rsidRDefault="00E6032A" w:rsidP="001D593D">
      <w:pPr>
        <w:spacing w:after="670" w:line="360" w:lineRule="auto"/>
        <w:ind w:left="0" w:right="187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lastRenderedPageBreak/>
        <w:t>Przedstawione w projekcie rozwiązani</w:t>
      </w:r>
      <w:r w:rsidR="005C6F83" w:rsidRPr="00FC7999">
        <w:rPr>
          <w:rFonts w:ascii="Tahoma" w:hAnsi="Tahoma" w:cs="Tahoma"/>
          <w:color w:val="auto"/>
          <w:sz w:val="24"/>
          <w:szCs w:val="24"/>
        </w:rPr>
        <w:t>a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pogłębi</w:t>
      </w:r>
      <w:r w:rsidR="005C6F83" w:rsidRPr="00FC7999">
        <w:rPr>
          <w:rFonts w:ascii="Tahoma" w:hAnsi="Tahoma" w:cs="Tahoma"/>
          <w:color w:val="auto"/>
          <w:sz w:val="24"/>
          <w:szCs w:val="24"/>
        </w:rPr>
        <w:t>ą</w:t>
      </w:r>
      <w:r w:rsidRPr="00FC7999">
        <w:rPr>
          <w:rFonts w:ascii="Tahoma" w:hAnsi="Tahoma" w:cs="Tahoma"/>
          <w:color w:val="auto"/>
          <w:sz w:val="24"/>
          <w:szCs w:val="24"/>
        </w:rPr>
        <w:t xml:space="preserve"> transparentność osób zasiadających w organach spółek z udziałem Skarbu Państwa. To niezwykle ważna zmiana, która ze względu na charakter właścicielski omawianych podmiotów umożliwi zwiększenie kontroli oraz jawności majątku osób, które w określonym stopniu zarządzają majątkiem Skarbu Państwa.</w:t>
      </w:r>
    </w:p>
    <w:p w14:paraId="5EDCE08D" w14:textId="77777777" w:rsidR="00FC7999" w:rsidRPr="00FC7999" w:rsidRDefault="00E6032A" w:rsidP="00FC7999">
      <w:pPr>
        <w:spacing w:after="670" w:line="360" w:lineRule="auto"/>
        <w:ind w:left="0" w:right="187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>Transparentność organów zarządzających spółek z udziałem Skarbu Państwa jest szczególnie istotna, ze względu na ograniczenie możliwości korupcyjnych oraz budowania oligarchicznych struktur w Państwie. Zaproponowane rozwiązania przyczynią się do polepszenia jakości organów zarządzających w tych spółkach oraz do zwiększenia jawności majątków osób kierujących kluczowymi firmami z perspektywy gospodarki Państwa. Niniejsza propozycja zmiany przepisów uniemożliwi budowanie lub pogłębianie polityczno-biznesowych układów, które opierają się na wykorzystywaniu znajomości politycznych w celu budowania majątku osób zasiadających w organach spółek z udziałem Skarbu Państwa kosztem finansów publicznych.</w:t>
      </w:r>
    </w:p>
    <w:p w14:paraId="26000828" w14:textId="5DF6C47D" w:rsidR="00E6032A" w:rsidRPr="00FC7999" w:rsidRDefault="00E6032A" w:rsidP="00FC7999">
      <w:pPr>
        <w:spacing w:after="670" w:line="360" w:lineRule="auto"/>
        <w:ind w:left="0" w:right="187"/>
        <w:rPr>
          <w:rFonts w:ascii="Tahoma" w:eastAsia="Tahoma" w:hAnsi="Tahoma" w:cs="Tahoma"/>
          <w:color w:val="auto"/>
          <w:sz w:val="24"/>
          <w:szCs w:val="24"/>
        </w:rPr>
      </w:pPr>
      <w:r w:rsidRPr="00FC7999">
        <w:rPr>
          <w:rFonts w:ascii="Tahoma" w:eastAsia="Tahoma" w:hAnsi="Tahoma" w:cs="Tahoma"/>
          <w:color w:val="auto"/>
          <w:sz w:val="24"/>
          <w:szCs w:val="24"/>
        </w:rPr>
        <w:t xml:space="preserve">Przedmiot projektu niniejszej ustawy nie jest objęty prawem Unii Europejskiej. Wejście w życie przedmiotowego projektu nie będzie miało wpływu na budżet państwa.  </w:t>
      </w:r>
    </w:p>
    <w:p w14:paraId="18E5902C" w14:textId="77777777" w:rsidR="00E6032A" w:rsidRPr="00FC7999" w:rsidRDefault="00E6032A" w:rsidP="001D593D">
      <w:pPr>
        <w:spacing w:after="318" w:line="360" w:lineRule="auto"/>
        <w:ind w:left="-5" w:right="0" w:hanging="10"/>
        <w:rPr>
          <w:rFonts w:ascii="Tahoma" w:eastAsia="Tahoma" w:hAnsi="Tahoma" w:cs="Tahoma"/>
          <w:color w:val="auto"/>
          <w:sz w:val="24"/>
          <w:szCs w:val="24"/>
        </w:rPr>
      </w:pPr>
      <w:r w:rsidRPr="00FC7999">
        <w:rPr>
          <w:rFonts w:ascii="Tahoma" w:eastAsia="Tahoma" w:hAnsi="Tahoma" w:cs="Tahoma"/>
          <w:color w:val="auto"/>
          <w:sz w:val="24"/>
          <w:szCs w:val="24"/>
        </w:rPr>
        <w:t xml:space="preserve">Wejście w życie projektowanej ustawy będzie miało pozytywne skutki społeczne. </w:t>
      </w:r>
    </w:p>
    <w:p w14:paraId="7172E072" w14:textId="1CB13D73" w:rsidR="009011B7" w:rsidRPr="00FC7999" w:rsidRDefault="00E6032A" w:rsidP="001D593D">
      <w:pPr>
        <w:spacing w:after="318" w:line="360" w:lineRule="auto"/>
        <w:ind w:left="-5" w:right="0" w:hanging="10"/>
        <w:rPr>
          <w:rFonts w:ascii="Tahoma" w:hAnsi="Tahoma" w:cs="Tahoma"/>
          <w:color w:val="auto"/>
          <w:sz w:val="24"/>
          <w:szCs w:val="24"/>
        </w:rPr>
      </w:pPr>
      <w:r w:rsidRPr="00FC7999">
        <w:rPr>
          <w:rFonts w:ascii="Tahoma" w:hAnsi="Tahoma" w:cs="Tahoma"/>
          <w:color w:val="auto"/>
          <w:sz w:val="24"/>
          <w:szCs w:val="24"/>
        </w:rPr>
        <w:t xml:space="preserve">Przedmiot proponowanych zmian nie jest objęty prawem Unii Europejskiej. </w:t>
      </w:r>
    </w:p>
    <w:sectPr w:rsidR="009011B7" w:rsidRPr="00FC7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AAF2D" w14:textId="77777777" w:rsidR="00F23EFB" w:rsidRDefault="00F23EFB" w:rsidP="004864CA">
      <w:pPr>
        <w:spacing w:after="0" w:line="240" w:lineRule="auto"/>
      </w:pPr>
      <w:r>
        <w:separator/>
      </w:r>
    </w:p>
  </w:endnote>
  <w:endnote w:type="continuationSeparator" w:id="0">
    <w:p w14:paraId="4307E12A" w14:textId="77777777" w:rsidR="00F23EFB" w:rsidRDefault="00F23EFB" w:rsidP="0048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8AA00" w14:textId="77777777" w:rsidR="004864CA" w:rsidRDefault="004864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F39D0" w14:textId="77777777" w:rsidR="004864CA" w:rsidRDefault="004864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5AFF7" w14:textId="77777777" w:rsidR="004864CA" w:rsidRDefault="00486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B03F3" w14:textId="77777777" w:rsidR="00F23EFB" w:rsidRDefault="00F23EFB" w:rsidP="004864CA">
      <w:pPr>
        <w:spacing w:after="0" w:line="240" w:lineRule="auto"/>
      </w:pPr>
      <w:r>
        <w:separator/>
      </w:r>
    </w:p>
  </w:footnote>
  <w:footnote w:type="continuationSeparator" w:id="0">
    <w:p w14:paraId="03080DBA" w14:textId="77777777" w:rsidR="00F23EFB" w:rsidRDefault="00F23EFB" w:rsidP="0048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509" w14:textId="77777777" w:rsidR="004864CA" w:rsidRDefault="004864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2FC1A" w14:textId="77777777" w:rsidR="004864CA" w:rsidRDefault="004864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CD95A" w14:textId="77777777" w:rsidR="004864CA" w:rsidRDefault="004864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14.25pt;height:5.2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A285FA2"/>
    <w:multiLevelType w:val="hybridMultilevel"/>
    <w:tmpl w:val="295611C2"/>
    <w:lvl w:ilvl="0" w:tplc="8EEC5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3C7816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E68C9A">
      <w:start w:val="2"/>
      <w:numFmt w:val="decimal"/>
      <w:lvlRestart w:val="0"/>
      <w:lvlText w:val="%3.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3A54D0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4F1A4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CA5F1E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A8A296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0CE50A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B49B80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35D32"/>
    <w:multiLevelType w:val="hybridMultilevel"/>
    <w:tmpl w:val="B120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760A7"/>
    <w:multiLevelType w:val="hybridMultilevel"/>
    <w:tmpl w:val="6B5E6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2ACE"/>
    <w:multiLevelType w:val="hybridMultilevel"/>
    <w:tmpl w:val="E2B4C064"/>
    <w:lvl w:ilvl="0" w:tplc="6C30C62A">
      <w:start w:val="1"/>
      <w:numFmt w:val="decimal"/>
      <w:lvlText w:val="%1)"/>
      <w:lvlJc w:val="left"/>
      <w:pPr>
        <w:ind w:left="106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C3E86">
      <w:start w:val="1"/>
      <w:numFmt w:val="lowerLetter"/>
      <w:lvlText w:val="%2)"/>
      <w:lvlJc w:val="left"/>
      <w:pPr>
        <w:ind w:left="1522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A99E2">
      <w:start w:val="1"/>
      <w:numFmt w:val="lowerRoman"/>
      <w:lvlText w:val="%3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B6653B6">
      <w:start w:val="1"/>
      <w:numFmt w:val="decimal"/>
      <w:lvlText w:val="%4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B9A4F6E">
      <w:start w:val="1"/>
      <w:numFmt w:val="lowerLetter"/>
      <w:lvlText w:val="%5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07838A0">
      <w:start w:val="1"/>
      <w:numFmt w:val="lowerRoman"/>
      <w:lvlText w:val="%6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4C4657A">
      <w:start w:val="1"/>
      <w:numFmt w:val="decimal"/>
      <w:lvlText w:val="%7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1D022EA">
      <w:start w:val="1"/>
      <w:numFmt w:val="lowerLetter"/>
      <w:lvlText w:val="%8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5162BEE">
      <w:start w:val="1"/>
      <w:numFmt w:val="lowerRoman"/>
      <w:lvlText w:val="%9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796055"/>
    <w:multiLevelType w:val="hybridMultilevel"/>
    <w:tmpl w:val="E3468CBE"/>
    <w:lvl w:ilvl="0" w:tplc="ECE82D6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F22796">
      <w:start w:val="1"/>
      <w:numFmt w:val="bullet"/>
      <w:lvlText w:val="o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9F2E528">
      <w:start w:val="1"/>
      <w:numFmt w:val="bullet"/>
      <w:lvlText w:val="▪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FBC441E">
      <w:start w:val="1"/>
      <w:numFmt w:val="bullet"/>
      <w:lvlRestart w:val="0"/>
      <w:lvlText w:val="•"/>
      <w:lvlPicBulletId w:val="0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80C02C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9D29046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514695E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F20D798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32CEC36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957DF"/>
    <w:multiLevelType w:val="hybridMultilevel"/>
    <w:tmpl w:val="154C8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A2725"/>
    <w:multiLevelType w:val="hybridMultilevel"/>
    <w:tmpl w:val="6BC28818"/>
    <w:lvl w:ilvl="0" w:tplc="A3E2B1DC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19"/>
    <w:rsid w:val="00067148"/>
    <w:rsid w:val="000A477D"/>
    <w:rsid w:val="000E39EA"/>
    <w:rsid w:val="001509B3"/>
    <w:rsid w:val="001D593D"/>
    <w:rsid w:val="00230527"/>
    <w:rsid w:val="00284EF4"/>
    <w:rsid w:val="002C4694"/>
    <w:rsid w:val="0044132A"/>
    <w:rsid w:val="004864CA"/>
    <w:rsid w:val="00571FB1"/>
    <w:rsid w:val="00587B45"/>
    <w:rsid w:val="005C6F83"/>
    <w:rsid w:val="005E19CD"/>
    <w:rsid w:val="00631FBB"/>
    <w:rsid w:val="00654389"/>
    <w:rsid w:val="006762A9"/>
    <w:rsid w:val="006D4B61"/>
    <w:rsid w:val="007114B3"/>
    <w:rsid w:val="007122B3"/>
    <w:rsid w:val="00722219"/>
    <w:rsid w:val="00731981"/>
    <w:rsid w:val="00754DF1"/>
    <w:rsid w:val="007C3351"/>
    <w:rsid w:val="00872E52"/>
    <w:rsid w:val="00891360"/>
    <w:rsid w:val="008B4C13"/>
    <w:rsid w:val="008B6BE2"/>
    <w:rsid w:val="008C0702"/>
    <w:rsid w:val="008D0615"/>
    <w:rsid w:val="008E50C5"/>
    <w:rsid w:val="009011B7"/>
    <w:rsid w:val="00983F06"/>
    <w:rsid w:val="00A62CF6"/>
    <w:rsid w:val="00A74615"/>
    <w:rsid w:val="00AA2E3D"/>
    <w:rsid w:val="00AE7D06"/>
    <w:rsid w:val="00B30017"/>
    <w:rsid w:val="00B3631C"/>
    <w:rsid w:val="00BA43F8"/>
    <w:rsid w:val="00BC7F70"/>
    <w:rsid w:val="00CF2BD3"/>
    <w:rsid w:val="00CF3ECC"/>
    <w:rsid w:val="00D26351"/>
    <w:rsid w:val="00D50B26"/>
    <w:rsid w:val="00D705D8"/>
    <w:rsid w:val="00E1403C"/>
    <w:rsid w:val="00E6032A"/>
    <w:rsid w:val="00E742C6"/>
    <w:rsid w:val="00EA64BD"/>
    <w:rsid w:val="00ED1901"/>
    <w:rsid w:val="00F225A0"/>
    <w:rsid w:val="00F22F98"/>
    <w:rsid w:val="00F23EFB"/>
    <w:rsid w:val="00F733C8"/>
    <w:rsid w:val="00FB1750"/>
    <w:rsid w:val="00FC7999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A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219"/>
    <w:pPr>
      <w:spacing w:after="188" w:line="298" w:lineRule="auto"/>
      <w:ind w:left="144" w:right="72" w:firstLine="33"/>
      <w:jc w:val="both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221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1901"/>
    <w:pPr>
      <w:ind w:left="720"/>
      <w:contextualSpacing/>
    </w:pPr>
  </w:style>
  <w:style w:type="paragraph" w:styleId="Poprawka">
    <w:name w:val="Revision"/>
    <w:hidden/>
    <w:uiPriority w:val="99"/>
    <w:semiHidden/>
    <w:rsid w:val="008D0615"/>
    <w:pPr>
      <w:spacing w:after="0" w:line="240" w:lineRule="auto"/>
    </w:pPr>
    <w:rPr>
      <w:rFonts w:ascii="Calibri" w:eastAsia="Calibri" w:hAnsi="Calibri" w:cs="Calibri"/>
      <w:color w:val="000000"/>
      <w:sz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CA"/>
    <w:rPr>
      <w:rFonts w:ascii="Calibri" w:eastAsia="Calibri" w:hAnsi="Calibri" w:cs="Calibri"/>
      <w:color w:val="000000"/>
      <w:sz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CA"/>
    <w:rPr>
      <w:rFonts w:ascii="Calibri" w:eastAsia="Calibri" w:hAnsi="Calibri" w:cs="Calibri"/>
      <w:color w:val="000000"/>
      <w:sz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13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BFF7-4277-48E9-92A9-FA35F35F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2024-01-15T14:27:00Z</dcterms:created>
  <dcterms:modified xsi:type="dcterms:W3CDTF">2024-01-15T14:28:00Z</dcterms:modified>
</cp:coreProperties>
</file>