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66C8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B01D04F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FA155BF" w14:textId="6F368958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A105DD">
        <w:t>31 lipca 2025 r.</w:t>
      </w:r>
    </w:p>
    <w:p w14:paraId="3B633B5B" w14:textId="4F39E5E1" w:rsidR="00912118" w:rsidRPr="00E000DC" w:rsidRDefault="008F40C5" w:rsidP="00BF6F18">
      <w:pPr>
        <w:pStyle w:val="TYTUAKTUprzedmiotregulacjiustawylubrozporzdzenia"/>
      </w:pPr>
      <w:r>
        <w:t xml:space="preserve">w sprawie ustawy o </w:t>
      </w:r>
      <w:r w:rsidR="0064796A">
        <w:t xml:space="preserve">zmianie </w:t>
      </w:r>
      <w:r w:rsidR="00617CB9">
        <w:t xml:space="preserve">ustawy o </w:t>
      </w:r>
      <w:r w:rsidR="005B6DA8">
        <w:t>środkach ochrony roślin</w:t>
      </w:r>
    </w:p>
    <w:p w14:paraId="68E8EA06" w14:textId="3D26969A" w:rsidR="00912118" w:rsidRDefault="00912118" w:rsidP="0029298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E00572">
        <w:t>2</w:t>
      </w:r>
      <w:r w:rsidR="00617CB9">
        <w:t>5</w:t>
      </w:r>
      <w:r w:rsidR="00E00572">
        <w:t xml:space="preserve"> </w:t>
      </w:r>
      <w:r w:rsidR="005B6DA8">
        <w:t>lipca</w:t>
      </w:r>
      <w:r w:rsidR="002E57FA">
        <w:t xml:space="preserve"> </w:t>
      </w:r>
      <w:r w:rsidR="000E050C">
        <w:t>202</w:t>
      </w:r>
      <w:r w:rsidR="00617CB9">
        <w:t>5</w:t>
      </w:r>
      <w:r w:rsidR="000E050C">
        <w:t> </w:t>
      </w:r>
      <w:r w:rsidRPr="00E000DC">
        <w:t xml:space="preserve">r. ustawy </w:t>
      </w:r>
      <w:r w:rsidR="003A3AE5">
        <w:t>o</w:t>
      </w:r>
      <w:r w:rsidR="004F43FE" w:rsidRPr="004F43FE">
        <w:t xml:space="preserve"> </w:t>
      </w:r>
      <w:r w:rsidR="004F43FE">
        <w:t>zmianie ustawy o</w:t>
      </w:r>
      <w:r w:rsidR="005B6DA8">
        <w:t xml:space="preserve"> środkach ochrony roślin</w:t>
      </w:r>
      <w:r w:rsidRPr="00E000DC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6A4B17" w:rsidRPr="00B528A4" w14:paraId="12D4DC0F" w14:textId="77777777" w:rsidTr="00152F9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5CF8DD" w14:textId="77777777" w:rsidR="006A4B17" w:rsidRPr="00B528A4" w:rsidRDefault="006A4B1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1C3E27E" w14:textId="1F3B1EA4" w:rsidR="00755797" w:rsidRPr="005C23A6" w:rsidRDefault="0097028D" w:rsidP="001E4AE6">
            <w:pPr>
              <w:pStyle w:val="TREPUNKTUWUCHWALESENACKIEJ"/>
              <w:rPr>
                <w:rStyle w:val="Ppogrubienie"/>
              </w:rPr>
            </w:pPr>
            <w:r>
              <w:t>w art. 1</w:t>
            </w:r>
            <w:r w:rsidRPr="0097028D">
              <w:t xml:space="preserve"> w pkt 2, w art. 47a w ust. 3 we wprowadzeniu do wyliczenia wyrazy </w:t>
            </w:r>
            <w:r w:rsidR="00D118B1">
              <w:t>„</w:t>
            </w:r>
            <w:r w:rsidRPr="0097028D">
              <w:t>w</w:t>
            </w:r>
            <w:r w:rsidR="002034AE">
              <w:t xml:space="preserve"> </w:t>
            </w:r>
            <w:r w:rsidRPr="0097028D">
              <w:t>systemie teleinformatycznym</w:t>
            </w:r>
            <w:r w:rsidR="00D118B1">
              <w:t>”</w:t>
            </w:r>
            <w:r w:rsidRPr="0097028D">
              <w:t xml:space="preserve"> zastępuje się wyrazami </w:t>
            </w:r>
            <w:r w:rsidR="00D118B1">
              <w:t>„</w:t>
            </w:r>
            <w:r w:rsidRPr="0097028D">
              <w:t>do systemu teleinformatycznego</w:t>
            </w:r>
            <w:r w:rsidR="00D118B1">
              <w:t>”</w:t>
            </w:r>
            <w:r w:rsidR="006A4B17" w:rsidRPr="00D9022A">
              <w:t>;</w:t>
            </w:r>
          </w:p>
        </w:tc>
      </w:tr>
      <w:tr w:rsidR="001E4AE6" w:rsidRPr="00B528A4" w14:paraId="2EAFA0DA" w14:textId="77777777" w:rsidTr="00152F9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782FD8" w14:textId="77777777" w:rsidR="001E4AE6" w:rsidRPr="00B528A4" w:rsidRDefault="001E4AE6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43081D9" w14:textId="11E6E7D2" w:rsidR="0097028D" w:rsidRDefault="0097028D" w:rsidP="0097028D">
            <w:pPr>
              <w:pStyle w:val="TREPUNKTUWUCHWALESENACKIEJ"/>
            </w:pPr>
            <w:r>
              <w:t>w art. 1</w:t>
            </w:r>
            <w:r w:rsidR="00152F9F">
              <w:t xml:space="preserve"> </w:t>
            </w:r>
            <w:r>
              <w:t>w pkt 2, w art. 47a:</w:t>
            </w:r>
          </w:p>
          <w:p w14:paraId="63F23E97" w14:textId="340A249E" w:rsidR="0097028D" w:rsidRDefault="0097028D" w:rsidP="0097028D">
            <w:pPr>
              <w:pStyle w:val="LITERAWUCHWALESENACKIEJ"/>
            </w:pPr>
            <w:r>
              <w:t>a)</w:t>
            </w:r>
            <w:r>
              <w:tab/>
              <w:t xml:space="preserve">w ust. 5 we wprowadzeniu do wyliczenia po wyrazach </w:t>
            </w:r>
            <w:r w:rsidR="00D118B1">
              <w:t>„</w:t>
            </w:r>
            <w:r>
              <w:t>ust. 1,</w:t>
            </w:r>
            <w:r w:rsidR="00D118B1">
              <w:t>”</w:t>
            </w:r>
            <w:r>
              <w:t xml:space="preserve"> dodaje się wyrazy </w:t>
            </w:r>
            <w:r w:rsidR="00D118B1">
              <w:t>„</w:t>
            </w:r>
            <w:r>
              <w:t>w tym dane wskazane w ust. 2 pkt 2,</w:t>
            </w:r>
            <w:r w:rsidR="00D118B1">
              <w:t>”</w:t>
            </w:r>
            <w:r>
              <w:t>,</w:t>
            </w:r>
          </w:p>
          <w:p w14:paraId="5F58221C" w14:textId="77777777" w:rsidR="0097028D" w:rsidRDefault="0097028D" w:rsidP="0097028D">
            <w:pPr>
              <w:pStyle w:val="LITERAWUCHWALESENACKIEJ"/>
            </w:pPr>
            <w:r>
              <w:t>b)</w:t>
            </w:r>
            <w:r>
              <w:tab/>
              <w:t>w ust. 6:</w:t>
            </w:r>
          </w:p>
          <w:p w14:paraId="532184A8" w14:textId="77777777" w:rsidR="0097028D" w:rsidRDefault="0097028D" w:rsidP="0097028D">
            <w:pPr>
              <w:pStyle w:val="TIRETWUCHWALESENACKIEJ"/>
            </w:pPr>
            <w:r>
              <w:t>–</w:t>
            </w:r>
            <w:r>
              <w:tab/>
              <w:t>skreśla się zdanie pierwsze,</w:t>
            </w:r>
          </w:p>
          <w:p w14:paraId="47EAFDDE" w14:textId="40C259E8" w:rsidR="0097028D" w:rsidRDefault="0097028D" w:rsidP="0097028D">
            <w:pPr>
              <w:pStyle w:val="TIRETWUCHWALESENACKIEJ"/>
            </w:pPr>
            <w:r>
              <w:t>–</w:t>
            </w:r>
            <w:r>
              <w:tab/>
              <w:t xml:space="preserve">w zdaniu drugim po wyrazie </w:t>
            </w:r>
            <w:r w:rsidR="00D118B1">
              <w:t>„</w:t>
            </w:r>
            <w:r>
              <w:t>danych</w:t>
            </w:r>
            <w:r w:rsidR="00D118B1">
              <w:t>”</w:t>
            </w:r>
            <w:r>
              <w:t xml:space="preserve"> dodaje się wyrazy </w:t>
            </w:r>
            <w:r w:rsidR="00D118B1">
              <w:t>„</w:t>
            </w:r>
            <w:r>
              <w:t xml:space="preserve"> , o których mowa </w:t>
            </w:r>
            <w:r w:rsidR="00D118B1">
              <w:t>w </w:t>
            </w:r>
            <w:r>
              <w:t>ust. 5,</w:t>
            </w:r>
            <w:r w:rsidR="00D118B1">
              <w:t>”</w:t>
            </w:r>
            <w:r>
              <w:t>,</w:t>
            </w:r>
          </w:p>
          <w:p w14:paraId="1D1A0983" w14:textId="6883F2A1" w:rsidR="0097028D" w:rsidRDefault="0097028D" w:rsidP="0097028D">
            <w:pPr>
              <w:pStyle w:val="LITERAWUCHWALESENACKIEJ"/>
            </w:pPr>
            <w:r>
              <w:t>c)</w:t>
            </w:r>
            <w:r>
              <w:tab/>
              <w:t xml:space="preserve">w ust. 7 wyraz </w:t>
            </w:r>
            <w:r w:rsidR="00D118B1">
              <w:t>„</w:t>
            </w:r>
            <w:r>
              <w:t>Dane</w:t>
            </w:r>
            <w:r w:rsidR="00D118B1">
              <w:t>”</w:t>
            </w:r>
            <w:r>
              <w:t xml:space="preserve"> zastępuje się wyrazami </w:t>
            </w:r>
            <w:r w:rsidR="00D118B1">
              <w:t>„</w:t>
            </w:r>
            <w:r>
              <w:t>Informacje i dane</w:t>
            </w:r>
            <w:r w:rsidR="00D118B1">
              <w:t>”</w:t>
            </w:r>
            <w:r>
              <w:t xml:space="preserve"> oraz wyrazy </w:t>
            </w:r>
            <w:r w:rsidR="00D118B1">
              <w:t>„w </w:t>
            </w:r>
            <w:r>
              <w:t>zakresie określonym w załączniku do rozporządzenia 2023/564</w:t>
            </w:r>
            <w:r w:rsidR="00D118B1">
              <w:t>”</w:t>
            </w:r>
            <w:r>
              <w:t xml:space="preserve"> zastępuje się wyrazami </w:t>
            </w:r>
            <w:r w:rsidR="00D118B1">
              <w:t>„</w:t>
            </w:r>
            <w:r>
              <w:t>odpowiednio w zakresie określonym w załączniku do rozporządzenia 2023/564 oraz</w:t>
            </w:r>
            <w:r w:rsidR="00D118B1">
              <w:t xml:space="preserve"> </w:t>
            </w:r>
            <w:r>
              <w:t>w</w:t>
            </w:r>
            <w:r w:rsidR="00D118B1">
              <w:t xml:space="preserve"> </w:t>
            </w:r>
            <w:r>
              <w:t>ust.</w:t>
            </w:r>
            <w:r w:rsidR="00D118B1">
              <w:t xml:space="preserve"> </w:t>
            </w:r>
            <w:r>
              <w:t>2 pkt 2</w:t>
            </w:r>
            <w:r w:rsidR="00D118B1">
              <w:t>”</w:t>
            </w:r>
            <w:r>
              <w:t>,</w:t>
            </w:r>
          </w:p>
          <w:p w14:paraId="6BD03C8B" w14:textId="68E015D3" w:rsidR="001E4AE6" w:rsidRPr="00D9022A" w:rsidRDefault="0097028D" w:rsidP="0097028D">
            <w:pPr>
              <w:pStyle w:val="LITERAWUCHWALESENACKIEJ"/>
            </w:pPr>
            <w:r>
              <w:t>d)</w:t>
            </w:r>
            <w:r>
              <w:tab/>
              <w:t>skreśla się ust. 8;</w:t>
            </w:r>
          </w:p>
        </w:tc>
      </w:tr>
      <w:tr w:rsidR="00D118B1" w:rsidRPr="00B528A4" w14:paraId="4E32FBD8" w14:textId="77777777" w:rsidTr="00152F9F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571D4F" w14:textId="77777777" w:rsidR="00D118B1" w:rsidRPr="00B528A4" w:rsidRDefault="00D118B1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4F47120" w14:textId="120CAB8B" w:rsidR="00D118B1" w:rsidRPr="00D118B1" w:rsidRDefault="00D118B1" w:rsidP="00D118B1">
            <w:pPr>
              <w:pStyle w:val="TREPUNKTUWUCHWALESENACKIEJ"/>
            </w:pPr>
            <w:r>
              <w:t>w</w:t>
            </w:r>
            <w:r w:rsidRPr="00D118B1">
              <w:t xml:space="preserve"> art. 1 w pkt 5</w:t>
            </w:r>
            <w:r>
              <w:t>,</w:t>
            </w:r>
            <w:r w:rsidRPr="00D118B1">
              <w:t xml:space="preserve"> art. 78a otrzymuje brzmienie:</w:t>
            </w:r>
          </w:p>
          <w:p w14:paraId="46F82C94" w14:textId="5FC59DAF" w:rsidR="00D118B1" w:rsidRPr="00D118B1" w:rsidRDefault="00D118B1" w:rsidP="00D118B1">
            <w:pPr>
              <w:pStyle w:val="ZARTzmartartykuempunktem"/>
            </w:pPr>
            <w:r>
              <w:t>„</w:t>
            </w:r>
            <w:r w:rsidRPr="00D118B1">
              <w:t>Art. 78a. Przez użytkownika profesjonalnego rozumie się osobę fizyczną, która stosuje środki ochrony roślin w celach innych niż własne niezarobkowe potrzeby, w szczególności w ramach działalności gospodarczej lub zawodowej, w</w:t>
            </w:r>
            <w:r w:rsidR="00665390">
              <w:t> </w:t>
            </w:r>
            <w:r w:rsidRPr="00D118B1">
              <w:t xml:space="preserve">tym w rolnictwie i leśnictwie, z wyłączeniem osób, które stosują środki ochrony </w:t>
            </w:r>
            <w:r w:rsidRPr="00D118B1">
              <w:lastRenderedPageBreak/>
              <w:t>roślin w gospodarstwie rolnym, którego łączna powierzchnia użytków rolnych wynosi nie więcej niż:</w:t>
            </w:r>
          </w:p>
          <w:p w14:paraId="39D302B5" w14:textId="772763DA" w:rsidR="00D118B1" w:rsidRPr="00D118B1" w:rsidRDefault="00D118B1" w:rsidP="00D118B1">
            <w:pPr>
              <w:pStyle w:val="ZPKTzmpktartykuempunktem"/>
            </w:pPr>
            <w:r>
              <w:t>1)</w:t>
            </w:r>
            <w:r>
              <w:tab/>
            </w:r>
            <w:r w:rsidRPr="00D118B1">
              <w:t xml:space="preserve">20 ha – na potrzeby stosowania rozporządzenia 2023/564 do dnia </w:t>
            </w:r>
            <w:r w:rsidR="00321F28">
              <w:t>31</w:t>
            </w:r>
            <w:r w:rsidR="00D62431">
              <w:t xml:space="preserve"> </w:t>
            </w:r>
            <w:r w:rsidRPr="00D118B1">
              <w:t>grudnia 2027 r.;</w:t>
            </w:r>
          </w:p>
          <w:p w14:paraId="6F1BAFFE" w14:textId="79669572" w:rsidR="00D118B1" w:rsidRPr="00D118B1" w:rsidRDefault="00D118B1" w:rsidP="00D118B1">
            <w:pPr>
              <w:pStyle w:val="ZPKTzmpktartykuempunktem"/>
            </w:pPr>
            <w:r>
              <w:t>2)</w:t>
            </w:r>
            <w:r>
              <w:tab/>
            </w:r>
            <w:r w:rsidRPr="00D118B1">
              <w:t>5 ha – na potrzeby stosowania rozporządzenia 2023/564 do dnia 31 grudnia 2030 r.;</w:t>
            </w:r>
          </w:p>
          <w:p w14:paraId="0C0C4801" w14:textId="1FC1BDF4" w:rsidR="00D118B1" w:rsidRPr="00BC43CF" w:rsidRDefault="00D118B1" w:rsidP="00D118B1">
            <w:pPr>
              <w:pStyle w:val="ZPKTzmpktartykuempunktem"/>
              <w:rPr>
                <w:rStyle w:val="Ppogrubienie"/>
              </w:rPr>
            </w:pPr>
            <w:r>
              <w:t>3)</w:t>
            </w:r>
            <w:r>
              <w:tab/>
            </w:r>
            <w:r w:rsidRPr="00D118B1">
              <w:t>2 ha – na potrzeby stosowania rozporządzenia 2023/564 do dnia 31 grudnia 2035 r.</w:t>
            </w:r>
            <w:r>
              <w:t>”</w:t>
            </w:r>
            <w:r w:rsidRPr="00D118B1">
              <w:t>.</w:t>
            </w:r>
          </w:p>
        </w:tc>
      </w:tr>
    </w:tbl>
    <w:p w14:paraId="7DBECBE4" w14:textId="755EC200" w:rsidR="00912118" w:rsidRDefault="00912118" w:rsidP="00061571">
      <w:pPr>
        <w:pStyle w:val="POPIERAJCYPOPRAWKZAMIESZCZONWZESTAWIENIUWNIOSKW"/>
      </w:pPr>
    </w:p>
    <w:p w14:paraId="4F457C86" w14:textId="37C70AB4" w:rsidR="00726310" w:rsidRDefault="00726310" w:rsidP="00061571">
      <w:pPr>
        <w:pStyle w:val="POPIERAJCYPOPRAWKZAMIESZCZONWZESTAWIENIUWNIOSKW"/>
      </w:pPr>
    </w:p>
    <w:p w14:paraId="69F2760D" w14:textId="15A7C8B0" w:rsidR="00726310" w:rsidRDefault="00726310" w:rsidP="00061571">
      <w:pPr>
        <w:pStyle w:val="POPIERAJCYPOPRAWKZAMIESZCZONWZESTAWIENIUWNIOSKW"/>
      </w:pPr>
    </w:p>
    <w:p w14:paraId="5B680FFB" w14:textId="77777777" w:rsidR="00726310" w:rsidRPr="006E4091" w:rsidRDefault="00726310" w:rsidP="00726310">
      <w:pPr>
        <w:ind w:left="5443"/>
        <w:rPr>
          <w:rStyle w:val="Ppogrubienie"/>
          <w:color w:val="000000" w:themeColor="text1"/>
        </w:rPr>
      </w:pPr>
      <w:r w:rsidRPr="006E4091">
        <w:rPr>
          <w:rFonts w:eastAsia="Times New Roman" w:cs="Times New Roman"/>
          <w:b/>
          <w:color w:val="000000" w:themeColor="text1"/>
        </w:rPr>
        <w:tab/>
      </w:r>
      <w:r w:rsidRPr="006E4091">
        <w:rPr>
          <w:rStyle w:val="Ppogrubienie"/>
          <w:color w:val="000000" w:themeColor="text1"/>
        </w:rPr>
        <w:t>MARSZAŁEK SENATU</w:t>
      </w:r>
    </w:p>
    <w:p w14:paraId="423A01ED" w14:textId="77777777" w:rsidR="00726310" w:rsidRPr="006E4091" w:rsidRDefault="00726310" w:rsidP="00726310">
      <w:pPr>
        <w:ind w:left="5103" w:firstLine="4"/>
        <w:rPr>
          <w:rStyle w:val="Ppogrubienie"/>
          <w:color w:val="000000" w:themeColor="text1"/>
        </w:rPr>
      </w:pPr>
    </w:p>
    <w:p w14:paraId="4668B099" w14:textId="77777777" w:rsidR="00726310" w:rsidRPr="006E4091" w:rsidRDefault="00726310" w:rsidP="00726310">
      <w:pPr>
        <w:ind w:left="5103" w:firstLine="4"/>
        <w:rPr>
          <w:rStyle w:val="Ppogrubienie"/>
          <w:color w:val="000000" w:themeColor="text1"/>
        </w:rPr>
      </w:pPr>
    </w:p>
    <w:p w14:paraId="394BACB5" w14:textId="77777777" w:rsidR="00726310" w:rsidRDefault="00726310" w:rsidP="00726310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726310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6E4091">
        <w:rPr>
          <w:rStyle w:val="Ppogrubienie"/>
          <w:color w:val="000000" w:themeColor="text1"/>
        </w:rPr>
        <w:t>Małgorzata KIDAWA-BŁOŃSKA</w:t>
      </w:r>
    </w:p>
    <w:p w14:paraId="7ED94E2B" w14:textId="77777777" w:rsidR="00726310" w:rsidRDefault="00726310" w:rsidP="00726310">
      <w:pPr>
        <w:pStyle w:val="OZNRODZAKTUtznustawalubrozporzdzenieiorganwydajcy"/>
      </w:pPr>
      <w:r>
        <w:lastRenderedPageBreak/>
        <w:t>Uzasadnienie</w:t>
      </w:r>
    </w:p>
    <w:p w14:paraId="7198CB7E" w14:textId="77777777" w:rsidR="00726310" w:rsidRDefault="00726310" w:rsidP="00726310"/>
    <w:p w14:paraId="0DC394FE" w14:textId="77777777" w:rsidR="00726310" w:rsidRPr="006124B5" w:rsidRDefault="00726310" w:rsidP="0072631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31 </w:t>
      </w:r>
      <w:r w:rsidRPr="000455FA">
        <w:t>lipca</w:t>
      </w:r>
      <w:r>
        <w:t xml:space="preserve"> 2025 r. Senat rozpatrzył ustawę o zmianie ustawy o środkach ochrony roślin i uchwalił do niej 3 </w:t>
      </w:r>
      <w:r w:rsidRPr="006124B5">
        <w:t>poprawk</w:t>
      </w:r>
      <w:r>
        <w:t>i</w:t>
      </w:r>
      <w:r w:rsidRPr="006124B5">
        <w:t>.</w:t>
      </w:r>
    </w:p>
    <w:p w14:paraId="23377D43" w14:textId="77777777" w:rsidR="00726310" w:rsidRDefault="00726310" w:rsidP="00726310">
      <w:pPr>
        <w:pStyle w:val="NIEARTTEKSTtekstnieartykuowanynppodstprawnarozplubpreambua"/>
      </w:pPr>
      <w:r>
        <w:t>Dokonując oceny ustawy pod kątem spójności, jednolitości i poprawności językowej jej przepisów, w tym zredagowania ich zgodnie z wymogami poprawnej legislacji, Senat uznał za zasadne przyjęcie:</w:t>
      </w:r>
    </w:p>
    <w:p w14:paraId="22CD3488" w14:textId="77777777" w:rsidR="00726310" w:rsidRDefault="00726310" w:rsidP="00726310">
      <w:pPr>
        <w:pStyle w:val="PKTpunkt"/>
      </w:pPr>
      <w:r>
        <w:t>1)</w:t>
      </w:r>
      <w:r>
        <w:tab/>
      </w:r>
      <w:r w:rsidRPr="00802317">
        <w:t>poprawki nr 1</w:t>
      </w:r>
      <w:r>
        <w:t xml:space="preserve"> – </w:t>
      </w:r>
      <w:r w:rsidRPr="00A33FF0">
        <w:t>likwiduj</w:t>
      </w:r>
      <w:r>
        <w:t>ącej</w:t>
      </w:r>
      <w:r w:rsidRPr="00A33FF0">
        <w:t xml:space="preserve"> błąd językowy w treści proponowanego przepisu</w:t>
      </w:r>
      <w:r>
        <w:t xml:space="preserve"> art. 47a ust. 3 ustawy z dnia 8 marca 2013 r. o środkach ochrony roślin przez wskazanie, że użytkownicy profesjonalni oraz osoby uprawnione do ich reprezentowania wprowadzają określone informacje i dane do systemu teleinformatycznego, nie zaś w tym systemie;</w:t>
      </w:r>
    </w:p>
    <w:p w14:paraId="3564F9EF" w14:textId="77777777" w:rsidR="00726310" w:rsidRDefault="00726310" w:rsidP="00726310">
      <w:pPr>
        <w:pStyle w:val="PKTpunkt"/>
      </w:pPr>
      <w:r>
        <w:t>2)</w:t>
      </w:r>
      <w:r>
        <w:tab/>
        <w:t>poprawki nr 2 – dotyczącej proponowanych przepisów art. 47a ust. 5–8 ustawy z dnia 8 8 marca 2013 r. o środkach ochrony roślin, mającej na celu:</w:t>
      </w:r>
    </w:p>
    <w:p w14:paraId="7DD505F6" w14:textId="77777777" w:rsidR="00726310" w:rsidRDefault="00726310" w:rsidP="00726310">
      <w:pPr>
        <w:pStyle w:val="LITlitera"/>
      </w:pPr>
      <w:r>
        <w:t>a)</w:t>
      </w:r>
      <w:r>
        <w:tab/>
        <w:t>zapewnienie ich jednolitości i spójności w sposobie odnoszenia się do danych osobowych użytkowników profesjonalnych,</w:t>
      </w:r>
    </w:p>
    <w:p w14:paraId="70529AC9" w14:textId="77777777" w:rsidR="00726310" w:rsidRDefault="00726310" w:rsidP="00726310">
      <w:pPr>
        <w:pStyle w:val="LITlitera"/>
      </w:pPr>
      <w:r>
        <w:t>b)</w:t>
      </w:r>
      <w:r>
        <w:tab/>
        <w:t>właściwe określenie przedmiotu ich regulacji w zakresie informacji i danych użytkowników profesjonalnych wprowadzanych do systemu teleinformatycznego, którego utworzenie zapewni Główny Inspektor Ochrony Roślin i Nasiennictwa, zwanego dalej „systemem teleinformatycznym”,</w:t>
      </w:r>
    </w:p>
    <w:p w14:paraId="2C090AEE" w14:textId="77777777" w:rsidR="00726310" w:rsidRDefault="00726310" w:rsidP="00726310">
      <w:pPr>
        <w:pStyle w:val="LITlitera"/>
      </w:pPr>
      <w:r>
        <w:t>c)</w:t>
      </w:r>
      <w:r>
        <w:tab/>
        <w:t>skreślenie</w:t>
      </w:r>
      <w:r w:rsidRPr="00D342AB">
        <w:t xml:space="preserve"> </w:t>
      </w:r>
      <w:r>
        <w:t xml:space="preserve">spośród nich, zgodnie z dyrektywą określoną w </w:t>
      </w:r>
      <w:r>
        <w:rPr>
          <w:rFonts w:cs="Times"/>
        </w:rPr>
        <w:t>§</w:t>
      </w:r>
      <w:r>
        <w:t xml:space="preserve"> 11 Zasad techniki prawodawczej, przepisów, które nie wnoszą żadnej wartości normatywnej, z uwagi na regulowanie spraw unormowanych już w innych przepisach art. 47a.</w:t>
      </w:r>
    </w:p>
    <w:p w14:paraId="71F51450" w14:textId="77777777" w:rsidR="00726310" w:rsidRPr="00E74765" w:rsidRDefault="00726310" w:rsidP="00726310">
      <w:pPr>
        <w:pStyle w:val="NIEARTTEKSTtekstnieartykuowanynppodstprawnarozplubpreambua"/>
      </w:pPr>
      <w:r>
        <w:t>Dokonując analizy proponowanych w ustawie przepisów art. 35 ust. 3 pkt 1a ustawy z dnia 8 marca 2013 r. o środkach ochrony roślin, nakładających na użytkowników profesjonalnych obowiązek prowadzenia i przechowywania dokumentacji w Elektronicznej Dokumentacji Stosowanych Środków Ochrony Roślin z wykorzystaniem systemu teleinformatycznego, a także art. 78a tej ustawy, określającego na potrzeby stosowania rozporządzenia 2023/564 definicję „użytkownika profesjonalnego”, Senat uznał za zasadne przyjęcie poprawki nr 3, która zapewnia</w:t>
      </w:r>
      <w:r w:rsidRPr="00E804DE">
        <w:t xml:space="preserve"> dalsze ograniczenie obciążeń administracyjnych</w:t>
      </w:r>
      <w:r>
        <w:t xml:space="preserve"> dla </w:t>
      </w:r>
      <w:r w:rsidRPr="00E804DE">
        <w:t>gospodarstw rolnych</w:t>
      </w:r>
      <w:r>
        <w:t>.</w:t>
      </w:r>
      <w:r w:rsidRPr="00E804DE">
        <w:t xml:space="preserve"> </w:t>
      </w:r>
      <w:r>
        <w:t xml:space="preserve">Ma to nastąpić </w:t>
      </w:r>
      <w:r w:rsidRPr="00E804DE">
        <w:t xml:space="preserve">przez stopniowe wprowadzanie obowiązku prowadzenia dokumentacji dotyczącej zabiegów ochrony roślin </w:t>
      </w:r>
      <w:r>
        <w:t xml:space="preserve">w </w:t>
      </w:r>
      <w:r w:rsidRPr="00E804DE">
        <w:t>formie elektronicznej</w:t>
      </w:r>
      <w:r>
        <w:t xml:space="preserve">. </w:t>
      </w:r>
      <w:r w:rsidRPr="00E804DE">
        <w:lastRenderedPageBreak/>
        <w:t xml:space="preserve">Najdalej idące odstępstwo zaproponowano dla gospodarstw najmniejszych (do 2 ha), które </w:t>
      </w:r>
      <w:r>
        <w:t xml:space="preserve">dzięki temu </w:t>
      </w:r>
      <w:r w:rsidRPr="00E804DE">
        <w:t xml:space="preserve">będą miały możliwość prowadzenia tej dokumentacji </w:t>
      </w:r>
      <w:r>
        <w:t xml:space="preserve">w </w:t>
      </w:r>
      <w:r w:rsidRPr="00E804DE">
        <w:t xml:space="preserve">dotychczasowej formie </w:t>
      </w:r>
      <w:r>
        <w:t>przez okres następnych 10 lat</w:t>
      </w:r>
      <w:r w:rsidRPr="00E804DE">
        <w:t>.</w:t>
      </w:r>
      <w:r>
        <w:t xml:space="preserve"> </w:t>
      </w:r>
    </w:p>
    <w:p w14:paraId="621948AE" w14:textId="77777777" w:rsidR="00726310" w:rsidRDefault="00726310" w:rsidP="00726310">
      <w:pPr>
        <w:pStyle w:val="ARTartustawynprozporzdzenia"/>
      </w:pPr>
    </w:p>
    <w:p w14:paraId="60CAB3FE" w14:textId="77777777" w:rsidR="00726310" w:rsidRPr="00737F6A" w:rsidRDefault="00726310" w:rsidP="00061571">
      <w:pPr>
        <w:pStyle w:val="POPIERAJCYPOPRAWKZAMIESZCZONWZESTAWIENIUWNIOSKW"/>
      </w:pPr>
    </w:p>
    <w:sectPr w:rsidR="00726310" w:rsidRPr="00737F6A" w:rsidSect="00726310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F9EF" w14:textId="77777777" w:rsidR="006B2C4D" w:rsidRDefault="006B2C4D">
      <w:r>
        <w:separator/>
      </w:r>
    </w:p>
  </w:endnote>
  <w:endnote w:type="continuationSeparator" w:id="0">
    <w:p w14:paraId="269328C2" w14:textId="77777777" w:rsidR="006B2C4D" w:rsidRDefault="006B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094D" w14:textId="77777777" w:rsidR="006B2C4D" w:rsidRDefault="006B2C4D">
      <w:r>
        <w:separator/>
      </w:r>
    </w:p>
  </w:footnote>
  <w:footnote w:type="continuationSeparator" w:id="0">
    <w:p w14:paraId="1DFECF61" w14:textId="77777777" w:rsidR="006B2C4D" w:rsidRDefault="006B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6E67" w14:textId="77777777" w:rsidR="00726310" w:rsidRPr="00B371CC" w:rsidRDefault="0072631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32B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6310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8B87E6E"/>
    <w:multiLevelType w:val="hybridMultilevel"/>
    <w:tmpl w:val="0096B1E6"/>
    <w:lvl w:ilvl="0" w:tplc="A710B7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BB47A4A"/>
    <w:multiLevelType w:val="hybridMultilevel"/>
    <w:tmpl w:val="DB422948"/>
    <w:lvl w:ilvl="0" w:tplc="494A1B3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4"/>
  </w:num>
  <w:num w:numId="12">
    <w:abstractNumId w:val="10"/>
  </w:num>
  <w:num w:numId="13">
    <w:abstractNumId w:val="17"/>
  </w:num>
  <w:num w:numId="14">
    <w:abstractNumId w:val="29"/>
  </w:num>
  <w:num w:numId="15">
    <w:abstractNumId w:val="14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8"/>
  </w:num>
  <w:num w:numId="29">
    <w:abstractNumId w:val="39"/>
  </w:num>
  <w:num w:numId="30">
    <w:abstractNumId w:val="35"/>
  </w:num>
  <w:num w:numId="31">
    <w:abstractNumId w:val="21"/>
  </w:num>
  <w:num w:numId="32">
    <w:abstractNumId w:val="11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30"/>
  </w:num>
  <w:num w:numId="38">
    <w:abstractNumId w:val="27"/>
  </w:num>
  <w:num w:numId="39">
    <w:abstractNumId w:val="13"/>
  </w:num>
  <w:num w:numId="40">
    <w:abstractNumId w:val="32"/>
  </w:num>
  <w:num w:numId="41">
    <w:abstractNumId w:val="31"/>
  </w:num>
  <w:num w:numId="42">
    <w:abstractNumId w:val="23"/>
  </w:num>
  <w:num w:numId="43">
    <w:abstractNumId w:val="37"/>
  </w:num>
  <w:num w:numId="44">
    <w:abstractNumId w:val="12"/>
  </w:num>
  <w:num w:numId="45">
    <w:abstractNumId w:val="26"/>
  </w:num>
  <w:num w:numId="46">
    <w:abstractNumId w:val="26"/>
  </w:num>
  <w:num w:numId="47">
    <w:abstractNumId w:val="26"/>
  </w:num>
  <w:num w:numId="48">
    <w:abstractNumId w:val="26"/>
  </w:num>
  <w:num w:numId="49">
    <w:abstractNumId w:val="16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D7E"/>
    <w:rsid w:val="00024E4B"/>
    <w:rsid w:val="0002535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6B63"/>
    <w:rsid w:val="00037E1A"/>
    <w:rsid w:val="00041C1F"/>
    <w:rsid w:val="00042839"/>
    <w:rsid w:val="00043495"/>
    <w:rsid w:val="00046A75"/>
    <w:rsid w:val="00047312"/>
    <w:rsid w:val="00047372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2F9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53C"/>
    <w:rsid w:val="001D445A"/>
    <w:rsid w:val="001D53CD"/>
    <w:rsid w:val="001D55A3"/>
    <w:rsid w:val="001D5AF5"/>
    <w:rsid w:val="001E1E73"/>
    <w:rsid w:val="001E4AE6"/>
    <w:rsid w:val="001E4E0C"/>
    <w:rsid w:val="001E526D"/>
    <w:rsid w:val="001E5655"/>
    <w:rsid w:val="001F153A"/>
    <w:rsid w:val="001F1832"/>
    <w:rsid w:val="001F220F"/>
    <w:rsid w:val="001F25B3"/>
    <w:rsid w:val="001F55DC"/>
    <w:rsid w:val="001F6616"/>
    <w:rsid w:val="001F7226"/>
    <w:rsid w:val="00201AD6"/>
    <w:rsid w:val="00202BD4"/>
    <w:rsid w:val="00202EBB"/>
    <w:rsid w:val="002034AE"/>
    <w:rsid w:val="00203D91"/>
    <w:rsid w:val="00204A97"/>
    <w:rsid w:val="002074EF"/>
    <w:rsid w:val="002114EF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2081"/>
    <w:rsid w:val="00243777"/>
    <w:rsid w:val="002441CD"/>
    <w:rsid w:val="002501A3"/>
    <w:rsid w:val="0025166C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1F28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1BBB"/>
    <w:rsid w:val="00352DAE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207C"/>
    <w:rsid w:val="00472CD6"/>
    <w:rsid w:val="00474ADE"/>
    <w:rsid w:val="00474E3C"/>
    <w:rsid w:val="00476805"/>
    <w:rsid w:val="00477C29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43FE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6DA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17CB9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130"/>
    <w:rsid w:val="0064581A"/>
    <w:rsid w:val="00645DCE"/>
    <w:rsid w:val="006465AC"/>
    <w:rsid w:val="006465BF"/>
    <w:rsid w:val="0064796A"/>
    <w:rsid w:val="00651C21"/>
    <w:rsid w:val="00653B22"/>
    <w:rsid w:val="00656045"/>
    <w:rsid w:val="00657BF4"/>
    <w:rsid w:val="006603FB"/>
    <w:rsid w:val="006608DF"/>
    <w:rsid w:val="0066095E"/>
    <w:rsid w:val="006623AC"/>
    <w:rsid w:val="0066521D"/>
    <w:rsid w:val="00665390"/>
    <w:rsid w:val="006678AF"/>
    <w:rsid w:val="006701EF"/>
    <w:rsid w:val="0067037A"/>
    <w:rsid w:val="00670558"/>
    <w:rsid w:val="006710FB"/>
    <w:rsid w:val="006738AF"/>
    <w:rsid w:val="00673B49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0445"/>
    <w:rsid w:val="00692DCC"/>
    <w:rsid w:val="006946BB"/>
    <w:rsid w:val="006969FA"/>
    <w:rsid w:val="006A35D5"/>
    <w:rsid w:val="006A4B17"/>
    <w:rsid w:val="006A748A"/>
    <w:rsid w:val="006A7E1A"/>
    <w:rsid w:val="006B2740"/>
    <w:rsid w:val="006B2C4D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5E21"/>
    <w:rsid w:val="006E5F2B"/>
    <w:rsid w:val="006E65CD"/>
    <w:rsid w:val="006F2648"/>
    <w:rsid w:val="006F2F10"/>
    <w:rsid w:val="006F482B"/>
    <w:rsid w:val="006F6311"/>
    <w:rsid w:val="006F738F"/>
    <w:rsid w:val="006F7FEA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4E7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26310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099B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1255"/>
    <w:rsid w:val="007F2EB6"/>
    <w:rsid w:val="007F48EC"/>
    <w:rsid w:val="007F48FD"/>
    <w:rsid w:val="007F54C3"/>
    <w:rsid w:val="007F574B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2CE3"/>
    <w:rsid w:val="0088318F"/>
    <w:rsid w:val="0088331D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524"/>
    <w:rsid w:val="008C4061"/>
    <w:rsid w:val="008C4229"/>
    <w:rsid w:val="008C5BE0"/>
    <w:rsid w:val="008C7233"/>
    <w:rsid w:val="008D2434"/>
    <w:rsid w:val="008D37D2"/>
    <w:rsid w:val="008E171D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028D"/>
    <w:rsid w:val="0097420F"/>
    <w:rsid w:val="009801D5"/>
    <w:rsid w:val="00981E55"/>
    <w:rsid w:val="00983635"/>
    <w:rsid w:val="00984E03"/>
    <w:rsid w:val="009869A7"/>
    <w:rsid w:val="00987E85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05DD"/>
    <w:rsid w:val="00A12520"/>
    <w:rsid w:val="00A130FD"/>
    <w:rsid w:val="00A13D6D"/>
    <w:rsid w:val="00A14769"/>
    <w:rsid w:val="00A16151"/>
    <w:rsid w:val="00A16EC6"/>
    <w:rsid w:val="00A17C06"/>
    <w:rsid w:val="00A20296"/>
    <w:rsid w:val="00A20596"/>
    <w:rsid w:val="00A2126E"/>
    <w:rsid w:val="00A21706"/>
    <w:rsid w:val="00A22677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7FC"/>
    <w:rsid w:val="00AC00F2"/>
    <w:rsid w:val="00AC2FA4"/>
    <w:rsid w:val="00AC31B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24EE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57DA9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2E52"/>
    <w:rsid w:val="00B830B7"/>
    <w:rsid w:val="00B848EA"/>
    <w:rsid w:val="00B84B2B"/>
    <w:rsid w:val="00B8620B"/>
    <w:rsid w:val="00B90500"/>
    <w:rsid w:val="00B907D9"/>
    <w:rsid w:val="00B915F8"/>
    <w:rsid w:val="00B9176C"/>
    <w:rsid w:val="00B93428"/>
    <w:rsid w:val="00B935A4"/>
    <w:rsid w:val="00BA2E60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C44"/>
    <w:rsid w:val="00BE15D9"/>
    <w:rsid w:val="00BE1B8B"/>
    <w:rsid w:val="00BE2A18"/>
    <w:rsid w:val="00BE2C01"/>
    <w:rsid w:val="00BE41EC"/>
    <w:rsid w:val="00BE56FB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18B1"/>
    <w:rsid w:val="00D14794"/>
    <w:rsid w:val="00D15197"/>
    <w:rsid w:val="00D16820"/>
    <w:rsid w:val="00D169C8"/>
    <w:rsid w:val="00D1793F"/>
    <w:rsid w:val="00D208A8"/>
    <w:rsid w:val="00D20A07"/>
    <w:rsid w:val="00D20FEB"/>
    <w:rsid w:val="00D22AF5"/>
    <w:rsid w:val="00D235EA"/>
    <w:rsid w:val="00D247A9"/>
    <w:rsid w:val="00D32721"/>
    <w:rsid w:val="00D328DC"/>
    <w:rsid w:val="00D33146"/>
    <w:rsid w:val="00D33387"/>
    <w:rsid w:val="00D35FD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431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86015"/>
    <w:rsid w:val="00D9022A"/>
    <w:rsid w:val="00D90E69"/>
    <w:rsid w:val="00D91368"/>
    <w:rsid w:val="00D92726"/>
    <w:rsid w:val="00D93106"/>
    <w:rsid w:val="00D933E9"/>
    <w:rsid w:val="00D94C71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02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2EC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7BD0"/>
    <w:rsid w:val="00FC2E3D"/>
    <w:rsid w:val="00FC3BDE"/>
    <w:rsid w:val="00FC54B4"/>
    <w:rsid w:val="00FC67B4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96D74"/>
  <w15:docId w15:val="{4A4652D6-6FF0-4A17-BCB1-CE2D972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31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E6B50-2CEF-4F2A-8E3A-D571485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615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2025-07-31T12:21:00Z</cp:lastPrinted>
  <dcterms:created xsi:type="dcterms:W3CDTF">2025-07-30T12:45:00Z</dcterms:created>
  <dcterms:modified xsi:type="dcterms:W3CDTF">2025-07-31T12:21:00Z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