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11CD" w14:textId="77777777" w:rsidR="00337C3F" w:rsidRPr="00902764" w:rsidRDefault="00337C3F" w:rsidP="00912118">
      <w:pPr>
        <w:pStyle w:val="OZNRODZAKTUtznustawalubrozporzdzenieiorganwydajcy"/>
      </w:pPr>
      <w:r w:rsidRPr="00902764">
        <w:t>UCHWAŁA</w:t>
      </w:r>
    </w:p>
    <w:p w14:paraId="5B71A862" w14:textId="77777777" w:rsidR="00337C3F" w:rsidRPr="00902764" w:rsidRDefault="00337C3F" w:rsidP="00912118">
      <w:pPr>
        <w:pStyle w:val="OZNRODZAKTUtznustawalubrozporzdzenieiorganwydajcy"/>
      </w:pPr>
      <w:r w:rsidRPr="00902764">
        <w:t>SENATU RZECZYPOSPOLITEJ POLSKIEJ</w:t>
      </w:r>
    </w:p>
    <w:p w14:paraId="3255994F" w14:textId="77777777" w:rsidR="00337C3F" w:rsidRPr="00902764" w:rsidRDefault="00337C3F" w:rsidP="00912118">
      <w:pPr>
        <w:pStyle w:val="DATAAKTUdatauchwalenialubwydaniaaktu"/>
      </w:pPr>
      <w:r w:rsidRPr="00902764">
        <w:t xml:space="preserve">z dnia </w:t>
      </w:r>
      <w:r>
        <w:t>31 lipca 2025 r.</w:t>
      </w:r>
    </w:p>
    <w:p w14:paraId="18E74025" w14:textId="77777777" w:rsidR="00337C3F" w:rsidRPr="003D4780" w:rsidRDefault="00337C3F" w:rsidP="00EB44F6">
      <w:pPr>
        <w:pStyle w:val="TYTUAKTUprzedmiotregulacjiustawylubrozporzdzenia"/>
      </w:pPr>
      <w:r w:rsidRPr="00902764">
        <w:t xml:space="preserve">w sprawie </w:t>
      </w:r>
      <w:r>
        <w:t xml:space="preserve">ustawy </w:t>
      </w:r>
      <w:r w:rsidRPr="003D4780">
        <w:t>o zmianie ustawy o podatku od towarów i usług oraz ustaw</w:t>
      </w:r>
      <w:r>
        <w:t>y</w:t>
      </w:r>
      <w:r>
        <w:br/>
      </w:r>
      <w:r w:rsidRPr="003D4780">
        <w:t>o</w:t>
      </w:r>
      <w:r>
        <w:t xml:space="preserve"> </w:t>
      </w:r>
      <w:r w:rsidRPr="003D4780">
        <w:t>zmianie ustawy o podatku od towarów i usług oraz niektórych innych ustaw</w:t>
      </w:r>
    </w:p>
    <w:p w14:paraId="7A949A1D" w14:textId="77777777" w:rsidR="00337C3F" w:rsidRPr="00902764" w:rsidRDefault="00337C3F" w:rsidP="00EB44F6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>
        <w:t>25</w:t>
      </w:r>
      <w:r w:rsidRPr="00902764">
        <w:t xml:space="preserve"> </w:t>
      </w:r>
      <w:r>
        <w:t xml:space="preserve">lipca </w:t>
      </w:r>
      <w:r w:rsidRPr="00902764">
        <w:t xml:space="preserve">2025 r. </w:t>
      </w:r>
      <w:r>
        <w:t xml:space="preserve">ustawy </w:t>
      </w:r>
      <w:r w:rsidRPr="003D4780">
        <w:t>o zmianie ustawy o podatku od towarów i usług oraz ustaw</w:t>
      </w:r>
      <w:r>
        <w:t>y</w:t>
      </w:r>
      <w:r w:rsidRPr="003D4780">
        <w:t xml:space="preserve"> o</w:t>
      </w:r>
      <w:r>
        <w:t xml:space="preserve"> </w:t>
      </w:r>
      <w:r w:rsidRPr="003D4780">
        <w:t>zmianie ustawy o</w:t>
      </w:r>
      <w:r>
        <w:t> </w:t>
      </w:r>
      <w:r w:rsidRPr="003D4780">
        <w:t>podatku od towarów i usług oraz niektórych innych ustaw</w:t>
      </w:r>
      <w:r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337C3F" w:rsidRPr="00902764" w14:paraId="0B24E7AB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E94019" w14:textId="77777777" w:rsidR="00337C3F" w:rsidRPr="00902764" w:rsidRDefault="00337C3F" w:rsidP="00337C3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C4CD8C5" w14:textId="77777777" w:rsidR="00337C3F" w:rsidRPr="009E341D" w:rsidRDefault="00337C3F" w:rsidP="009E341D">
            <w:pPr>
              <w:pStyle w:val="TREPUNKTUWUCHWALESENACKIEJ"/>
            </w:pPr>
            <w:r w:rsidRPr="009E341D">
              <w:t>w</w:t>
            </w:r>
            <w:r>
              <w:t xml:space="preserve"> </w:t>
            </w:r>
            <w:r w:rsidRPr="009821B3">
              <w:rPr>
                <w:rFonts w:cs="Times New Roman"/>
                <w:szCs w:val="24"/>
              </w:rPr>
              <w:t xml:space="preserve">art. 2 w pkt 1 w lit. d w </w:t>
            </w:r>
            <w:proofErr w:type="spellStart"/>
            <w:r w:rsidRPr="009821B3">
              <w:rPr>
                <w:rFonts w:cs="Times New Roman"/>
                <w:szCs w:val="24"/>
              </w:rPr>
              <w:t>tiret</w:t>
            </w:r>
            <w:proofErr w:type="spellEnd"/>
            <w:r w:rsidRPr="009821B3">
              <w:rPr>
                <w:rFonts w:cs="Times New Roman"/>
                <w:szCs w:val="24"/>
              </w:rPr>
              <w:t xml:space="preserve"> drugim w podwójnym </w:t>
            </w:r>
            <w:proofErr w:type="spellStart"/>
            <w:r w:rsidRPr="009821B3">
              <w:rPr>
                <w:rFonts w:cs="Times New Roman"/>
                <w:szCs w:val="24"/>
              </w:rPr>
              <w:t>tiret</w:t>
            </w:r>
            <w:proofErr w:type="spellEnd"/>
            <w:r w:rsidRPr="009821B3">
              <w:rPr>
                <w:rFonts w:cs="Times New Roman"/>
                <w:szCs w:val="24"/>
              </w:rPr>
              <w:t xml:space="preserve"> drugim w poleceniu nowelizacyjnym wyrazy „dodaje się wyrazy</w:t>
            </w:r>
            <w:r>
              <w:rPr>
                <w:rFonts w:cs="Times New Roman"/>
                <w:szCs w:val="24"/>
              </w:rPr>
              <w:t xml:space="preserve"> „ , lub”</w:t>
            </w:r>
            <w:r w:rsidRPr="009821B3">
              <w:rPr>
                <w:rFonts w:cs="Times New Roman"/>
                <w:szCs w:val="24"/>
              </w:rPr>
              <w:t>” zastępuje się wyrazami „dodaje się wyraz</w:t>
            </w:r>
            <w:r>
              <w:rPr>
                <w:rFonts w:cs="Times New Roman"/>
                <w:szCs w:val="24"/>
              </w:rPr>
              <w:t xml:space="preserve"> „ , lub”</w:t>
            </w:r>
            <w:r w:rsidRPr="009821B3">
              <w:rPr>
                <w:rFonts w:cs="Times New Roman"/>
                <w:szCs w:val="24"/>
              </w:rPr>
              <w:t>”;</w:t>
            </w:r>
          </w:p>
        </w:tc>
      </w:tr>
      <w:tr w:rsidR="00337C3F" w:rsidRPr="00902764" w14:paraId="0C96ACA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1D84664" w14:textId="77777777" w:rsidR="00337C3F" w:rsidRPr="00902764" w:rsidRDefault="00337C3F" w:rsidP="00337C3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11137CF" w14:textId="77777777" w:rsidR="00337C3F" w:rsidRPr="00163C3C" w:rsidRDefault="00337C3F" w:rsidP="009E341D">
            <w:pPr>
              <w:pStyle w:val="TREPUNKTUWUCHWALESENACKIEJ"/>
              <w:rPr>
                <w:rFonts w:cs="Times New Roman"/>
                <w:szCs w:val="24"/>
              </w:rPr>
            </w:pPr>
            <w:r w:rsidRPr="009E341D">
              <w:t>w</w:t>
            </w:r>
            <w:r w:rsidRPr="009821B3">
              <w:rPr>
                <w:rFonts w:cs="Times New Roman"/>
                <w:szCs w:val="24"/>
              </w:rPr>
              <w:t xml:space="preserve"> art. 2 w pkt 1 w lit. k w poleceniu nowelizacyjnym wyrazy „art. 108g nadać brzmienie” zastępuje się wyrazami „art. 108g otrzymuje brzmienie”;</w:t>
            </w:r>
          </w:p>
        </w:tc>
      </w:tr>
      <w:tr w:rsidR="00337C3F" w:rsidRPr="00902764" w14:paraId="50C8AF11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B6991AE" w14:textId="77777777" w:rsidR="00337C3F" w:rsidRPr="00902764" w:rsidRDefault="00337C3F" w:rsidP="00337C3F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C06827C" w14:textId="77777777" w:rsidR="00337C3F" w:rsidRPr="009E341D" w:rsidRDefault="00337C3F" w:rsidP="009E341D">
            <w:pPr>
              <w:pStyle w:val="TREPUNKTUWUCHWALESENACKIEJ"/>
            </w:pPr>
            <w:r>
              <w:t xml:space="preserve">w </w:t>
            </w:r>
            <w:r w:rsidRPr="009821B3">
              <w:rPr>
                <w:rFonts w:cs="Times New Roman"/>
                <w:szCs w:val="24"/>
              </w:rPr>
              <w:t>art. 2 w pkt 1 w lit. k, w art. 108g w ust. 1 wyrazy „instrumentu płatniczego w</w:t>
            </w:r>
            <w:r>
              <w:rPr>
                <w:rFonts w:cs="Times New Roman"/>
                <w:szCs w:val="24"/>
              </w:rPr>
              <w:t> </w:t>
            </w:r>
            <w:r w:rsidRPr="009821B3">
              <w:rPr>
                <w:rFonts w:cs="Times New Roman"/>
                <w:szCs w:val="24"/>
              </w:rPr>
              <w:t>rozumieniu tej ustawy” zastępuje się wyrazami „instrumentu płatniczego w rozumieniu art. 2 pkt 10 tej ustawy”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14:paraId="3DF10381" w14:textId="77777777" w:rsidR="00337C3F" w:rsidRPr="00902764" w:rsidRDefault="00337C3F" w:rsidP="00A054FD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EDD76A6" w14:textId="77777777" w:rsidR="00337C3F" w:rsidRPr="00255FF3" w:rsidRDefault="00337C3F" w:rsidP="004E469D">
      <w:pPr>
        <w:pStyle w:val="OZNRODZAKTUtznustawalubrozporzdzenieiorganwydajcy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111DC567" w14:textId="77777777" w:rsidR="00337C3F" w:rsidRPr="005D05C5" w:rsidRDefault="00337C3F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3E2AC713" w14:textId="77777777" w:rsidR="00337C3F" w:rsidRPr="005D05C5" w:rsidRDefault="00337C3F" w:rsidP="00B43C18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5D05C5">
        <w:rPr>
          <w:rFonts w:ascii="Times New Roman" w:hAnsi="Times New Roman" w:cs="Times New Roman"/>
        </w:rPr>
        <w:t>Senat – po rozpatrzeniu uchwalonej przez Sejm w dniu 25 lipca 2025 r. ustawy o zmianie ustawy o podatku od towarów i usług oraz ustawy o zmianie ustawy o podatku od towarów i</w:t>
      </w:r>
      <w:r>
        <w:rPr>
          <w:rFonts w:ascii="Times New Roman" w:hAnsi="Times New Roman" w:cs="Times New Roman"/>
        </w:rPr>
        <w:t> </w:t>
      </w:r>
      <w:r w:rsidRPr="005D05C5">
        <w:rPr>
          <w:rFonts w:ascii="Times New Roman" w:hAnsi="Times New Roman" w:cs="Times New Roman"/>
        </w:rPr>
        <w:t xml:space="preserve">usług oraz niektórych innych ustaw – wprowadził do jej tekstu 3 poprawki. Zmierzają one </w:t>
      </w:r>
      <w:bookmarkStart w:id="0" w:name="_Hlk197597696"/>
      <w:r w:rsidRPr="005D05C5">
        <w:rPr>
          <w:rFonts w:ascii="Times New Roman" w:hAnsi="Times New Roman" w:cs="Times New Roman"/>
        </w:rPr>
        <w:t>odpowiednio do:</w:t>
      </w:r>
    </w:p>
    <w:p w14:paraId="0A2408C2" w14:textId="77777777" w:rsidR="00337C3F" w:rsidRPr="005D05C5" w:rsidRDefault="00337C3F" w:rsidP="00337C3F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</w:rPr>
      </w:pPr>
      <w:r w:rsidRPr="005D05C5">
        <w:rPr>
          <w:rFonts w:ascii="Times New Roman" w:hAnsi="Times New Roman" w:cs="Times New Roman"/>
        </w:rPr>
        <w:t>likwidacji omyłki redakcyjnej;</w:t>
      </w:r>
    </w:p>
    <w:p w14:paraId="2370C0B0" w14:textId="77777777" w:rsidR="00337C3F" w:rsidRPr="005D05C5" w:rsidRDefault="00337C3F" w:rsidP="00337C3F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</w:rPr>
      </w:pPr>
      <w:r w:rsidRPr="005D05C5">
        <w:rPr>
          <w:rFonts w:ascii="Times New Roman" w:hAnsi="Times New Roman" w:cs="Times New Roman"/>
        </w:rPr>
        <w:t>dostosowania brzmienia polecenia nowelizacyjnego do sposobu wyrażania zmiany treści przepisu ustawy wynikającego z § 85 ust. 4 „Zasad techniki prawodawczej”;</w:t>
      </w:r>
    </w:p>
    <w:p w14:paraId="379CDAFB" w14:textId="77777777" w:rsidR="00337C3F" w:rsidRPr="005D05C5" w:rsidRDefault="00337C3F" w:rsidP="00337C3F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</w:rPr>
      </w:pPr>
      <w:r w:rsidRPr="005D05C5">
        <w:rPr>
          <w:rFonts w:ascii="Times New Roman" w:hAnsi="Times New Roman" w:cs="Times New Roman"/>
        </w:rPr>
        <w:t>respektowania § 156 ust. 2 „Zasad techniki prawodawczej”, zgodnie z którym jeżeli odesłanie stosuje się tylko ze względu na potrzebę osiągnięcia skrótowości tekstu, w przepisie odsyłającym jednoznacznie wskazuje się przepis, do którego się odsyła.</w:t>
      </w:r>
    </w:p>
    <w:bookmarkEnd w:id="0"/>
    <w:p w14:paraId="19639A59" w14:textId="50CD2521" w:rsidR="00357757" w:rsidRPr="00737F6A" w:rsidRDefault="00357757" w:rsidP="00337C3F">
      <w:pPr>
        <w:pStyle w:val="OZNRODZAKTUtznustawalubrozporzdzenieiorganwydajcy"/>
      </w:pPr>
    </w:p>
    <w:sectPr w:rsidR="00357757" w:rsidRPr="00737F6A" w:rsidSect="001513FD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AE1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7C3F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2014-06-09T09:23:00Z</cp:lastPrinted>
  <dcterms:created xsi:type="dcterms:W3CDTF">2025-07-31T12:03:00Z</dcterms:created>
  <dcterms:modified xsi:type="dcterms:W3CDTF">2025-07-31T12:03:00Z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