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B2D1" w14:textId="77777777" w:rsidR="0031632A" w:rsidRPr="00E000DC" w:rsidRDefault="0031632A" w:rsidP="00912118">
      <w:pPr>
        <w:pStyle w:val="OZNRODZAKTUtznustawalubrozporzdzenieiorganwydajcy"/>
      </w:pPr>
      <w:r w:rsidRPr="00912118">
        <w:t>UCHWAŁA</w:t>
      </w:r>
    </w:p>
    <w:p w14:paraId="10AFBA6B" w14:textId="77777777" w:rsidR="0031632A" w:rsidRPr="00E000DC" w:rsidRDefault="0031632A" w:rsidP="00912118">
      <w:pPr>
        <w:pStyle w:val="OZNRODZAKTUtznustawalubrozporzdzenieiorganwydajcy"/>
      </w:pPr>
      <w:r w:rsidRPr="00E000DC">
        <w:t>SENATU RZECZYPOSPOLITEJ POLSKIEJ</w:t>
      </w:r>
    </w:p>
    <w:p w14:paraId="408F6114" w14:textId="77777777" w:rsidR="0031632A" w:rsidRPr="00E000DC" w:rsidRDefault="0031632A" w:rsidP="00912118">
      <w:pPr>
        <w:pStyle w:val="DATAAKTUdatauchwalenialubwydaniaaktu"/>
      </w:pPr>
      <w:r w:rsidRPr="00E000DC">
        <w:t>z dnia</w:t>
      </w:r>
      <w:r>
        <w:t xml:space="preserve"> 31 lipca 2025 r.</w:t>
      </w:r>
    </w:p>
    <w:p w14:paraId="578C1DAC" w14:textId="77777777" w:rsidR="0031632A" w:rsidRPr="00E000DC" w:rsidRDefault="0031632A" w:rsidP="00912118">
      <w:pPr>
        <w:pStyle w:val="TYTUAKTUprzedmiotregulacjiustawylubrozporzdzenia"/>
      </w:pPr>
      <w:r>
        <w:t>w sprawie ustawy o uchyleniu ustawy o Centralnej Informacji Emerytalnej</w:t>
      </w:r>
    </w:p>
    <w:p w14:paraId="355B2E6B" w14:textId="77777777" w:rsidR="0031632A" w:rsidRDefault="0031632A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9 lipca 2025 </w:t>
      </w:r>
      <w:r w:rsidRPr="00E000DC">
        <w:t xml:space="preserve">r. ustawy o </w:t>
      </w:r>
      <w:r>
        <w:t>uchyleniu ustawy o Centralnej Informacji Emerytalnej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31632A" w:rsidRPr="00B528A4" w14:paraId="6CEC300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109E09" w14:textId="77777777" w:rsidR="0031632A" w:rsidRPr="00B528A4" w:rsidRDefault="0031632A" w:rsidP="0031632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68B669B" w14:textId="77777777" w:rsidR="0031632A" w:rsidRPr="00B528A4" w:rsidRDefault="0031632A" w:rsidP="000F57AC">
            <w:pPr>
              <w:pStyle w:val="TREPUNKTUWUCHWALESENACKIEJ"/>
            </w:pPr>
            <w:r>
              <w:t xml:space="preserve">w tytule ustawy w ogólnym określeniu przedmiotu ustawy po wyrazie „Emerytalnej” dodaje się wyrazy </w:t>
            </w:r>
            <w:r w:rsidRPr="00E44140">
              <w:t>„oraz o zmianie niektórych innych ustaw”</w:t>
            </w:r>
            <w:r>
              <w:t>;</w:t>
            </w:r>
          </w:p>
        </w:tc>
      </w:tr>
      <w:tr w:rsidR="0031632A" w:rsidRPr="00B528A4" w14:paraId="40F26BB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FAA58D" w14:textId="77777777" w:rsidR="0031632A" w:rsidRPr="00B528A4" w:rsidRDefault="0031632A" w:rsidP="0031632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ADF08F" w14:textId="77777777" w:rsidR="0031632A" w:rsidRDefault="0031632A" w:rsidP="000F57AC">
            <w:pPr>
              <w:pStyle w:val="TREPUNKTUWUCHWALESENACKIEJ"/>
            </w:pPr>
            <w:r>
              <w:t>w a</w:t>
            </w:r>
            <w:r w:rsidRPr="00DA401B">
              <w:t xml:space="preserve">rt. 4 </w:t>
            </w:r>
            <w:r>
              <w:t xml:space="preserve">w </w:t>
            </w:r>
            <w:r w:rsidRPr="00DA401B">
              <w:t>pkt 1,</w:t>
            </w:r>
            <w:r>
              <w:t xml:space="preserve"> w</w:t>
            </w:r>
            <w:r w:rsidRPr="00DA401B">
              <w:t xml:space="preserve"> pkt 20</w:t>
            </w:r>
            <w:r>
              <w:t xml:space="preserve"> w</w:t>
            </w:r>
            <w:r w:rsidRPr="00DA401B">
              <w:t xml:space="preserve"> lit. d</w:t>
            </w:r>
            <w:r>
              <w:t xml:space="preserve"> wyrazy </w:t>
            </w:r>
            <w:r w:rsidRPr="00DA401B">
              <w:t>„</w:t>
            </w:r>
            <w:r>
              <w:t>spółkę, o której mowa w art. 77 ust. 2</w:t>
            </w:r>
            <w:r w:rsidRPr="00DA401B">
              <w:t>”</w:t>
            </w:r>
            <w:r>
              <w:t xml:space="preserve"> zastępuje się wyrazami </w:t>
            </w:r>
            <w:r w:rsidRPr="00DA401B">
              <w:t>„</w:t>
            </w:r>
            <w:r>
              <w:t>podmiot, o którym mowa w art. 58 ust. 2</w:t>
            </w:r>
            <w:r w:rsidRPr="00DA401B">
              <w:t>”</w:t>
            </w:r>
            <w:r>
              <w:t xml:space="preserve"> oraz wyraz „prowadzącą” zastępuje się wyrazem „prowadzący”.</w:t>
            </w:r>
          </w:p>
        </w:tc>
      </w:tr>
    </w:tbl>
    <w:p w14:paraId="2F1B86E1" w14:textId="77777777" w:rsidR="0031632A" w:rsidRPr="00737F6A" w:rsidRDefault="0031632A" w:rsidP="00A054FD">
      <w:pPr>
        <w:pStyle w:val="POPIERAJCYPOPRAWKZAMIESZCZONWZESTAWIENIUWNIOSKW"/>
      </w:pPr>
    </w:p>
    <w:p w14:paraId="3DF10381" w14:textId="77777777" w:rsidR="00337C3F" w:rsidRPr="00902764" w:rsidRDefault="00337C3F" w:rsidP="00A054FD">
      <w:pPr>
        <w:pStyle w:val="POPIERAJCYPOPRAWKZAMIESZCZONWZESTAWIENIUWNIOSKW"/>
      </w:pPr>
    </w:p>
    <w:p w14:paraId="64FD6861" w14:textId="689A3916" w:rsidR="00357757" w:rsidRDefault="00357757" w:rsidP="00A054FD">
      <w:pPr>
        <w:pStyle w:val="POPIERAJCYPOPRAWKZAMIESZCZONWZESTAWIENIUWNIOSKW"/>
      </w:pPr>
    </w:p>
    <w:p w14:paraId="7F8CF7C0" w14:textId="5E097D21" w:rsidR="00357757" w:rsidRDefault="00357757" w:rsidP="00A054FD">
      <w:pPr>
        <w:pStyle w:val="POPIERAJCYPOPRAWKZAMIESZCZONWZESTAWIENIUWNIOSKW"/>
      </w:pPr>
    </w:p>
    <w:p w14:paraId="2D1248E9" w14:textId="3183D808" w:rsidR="00357757" w:rsidRDefault="00357757" w:rsidP="00A054FD">
      <w:pPr>
        <w:pStyle w:val="POPIERAJCYPOPRAWKZAMIESZCZONWZESTAWIENIUWNIOSKW"/>
      </w:pPr>
    </w:p>
    <w:p w14:paraId="2A036607" w14:textId="5F6DDA15" w:rsidR="00357757" w:rsidRDefault="00357757" w:rsidP="00A054FD">
      <w:pPr>
        <w:pStyle w:val="POPIERAJCYPOPRAWKZAMIESZCZONWZESTAWIENIUWNIOSKW"/>
      </w:pPr>
    </w:p>
    <w:p w14:paraId="145432AB" w14:textId="7D289831" w:rsidR="00357757" w:rsidRDefault="00357757" w:rsidP="00A054FD">
      <w:pPr>
        <w:pStyle w:val="POPIERAJCYPOPRAWKZAMIESZCZONWZESTAWIENIUWNIOSKW"/>
      </w:pPr>
    </w:p>
    <w:p w14:paraId="0CB33102" w14:textId="77777777" w:rsidR="00357757" w:rsidRDefault="00357757" w:rsidP="00357757">
      <w:pPr>
        <w:pStyle w:val="POPIERAJCYPOPRAWKZAMIESZCZONWZESTAWIENIUWNIOSKW"/>
      </w:pPr>
    </w:p>
    <w:p w14:paraId="516BD4FE" w14:textId="77777777" w:rsidR="00357757" w:rsidRDefault="00357757" w:rsidP="0035775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0D7081D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445F1355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0E7572B5" w14:textId="77777777" w:rsidR="00357757" w:rsidRDefault="00357757" w:rsidP="0035775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D9969BD" w14:textId="77777777" w:rsidR="00357757" w:rsidRDefault="00357757" w:rsidP="00A054FD">
      <w:pPr>
        <w:pStyle w:val="POPIERAJCYPOPRAWKZAMIESZCZONWZESTAWIENIUWNIOSKW"/>
        <w:sectPr w:rsidR="0035775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A54ED25" w14:textId="77777777" w:rsidR="0031632A" w:rsidRDefault="0031632A" w:rsidP="007D2A7D">
      <w:pPr>
        <w:pStyle w:val="OZNRODZAKTUtznustawalubrozporzdzenieiorganwydajcy"/>
      </w:pPr>
      <w:r>
        <w:lastRenderedPageBreak/>
        <w:t>uzasadnienie</w:t>
      </w:r>
    </w:p>
    <w:p w14:paraId="671A8625" w14:textId="77777777" w:rsidR="0031632A" w:rsidRDefault="0031632A" w:rsidP="007D2A7D">
      <w:pPr>
        <w:pStyle w:val="NIEARTTEKSTtekstnieartykuowanynppodstprawnarozplubpreambua"/>
      </w:pPr>
    </w:p>
    <w:p w14:paraId="7F99343F" w14:textId="77777777" w:rsidR="0031632A" w:rsidRDefault="0031632A" w:rsidP="00192852">
      <w:pPr>
        <w:pStyle w:val="ARTartustawynprozporzdzenia"/>
      </w:pPr>
      <w:r>
        <w:t xml:space="preserve">Na posiedzeniu w dniu 31 lipca 2025 r. Senat rozpatrzył ustawę </w:t>
      </w:r>
      <w:r w:rsidRPr="007D2A7D">
        <w:t xml:space="preserve">o </w:t>
      </w:r>
      <w:r>
        <w:t xml:space="preserve">uchyleniu ustawy </w:t>
      </w:r>
      <w:r>
        <w:br/>
        <w:t xml:space="preserve">o Centralnej Informacji Emerytalnej i uchwalił do niej 2 </w:t>
      </w:r>
      <w:r w:rsidRPr="006124B5">
        <w:t>poprawk</w:t>
      </w:r>
      <w:r>
        <w:t>i</w:t>
      </w:r>
      <w:r w:rsidRPr="006124B5">
        <w:t>.</w:t>
      </w:r>
    </w:p>
    <w:p w14:paraId="337649ED" w14:textId="77777777" w:rsidR="0031632A" w:rsidRDefault="0031632A" w:rsidP="00561BCA">
      <w:pPr>
        <w:pStyle w:val="ARTartustawynprozporzdzenia"/>
      </w:pPr>
      <w:r w:rsidRPr="00647883">
        <w:rPr>
          <w:rStyle w:val="Ppogrubienie"/>
        </w:rPr>
        <w:t>Poprawka nr 1</w:t>
      </w:r>
      <w:r>
        <w:t xml:space="preserve"> </w:t>
      </w:r>
      <w:r w:rsidRPr="006227CB">
        <w:t>ma na celu</w:t>
      </w:r>
      <w:r>
        <w:t xml:space="preserve"> doprecyzowanie o</w:t>
      </w:r>
      <w:r w:rsidRPr="00D32BF2">
        <w:t>gólne</w:t>
      </w:r>
      <w:r>
        <w:t>go</w:t>
      </w:r>
      <w:r w:rsidRPr="00D32BF2">
        <w:t xml:space="preserve"> określeni</w:t>
      </w:r>
      <w:r>
        <w:t>a</w:t>
      </w:r>
      <w:r w:rsidRPr="00D32BF2">
        <w:t xml:space="preserve"> przedmiotu ustawy</w:t>
      </w:r>
      <w:r>
        <w:t xml:space="preserve"> </w:t>
      </w:r>
      <w:r>
        <w:br/>
      </w:r>
      <w:r w:rsidRPr="00D32BF2">
        <w:t>w tytule opiniowanej ustawy</w:t>
      </w:r>
      <w:r>
        <w:t xml:space="preserve"> poprzez wskazanie, że ustawa poza uchyleniem ustawy </w:t>
      </w:r>
      <w:r>
        <w:br/>
        <w:t xml:space="preserve">o Centralnej Informacji Emerytalnej zmienia również inne ustawy. </w:t>
      </w:r>
      <w:r w:rsidRPr="00B91EC0">
        <w:t>Zaproponowana przez Senat poprawka dostosowuje ogólne określenie przedmiotu ustawy w jej tytule do wytycznych dotyczących formułowania tytułów ustaw, zawartych w</w:t>
      </w:r>
      <w:r w:rsidRPr="007E507E">
        <w:t xml:space="preserve"> § 96 ust. 2</w:t>
      </w:r>
      <w:r>
        <w:t xml:space="preserve"> Zasad techniki prawodawczej</w:t>
      </w:r>
      <w:r w:rsidRPr="00B91EC0">
        <w:t>,</w:t>
      </w:r>
      <w:r>
        <w:t xml:space="preserve"> zgodnie z którymi</w:t>
      </w:r>
      <w:r w:rsidRPr="00B91EC0">
        <w:t xml:space="preserve"> jeśli jedna ustawa zmienia wiele innych ustaw, a ich wymienienie nadmiernie wydłuża tytuł</w:t>
      </w:r>
      <w:r>
        <w:t xml:space="preserve"> ustawy</w:t>
      </w:r>
      <w:r w:rsidRPr="00B91EC0">
        <w:t>, należy zastosować zwrot „oraz niektórych innych ustaw”. Ponadto przedmiot ustawy w jej tytule powinien być określony w sposób adekwatny do jej treści</w:t>
      </w:r>
      <w:r>
        <w:t xml:space="preserve">, zgodnie z </w:t>
      </w:r>
      <w:r w:rsidRPr="00922D63">
        <w:t>§ 18 ust. 1</w:t>
      </w:r>
      <w:r>
        <w:t xml:space="preserve"> Zasad techniki prawodawczej</w:t>
      </w:r>
      <w:r w:rsidRPr="00B91EC0">
        <w:t>.</w:t>
      </w:r>
    </w:p>
    <w:p w14:paraId="5BFED872" w14:textId="77777777" w:rsidR="0031632A" w:rsidRDefault="0031632A" w:rsidP="001C4286">
      <w:pPr>
        <w:pStyle w:val="ARTartustawynprozporzdzenia"/>
      </w:pPr>
      <w:r w:rsidRPr="00647883">
        <w:rPr>
          <w:rStyle w:val="Ppogrubienie"/>
        </w:rPr>
        <w:t>Poprawk</w:t>
      </w:r>
      <w:r>
        <w:rPr>
          <w:rStyle w:val="Ppogrubienie"/>
        </w:rPr>
        <w:t>a</w:t>
      </w:r>
      <w:r w:rsidRPr="00647883">
        <w:rPr>
          <w:rStyle w:val="Ppogrubienie"/>
        </w:rPr>
        <w:t xml:space="preserve"> nr 2</w:t>
      </w:r>
      <w:r>
        <w:rPr>
          <w:rStyle w:val="Ppogrubienie"/>
        </w:rPr>
        <w:t xml:space="preserve"> </w:t>
      </w:r>
      <w:r>
        <w:t xml:space="preserve">ma na celu </w:t>
      </w:r>
      <w:r w:rsidRPr="00561BCA">
        <w:t>modyfikację odesłania</w:t>
      </w:r>
      <w:r>
        <w:t xml:space="preserve"> </w:t>
      </w:r>
      <w:r w:rsidRPr="000273B4">
        <w:t>zawartego w art. 4 pkt 20 li. d ustawy o systemie ubezpieczeń społecznych</w:t>
      </w:r>
      <w:r>
        <w:t xml:space="preserve">. </w:t>
      </w:r>
      <w:r w:rsidRPr="00F74257">
        <w:t xml:space="preserve">Obecnie wskazany w tym odesłaniu przepis – art. 77 </w:t>
      </w:r>
      <w:r>
        <w:br/>
      </w:r>
      <w:r w:rsidRPr="00F74257">
        <w:t xml:space="preserve">ust. 2 ustawy o pracowniczych planach kapitałowych – określa Polski Fundusz Rozwoju jako podmiot prowadzący portal informatyczny (portal PPK). Tymczasem Polski Fundusz Rozwoju </w:t>
      </w:r>
      <w:r>
        <w:t xml:space="preserve">jest </w:t>
      </w:r>
      <w:r w:rsidRPr="00F74257">
        <w:t>podmiotem prowadzącym Ewidencję Pracowniczych Planów Kapitałowych</w:t>
      </w:r>
      <w:r>
        <w:t xml:space="preserve"> </w:t>
      </w:r>
      <w:r w:rsidRPr="00F74257">
        <w:t xml:space="preserve">na mocy </w:t>
      </w:r>
      <w:r>
        <w:br/>
      </w:r>
      <w:r w:rsidRPr="00F74257">
        <w:t xml:space="preserve">art. 58 ust. 2. Zaproponowana przez Senat zmiana wynika z potrzeby skorygowania odesłania tak, aby odpowiadało ono rzeczywistej regulacji </w:t>
      </w:r>
      <w:r>
        <w:t>wskazującej, że podmiotem</w:t>
      </w:r>
      <w:r w:rsidRPr="00F74257">
        <w:t xml:space="preserve"> prowadz</w:t>
      </w:r>
      <w:r>
        <w:t>ącym</w:t>
      </w:r>
      <w:r w:rsidRPr="00F74257">
        <w:t xml:space="preserve"> Ewidencj</w:t>
      </w:r>
      <w:r>
        <w:t xml:space="preserve">ę </w:t>
      </w:r>
      <w:r w:rsidRPr="00F74257">
        <w:t>Pracowniczych Planów Kapitałowych</w:t>
      </w:r>
      <w:r>
        <w:t xml:space="preserve"> jest </w:t>
      </w:r>
      <w:r w:rsidRPr="00F74257">
        <w:t>Polski Fundusz Rozwoju.</w:t>
      </w:r>
    </w:p>
    <w:p w14:paraId="5AC274F7" w14:textId="77777777" w:rsidR="0031632A" w:rsidRDefault="0031632A" w:rsidP="001C4286">
      <w:pPr>
        <w:pStyle w:val="ARTartustawynprozporzdzenia"/>
      </w:pPr>
    </w:p>
    <w:p w14:paraId="710E029E" w14:textId="77777777" w:rsidR="0031632A" w:rsidRDefault="0031632A" w:rsidP="00561BCA">
      <w:pPr>
        <w:pStyle w:val="ARTartustawynprozporzdzenia"/>
      </w:pPr>
    </w:p>
    <w:p w14:paraId="41874DE7" w14:textId="77777777" w:rsidR="0031632A" w:rsidRDefault="0031632A" w:rsidP="001C4286">
      <w:pPr>
        <w:pStyle w:val="ARTartustawynprozporzdzenia"/>
      </w:pPr>
      <w:r w:rsidRPr="00561BCA">
        <w:t xml:space="preserve"> </w:t>
      </w:r>
    </w:p>
    <w:p w14:paraId="7EC45CF9" w14:textId="77777777" w:rsidR="0031632A" w:rsidRDefault="0031632A" w:rsidP="00647883">
      <w:pPr>
        <w:pStyle w:val="ARTartustawynprozporzdzenia"/>
      </w:pPr>
    </w:p>
    <w:p w14:paraId="4E2FB64A" w14:textId="77777777" w:rsidR="0031632A" w:rsidRPr="007D2A7D" w:rsidRDefault="0031632A" w:rsidP="00443C53">
      <w:pPr>
        <w:pStyle w:val="ARTartustawynprozporzdzenia"/>
      </w:pPr>
    </w:p>
    <w:p w14:paraId="19639A59" w14:textId="50CD2521" w:rsidR="00357757" w:rsidRPr="00737F6A" w:rsidRDefault="00357757" w:rsidP="00337C3F">
      <w:pPr>
        <w:pStyle w:val="OZNRODZAKTUtznustawalubrozporzdzenieiorganwydajcy"/>
      </w:pPr>
    </w:p>
    <w:sectPr w:rsidR="00357757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1C3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6A10EA"/>
    <w:multiLevelType w:val="hybridMultilevel"/>
    <w:tmpl w:val="2A021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822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1632A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37C3F"/>
    <w:rsid w:val="00341A6A"/>
    <w:rsid w:val="00341D7D"/>
    <w:rsid w:val="00345B9C"/>
    <w:rsid w:val="00347851"/>
    <w:rsid w:val="00351BBB"/>
    <w:rsid w:val="00352DAE"/>
    <w:rsid w:val="00354EB9"/>
    <w:rsid w:val="003561A1"/>
    <w:rsid w:val="0035775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C59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BB2"/>
    <w:rsid w:val="004A2001"/>
    <w:rsid w:val="004A3590"/>
    <w:rsid w:val="004A762B"/>
    <w:rsid w:val="004B00A7"/>
    <w:rsid w:val="004B1D9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86C1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85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5B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5B7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4A18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1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960A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F1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87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F3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5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337C3F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2025-07-31T12:05:00Z</cp:lastPrinted>
  <dcterms:created xsi:type="dcterms:W3CDTF">2025-07-31T12:06:00Z</dcterms:created>
  <dcterms:modified xsi:type="dcterms:W3CDTF">2025-07-31T12:06:00Z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