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A87D" w14:textId="77777777" w:rsidR="00447A7A" w:rsidRPr="00E000DC" w:rsidRDefault="00447A7A" w:rsidP="00912118">
      <w:pPr>
        <w:pStyle w:val="OZNRODZAKTUtznustawalubrozporzdzenieiorganwydajcy"/>
      </w:pPr>
      <w:r w:rsidRPr="00912118">
        <w:t>UCHWAŁA</w:t>
      </w:r>
    </w:p>
    <w:p w14:paraId="62888CD7" w14:textId="77777777" w:rsidR="00447A7A" w:rsidRPr="00E000DC" w:rsidRDefault="00447A7A" w:rsidP="00912118">
      <w:pPr>
        <w:pStyle w:val="OZNRODZAKTUtznustawalubrozporzdzenieiorganwydajcy"/>
      </w:pPr>
      <w:r w:rsidRPr="00E000DC">
        <w:t>SENATU RZECZYPOSPOLITEJ POLSKIEJ</w:t>
      </w:r>
    </w:p>
    <w:p w14:paraId="2B8FEE3F" w14:textId="77777777" w:rsidR="00447A7A" w:rsidRPr="00E000DC" w:rsidRDefault="00447A7A" w:rsidP="00912118">
      <w:pPr>
        <w:pStyle w:val="DATAAKTUdatauchwalenialubwydaniaaktu"/>
      </w:pPr>
      <w:r w:rsidRPr="00E000DC">
        <w:t>z dnia</w:t>
      </w:r>
      <w:r>
        <w:t xml:space="preserve"> 31 lipca 2025 r.</w:t>
      </w:r>
    </w:p>
    <w:p w14:paraId="4BB3AE11" w14:textId="77777777" w:rsidR="00447A7A" w:rsidRPr="00E000DC" w:rsidRDefault="00447A7A" w:rsidP="00BF6F18">
      <w:pPr>
        <w:pStyle w:val="TYTUAKTUprzedmiotregulacjiustawylubrozporzdzenia"/>
      </w:pPr>
      <w:r>
        <w:t>w sprawie ustawy o zmianie ustawy o zapasach ropy naftowej, produktów naftowych i gazu ziemnego oraz zasadach postępowania w sytuacjach zagrożenia bezpieczeństwa paliwowego państwa i zakłóceń na rynku naftowym oraz niektórych innych ustaw</w:t>
      </w:r>
    </w:p>
    <w:p w14:paraId="4729B172" w14:textId="77777777" w:rsidR="00447A7A" w:rsidRDefault="00447A7A" w:rsidP="0029298F">
      <w:pPr>
        <w:pStyle w:val="NIEARTTEKSTtekstnieartykuowanynppodstprawnarozplubpreambua"/>
      </w:pPr>
      <w:r w:rsidRPr="00E000DC">
        <w:t xml:space="preserve">Senat, po rozpatrzeniu uchwalonej przez Sejm na posiedzeniu w dniu </w:t>
      </w:r>
      <w:r>
        <w:t>9 lipca 2025 </w:t>
      </w:r>
      <w:r w:rsidRPr="00E000DC">
        <w:t xml:space="preserve">r. ustawy </w:t>
      </w:r>
      <w:r>
        <w:t>o zmianie ustawy o zapasach ropy naftowej, produktów naftowych i gazu ziemnego oraz zasadach postępowania w sytuacjach zagrożenia bezpieczeństwa paliwowego państwa i zakłóceń na rynku naftowym oraz niektórych innych ustaw</w:t>
      </w:r>
      <w:r w:rsidRPr="00E000DC">
        <w:t>, wprowadza do jej tekstu następujące poprawki:</w:t>
      </w: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851"/>
        <w:gridCol w:w="8647"/>
      </w:tblGrid>
      <w:tr w:rsidR="00447A7A" w:rsidRPr="00B528A4" w14:paraId="4CCC5299" w14:textId="77777777" w:rsidTr="00A10639">
        <w:trPr>
          <w:trHeight w:val="720"/>
        </w:trPr>
        <w:tc>
          <w:tcPr>
            <w:tcW w:w="851" w:type="dxa"/>
            <w:tcBorders>
              <w:top w:val="nil"/>
              <w:left w:val="nil"/>
              <w:bottom w:val="nil"/>
              <w:right w:val="nil"/>
            </w:tcBorders>
          </w:tcPr>
          <w:p w14:paraId="25893224"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1B554CBF" w14:textId="77777777" w:rsidR="00447A7A" w:rsidRDefault="00447A7A" w:rsidP="00F919C1">
            <w:pPr>
              <w:pStyle w:val="TREPUNKTUWUCHWALESENACKIEJ"/>
            </w:pPr>
            <w:r w:rsidRPr="00112274">
              <w:t>w art. 1</w:t>
            </w:r>
            <w:r>
              <w:t>:</w:t>
            </w:r>
          </w:p>
          <w:p w14:paraId="326E01AC" w14:textId="77777777" w:rsidR="00447A7A" w:rsidRDefault="00447A7A" w:rsidP="00F919C1">
            <w:pPr>
              <w:pStyle w:val="LITERAWUCHWALESENACKIEJ"/>
            </w:pPr>
            <w:r>
              <w:t>a)</w:t>
            </w:r>
            <w:r>
              <w:tab/>
              <w:t xml:space="preserve">w pkt 2 po lit. c dodaje się lit. ca oraz </w:t>
            </w:r>
            <w:proofErr w:type="spellStart"/>
            <w:r>
              <w:t>cb</w:t>
            </w:r>
            <w:proofErr w:type="spellEnd"/>
            <w:r>
              <w:t xml:space="preserve"> w brzmieniu:</w:t>
            </w:r>
          </w:p>
          <w:p w14:paraId="4142E57F" w14:textId="77777777" w:rsidR="00447A7A" w:rsidRDefault="00447A7A" w:rsidP="00F919C1">
            <w:pPr>
              <w:pStyle w:val="LITlitera"/>
            </w:pPr>
            <w:r>
              <w:t>„ca)</w:t>
            </w:r>
            <w:r>
              <w:tab/>
            </w:r>
            <w:r w:rsidRPr="008E0920">
              <w:t>po</w:t>
            </w:r>
            <w:r>
              <w:t xml:space="preserve"> pkt 26 dodaje się pkt 26a w brzmieniu:</w:t>
            </w:r>
          </w:p>
          <w:p w14:paraId="3E6B13F3" w14:textId="77777777" w:rsidR="00447A7A" w:rsidRDefault="00447A7A" w:rsidP="00F919C1">
            <w:pPr>
              <w:pStyle w:val="ZLITPKTzmpktliter"/>
            </w:pPr>
            <w:r>
              <w:t>„26a)</w:t>
            </w:r>
            <w:r>
              <w:tab/>
              <w:t>operator systemu przesyłowego elektroenergetycznego – </w:t>
            </w:r>
            <w:r w:rsidRPr="008E0920">
              <w:t xml:space="preserve">przedsiębiorstwo energetyczne zajmujące się przesyłaniem </w:t>
            </w:r>
            <w:r>
              <w:t>energii elektrycznej</w:t>
            </w:r>
            <w:r w:rsidRPr="008E0920">
              <w:t xml:space="preserve">, odpowiedzialne za ruch sieciowy w systemie przesyłowym </w:t>
            </w:r>
            <w:r>
              <w:t>elektroenergetycznym</w:t>
            </w:r>
            <w:r w:rsidRPr="008E0920">
              <w:t xml:space="preserve">, bieżące </w:t>
            </w:r>
            <w:r>
              <w:t xml:space="preserve">i </w:t>
            </w:r>
            <w:r w:rsidRPr="008E0920">
              <w:t xml:space="preserve">długookresowe bezpieczeństwo funkcjonowania tego systemu, eksploatację, konserwację, remonty oraz niezbędną rozbudowę sieci przesyłowej </w:t>
            </w:r>
            <w:r>
              <w:t>elektroenergetycznej</w:t>
            </w:r>
            <w:r w:rsidRPr="008E0920">
              <w:t xml:space="preserve">, w tym połączeń z innymi systemami </w:t>
            </w:r>
            <w:r>
              <w:t>elektroenergetycznymi</w:t>
            </w:r>
            <w:r w:rsidRPr="008E0920">
              <w:t>;</w:t>
            </w:r>
            <w:r>
              <w:t>”,</w:t>
            </w:r>
          </w:p>
          <w:p w14:paraId="2CE930D0" w14:textId="77777777" w:rsidR="00447A7A" w:rsidRDefault="00447A7A" w:rsidP="00F919C1">
            <w:pPr>
              <w:pStyle w:val="LITlitera"/>
            </w:pPr>
            <w:proofErr w:type="spellStart"/>
            <w:r>
              <w:t>cb</w:t>
            </w:r>
            <w:proofErr w:type="spellEnd"/>
            <w:r>
              <w:t>)</w:t>
            </w:r>
            <w:r>
              <w:tab/>
              <w:t>po pkt 28 dodaje się pkt 28a w brzmieniu:</w:t>
            </w:r>
          </w:p>
          <w:p w14:paraId="090265BF" w14:textId="77777777" w:rsidR="00447A7A" w:rsidRDefault="00447A7A" w:rsidP="00F919C1">
            <w:pPr>
              <w:pStyle w:val="ZLITPKTzmpktliter"/>
            </w:pPr>
            <w:r>
              <w:t>„28a)</w:t>
            </w:r>
            <w:r>
              <w:tab/>
              <w:t>operator systemu połączonego elektroenergetycznego – </w:t>
            </w:r>
            <w:r w:rsidRPr="008E0920">
              <w:t xml:space="preserve">przedsiębiorstwo energetyczne zarządzające systemami połączonymi </w:t>
            </w:r>
            <w:r>
              <w:t>elektroenergetycznymi</w:t>
            </w:r>
            <w:r w:rsidRPr="008E0920">
              <w:t xml:space="preserve">, </w:t>
            </w:r>
            <w:r>
              <w:t xml:space="preserve">w </w:t>
            </w:r>
            <w:r w:rsidRPr="008E0920">
              <w:t xml:space="preserve">tym systemem przesyłowym </w:t>
            </w:r>
            <w:r>
              <w:t>i </w:t>
            </w:r>
            <w:r w:rsidRPr="008E0920">
              <w:t>dystrybucyjnym;</w:t>
            </w:r>
            <w:r>
              <w:t>”,”,</w:t>
            </w:r>
          </w:p>
          <w:p w14:paraId="3C05FD1F" w14:textId="77777777" w:rsidR="00447A7A" w:rsidRPr="00D9022A" w:rsidRDefault="00447A7A" w:rsidP="00F919C1">
            <w:pPr>
              <w:pStyle w:val="LITERAWUCHWALESENACKIEJ"/>
            </w:pPr>
            <w:r>
              <w:t>b)</w:t>
            </w:r>
            <w:r>
              <w:tab/>
              <w:t xml:space="preserve">w pkt 16, w art. 54a w ust. 2 skreśla się wyrazy „ </w:t>
            </w:r>
            <w:r w:rsidRPr="00EF0F5D">
              <w:t>, o</w:t>
            </w:r>
            <w:r>
              <w:t xml:space="preserve"> </w:t>
            </w:r>
            <w:r w:rsidRPr="00EF0F5D">
              <w:t xml:space="preserve">którym mowa w art. 3 pkt 24 ustawy </w:t>
            </w:r>
            <w:r>
              <w:t xml:space="preserve">z </w:t>
            </w:r>
            <w:r w:rsidRPr="00EF0F5D">
              <w:t>dnia 10</w:t>
            </w:r>
            <w:r>
              <w:t xml:space="preserve"> </w:t>
            </w:r>
            <w:r w:rsidRPr="00EF0F5D">
              <w:t>kwietnia 1997 r. – Prawo energetyczne,</w:t>
            </w:r>
            <w:r>
              <w:t>”</w:t>
            </w:r>
            <w:r w:rsidRPr="00EF0F5D">
              <w:t xml:space="preserve"> </w:t>
            </w:r>
            <w:r>
              <w:t>oraz wyrazy „ </w:t>
            </w:r>
            <w:r w:rsidRPr="00EF0F5D">
              <w:t>,</w:t>
            </w:r>
            <w:r>
              <w:t> </w:t>
            </w:r>
            <w:r w:rsidRPr="00EF0F5D">
              <w:t>o którym mowa w art. 3 pkt</w:t>
            </w:r>
            <w:r>
              <w:t xml:space="preserve"> </w:t>
            </w:r>
            <w:r w:rsidRPr="00EF0F5D">
              <w:t>28 tej ustawy</w:t>
            </w:r>
            <w:r>
              <w:t>”;</w:t>
            </w:r>
          </w:p>
        </w:tc>
      </w:tr>
      <w:tr w:rsidR="00447A7A" w:rsidRPr="00B528A4" w14:paraId="4B41E09C" w14:textId="77777777" w:rsidTr="00A10639">
        <w:trPr>
          <w:trHeight w:val="720"/>
        </w:trPr>
        <w:tc>
          <w:tcPr>
            <w:tcW w:w="851" w:type="dxa"/>
            <w:tcBorders>
              <w:top w:val="nil"/>
              <w:left w:val="nil"/>
              <w:bottom w:val="nil"/>
              <w:right w:val="nil"/>
            </w:tcBorders>
          </w:tcPr>
          <w:p w14:paraId="5589843C"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17A2C4AC" w14:textId="77777777" w:rsidR="00447A7A" w:rsidRDefault="00447A7A" w:rsidP="00A44E3E">
            <w:pPr>
              <w:pStyle w:val="TREPUNKTUWUCHWALESENACKIEJ"/>
            </w:pPr>
            <w:r w:rsidRPr="00D9022A">
              <w:t xml:space="preserve">w </w:t>
            </w:r>
            <w:r>
              <w:t>art. 1 w pkt 7 w lit. b, ust. 1a otrzymuje brzmienie:</w:t>
            </w:r>
          </w:p>
          <w:p w14:paraId="5A5FA9EA" w14:textId="77777777" w:rsidR="00447A7A" w:rsidRDefault="00447A7A" w:rsidP="00A44E3E">
            <w:pPr>
              <w:pStyle w:val="ZLITUSTzmustliter"/>
            </w:pPr>
            <w:r>
              <w:t xml:space="preserve">„1a. </w:t>
            </w:r>
            <w:r w:rsidRPr="00E21459">
              <w:t xml:space="preserve">Zgodę, o której mowa w ust. 1, minister właściwy do spraw gospodarki surowcami energetycznymi wyraża w drodze decyzji, </w:t>
            </w:r>
            <w:r>
              <w:t>na </w:t>
            </w:r>
            <w:r w:rsidRPr="00E21459">
              <w:t xml:space="preserve">wniosek przedsiębiorstwa lub podmiotu, o których mowa w art. 24 </w:t>
            </w:r>
            <w:r>
              <w:t>ust. </w:t>
            </w:r>
            <w:r w:rsidRPr="00E21459">
              <w:t xml:space="preserve">1, w terminie </w:t>
            </w:r>
            <w:r>
              <w:t>30</w:t>
            </w:r>
            <w:r w:rsidRPr="00E21459">
              <w:t xml:space="preserve"> dni od dnia otrzymania wniosku, </w:t>
            </w:r>
            <w:r>
              <w:t>przy czym:</w:t>
            </w:r>
          </w:p>
          <w:p w14:paraId="23064F06" w14:textId="77777777" w:rsidR="00447A7A" w:rsidRDefault="00447A7A" w:rsidP="00A44E3E">
            <w:pPr>
              <w:pStyle w:val="ZLITPKTzmpktliter"/>
            </w:pPr>
            <w:r>
              <w:t>1)</w:t>
            </w:r>
            <w:r>
              <w:tab/>
              <w:t>przed udzieleniem zgody minister właściwy do spraw gospodarki surowcami energetycznymi zwraca się do operatora systemu przesyłowego gazowego o przekazanie, w terminie 14 dni od dnia otrzymania żądania, opinii w tej sprawie;</w:t>
            </w:r>
          </w:p>
          <w:p w14:paraId="44126AED" w14:textId="77777777" w:rsidR="00447A7A" w:rsidRDefault="00447A7A" w:rsidP="00A44E3E">
            <w:pPr>
              <w:pStyle w:val="ZLITPKTzmpktliter"/>
            </w:pPr>
            <w:r>
              <w:t>2)</w:t>
            </w:r>
            <w:r>
              <w:tab/>
              <w:t>w przypadku nieprzekazania opinii, o której mowa w pkt 1, w terminie wymóg jej zasięgnięcia uznaje się za spełniony;</w:t>
            </w:r>
          </w:p>
          <w:p w14:paraId="119CE675" w14:textId="77777777" w:rsidR="00447A7A" w:rsidRPr="005C23A6" w:rsidRDefault="00447A7A" w:rsidP="00A44E3E">
            <w:pPr>
              <w:pStyle w:val="ZLITPKTzmpktliter"/>
              <w:rPr>
                <w:rStyle w:val="Ppogrubienie"/>
              </w:rPr>
            </w:pPr>
            <w:r>
              <w:t>3)</w:t>
            </w:r>
            <w:r>
              <w:tab/>
              <w:t xml:space="preserve">niewydanie decyzji w terminie uznaje się za wyrażenie przez </w:t>
            </w:r>
            <w:r w:rsidRPr="00E21459">
              <w:t>minist</w:t>
            </w:r>
            <w:r>
              <w:t>ra</w:t>
            </w:r>
            <w:r w:rsidRPr="00E21459">
              <w:t xml:space="preserve"> właściw</w:t>
            </w:r>
            <w:r>
              <w:t>ego</w:t>
            </w:r>
            <w:r w:rsidRPr="00E21459">
              <w:t xml:space="preserve"> do spraw gospodarki surowcami energetycznymi </w:t>
            </w:r>
            <w:r>
              <w:t>zgody.”;</w:t>
            </w:r>
          </w:p>
        </w:tc>
      </w:tr>
      <w:tr w:rsidR="00447A7A" w:rsidRPr="00B528A4" w14:paraId="5629E2BD" w14:textId="77777777" w:rsidTr="00A10639">
        <w:trPr>
          <w:trHeight w:val="720"/>
        </w:trPr>
        <w:tc>
          <w:tcPr>
            <w:tcW w:w="851" w:type="dxa"/>
            <w:tcBorders>
              <w:top w:val="nil"/>
              <w:left w:val="nil"/>
              <w:bottom w:val="nil"/>
              <w:right w:val="nil"/>
            </w:tcBorders>
          </w:tcPr>
          <w:p w14:paraId="39528CCD"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2EF05CEE" w14:textId="77777777" w:rsidR="00447A7A" w:rsidRPr="00D9022A" w:rsidRDefault="00447A7A" w:rsidP="00A44E3E">
            <w:pPr>
              <w:pStyle w:val="TREPUNKTUWUCHWALESENACKIEJ"/>
            </w:pPr>
            <w:r>
              <w:t>w art. 1 w pkt 7 w lit. b, w ust. 1b wyrazy „ust. 1” zastępuje się wyrazami „ust. 1a”;</w:t>
            </w:r>
          </w:p>
        </w:tc>
      </w:tr>
      <w:tr w:rsidR="00447A7A" w:rsidRPr="00B528A4" w14:paraId="1FB0AA3A" w14:textId="77777777" w:rsidTr="00A10639">
        <w:trPr>
          <w:trHeight w:val="720"/>
        </w:trPr>
        <w:tc>
          <w:tcPr>
            <w:tcW w:w="851" w:type="dxa"/>
            <w:tcBorders>
              <w:top w:val="nil"/>
              <w:left w:val="nil"/>
              <w:bottom w:val="nil"/>
              <w:right w:val="nil"/>
            </w:tcBorders>
          </w:tcPr>
          <w:p w14:paraId="1FEC430E"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45D5341F" w14:textId="77777777" w:rsidR="00447A7A" w:rsidRDefault="00447A7A" w:rsidP="00F919C1">
            <w:pPr>
              <w:pStyle w:val="TREPUNKTUWUCHWALESENACKIEJ"/>
            </w:pPr>
            <w:r w:rsidRPr="0022036C">
              <w:t xml:space="preserve">w </w:t>
            </w:r>
            <w:r>
              <w:t>art. 1 w pkt 18:</w:t>
            </w:r>
          </w:p>
          <w:p w14:paraId="1F3D6068" w14:textId="77777777" w:rsidR="00447A7A" w:rsidRDefault="00447A7A" w:rsidP="00F919C1">
            <w:pPr>
              <w:pStyle w:val="LITERAWUCHWALESENACKIEJ"/>
            </w:pPr>
            <w:r>
              <w:t>a)</w:t>
            </w:r>
            <w:r>
              <w:tab/>
              <w:t>w lit. a, w ust. 3 wyrazy „</w:t>
            </w:r>
            <w:r w:rsidRPr="00D569CA">
              <w:t>w</w:t>
            </w:r>
            <w:r>
              <w:t xml:space="preserve"> </w:t>
            </w:r>
            <w:r w:rsidRPr="00D569CA">
              <w:t>rozumieniu odpowiednio</w:t>
            </w:r>
            <w:r>
              <w:t>” zastępuje się wyrazami „o których mowa odpowiednio w”,</w:t>
            </w:r>
          </w:p>
          <w:p w14:paraId="10A832C7" w14:textId="77777777" w:rsidR="00447A7A" w:rsidRDefault="00447A7A" w:rsidP="00F919C1">
            <w:pPr>
              <w:pStyle w:val="LITERAWUCHWALESENACKIEJ"/>
            </w:pPr>
            <w:r>
              <w:t>b)</w:t>
            </w:r>
            <w:r>
              <w:tab/>
              <w:t>w lit. d, w ust. 5c w zdaniu pierwszym wyrazy „</w:t>
            </w:r>
            <w:r w:rsidRPr="007221A2">
              <w:t>w</w:t>
            </w:r>
            <w:r>
              <w:t xml:space="preserve"> </w:t>
            </w:r>
            <w:r w:rsidRPr="007221A2">
              <w:t>rozumieniu odpowiednio</w:t>
            </w:r>
            <w:r>
              <w:t>”</w:t>
            </w:r>
            <w:r w:rsidRPr="007221A2">
              <w:t xml:space="preserve"> zastępuje się wyrazami </w:t>
            </w:r>
            <w:r>
              <w:t xml:space="preserve">„ , </w:t>
            </w:r>
            <w:r w:rsidRPr="007221A2">
              <w:t>o których mowa odpowiednio w</w:t>
            </w:r>
            <w:r>
              <w:t>”;</w:t>
            </w:r>
          </w:p>
        </w:tc>
      </w:tr>
      <w:tr w:rsidR="00447A7A" w:rsidRPr="00B528A4" w14:paraId="25426372" w14:textId="77777777" w:rsidTr="00A10639">
        <w:trPr>
          <w:trHeight w:val="720"/>
        </w:trPr>
        <w:tc>
          <w:tcPr>
            <w:tcW w:w="851" w:type="dxa"/>
            <w:tcBorders>
              <w:top w:val="nil"/>
              <w:left w:val="nil"/>
              <w:bottom w:val="nil"/>
              <w:right w:val="nil"/>
            </w:tcBorders>
          </w:tcPr>
          <w:p w14:paraId="577F33CF"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45F363A4" w14:textId="77777777" w:rsidR="00447A7A" w:rsidRPr="00A55F97" w:rsidRDefault="00447A7A" w:rsidP="00F56331">
            <w:pPr>
              <w:pStyle w:val="TREPUNKTUWUCHWALESENACKIEJ"/>
            </w:pPr>
            <w:r w:rsidRPr="00A55F97">
              <w:t>w art. 1 w pkt 18</w:t>
            </w:r>
            <w:r>
              <w:t xml:space="preserve"> </w:t>
            </w:r>
            <w:r w:rsidRPr="00A55F97">
              <w:t xml:space="preserve">w lit. </w:t>
            </w:r>
            <w:r>
              <w:t>d</w:t>
            </w:r>
            <w:r w:rsidRPr="00A55F97">
              <w:t>, w ust. 5b po wyrazie „przekazuje” dodaje się wyrazy „</w:t>
            </w:r>
            <w:r>
              <w:t> </w:t>
            </w:r>
            <w:r w:rsidRPr="00A55F97">
              <w:t>,</w:t>
            </w:r>
            <w:r>
              <w:t> </w:t>
            </w:r>
            <w:r w:rsidRPr="00A55F97">
              <w:t>w</w:t>
            </w:r>
            <w:r>
              <w:t> </w:t>
            </w:r>
            <w:r w:rsidRPr="00A55F97">
              <w:t>terminie 14 dni od dnia doręczenia tego żądania,”;</w:t>
            </w:r>
          </w:p>
        </w:tc>
      </w:tr>
      <w:tr w:rsidR="00447A7A" w:rsidRPr="00B528A4" w14:paraId="0C3DB70F" w14:textId="77777777" w:rsidTr="00A10639">
        <w:trPr>
          <w:trHeight w:val="720"/>
        </w:trPr>
        <w:tc>
          <w:tcPr>
            <w:tcW w:w="851" w:type="dxa"/>
            <w:tcBorders>
              <w:top w:val="nil"/>
              <w:left w:val="nil"/>
              <w:bottom w:val="nil"/>
              <w:right w:val="nil"/>
            </w:tcBorders>
          </w:tcPr>
          <w:p w14:paraId="7EEDD038"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045A0350" w14:textId="77777777" w:rsidR="00447A7A" w:rsidRPr="00A55F97" w:rsidRDefault="00447A7A" w:rsidP="00F56331">
            <w:pPr>
              <w:pStyle w:val="TREPUNKTUWUCHWALESENACKIEJ"/>
            </w:pPr>
            <w:r w:rsidRPr="00A55F97">
              <w:t>w art. 1 w pkt 20, w ust. 2 w zdaniu pierwszym wyrazy „Po zakończeniu miesiąca gazowego” zastępuje się wyrazami „W terminie 21 dni od dnia zakończenia miesiąca gazowego”;</w:t>
            </w:r>
          </w:p>
        </w:tc>
      </w:tr>
      <w:tr w:rsidR="00447A7A" w:rsidRPr="00B528A4" w14:paraId="706F04AF" w14:textId="77777777" w:rsidTr="00A10639">
        <w:trPr>
          <w:trHeight w:val="720"/>
        </w:trPr>
        <w:tc>
          <w:tcPr>
            <w:tcW w:w="851" w:type="dxa"/>
            <w:tcBorders>
              <w:top w:val="nil"/>
              <w:left w:val="nil"/>
              <w:bottom w:val="nil"/>
              <w:right w:val="nil"/>
            </w:tcBorders>
          </w:tcPr>
          <w:p w14:paraId="36A46742"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5C1A1A47" w14:textId="77777777" w:rsidR="00447A7A" w:rsidRPr="0022036C" w:rsidRDefault="00447A7A" w:rsidP="00F919C1">
            <w:pPr>
              <w:pStyle w:val="TREPUNKTUWUCHWALESENACKIEJ"/>
            </w:pPr>
            <w:r>
              <w:t>w art. 2 w pkt 2, w art. 6h w ust. 2 po wyrazach „95/46/WE” dodaje się wyrazy „(ogólne rozporządzenie o ochronie danych)”;</w:t>
            </w:r>
          </w:p>
        </w:tc>
      </w:tr>
      <w:tr w:rsidR="00447A7A" w:rsidRPr="00B528A4" w14:paraId="6CDB62AF" w14:textId="77777777" w:rsidTr="00A10639">
        <w:trPr>
          <w:trHeight w:val="720"/>
        </w:trPr>
        <w:tc>
          <w:tcPr>
            <w:tcW w:w="851" w:type="dxa"/>
            <w:tcBorders>
              <w:top w:val="nil"/>
              <w:left w:val="nil"/>
              <w:bottom w:val="nil"/>
              <w:right w:val="nil"/>
            </w:tcBorders>
          </w:tcPr>
          <w:p w14:paraId="6E13A72E"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0301886D" w14:textId="77777777" w:rsidR="00447A7A" w:rsidRDefault="00447A7A" w:rsidP="00F919C1">
            <w:pPr>
              <w:pStyle w:val="TREPUNKTUWUCHWALESENACKIEJ"/>
            </w:pPr>
            <w:r>
              <w:t>w art. 2 w pkt 2, w art. 6h w ust. 3 w pkt 2 wyraz „sprzedaży” zastępuje się wyrazem „sprzedaż”;</w:t>
            </w:r>
          </w:p>
        </w:tc>
      </w:tr>
      <w:tr w:rsidR="00447A7A" w:rsidRPr="00B528A4" w14:paraId="2495E803" w14:textId="77777777" w:rsidTr="00A10639">
        <w:trPr>
          <w:trHeight w:val="720"/>
        </w:trPr>
        <w:tc>
          <w:tcPr>
            <w:tcW w:w="851" w:type="dxa"/>
            <w:tcBorders>
              <w:top w:val="nil"/>
              <w:left w:val="nil"/>
              <w:bottom w:val="nil"/>
              <w:right w:val="nil"/>
            </w:tcBorders>
          </w:tcPr>
          <w:p w14:paraId="3765D068" w14:textId="77777777" w:rsidR="00447A7A" w:rsidRPr="00B528A4" w:rsidRDefault="00447A7A" w:rsidP="00447A7A">
            <w:pPr>
              <w:pStyle w:val="OZNACZENIEPUNKTUWUCHWALESENACKIEJ"/>
              <w:numPr>
                <w:ilvl w:val="0"/>
                <w:numId w:val="45"/>
              </w:numPr>
              <w:ind w:left="480"/>
            </w:pPr>
          </w:p>
        </w:tc>
        <w:tc>
          <w:tcPr>
            <w:tcW w:w="8647" w:type="dxa"/>
            <w:tcBorders>
              <w:top w:val="nil"/>
              <w:left w:val="nil"/>
              <w:bottom w:val="nil"/>
              <w:right w:val="nil"/>
            </w:tcBorders>
          </w:tcPr>
          <w:p w14:paraId="57F907DC" w14:textId="77777777" w:rsidR="00447A7A" w:rsidRPr="00D510CF" w:rsidRDefault="00447A7A" w:rsidP="00A01F44">
            <w:pPr>
              <w:pStyle w:val="TREPUNKTUWUCHWALESENACKIEJ"/>
            </w:pPr>
            <w:r w:rsidRPr="00D510CF">
              <w:t>art. 8 otrzymuje brzmienie:</w:t>
            </w:r>
          </w:p>
          <w:p w14:paraId="07AF7A36" w14:textId="77777777" w:rsidR="00447A7A" w:rsidRDefault="00447A7A" w:rsidP="00A01F44">
            <w:pPr>
              <w:pStyle w:val="ARTartustawynprozporzdzenia"/>
            </w:pPr>
            <w:r>
              <w:t>„</w:t>
            </w:r>
            <w:r w:rsidRPr="00D510CF">
              <w:t>Art. 8.</w:t>
            </w:r>
            <w:r>
              <w:t> 1. Dotychczasowe p</w:t>
            </w:r>
            <w:r w:rsidRPr="008A181E">
              <w:t>rzepisy wykonawcze wydane na podstawie art. 55 ust.</w:t>
            </w:r>
            <w:r>
              <w:t> </w:t>
            </w:r>
            <w:r w:rsidRPr="008A181E">
              <w:t xml:space="preserve">1 ustawy zmienianej w art. 1 zachowują moc do dnia wejścia w życie przepisów wykonawczych wydanych na podstawie art. 60a ust. 1 ustawy zmienianej w art. 1, jednak nie dłużej niż </w:t>
            </w:r>
            <w:r>
              <w:t xml:space="preserve">przez </w:t>
            </w:r>
            <w:r w:rsidRPr="008A181E">
              <w:t xml:space="preserve">36 </w:t>
            </w:r>
            <w:r w:rsidRPr="00EC3464">
              <w:t>miesięcy</w:t>
            </w:r>
            <w:r w:rsidRPr="008A181E">
              <w:t xml:space="preserve"> od dnia wejścia w</w:t>
            </w:r>
            <w:r>
              <w:t xml:space="preserve"> </w:t>
            </w:r>
            <w:r w:rsidRPr="008A181E">
              <w:t>życie niniejszej ustawy</w:t>
            </w:r>
            <w:r>
              <w:t>.</w:t>
            </w:r>
            <w:r w:rsidRPr="008A181E">
              <w:t xml:space="preserve"> </w:t>
            </w:r>
          </w:p>
          <w:p w14:paraId="71F023AF" w14:textId="77777777" w:rsidR="00447A7A" w:rsidRDefault="00447A7A" w:rsidP="007821AF">
            <w:pPr>
              <w:pStyle w:val="USTustnpkodeksu"/>
            </w:pPr>
            <w:r>
              <w:t xml:space="preserve">2. Zachowane w mocy przepisy wykonawcze, o których mowa w ust. 1, </w:t>
            </w:r>
            <w:r w:rsidRPr="008A181E">
              <w:t xml:space="preserve">mogą być zmieniane </w:t>
            </w:r>
            <w:r>
              <w:t>przez Radę Ministrów, w drodze rozporządzenia, w zakresie określonym w art. 55 ust. 1 ustawy zmienianej w art. 1</w:t>
            </w:r>
            <w:r w:rsidRPr="008A181E">
              <w:t>.</w:t>
            </w:r>
            <w:r>
              <w:t>”.</w:t>
            </w:r>
          </w:p>
        </w:tc>
      </w:tr>
    </w:tbl>
    <w:p w14:paraId="25F2833F" w14:textId="77777777" w:rsidR="00447A7A" w:rsidRPr="00737F6A" w:rsidRDefault="00447A7A" w:rsidP="00061571">
      <w:pPr>
        <w:pStyle w:val="POPIERAJCYPOPRAWKZAMIESZCZONWZESTAWIENIUWNIOSKW"/>
      </w:pPr>
    </w:p>
    <w:p w14:paraId="64FD6861" w14:textId="689A3916" w:rsidR="00357757" w:rsidRDefault="00357757" w:rsidP="00A054FD">
      <w:pPr>
        <w:pStyle w:val="POPIERAJCYPOPRAWKZAMIESZCZONWZESTAWIENIUWNIOSKW"/>
      </w:pPr>
    </w:p>
    <w:p w14:paraId="7F8CF7C0" w14:textId="5E097D21" w:rsidR="00357757" w:rsidRDefault="00357757" w:rsidP="00A054FD">
      <w:pPr>
        <w:pStyle w:val="POPIERAJCYPOPRAWKZAMIESZCZONWZESTAWIENIUWNIOSKW"/>
      </w:pPr>
    </w:p>
    <w:p w14:paraId="2D1248E9" w14:textId="3183D808" w:rsidR="00357757" w:rsidRDefault="00357757" w:rsidP="00A054FD">
      <w:pPr>
        <w:pStyle w:val="POPIERAJCYPOPRAWKZAMIESZCZONWZESTAWIENIUWNIOSKW"/>
      </w:pPr>
    </w:p>
    <w:p w14:paraId="2A036607" w14:textId="5F6DDA15" w:rsidR="00357757" w:rsidRDefault="00357757" w:rsidP="00A054FD">
      <w:pPr>
        <w:pStyle w:val="POPIERAJCYPOPRAWKZAMIESZCZONWZESTAWIENIUWNIOSKW"/>
      </w:pPr>
    </w:p>
    <w:p w14:paraId="145432AB" w14:textId="7D289831" w:rsidR="00357757" w:rsidRDefault="00357757" w:rsidP="00A054FD">
      <w:pPr>
        <w:pStyle w:val="POPIERAJCYPOPRAWKZAMIESZCZONWZESTAWIENIUWNIOSKW"/>
      </w:pPr>
    </w:p>
    <w:p w14:paraId="0CB33102" w14:textId="77777777" w:rsidR="00357757" w:rsidRDefault="00357757" w:rsidP="00357757">
      <w:pPr>
        <w:pStyle w:val="POPIERAJCYPOPRAWKZAMIESZCZONWZESTAWIENIUWNIOSKW"/>
      </w:pPr>
    </w:p>
    <w:p w14:paraId="516BD4FE" w14:textId="77777777" w:rsidR="00357757" w:rsidRDefault="00357757" w:rsidP="00357757">
      <w:pPr>
        <w:ind w:left="5443"/>
        <w:rPr>
          <w:rStyle w:val="Ppogrubienie"/>
        </w:rPr>
      </w:pPr>
      <w:r w:rsidRPr="007A36AD">
        <w:rPr>
          <w:rFonts w:eastAsia="Times New Roman" w:cs="Times New Roman"/>
          <w:b/>
          <w:color w:val="000000" w:themeColor="text1"/>
        </w:rPr>
        <w:tab/>
      </w:r>
      <w:r>
        <w:rPr>
          <w:rStyle w:val="Ppogrubienie"/>
          <w:color w:val="000000" w:themeColor="text1"/>
        </w:rPr>
        <w:t>MARSZAŁEK SENATU</w:t>
      </w:r>
    </w:p>
    <w:p w14:paraId="30D7081D" w14:textId="77777777" w:rsidR="00357757" w:rsidRDefault="00357757" w:rsidP="00357757">
      <w:pPr>
        <w:ind w:left="5103" w:firstLine="4"/>
        <w:rPr>
          <w:rStyle w:val="Ppogrubienie"/>
          <w:color w:val="000000" w:themeColor="text1"/>
        </w:rPr>
      </w:pPr>
    </w:p>
    <w:p w14:paraId="445F1355" w14:textId="77777777" w:rsidR="00357757" w:rsidRDefault="00357757" w:rsidP="00357757">
      <w:pPr>
        <w:ind w:left="5103" w:firstLine="4"/>
        <w:rPr>
          <w:rStyle w:val="Ppogrubienie"/>
          <w:color w:val="000000" w:themeColor="text1"/>
        </w:rPr>
      </w:pPr>
    </w:p>
    <w:p w14:paraId="0E7572B5" w14:textId="77777777" w:rsidR="00357757" w:rsidRDefault="00357757" w:rsidP="00357757">
      <w:pPr>
        <w:tabs>
          <w:tab w:val="left" w:pos="5387"/>
        </w:tabs>
        <w:ind w:left="4962" w:firstLine="283"/>
      </w:pPr>
      <w:r>
        <w:rPr>
          <w:rStyle w:val="Ppogrubienie"/>
          <w:color w:val="000000" w:themeColor="text1"/>
        </w:rPr>
        <w:t>Małgorzata KIDAWA-BŁOŃSKA</w:t>
      </w:r>
    </w:p>
    <w:p w14:paraId="4D9969BD" w14:textId="77777777" w:rsidR="00357757" w:rsidRDefault="00357757" w:rsidP="00A054FD">
      <w:pPr>
        <w:pStyle w:val="POPIERAJCYPOPRAWKZAMIESZCZONWZESTAWIENIUWNIOSKW"/>
        <w:sectPr w:rsidR="00357757"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62BE0D12" w14:textId="77777777" w:rsidR="00447A7A" w:rsidRDefault="00447A7A" w:rsidP="00C27C1B">
      <w:pPr>
        <w:pStyle w:val="OZNRODZAKTUtznustawalubrozporzdzenieiorganwydajcy"/>
      </w:pPr>
      <w:r>
        <w:lastRenderedPageBreak/>
        <w:t>Uzasadnienie</w:t>
      </w:r>
    </w:p>
    <w:p w14:paraId="30085C02" w14:textId="77777777" w:rsidR="00447A7A" w:rsidRDefault="00447A7A" w:rsidP="0000544A"/>
    <w:p w14:paraId="4BBE84DA" w14:textId="77777777" w:rsidR="00447A7A" w:rsidRPr="006124B5" w:rsidRDefault="00447A7A" w:rsidP="004052C0">
      <w:pPr>
        <w:pStyle w:val="NIEARTTEKSTtekstnieartykuowanynppodstprawnarozplubpreambua"/>
      </w:pPr>
      <w:r>
        <w:t xml:space="preserve">Na posiedzeniu </w:t>
      </w:r>
      <w:r w:rsidRPr="00DA3166">
        <w:t xml:space="preserve">w dniu </w:t>
      </w:r>
      <w:r>
        <w:t>31</w:t>
      </w:r>
      <w:r w:rsidRPr="000455FA">
        <w:t xml:space="preserve"> lipca</w:t>
      </w:r>
      <w:r>
        <w:t xml:space="preserve"> 2025 r. Senat rozpatrzył ustawę o zmianie ustawy o zapasach ropy naftowej, produktów naftowych i gazu ziemnego oraz zasadach postępowania w sytuacjach zagrożenia bezpieczeństwa paliwowego państwa i zakłóceń na rynku naftowym oraz niektórych innych ustaw i uchwalił do niej 9 </w:t>
      </w:r>
      <w:r w:rsidRPr="006124B5">
        <w:t>popraw</w:t>
      </w:r>
      <w:r>
        <w:t>ek</w:t>
      </w:r>
      <w:r w:rsidRPr="006124B5">
        <w:t>.</w:t>
      </w:r>
    </w:p>
    <w:p w14:paraId="66FB8E03" w14:textId="77777777" w:rsidR="00447A7A" w:rsidRDefault="00447A7A" w:rsidP="00802317">
      <w:pPr>
        <w:pStyle w:val="NIEARTTEKSTtekstnieartykuowanynppodstprawnarozplubpreambua"/>
      </w:pPr>
      <w:r w:rsidRPr="0069484A">
        <w:t xml:space="preserve">Dokonując oceny ustawy pod kątem kompleksowości, </w:t>
      </w:r>
      <w:r>
        <w:t>jednolitości</w:t>
      </w:r>
      <w:r w:rsidRPr="0069484A">
        <w:t xml:space="preserve"> i poprawności językowej jej przepisów, a także ich zgodności z wymogami poprawnej legislacji, Senat uznał za konieczne przyjęcie:</w:t>
      </w:r>
    </w:p>
    <w:p w14:paraId="5B83FBBB" w14:textId="77777777" w:rsidR="00447A7A" w:rsidRDefault="00447A7A" w:rsidP="00802317">
      <w:pPr>
        <w:pStyle w:val="PKTpunkt"/>
      </w:pPr>
      <w:r>
        <w:t>1)</w:t>
      </w:r>
      <w:r>
        <w:tab/>
      </w:r>
      <w:r w:rsidRPr="00802317">
        <w:t>poprawki nr 1</w:t>
      </w:r>
      <w:r>
        <w:t xml:space="preserve"> – mającej na celu zapewnienie jednolitości proponowanych przepisów art. 54a ust. 2 i art. 58 ust. 5 pkt 2 ustawy z dnia 16 lutego 2007 r. o zapasach ropy naftowej, </w:t>
      </w:r>
      <w:r w:rsidRPr="00802317">
        <w:t xml:space="preserve">produktów naftowych i gazu ziemnego oraz zasadach postępowania </w:t>
      </w:r>
      <w:r>
        <w:t>w </w:t>
      </w:r>
      <w:r w:rsidRPr="00802317">
        <w:t>sytuacjach zagrożenia bezpieczeństwa paliwowego państwa i</w:t>
      </w:r>
      <w:r>
        <w:t xml:space="preserve"> </w:t>
      </w:r>
      <w:r w:rsidRPr="00802317">
        <w:t>zakłóceń na rynku naftowym</w:t>
      </w:r>
      <w:r>
        <w:t>, zwanej dalej „zmienianą ustawą”, w kontekście używanej w nich terminologii na oznaczenie operatora systemu przesyłowego elektroenergetycznego;</w:t>
      </w:r>
    </w:p>
    <w:p w14:paraId="715D0B53" w14:textId="77777777" w:rsidR="00447A7A" w:rsidRDefault="00447A7A" w:rsidP="00802317">
      <w:pPr>
        <w:pStyle w:val="PKTpunkt"/>
      </w:pPr>
      <w:r>
        <w:t>2)</w:t>
      </w:r>
      <w:r>
        <w:tab/>
        <w:t>poprawki nr 2 – mającej na celu uzupełnienie proponowanego art. 24a ust. 1a zmienianej ustawy o regulację po pierwsze określającą termin, w jakim operator systemu przesyłowego gazowego jest obowiązany do przedstawienia ministrowi właściwemu do spraw gospodarki surowcami energetycznymi opinii przy udzielaniu przez tego ministra zgody na utrzymywanie fizyczne zapasów obowiązkowych gazu ziemnego poza terytorium Rzeczypospolitej Polskiej, a po drugie rozstrzygającą, że nieprzedstawienie opinii w terminie jest traktowane jako spełnienie wymogu jej zasięgnięcia;</w:t>
      </w:r>
    </w:p>
    <w:p w14:paraId="1988598E" w14:textId="77777777" w:rsidR="00447A7A" w:rsidRDefault="00447A7A" w:rsidP="00802317">
      <w:pPr>
        <w:pStyle w:val="PKTpunkt"/>
      </w:pPr>
      <w:r>
        <w:t>3)</w:t>
      </w:r>
      <w:r>
        <w:tab/>
        <w:t>poprawki nr 3 – mającej na celu usunięcie błędu polegającego na odwołaniu się w proponowanym art. 24a ust. 1b zmienianej ustawy do niewłaściwego przepisu;</w:t>
      </w:r>
    </w:p>
    <w:p w14:paraId="1EE04D5E" w14:textId="77777777" w:rsidR="00447A7A" w:rsidRDefault="00447A7A" w:rsidP="00802317">
      <w:pPr>
        <w:pStyle w:val="PKTpunkt"/>
      </w:pPr>
      <w:r>
        <w:t>4)</w:t>
      </w:r>
      <w:r>
        <w:tab/>
        <w:t xml:space="preserve">poprawki nr 4 – mającej na celu odwołanie się w proponowanych przepisach </w:t>
      </w:r>
      <w:r w:rsidRPr="00DF61EA">
        <w:t xml:space="preserve">art. 58 </w:t>
      </w:r>
      <w:r>
        <w:t>ust. </w:t>
      </w:r>
      <w:r w:rsidRPr="00DF61EA">
        <w:t>3 zmienianej ustawy</w:t>
      </w:r>
      <w:r>
        <w:rPr>
          <w:rStyle w:val="Ppogrubienie"/>
        </w:rPr>
        <w:t xml:space="preserve"> </w:t>
      </w:r>
      <w:r>
        <w:t xml:space="preserve">do objętych ich regulacją umów, zgodnie z wymogami poprawnej legislacji, stanowiącymi w </w:t>
      </w:r>
      <w:r>
        <w:rPr>
          <w:rFonts w:cs="Times"/>
        </w:rPr>
        <w:t>§</w:t>
      </w:r>
      <w:r>
        <w:t xml:space="preserve"> 152 Zasad techniki prawodawczej, że w aktach normatywnych zwrotów charakterystycznych dla definicji, takich jak „w rozumieniu”, nie używa się w znaczeniu niedefinicyjnym;</w:t>
      </w:r>
    </w:p>
    <w:p w14:paraId="1E04CC24" w14:textId="77777777" w:rsidR="00447A7A" w:rsidRDefault="00447A7A" w:rsidP="00802317">
      <w:pPr>
        <w:pStyle w:val="PKTpunkt"/>
      </w:pPr>
      <w:r>
        <w:t>5)</w:t>
      </w:r>
      <w:r>
        <w:tab/>
        <w:t xml:space="preserve">poprawki nr 5 – mającej na celu uzupełnienie proponowanego przepisu art. 58 ust. 5b zmienianej ustawy o termin, w którym przedsiębiorstwo energetyczne jest obowiązane </w:t>
      </w:r>
      <w:r>
        <w:lastRenderedPageBreak/>
        <w:t>przekazać odbiorcy chronionemu informacje o zakresie, w jakim wytwarzane przez nie ciepło jest dostarczane do tego odbiorcy;</w:t>
      </w:r>
    </w:p>
    <w:p w14:paraId="39185560" w14:textId="77777777" w:rsidR="00447A7A" w:rsidRDefault="00447A7A" w:rsidP="00802317">
      <w:pPr>
        <w:pStyle w:val="PKTpunkt"/>
      </w:pPr>
      <w:r>
        <w:t>6)</w:t>
      </w:r>
      <w:r>
        <w:tab/>
        <w:t>poprawki nr 6 – mającej na celu uzupełnienie proponowanego przepisu art. 60 ust. 2 zmienianej ustawy o termin, w którym operator systemu przesyłowego gazowego lub operator systemu połączonego gazowego oraz operator systemu dystrybucyjnego gazowego są obowiązani przekazać Prezesowi Urzędu Regulacji Energetyki informacje dotyczące dostosowania się przez odbiorców do wprowadzanych ograniczeń;</w:t>
      </w:r>
    </w:p>
    <w:p w14:paraId="7590049C" w14:textId="77777777" w:rsidR="00447A7A" w:rsidRDefault="00447A7A" w:rsidP="00802317">
      <w:pPr>
        <w:pStyle w:val="PKTpunkt"/>
      </w:pPr>
      <w:r>
        <w:t>7)</w:t>
      </w:r>
      <w:r>
        <w:tab/>
        <w:t xml:space="preserve">poprawki nr 7 – mającej na celu przywołanie w proponowanym przepisie art. 6h ust. 2 ustawy z dnia 10 kwietnia 1997 r. – Prawo energetyczne pełnego tytułu rozporządzenia </w:t>
      </w:r>
      <w:r w:rsidRPr="00BE3405">
        <w:t>Parlamentu Europejskiego i Rady (UE) 2016/679 z dnia 27</w:t>
      </w:r>
      <w:r>
        <w:t xml:space="preserve"> </w:t>
      </w:r>
      <w:r w:rsidRPr="00BE3405">
        <w:t>kwietnia 2016 r. w</w:t>
      </w:r>
      <w:r>
        <w:t xml:space="preserve"> </w:t>
      </w:r>
      <w:r w:rsidRPr="00BE3405">
        <w:t>sprawie ochrony osób fizycznych w związku z</w:t>
      </w:r>
      <w:r>
        <w:t xml:space="preserve"> </w:t>
      </w:r>
      <w:r w:rsidRPr="00BE3405">
        <w:t>przetwarzaniem danych osobowych i w sprawie swobodnego przepływu takich danych oraz uchylenia dyrektywy 95/46/WE</w:t>
      </w:r>
      <w:r>
        <w:t xml:space="preserve"> (ogólnego rozporządzenia o ochronie danych) – zgodnie z wymogami poprawnej legislacji określonymi w </w:t>
      </w:r>
      <w:r w:rsidRPr="009D4B22">
        <w:t>§</w:t>
      </w:r>
      <w:r>
        <w:t xml:space="preserve"> 161a Zasad techniki prawodawczej;</w:t>
      </w:r>
    </w:p>
    <w:p w14:paraId="310DD27A" w14:textId="77777777" w:rsidR="00447A7A" w:rsidRDefault="00447A7A" w:rsidP="00802317">
      <w:pPr>
        <w:pStyle w:val="PKTpunkt"/>
      </w:pPr>
      <w:r>
        <w:t>8)</w:t>
      </w:r>
      <w:r>
        <w:tab/>
        <w:t>poprawki nr 8 – mającej na celu likwidację w treści proponowanego przepisu art. 6h ust. 3 pkt 2 ustawy z dnia 10 kwietnia 1997 r.– Prawo energetyczne błędu językowego;</w:t>
      </w:r>
    </w:p>
    <w:p w14:paraId="7A506B42" w14:textId="77777777" w:rsidR="00447A7A" w:rsidRPr="00A8703A" w:rsidRDefault="00447A7A" w:rsidP="00802317">
      <w:pPr>
        <w:pStyle w:val="PKTpunkt"/>
      </w:pPr>
      <w:r>
        <w:t>9)</w:t>
      </w:r>
      <w:r>
        <w:tab/>
        <w:t xml:space="preserve">poprawki nr 9 – mającej na celu określenie przepisu przejściowego art. 8 ustawy zachowującego w mocy rozporządzenie wydane na podstawie uchylonego </w:t>
      </w:r>
      <w:r w:rsidRPr="00A8703A">
        <w:t>art. 55 ust. 1 zmienianej ustawy, zgodnie z wymogami określonymi w art. 92 Konstytucji oraz</w:t>
      </w:r>
      <w:r>
        <w:t> </w:t>
      </w:r>
      <w:r w:rsidRPr="00A8703A">
        <w:t>§</w:t>
      </w:r>
      <w:r>
        <w:t> </w:t>
      </w:r>
      <w:r w:rsidRPr="00A8703A">
        <w:t>63</w:t>
      </w:r>
      <w:r>
        <w:t> </w:t>
      </w:r>
      <w:r w:rsidRPr="00A8703A">
        <w:t>Zasad techniki prawodawczej.</w:t>
      </w:r>
    </w:p>
    <w:p w14:paraId="7A2FB41D" w14:textId="77777777" w:rsidR="00447A7A" w:rsidRDefault="00447A7A" w:rsidP="001F2966">
      <w:pPr>
        <w:pStyle w:val="ARTartustawynprozporzdzenia"/>
      </w:pPr>
    </w:p>
    <w:p w14:paraId="131DC788" w14:textId="77777777" w:rsidR="00447A7A" w:rsidRDefault="00447A7A" w:rsidP="001F2966">
      <w:pPr>
        <w:pStyle w:val="ARTartustawynprozporzdzenia"/>
      </w:pPr>
    </w:p>
    <w:p w14:paraId="787C5DC8" w14:textId="77777777" w:rsidR="00447A7A" w:rsidRDefault="00447A7A" w:rsidP="001F2966">
      <w:pPr>
        <w:pStyle w:val="NIEARTTEKSTtekstnieartykuowanynppodstprawnarozplubpreambua"/>
      </w:pPr>
    </w:p>
    <w:p w14:paraId="5626B665" w14:textId="77777777" w:rsidR="00447A7A" w:rsidRDefault="00447A7A" w:rsidP="00F55426">
      <w:pPr>
        <w:pStyle w:val="ARTartustawynprozporzdzenia"/>
      </w:pPr>
    </w:p>
    <w:p w14:paraId="5AC274F7" w14:textId="77777777" w:rsidR="0031632A" w:rsidRDefault="0031632A" w:rsidP="001C4286">
      <w:pPr>
        <w:pStyle w:val="ARTartustawynprozporzdzenia"/>
      </w:pPr>
    </w:p>
    <w:p w14:paraId="710E029E" w14:textId="77777777" w:rsidR="0031632A" w:rsidRDefault="0031632A" w:rsidP="00561BCA">
      <w:pPr>
        <w:pStyle w:val="ARTartustawynprozporzdzenia"/>
      </w:pPr>
    </w:p>
    <w:p w14:paraId="41874DE7" w14:textId="77777777" w:rsidR="0031632A" w:rsidRDefault="0031632A" w:rsidP="001C4286">
      <w:pPr>
        <w:pStyle w:val="ARTartustawynprozporzdzenia"/>
      </w:pPr>
      <w:r w:rsidRPr="00561BCA">
        <w:t xml:space="preserve"> </w:t>
      </w:r>
    </w:p>
    <w:p w14:paraId="7EC45CF9" w14:textId="77777777" w:rsidR="0031632A" w:rsidRDefault="0031632A" w:rsidP="00647883">
      <w:pPr>
        <w:pStyle w:val="ARTartustawynprozporzdzenia"/>
      </w:pPr>
    </w:p>
    <w:p w14:paraId="4E2FB64A" w14:textId="77777777" w:rsidR="0031632A" w:rsidRPr="007D2A7D" w:rsidRDefault="0031632A" w:rsidP="00443C53">
      <w:pPr>
        <w:pStyle w:val="ARTartustawynprozporzdzenia"/>
      </w:pPr>
    </w:p>
    <w:p w14:paraId="19639A59" w14:textId="50CD2521" w:rsidR="00357757" w:rsidRPr="00737F6A" w:rsidRDefault="00357757" w:rsidP="00337C3F">
      <w:pPr>
        <w:pStyle w:val="OZNRODZAKTUtznustawalubrozporzdzenieiorganwydajcy"/>
      </w:pPr>
    </w:p>
    <w:sectPr w:rsidR="00357757" w:rsidRPr="00737F6A" w:rsidSect="00447A7A">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15C1" w14:textId="77777777" w:rsidR="00341D7D" w:rsidRDefault="00341D7D">
      <w:r>
        <w:separator/>
      </w:r>
    </w:p>
  </w:endnote>
  <w:endnote w:type="continuationSeparator" w:id="0">
    <w:p w14:paraId="296FC756" w14:textId="77777777" w:rsidR="00341D7D" w:rsidRDefault="0034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134B" w14:textId="77777777" w:rsidR="00341D7D" w:rsidRDefault="00341D7D">
      <w:r>
        <w:separator/>
      </w:r>
    </w:p>
  </w:footnote>
  <w:footnote w:type="continuationSeparator" w:id="0">
    <w:p w14:paraId="204D68BA" w14:textId="77777777" w:rsidR="00341D7D" w:rsidRDefault="0034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C4B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722EB0">
      <w:rPr>
        <w:noProof/>
      </w:rPr>
      <w:t>2</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1C3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2201"/>
        </w:tabs>
        <w:ind w:left="2201"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6A10EA"/>
    <w:multiLevelType w:val="hybridMultilevel"/>
    <w:tmpl w:val="2A0217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7270CE8"/>
    <w:multiLevelType w:val="hybridMultilevel"/>
    <w:tmpl w:val="C9A42C00"/>
    <w:lvl w:ilvl="0" w:tplc="40D202E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7"/>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1"/>
  </w:num>
  <w:num w:numId="41">
    <w:abstractNumId w:val="30"/>
  </w:num>
  <w:num w:numId="42">
    <w:abstractNumId w:val="22"/>
  </w:num>
  <w:num w:numId="43">
    <w:abstractNumId w:val="36"/>
  </w:num>
  <w:num w:numId="44">
    <w:abstractNumId w:val="13"/>
  </w:num>
  <w:num w:numId="45">
    <w:abstractNumId w:val="25"/>
  </w:num>
  <w:num w:numId="46">
    <w:abstractNumId w:val="25"/>
  </w:num>
  <w:num w:numId="47">
    <w:abstractNumId w:val="25"/>
  </w:num>
  <w:num w:numId="48">
    <w:abstractNumId w:val="2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0437"/>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2941"/>
    <w:rsid w:val="000D318A"/>
    <w:rsid w:val="000D6173"/>
    <w:rsid w:val="000D6F83"/>
    <w:rsid w:val="000E25CC"/>
    <w:rsid w:val="000E3694"/>
    <w:rsid w:val="000E490F"/>
    <w:rsid w:val="000E6241"/>
    <w:rsid w:val="000F297B"/>
    <w:rsid w:val="000F2BE3"/>
    <w:rsid w:val="000F3D0D"/>
    <w:rsid w:val="000F6ED4"/>
    <w:rsid w:val="000F7A6E"/>
    <w:rsid w:val="001042BA"/>
    <w:rsid w:val="00106D03"/>
    <w:rsid w:val="00110465"/>
    <w:rsid w:val="00110628"/>
    <w:rsid w:val="0011245A"/>
    <w:rsid w:val="00113209"/>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023F"/>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1A57"/>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1E3"/>
    <w:rsid w:val="002E2AB6"/>
    <w:rsid w:val="002E3F34"/>
    <w:rsid w:val="002E5F79"/>
    <w:rsid w:val="002E64FA"/>
    <w:rsid w:val="002E6822"/>
    <w:rsid w:val="002F0A00"/>
    <w:rsid w:val="002F0CFA"/>
    <w:rsid w:val="002F669F"/>
    <w:rsid w:val="00301C97"/>
    <w:rsid w:val="00304CA1"/>
    <w:rsid w:val="0031004C"/>
    <w:rsid w:val="003105F6"/>
    <w:rsid w:val="00311297"/>
    <w:rsid w:val="003113BE"/>
    <w:rsid w:val="003122CA"/>
    <w:rsid w:val="003148FD"/>
    <w:rsid w:val="0031632A"/>
    <w:rsid w:val="00321080"/>
    <w:rsid w:val="00322D45"/>
    <w:rsid w:val="0032569A"/>
    <w:rsid w:val="00325A1F"/>
    <w:rsid w:val="003268F9"/>
    <w:rsid w:val="003309D1"/>
    <w:rsid w:val="00330BAF"/>
    <w:rsid w:val="00334E3A"/>
    <w:rsid w:val="003361DD"/>
    <w:rsid w:val="00337C3F"/>
    <w:rsid w:val="00341A6A"/>
    <w:rsid w:val="00341D7D"/>
    <w:rsid w:val="00345B9C"/>
    <w:rsid w:val="00347851"/>
    <w:rsid w:val="00351BBB"/>
    <w:rsid w:val="00352DAE"/>
    <w:rsid w:val="00354EB9"/>
    <w:rsid w:val="003561A1"/>
    <w:rsid w:val="00357757"/>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3509"/>
    <w:rsid w:val="003B4A57"/>
    <w:rsid w:val="003C0AD9"/>
    <w:rsid w:val="003C0ED0"/>
    <w:rsid w:val="003C1D49"/>
    <w:rsid w:val="003C35C4"/>
    <w:rsid w:val="003D12C2"/>
    <w:rsid w:val="003D31B9"/>
    <w:rsid w:val="003D3867"/>
    <w:rsid w:val="003D74C5"/>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36C59"/>
    <w:rsid w:val="00440C99"/>
    <w:rsid w:val="0044175C"/>
    <w:rsid w:val="00445F4D"/>
    <w:rsid w:val="00447A7A"/>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96BB2"/>
    <w:rsid w:val="004A2001"/>
    <w:rsid w:val="004A3590"/>
    <w:rsid w:val="004A762B"/>
    <w:rsid w:val="004B00A7"/>
    <w:rsid w:val="004B1D95"/>
    <w:rsid w:val="004B25E2"/>
    <w:rsid w:val="004B34D7"/>
    <w:rsid w:val="004B5037"/>
    <w:rsid w:val="004B5B2F"/>
    <w:rsid w:val="004B626A"/>
    <w:rsid w:val="004B660E"/>
    <w:rsid w:val="004C05BD"/>
    <w:rsid w:val="004C3B06"/>
    <w:rsid w:val="004C3F97"/>
    <w:rsid w:val="004C6742"/>
    <w:rsid w:val="004C7EE7"/>
    <w:rsid w:val="004D2DEE"/>
    <w:rsid w:val="004D2E1F"/>
    <w:rsid w:val="004D7FD9"/>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6793"/>
    <w:rsid w:val="005A75D8"/>
    <w:rsid w:val="005B713E"/>
    <w:rsid w:val="005C03B6"/>
    <w:rsid w:val="005C348E"/>
    <w:rsid w:val="005C68E1"/>
    <w:rsid w:val="005C6E84"/>
    <w:rsid w:val="005D3763"/>
    <w:rsid w:val="005D55E1"/>
    <w:rsid w:val="005D68B2"/>
    <w:rsid w:val="005E19F7"/>
    <w:rsid w:val="005E4F04"/>
    <w:rsid w:val="005E62C2"/>
    <w:rsid w:val="005E6C71"/>
    <w:rsid w:val="005F0963"/>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2EB0"/>
    <w:rsid w:val="0072457F"/>
    <w:rsid w:val="00725406"/>
    <w:rsid w:val="0072621B"/>
    <w:rsid w:val="00730555"/>
    <w:rsid w:val="007312CC"/>
    <w:rsid w:val="00736A64"/>
    <w:rsid w:val="00737F6A"/>
    <w:rsid w:val="00737F84"/>
    <w:rsid w:val="007410B6"/>
    <w:rsid w:val="00744C6F"/>
    <w:rsid w:val="00744EFC"/>
    <w:rsid w:val="007457F6"/>
    <w:rsid w:val="00745ABB"/>
    <w:rsid w:val="00746E38"/>
    <w:rsid w:val="00747CD5"/>
    <w:rsid w:val="00753B51"/>
    <w:rsid w:val="00756629"/>
    <w:rsid w:val="007575D2"/>
    <w:rsid w:val="00757B4F"/>
    <w:rsid w:val="00757B6A"/>
    <w:rsid w:val="007610E0"/>
    <w:rsid w:val="007621AA"/>
    <w:rsid w:val="0076260A"/>
    <w:rsid w:val="00764A67"/>
    <w:rsid w:val="00770A4D"/>
    <w:rsid w:val="00770F6B"/>
    <w:rsid w:val="00771883"/>
    <w:rsid w:val="00776DC2"/>
    <w:rsid w:val="00780122"/>
    <w:rsid w:val="0078214B"/>
    <w:rsid w:val="0078498A"/>
    <w:rsid w:val="00786C1B"/>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1C9"/>
    <w:rsid w:val="007F2EB6"/>
    <w:rsid w:val="007F54C3"/>
    <w:rsid w:val="00802949"/>
    <w:rsid w:val="0080301E"/>
    <w:rsid w:val="0080365F"/>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0B85"/>
    <w:rsid w:val="008920FF"/>
    <w:rsid w:val="008926E8"/>
    <w:rsid w:val="00894F19"/>
    <w:rsid w:val="00896A10"/>
    <w:rsid w:val="008971B5"/>
    <w:rsid w:val="008971C3"/>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64B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15BB"/>
    <w:rsid w:val="00943751"/>
    <w:rsid w:val="00946DD0"/>
    <w:rsid w:val="009509E6"/>
    <w:rsid w:val="00952018"/>
    <w:rsid w:val="00952800"/>
    <w:rsid w:val="0095300D"/>
    <w:rsid w:val="00956812"/>
    <w:rsid w:val="00956970"/>
    <w:rsid w:val="0095719A"/>
    <w:rsid w:val="009623E9"/>
    <w:rsid w:val="009634DD"/>
    <w:rsid w:val="00963EEB"/>
    <w:rsid w:val="009648BC"/>
    <w:rsid w:val="00964C2F"/>
    <w:rsid w:val="00965F88"/>
    <w:rsid w:val="009845B7"/>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45BE"/>
    <w:rsid w:val="009D55AA"/>
    <w:rsid w:val="009D7930"/>
    <w:rsid w:val="009E3E77"/>
    <w:rsid w:val="009E3FAB"/>
    <w:rsid w:val="009E5A87"/>
    <w:rsid w:val="009E5B3F"/>
    <w:rsid w:val="009E7D90"/>
    <w:rsid w:val="009F1AB0"/>
    <w:rsid w:val="009F4A18"/>
    <w:rsid w:val="009F501D"/>
    <w:rsid w:val="00A039D5"/>
    <w:rsid w:val="00A046AD"/>
    <w:rsid w:val="00A054FD"/>
    <w:rsid w:val="00A079C1"/>
    <w:rsid w:val="00A12520"/>
    <w:rsid w:val="00A130FD"/>
    <w:rsid w:val="00A13D6D"/>
    <w:rsid w:val="00A14769"/>
    <w:rsid w:val="00A16151"/>
    <w:rsid w:val="00A16C38"/>
    <w:rsid w:val="00A16EC6"/>
    <w:rsid w:val="00A17C06"/>
    <w:rsid w:val="00A2126E"/>
    <w:rsid w:val="00A21706"/>
    <w:rsid w:val="00A24FCC"/>
    <w:rsid w:val="00A26A90"/>
    <w:rsid w:val="00A26B27"/>
    <w:rsid w:val="00A30E4F"/>
    <w:rsid w:val="00A32253"/>
    <w:rsid w:val="00A3310E"/>
    <w:rsid w:val="00A333A0"/>
    <w:rsid w:val="00A37619"/>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B8F"/>
    <w:rsid w:val="00AA6E91"/>
    <w:rsid w:val="00AA7439"/>
    <w:rsid w:val="00AB047E"/>
    <w:rsid w:val="00AB0B0A"/>
    <w:rsid w:val="00AB0BB7"/>
    <w:rsid w:val="00AB22C6"/>
    <w:rsid w:val="00AB2AD0"/>
    <w:rsid w:val="00AB67FC"/>
    <w:rsid w:val="00AC00F2"/>
    <w:rsid w:val="00AC0748"/>
    <w:rsid w:val="00AC31B5"/>
    <w:rsid w:val="00AC4EA1"/>
    <w:rsid w:val="00AC5381"/>
    <w:rsid w:val="00AC5920"/>
    <w:rsid w:val="00AD0D52"/>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30B7"/>
    <w:rsid w:val="00B848EA"/>
    <w:rsid w:val="00B84B2B"/>
    <w:rsid w:val="00B90500"/>
    <w:rsid w:val="00B90537"/>
    <w:rsid w:val="00B9176C"/>
    <w:rsid w:val="00B935A4"/>
    <w:rsid w:val="00B960AD"/>
    <w:rsid w:val="00BA561A"/>
    <w:rsid w:val="00BB0DC6"/>
    <w:rsid w:val="00BB15E4"/>
    <w:rsid w:val="00BB1E19"/>
    <w:rsid w:val="00BB21D1"/>
    <w:rsid w:val="00BB32F2"/>
    <w:rsid w:val="00BB4338"/>
    <w:rsid w:val="00BB44BB"/>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B7657"/>
    <w:rsid w:val="00CC0D6A"/>
    <w:rsid w:val="00CC34B8"/>
    <w:rsid w:val="00CC3831"/>
    <w:rsid w:val="00CC3E3D"/>
    <w:rsid w:val="00CC519B"/>
    <w:rsid w:val="00CD12C1"/>
    <w:rsid w:val="00CD214E"/>
    <w:rsid w:val="00CD46FA"/>
    <w:rsid w:val="00CD5973"/>
    <w:rsid w:val="00CE1B08"/>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4ABE"/>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183C"/>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5FF1"/>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4D9C"/>
    <w:rsid w:val="00E276AC"/>
    <w:rsid w:val="00E348C4"/>
    <w:rsid w:val="00E34A35"/>
    <w:rsid w:val="00E37C2F"/>
    <w:rsid w:val="00E41C28"/>
    <w:rsid w:val="00E46308"/>
    <w:rsid w:val="00E50BE3"/>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1D87"/>
    <w:rsid w:val="00E83ADD"/>
    <w:rsid w:val="00E8428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32F3"/>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491"/>
    <w:rsid w:val="00F43390"/>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179F"/>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5CFC1"/>
  <w15:docId w15:val="{793E0ED1-E9AC-4494-84CB-6575361E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757"/>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link w:val="ARTartustawynprozporzdzeniaZnak"/>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6"/>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24"/>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2"/>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pPr>
      <w:ind w:left="0" w:firstLine="0"/>
    </w:pPr>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 w:type="character" w:customStyle="1" w:styleId="ARTartustawynprozporzdzeniaZnak">
    <w:name w:val="ART(§) – art. ustawy (§ np. rozporządzenia) Znak"/>
    <w:basedOn w:val="Domylnaczcionkaakapitu"/>
    <w:link w:val="ARTartustawynprozporzdzenia"/>
    <w:uiPriority w:val="11"/>
    <w:locked/>
    <w:rsid w:val="00337C3F"/>
    <w:rPr>
      <w:rFonts w:eastAsiaTheme="minorEastAs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DE4C1-A29F-4728-96D8-19B8377C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6576</Characters>
  <Application>Microsoft Office Word</Application>
  <DocSecurity>0</DocSecurity>
  <Lines>54</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Mazur Justyna</cp:lastModifiedBy>
  <cp:revision>2</cp:revision>
  <cp:lastPrinted>2025-07-31T12:06:00Z</cp:lastPrinted>
  <dcterms:created xsi:type="dcterms:W3CDTF">2025-07-31T12:08:00Z</dcterms:created>
  <dcterms:modified xsi:type="dcterms:W3CDTF">2025-07-31T12:08:00Z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