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2497C" w14:textId="5E44C4ED" w:rsidR="007F547F" w:rsidRPr="00C835AB" w:rsidRDefault="001F4826" w:rsidP="009A0D91">
      <w:pPr>
        <w:spacing w:after="240"/>
        <w:jc w:val="center"/>
        <w:rPr>
          <w:rFonts w:ascii="Times New Roman" w:hAnsi="Times New Roman" w:cs="Times New Roman"/>
          <w:b/>
          <w:bCs/>
          <w:color w:val="auto"/>
          <w:sz w:val="24"/>
        </w:rPr>
      </w:pPr>
      <w:r w:rsidRPr="009A0D91">
        <w:rPr>
          <w:rFonts w:ascii="Times New Roman" w:hAnsi="Times New Roman" w:cs="Times New Roman"/>
          <w:color w:val="auto"/>
          <w:sz w:val="24"/>
        </w:rPr>
        <w:t>UZASADNIENIE</w:t>
      </w:r>
    </w:p>
    <w:p w14:paraId="6D83142B" w14:textId="1D774D1A" w:rsidR="001E1201" w:rsidRDefault="00D35297" w:rsidP="00D823D0">
      <w:pPr>
        <w:rPr>
          <w:rFonts w:ascii="Times New Roman" w:hAnsi="Times New Roman" w:cs="Times New Roman"/>
          <w:b/>
          <w:bCs/>
          <w:color w:val="auto"/>
          <w:sz w:val="24"/>
          <w:u w:val="single"/>
        </w:rPr>
      </w:pPr>
      <w:r w:rsidRPr="00C835AB">
        <w:rPr>
          <w:rFonts w:ascii="Times New Roman" w:hAnsi="Times New Roman" w:cs="Times New Roman"/>
          <w:b/>
          <w:bCs/>
          <w:color w:val="auto"/>
          <w:sz w:val="24"/>
          <w:u w:val="single"/>
        </w:rPr>
        <w:t xml:space="preserve">Cel i zakres </w:t>
      </w:r>
      <w:r w:rsidR="00280FBE" w:rsidRPr="00C835AB">
        <w:rPr>
          <w:rFonts w:ascii="Times New Roman" w:hAnsi="Times New Roman" w:cs="Times New Roman"/>
          <w:b/>
          <w:bCs/>
          <w:color w:val="auto"/>
          <w:sz w:val="24"/>
          <w:u w:val="single"/>
        </w:rPr>
        <w:t>projektu</w:t>
      </w:r>
      <w:r w:rsidRPr="00C835AB">
        <w:rPr>
          <w:rFonts w:ascii="Times New Roman" w:hAnsi="Times New Roman" w:cs="Times New Roman"/>
          <w:b/>
          <w:bCs/>
          <w:color w:val="auto"/>
          <w:sz w:val="24"/>
          <w:u w:val="single"/>
        </w:rPr>
        <w:t xml:space="preserve"> – uwagi wprowadzające</w:t>
      </w:r>
    </w:p>
    <w:p w14:paraId="21F21E34" w14:textId="77777777" w:rsidR="001A4550" w:rsidRPr="00C835AB" w:rsidRDefault="001A4550" w:rsidP="00D823D0">
      <w:pPr>
        <w:rPr>
          <w:rFonts w:ascii="Times New Roman" w:hAnsi="Times New Roman" w:cs="Times New Roman"/>
          <w:b/>
          <w:bCs/>
          <w:color w:val="auto"/>
          <w:sz w:val="24"/>
          <w:u w:val="single"/>
        </w:rPr>
      </w:pPr>
    </w:p>
    <w:p w14:paraId="657222FC" w14:textId="25F9F313" w:rsidR="008A1B53" w:rsidRDefault="007523D2" w:rsidP="008A1B53">
      <w:pPr>
        <w:pStyle w:val="doc-ti"/>
        <w:spacing w:before="0" w:beforeAutospacing="0" w:after="0" w:afterAutospacing="0" w:line="360" w:lineRule="auto"/>
        <w:ind w:firstLine="708"/>
        <w:jc w:val="both"/>
      </w:pPr>
      <w:r w:rsidRPr="00C835AB">
        <w:t>Przedstawion</w:t>
      </w:r>
      <w:r w:rsidR="00742B18" w:rsidRPr="00C835AB">
        <w:t>y</w:t>
      </w:r>
      <w:r w:rsidRPr="00C835AB">
        <w:t xml:space="preserve"> </w:t>
      </w:r>
      <w:r w:rsidRPr="00C835AB">
        <w:rPr>
          <w:i/>
          <w:iCs/>
        </w:rPr>
        <w:t xml:space="preserve">projekt ustawy </w:t>
      </w:r>
      <w:r w:rsidR="007534CF" w:rsidRPr="00C835AB">
        <w:rPr>
          <w:i/>
          <w:iCs/>
        </w:rPr>
        <w:t xml:space="preserve">o zmianie </w:t>
      </w:r>
      <w:r w:rsidR="00CF41B5" w:rsidRPr="00C835AB">
        <w:rPr>
          <w:i/>
          <w:iCs/>
        </w:rPr>
        <w:t>ustawy – Kodeks postępowania karnego</w:t>
      </w:r>
      <w:r w:rsidR="007534CF" w:rsidRPr="00C835AB">
        <w:rPr>
          <w:i/>
          <w:iCs/>
        </w:rPr>
        <w:t xml:space="preserve"> oraz niektórych innych ustaw</w:t>
      </w:r>
      <w:r w:rsidR="007534CF" w:rsidRPr="00C835AB">
        <w:t xml:space="preserve"> </w:t>
      </w:r>
      <w:r w:rsidR="008A1B53">
        <w:t xml:space="preserve">stanowi odpowiedź na szeroko sygnalizowaną potrzebę dostosowania obowiązujących regulacji prawa karnego procesowego do standardów konstytucyjnych i międzynarodowych. Przedstawione w tym zakresie propozycje oparte zostały </w:t>
      </w:r>
      <w:r w:rsidRPr="00C835AB">
        <w:t xml:space="preserve">na projekcie </w:t>
      </w:r>
      <w:r w:rsidR="00742B18" w:rsidRPr="00C835AB">
        <w:t>opracowanym</w:t>
      </w:r>
      <w:r w:rsidRPr="00C835AB">
        <w:t xml:space="preserve"> przez Komisję Kodyfikacyjną Prawa Karnego</w:t>
      </w:r>
      <w:r w:rsidR="00DC2C88" w:rsidRPr="00C835AB">
        <w:t xml:space="preserve">. </w:t>
      </w:r>
      <w:r w:rsidR="008A1B53" w:rsidRPr="00C835AB">
        <w:t xml:space="preserve">Komisja </w:t>
      </w:r>
      <w:r w:rsidR="008A1B53">
        <w:t>ta</w:t>
      </w:r>
      <w:r w:rsidR="008A1B53" w:rsidRPr="00C835AB">
        <w:t xml:space="preserve"> przygotowując projekt pilnych zmian w prawie karnym </w:t>
      </w:r>
      <w:r w:rsidR="008A1B53">
        <w:t>podkreślała</w:t>
      </w:r>
      <w:r w:rsidR="008A1B53" w:rsidRPr="00C835AB">
        <w:t xml:space="preserve"> </w:t>
      </w:r>
      <w:r w:rsidR="008A1B53">
        <w:t xml:space="preserve">m.in. </w:t>
      </w:r>
      <w:r w:rsidR="008A1B53" w:rsidRPr="00C835AB">
        <w:t xml:space="preserve">konieczność pełniejszego dostosowania </w:t>
      </w:r>
      <w:r w:rsidR="008A1B53">
        <w:t>K</w:t>
      </w:r>
      <w:r w:rsidR="008A1B53" w:rsidRPr="00C835AB">
        <w:t>odeks</w:t>
      </w:r>
      <w:r w:rsidR="008A1B53">
        <w:t>u</w:t>
      </w:r>
      <w:r w:rsidR="008A1B53" w:rsidRPr="00C835AB">
        <w:t xml:space="preserve"> </w:t>
      </w:r>
      <w:r w:rsidR="008A1B53">
        <w:t xml:space="preserve">postępowania </w:t>
      </w:r>
      <w:r w:rsidR="008A1B53" w:rsidRPr="00C835AB">
        <w:t>karn</w:t>
      </w:r>
      <w:r w:rsidR="008A1B53">
        <w:t>ego</w:t>
      </w:r>
      <w:r w:rsidR="008A1B53" w:rsidRPr="00C835AB">
        <w:t xml:space="preserve"> do</w:t>
      </w:r>
      <w:r w:rsidR="008A1B53">
        <w:t> </w:t>
      </w:r>
      <w:r w:rsidR="008A1B53" w:rsidRPr="00C835AB">
        <w:t xml:space="preserve">wiążących Polskę umów międzynarodowych oraz regulacji Unii Europejskiej, a także zapadłych w ostatnim okresie rozstrzygnięć trybunałów międzynarodowych. </w:t>
      </w:r>
    </w:p>
    <w:p w14:paraId="4570B812" w14:textId="5FD3D359" w:rsidR="008A1B53" w:rsidRPr="00C835AB" w:rsidRDefault="008A1B53" w:rsidP="008A1B53">
      <w:pPr>
        <w:pStyle w:val="doc-ti"/>
        <w:spacing w:before="0" w:beforeAutospacing="0" w:after="0" w:afterAutospacing="0" w:line="360" w:lineRule="auto"/>
        <w:ind w:firstLine="708"/>
        <w:jc w:val="both"/>
      </w:pPr>
      <w:r>
        <w:t>Dodatkowo projekt obejmuje również zmiany w zakresie prawa materialnego, które mają jednak charakter ograniczony</w:t>
      </w:r>
      <w:r w:rsidR="00B939A4">
        <w:t>.</w:t>
      </w:r>
    </w:p>
    <w:p w14:paraId="729C0604" w14:textId="31AF2E6B" w:rsidR="00DC2C88" w:rsidRPr="00C835AB" w:rsidRDefault="008A1B53" w:rsidP="00E970A6">
      <w:pPr>
        <w:ind w:firstLine="708"/>
        <w:rPr>
          <w:rFonts w:ascii="Times New Roman" w:hAnsi="Times New Roman" w:cs="Times New Roman"/>
          <w:color w:val="auto"/>
          <w:sz w:val="24"/>
        </w:rPr>
      </w:pPr>
      <w:r>
        <w:rPr>
          <w:rFonts w:ascii="Times New Roman" w:hAnsi="Times New Roman" w:cs="Times New Roman"/>
          <w:color w:val="auto"/>
          <w:sz w:val="24"/>
        </w:rPr>
        <w:t xml:space="preserve">W projekcie zaproponowano nowelizację </w:t>
      </w:r>
      <w:r w:rsidR="004C797B" w:rsidRPr="00C835AB">
        <w:rPr>
          <w:rFonts w:ascii="Times New Roman" w:hAnsi="Times New Roman" w:cs="Times New Roman"/>
          <w:color w:val="auto"/>
          <w:sz w:val="24"/>
        </w:rPr>
        <w:t>w szczególności</w:t>
      </w:r>
      <w:r w:rsidR="00DC2C88" w:rsidRPr="00C835AB">
        <w:rPr>
          <w:rFonts w:ascii="Times New Roman" w:hAnsi="Times New Roman" w:cs="Times New Roman"/>
          <w:color w:val="auto"/>
          <w:sz w:val="24"/>
        </w:rPr>
        <w:t xml:space="preserve"> ustawy z dnia </w:t>
      </w:r>
      <w:r w:rsidR="000902F1" w:rsidRPr="00C835AB">
        <w:rPr>
          <w:rFonts w:ascii="Times New Roman" w:hAnsi="Times New Roman" w:cs="Times New Roman"/>
          <w:color w:val="auto"/>
          <w:sz w:val="24"/>
        </w:rPr>
        <w:t xml:space="preserve">6 czerwca 1997 r. – Kodeks postępowania karnego (Dz. U. z </w:t>
      </w:r>
      <w:r w:rsidR="009D407F" w:rsidRPr="00C835AB">
        <w:rPr>
          <w:rFonts w:ascii="Times New Roman" w:hAnsi="Times New Roman" w:cs="Times New Roman"/>
          <w:color w:val="auto"/>
          <w:sz w:val="24"/>
        </w:rPr>
        <w:t>202</w:t>
      </w:r>
      <w:r w:rsidR="009D407F">
        <w:rPr>
          <w:rFonts w:ascii="Times New Roman" w:hAnsi="Times New Roman" w:cs="Times New Roman"/>
          <w:color w:val="auto"/>
          <w:sz w:val="24"/>
        </w:rPr>
        <w:t>5</w:t>
      </w:r>
      <w:r w:rsidR="009D407F" w:rsidRPr="00C835AB">
        <w:rPr>
          <w:rFonts w:ascii="Times New Roman" w:hAnsi="Times New Roman" w:cs="Times New Roman"/>
          <w:color w:val="auto"/>
          <w:sz w:val="24"/>
        </w:rPr>
        <w:t xml:space="preserve"> </w:t>
      </w:r>
      <w:r w:rsidR="000902F1" w:rsidRPr="00C835AB">
        <w:rPr>
          <w:rFonts w:ascii="Times New Roman" w:hAnsi="Times New Roman" w:cs="Times New Roman"/>
          <w:color w:val="auto"/>
          <w:sz w:val="24"/>
        </w:rPr>
        <w:t xml:space="preserve">r. poz. </w:t>
      </w:r>
      <w:r w:rsidR="009D407F">
        <w:rPr>
          <w:rFonts w:ascii="Times New Roman" w:hAnsi="Times New Roman" w:cs="Times New Roman"/>
          <w:color w:val="auto"/>
          <w:sz w:val="24"/>
        </w:rPr>
        <w:t>46</w:t>
      </w:r>
      <w:r w:rsidR="000902F1" w:rsidRPr="00C835AB">
        <w:rPr>
          <w:rFonts w:ascii="Times New Roman" w:hAnsi="Times New Roman" w:cs="Times New Roman"/>
          <w:color w:val="auto"/>
          <w:sz w:val="24"/>
        </w:rPr>
        <w:t xml:space="preserve">, z </w:t>
      </w:r>
      <w:proofErr w:type="spellStart"/>
      <w:r w:rsidR="000902F1" w:rsidRPr="00C835AB">
        <w:rPr>
          <w:rFonts w:ascii="Times New Roman" w:hAnsi="Times New Roman" w:cs="Times New Roman"/>
          <w:color w:val="auto"/>
          <w:sz w:val="24"/>
        </w:rPr>
        <w:t>późn</w:t>
      </w:r>
      <w:proofErr w:type="spellEnd"/>
      <w:r w:rsidR="000902F1" w:rsidRPr="00C835AB">
        <w:rPr>
          <w:rFonts w:ascii="Times New Roman" w:hAnsi="Times New Roman" w:cs="Times New Roman"/>
          <w:color w:val="auto"/>
          <w:sz w:val="24"/>
        </w:rPr>
        <w:t>. zm.), dalej „k.p.k.”,</w:t>
      </w:r>
      <w:r w:rsidR="00082DC5" w:rsidRPr="00082DC5">
        <w:rPr>
          <w:rFonts w:ascii="Times New Roman" w:hAnsi="Times New Roman" w:cs="Times New Roman"/>
          <w:color w:val="auto"/>
          <w:sz w:val="24"/>
        </w:rPr>
        <w:t xml:space="preserve"> </w:t>
      </w:r>
      <w:r w:rsidR="00082DC5" w:rsidRPr="00C835AB">
        <w:rPr>
          <w:rFonts w:ascii="Times New Roman" w:hAnsi="Times New Roman" w:cs="Times New Roman"/>
          <w:color w:val="auto"/>
          <w:sz w:val="24"/>
        </w:rPr>
        <w:t>ustawy z dnia 6 czerwca 1997 r. – Kodeks karny (Dz. U. z 202</w:t>
      </w:r>
      <w:r w:rsidR="00082DC5">
        <w:rPr>
          <w:rFonts w:ascii="Times New Roman" w:hAnsi="Times New Roman" w:cs="Times New Roman"/>
          <w:color w:val="auto"/>
          <w:sz w:val="24"/>
        </w:rPr>
        <w:t>5</w:t>
      </w:r>
      <w:r w:rsidR="00082DC5" w:rsidRPr="00C835AB">
        <w:rPr>
          <w:rFonts w:ascii="Times New Roman" w:hAnsi="Times New Roman" w:cs="Times New Roman"/>
          <w:color w:val="auto"/>
          <w:sz w:val="24"/>
        </w:rPr>
        <w:t xml:space="preserve"> r. poz. </w:t>
      </w:r>
      <w:r w:rsidR="00082DC5">
        <w:rPr>
          <w:rFonts w:ascii="Times New Roman" w:hAnsi="Times New Roman" w:cs="Times New Roman"/>
          <w:color w:val="auto"/>
          <w:sz w:val="24"/>
        </w:rPr>
        <w:t>383</w:t>
      </w:r>
      <w:r w:rsidR="00082DC5" w:rsidRPr="00C835AB">
        <w:rPr>
          <w:rFonts w:ascii="Times New Roman" w:hAnsi="Times New Roman" w:cs="Times New Roman"/>
          <w:color w:val="auto"/>
          <w:sz w:val="24"/>
        </w:rPr>
        <w:t>), dalej „k.k.”</w:t>
      </w:r>
      <w:r w:rsidR="00082DC5">
        <w:rPr>
          <w:rFonts w:ascii="Times New Roman" w:hAnsi="Times New Roman" w:cs="Times New Roman"/>
          <w:color w:val="auto"/>
          <w:sz w:val="24"/>
        </w:rPr>
        <w:t>,</w:t>
      </w:r>
      <w:r w:rsidR="000902F1" w:rsidRPr="00C835AB">
        <w:rPr>
          <w:rFonts w:ascii="Times New Roman" w:hAnsi="Times New Roman" w:cs="Times New Roman"/>
          <w:color w:val="auto"/>
          <w:sz w:val="24"/>
        </w:rPr>
        <w:t xml:space="preserve"> </w:t>
      </w:r>
      <w:r w:rsidR="000902F1" w:rsidRPr="00C835AB" w:rsidDel="00A01237">
        <w:rPr>
          <w:rFonts w:ascii="Times New Roman" w:hAnsi="Times New Roman" w:cs="Times New Roman"/>
          <w:color w:val="auto"/>
          <w:sz w:val="24"/>
        </w:rPr>
        <w:t>ustawy z dnia 6 czerwca 1997 r. – Kodeks karny wykonawczy (Dz.</w:t>
      </w:r>
      <w:r w:rsidR="004C76EC">
        <w:rPr>
          <w:rFonts w:ascii="Times New Roman" w:hAnsi="Times New Roman" w:cs="Times New Roman"/>
          <w:color w:val="auto"/>
          <w:sz w:val="24"/>
        </w:rPr>
        <w:t> </w:t>
      </w:r>
      <w:r w:rsidR="000902F1" w:rsidRPr="00C835AB" w:rsidDel="00A01237">
        <w:rPr>
          <w:rFonts w:ascii="Times New Roman" w:hAnsi="Times New Roman" w:cs="Times New Roman"/>
          <w:color w:val="auto"/>
          <w:sz w:val="24"/>
        </w:rPr>
        <w:t>U.</w:t>
      </w:r>
      <w:r w:rsidR="004C76EC">
        <w:rPr>
          <w:rFonts w:ascii="Times New Roman" w:hAnsi="Times New Roman" w:cs="Times New Roman"/>
          <w:color w:val="auto"/>
          <w:sz w:val="24"/>
        </w:rPr>
        <w:t> </w:t>
      </w:r>
      <w:r w:rsidR="000902F1" w:rsidRPr="00C835AB" w:rsidDel="00A01237">
        <w:rPr>
          <w:rFonts w:ascii="Times New Roman" w:hAnsi="Times New Roman" w:cs="Times New Roman"/>
          <w:color w:val="auto"/>
          <w:sz w:val="24"/>
        </w:rPr>
        <w:t>z</w:t>
      </w:r>
      <w:r w:rsidR="00C169CA" w:rsidRPr="00C835AB">
        <w:rPr>
          <w:rFonts w:ascii="Times New Roman" w:hAnsi="Times New Roman" w:cs="Times New Roman"/>
          <w:color w:val="auto"/>
          <w:sz w:val="24"/>
        </w:rPr>
        <w:t> </w:t>
      </w:r>
      <w:r w:rsidR="00B00AC6">
        <w:rPr>
          <w:rFonts w:ascii="Times New Roman" w:hAnsi="Times New Roman" w:cs="Times New Roman"/>
          <w:color w:val="auto"/>
          <w:sz w:val="24"/>
        </w:rPr>
        <w:t>2025 r. poz. 911</w:t>
      </w:r>
      <w:r w:rsidR="004C797B" w:rsidRPr="00C835AB" w:rsidDel="00A01237">
        <w:rPr>
          <w:rFonts w:ascii="Times New Roman" w:hAnsi="Times New Roman" w:cs="Times New Roman"/>
          <w:color w:val="auto"/>
          <w:sz w:val="24"/>
        </w:rPr>
        <w:t>), dalej „</w:t>
      </w:r>
      <w:proofErr w:type="spellStart"/>
      <w:r w:rsidR="004C797B" w:rsidRPr="00C835AB" w:rsidDel="00A01237">
        <w:rPr>
          <w:rFonts w:ascii="Times New Roman" w:hAnsi="Times New Roman" w:cs="Times New Roman"/>
          <w:color w:val="auto"/>
          <w:sz w:val="24"/>
        </w:rPr>
        <w:t>k.k.w</w:t>
      </w:r>
      <w:proofErr w:type="spellEnd"/>
      <w:r w:rsidR="004C797B" w:rsidRPr="00C835AB" w:rsidDel="00A01237">
        <w:rPr>
          <w:rFonts w:ascii="Times New Roman" w:hAnsi="Times New Roman" w:cs="Times New Roman"/>
          <w:color w:val="auto"/>
          <w:sz w:val="24"/>
        </w:rPr>
        <w:t xml:space="preserve">.”, </w:t>
      </w:r>
      <w:r w:rsidR="004C797B" w:rsidRPr="00C835AB">
        <w:rPr>
          <w:rFonts w:ascii="Times New Roman" w:hAnsi="Times New Roman" w:cs="Times New Roman"/>
          <w:color w:val="auto"/>
          <w:sz w:val="24"/>
        </w:rPr>
        <w:t>ustawy z dnia 20 maja 1971 r. – Kodeks wykroczeń (Dz. U. z 202</w:t>
      </w:r>
      <w:r w:rsidR="00303EB0">
        <w:rPr>
          <w:rFonts w:ascii="Times New Roman" w:hAnsi="Times New Roman" w:cs="Times New Roman"/>
          <w:color w:val="auto"/>
          <w:sz w:val="24"/>
        </w:rPr>
        <w:t>5</w:t>
      </w:r>
      <w:r w:rsidR="004C797B" w:rsidRPr="00C835AB">
        <w:rPr>
          <w:rFonts w:ascii="Times New Roman" w:hAnsi="Times New Roman" w:cs="Times New Roman"/>
          <w:color w:val="auto"/>
          <w:sz w:val="24"/>
        </w:rPr>
        <w:t xml:space="preserve"> r. poz. </w:t>
      </w:r>
      <w:r w:rsidR="00303EB0">
        <w:rPr>
          <w:rFonts w:ascii="Times New Roman" w:hAnsi="Times New Roman" w:cs="Times New Roman"/>
          <w:color w:val="auto"/>
          <w:sz w:val="24"/>
        </w:rPr>
        <w:t>734</w:t>
      </w:r>
      <w:r w:rsidR="004C797B" w:rsidRPr="00C835AB">
        <w:rPr>
          <w:rFonts w:ascii="Times New Roman" w:hAnsi="Times New Roman" w:cs="Times New Roman"/>
          <w:color w:val="auto"/>
          <w:sz w:val="24"/>
        </w:rPr>
        <w:t>), dalej „</w:t>
      </w:r>
      <w:proofErr w:type="spellStart"/>
      <w:r w:rsidR="004C797B" w:rsidRPr="00C835AB">
        <w:rPr>
          <w:rFonts w:ascii="Times New Roman" w:hAnsi="Times New Roman" w:cs="Times New Roman"/>
          <w:color w:val="auto"/>
          <w:sz w:val="24"/>
        </w:rPr>
        <w:t>k.w</w:t>
      </w:r>
      <w:proofErr w:type="spellEnd"/>
      <w:r w:rsidR="004C797B" w:rsidRPr="00C835AB">
        <w:rPr>
          <w:rFonts w:ascii="Times New Roman" w:hAnsi="Times New Roman" w:cs="Times New Roman"/>
          <w:color w:val="auto"/>
          <w:sz w:val="24"/>
        </w:rPr>
        <w:t>.”</w:t>
      </w:r>
      <w:r w:rsidR="00D755E4" w:rsidRPr="00C835AB">
        <w:rPr>
          <w:rFonts w:ascii="Times New Roman" w:hAnsi="Times New Roman" w:cs="Times New Roman"/>
          <w:color w:val="auto"/>
          <w:sz w:val="24"/>
        </w:rPr>
        <w:t xml:space="preserve"> </w:t>
      </w:r>
      <w:r w:rsidR="00D71E14" w:rsidRPr="00C835AB">
        <w:rPr>
          <w:rFonts w:ascii="Times New Roman" w:hAnsi="Times New Roman" w:cs="Times New Roman"/>
          <w:color w:val="auto"/>
          <w:sz w:val="24"/>
        </w:rPr>
        <w:t>i ustawy z dnia 10 września 1999 r. – Kodeks karny skarbowy (Dz. U. z 202</w:t>
      </w:r>
      <w:r w:rsidR="00303EB0">
        <w:rPr>
          <w:rFonts w:ascii="Times New Roman" w:hAnsi="Times New Roman" w:cs="Times New Roman"/>
          <w:color w:val="auto"/>
          <w:sz w:val="24"/>
        </w:rPr>
        <w:t>5</w:t>
      </w:r>
      <w:r w:rsidR="00D71E14" w:rsidRPr="00C835AB">
        <w:rPr>
          <w:rFonts w:ascii="Times New Roman" w:hAnsi="Times New Roman" w:cs="Times New Roman"/>
          <w:color w:val="auto"/>
          <w:sz w:val="24"/>
        </w:rPr>
        <w:t xml:space="preserve"> r. poz. </w:t>
      </w:r>
      <w:r w:rsidR="00303EB0">
        <w:rPr>
          <w:rFonts w:ascii="Times New Roman" w:hAnsi="Times New Roman" w:cs="Times New Roman"/>
          <w:color w:val="auto"/>
          <w:sz w:val="24"/>
        </w:rPr>
        <w:t>633</w:t>
      </w:r>
      <w:r w:rsidR="00D71E14" w:rsidRPr="00C835AB">
        <w:rPr>
          <w:rFonts w:ascii="Times New Roman" w:hAnsi="Times New Roman" w:cs="Times New Roman"/>
          <w:color w:val="auto"/>
          <w:sz w:val="24"/>
        </w:rPr>
        <w:t>) dalej „</w:t>
      </w:r>
      <w:proofErr w:type="spellStart"/>
      <w:r w:rsidR="00D71E14" w:rsidRPr="00C835AB">
        <w:rPr>
          <w:rFonts w:ascii="Times New Roman" w:hAnsi="Times New Roman" w:cs="Times New Roman"/>
          <w:color w:val="auto"/>
          <w:sz w:val="24"/>
        </w:rPr>
        <w:t>k.k.s</w:t>
      </w:r>
      <w:proofErr w:type="spellEnd"/>
      <w:r w:rsidR="00D71E14" w:rsidRPr="00C835AB">
        <w:rPr>
          <w:rFonts w:ascii="Times New Roman" w:hAnsi="Times New Roman" w:cs="Times New Roman"/>
          <w:color w:val="auto"/>
          <w:sz w:val="24"/>
        </w:rPr>
        <w:t xml:space="preserve">.”. </w:t>
      </w:r>
    </w:p>
    <w:p w14:paraId="49D29AD3" w14:textId="77777777" w:rsidR="00B14C9C" w:rsidRPr="00C835AB" w:rsidRDefault="00B14C9C" w:rsidP="00D823D0">
      <w:pPr>
        <w:rPr>
          <w:rFonts w:ascii="Times New Roman" w:eastAsia="Times New Roman" w:hAnsi="Times New Roman" w:cs="Times New Roman"/>
          <w:color w:val="auto"/>
          <w:sz w:val="24"/>
        </w:rPr>
      </w:pPr>
    </w:p>
    <w:p w14:paraId="5D22CA2E" w14:textId="1EA18F4A" w:rsidR="002431CF" w:rsidRPr="00C835AB" w:rsidRDefault="00D5202A" w:rsidP="00D823D0">
      <w:pPr>
        <w:rPr>
          <w:rFonts w:ascii="Times New Roman" w:hAnsi="Times New Roman" w:cs="Times New Roman"/>
          <w:b/>
          <w:bCs/>
          <w:color w:val="auto"/>
          <w:sz w:val="24"/>
          <w:u w:val="single"/>
        </w:rPr>
      </w:pPr>
      <w:r w:rsidRPr="00C835AB">
        <w:rPr>
          <w:rFonts w:ascii="Times New Roman" w:hAnsi="Times New Roman" w:cs="Times New Roman"/>
          <w:b/>
          <w:bCs/>
          <w:color w:val="auto"/>
          <w:sz w:val="24"/>
          <w:u w:val="single"/>
        </w:rPr>
        <w:t>Zmiany w Kodeksie postępowania karnego</w:t>
      </w:r>
    </w:p>
    <w:p w14:paraId="2BD4CDE9" w14:textId="77777777" w:rsidR="00724EE0" w:rsidRPr="00C835AB" w:rsidRDefault="00724EE0" w:rsidP="00D823D0">
      <w:pPr>
        <w:rPr>
          <w:rFonts w:ascii="Times New Roman" w:eastAsia="Calibri" w:hAnsi="Times New Roman" w:cs="Times New Roman"/>
          <w:color w:val="auto"/>
          <w:sz w:val="24"/>
          <w14:ligatures w14:val="none"/>
        </w:rPr>
      </w:pPr>
    </w:p>
    <w:p w14:paraId="0B774BD1" w14:textId="4BA9D611" w:rsidR="00647D88" w:rsidRPr="00C835AB" w:rsidRDefault="00647D88" w:rsidP="00D823D0">
      <w:pPr>
        <w:ind w:firstLine="708"/>
        <w:rPr>
          <w:rFonts w:ascii="Times New Roman" w:hAnsi="Times New Roman" w:cs="Times New Roman"/>
          <w:b/>
          <w:color w:val="auto"/>
          <w:sz w:val="24"/>
        </w:rPr>
      </w:pPr>
      <w:r w:rsidRPr="00C835AB">
        <w:rPr>
          <w:rFonts w:ascii="Times New Roman" w:hAnsi="Times New Roman" w:cs="Times New Roman"/>
          <w:b/>
          <w:color w:val="auto"/>
          <w:sz w:val="24"/>
        </w:rPr>
        <w:t xml:space="preserve">Zmiany związane z </w:t>
      </w:r>
      <w:r w:rsidR="00705AAB" w:rsidRPr="00C835AB">
        <w:rPr>
          <w:rFonts w:ascii="Times New Roman" w:hAnsi="Times New Roman" w:cs="Times New Roman"/>
          <w:b/>
          <w:color w:val="auto"/>
          <w:sz w:val="24"/>
        </w:rPr>
        <w:t>dostosowaniem przepisów krajowych do regulacji</w:t>
      </w:r>
      <w:r w:rsidRPr="00C835AB">
        <w:rPr>
          <w:rFonts w:ascii="Times New Roman" w:hAnsi="Times New Roman" w:cs="Times New Roman"/>
          <w:b/>
          <w:color w:val="auto"/>
          <w:sz w:val="24"/>
        </w:rPr>
        <w:t xml:space="preserve"> unijnych</w:t>
      </w:r>
    </w:p>
    <w:p w14:paraId="7AA44F6A" w14:textId="69E75CD5" w:rsidR="00647D88" w:rsidRPr="00C835AB" w:rsidRDefault="00647D88"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 xml:space="preserve">Jednym z głównych celów projektu w części procesowej jest </w:t>
      </w:r>
      <w:r w:rsidR="0064088C" w:rsidRPr="00C835AB">
        <w:rPr>
          <w:rFonts w:ascii="Times New Roman" w:hAnsi="Times New Roman"/>
          <w:sz w:val="24"/>
          <w:szCs w:val="24"/>
        </w:rPr>
        <w:t xml:space="preserve">przemodelowanie rozwiązań proceduralnych, zgodnie z założeniami </w:t>
      </w:r>
      <w:r w:rsidRPr="00C835AB">
        <w:rPr>
          <w:rFonts w:ascii="Times New Roman" w:hAnsi="Times New Roman"/>
          <w:sz w:val="24"/>
          <w:szCs w:val="24"/>
        </w:rPr>
        <w:t>dyrektyw Unii Europejskiej dotyczących harmonizacji praw procesowych oskarżonego:</w:t>
      </w:r>
    </w:p>
    <w:p w14:paraId="0C878215" w14:textId="67E7E652" w:rsidR="00647D88" w:rsidRPr="00C835AB" w:rsidRDefault="00647D88" w:rsidP="00D823D0">
      <w:pPr>
        <w:pStyle w:val="Akapitzlist1"/>
        <w:numPr>
          <w:ilvl w:val="1"/>
          <w:numId w:val="8"/>
        </w:numPr>
        <w:spacing w:after="0" w:line="360" w:lineRule="auto"/>
        <w:jc w:val="both"/>
        <w:rPr>
          <w:rFonts w:ascii="Times New Roman" w:hAnsi="Times New Roman"/>
          <w:sz w:val="24"/>
          <w:szCs w:val="24"/>
        </w:rPr>
      </w:pPr>
      <w:r w:rsidRPr="00C835AB">
        <w:rPr>
          <w:rFonts w:ascii="Times New Roman" w:hAnsi="Times New Roman"/>
          <w:sz w:val="24"/>
          <w:szCs w:val="24"/>
        </w:rPr>
        <w:t>dyrektywy Parlamentu Europejskiego i Rady 2010/64/UE z dnia 20 października 2010 r. w sprawie prawa do tłumaczenia ustnego i tłumaczenia pisemnego w postępowaniu karnym (Dz. Urz. UE L 280 z 26.10.2010, str. 1)</w:t>
      </w:r>
      <w:r w:rsidR="00EA279B" w:rsidRPr="00C835AB">
        <w:rPr>
          <w:rFonts w:ascii="Times New Roman" w:hAnsi="Times New Roman"/>
          <w:iCs/>
          <w:sz w:val="24"/>
          <w:szCs w:val="24"/>
        </w:rPr>
        <w:t>;</w:t>
      </w:r>
    </w:p>
    <w:p w14:paraId="45961ABF" w14:textId="270835A6" w:rsidR="00647D88" w:rsidRPr="00C835AB" w:rsidRDefault="00647D88" w:rsidP="00D823D0">
      <w:pPr>
        <w:pStyle w:val="Akapitzlist1"/>
        <w:numPr>
          <w:ilvl w:val="1"/>
          <w:numId w:val="8"/>
        </w:numPr>
        <w:spacing w:after="0" w:line="360" w:lineRule="auto"/>
        <w:jc w:val="both"/>
        <w:rPr>
          <w:rFonts w:ascii="Times New Roman" w:hAnsi="Times New Roman"/>
          <w:sz w:val="24"/>
          <w:szCs w:val="24"/>
        </w:rPr>
      </w:pPr>
      <w:r w:rsidRPr="00C835AB">
        <w:rPr>
          <w:rFonts w:ascii="Times New Roman" w:hAnsi="Times New Roman"/>
          <w:sz w:val="24"/>
          <w:szCs w:val="24"/>
        </w:rPr>
        <w:lastRenderedPageBreak/>
        <w:t>dyrektywy Parlamentu Europejskiego i Rady 2012/13/UE z dnia 22 maja 2012 r. w</w:t>
      </w:r>
      <w:r w:rsidR="00D92A0D" w:rsidRPr="00C835AB">
        <w:rPr>
          <w:rFonts w:ascii="Times New Roman" w:hAnsi="Times New Roman"/>
          <w:sz w:val="24"/>
          <w:szCs w:val="24"/>
        </w:rPr>
        <w:t> </w:t>
      </w:r>
      <w:r w:rsidRPr="00C835AB">
        <w:rPr>
          <w:rFonts w:ascii="Times New Roman" w:hAnsi="Times New Roman"/>
          <w:sz w:val="24"/>
          <w:szCs w:val="24"/>
        </w:rPr>
        <w:t>sprawie prawa do informacji w postępowaniu karnym (Dz. Urz. UE L 142 z 1.06.2012, str. 1)</w:t>
      </w:r>
      <w:r w:rsidR="00EA279B" w:rsidRPr="00C835AB">
        <w:rPr>
          <w:rFonts w:ascii="Times New Roman" w:hAnsi="Times New Roman"/>
          <w:iCs/>
          <w:sz w:val="24"/>
          <w:szCs w:val="24"/>
        </w:rPr>
        <w:t>;</w:t>
      </w:r>
    </w:p>
    <w:p w14:paraId="2A8CF74A" w14:textId="07A7B820" w:rsidR="00647D88" w:rsidRPr="00C835AB" w:rsidRDefault="00647D88" w:rsidP="00D823D0">
      <w:pPr>
        <w:pStyle w:val="Akapitzlist1"/>
        <w:numPr>
          <w:ilvl w:val="1"/>
          <w:numId w:val="8"/>
        </w:numPr>
        <w:spacing w:after="0" w:line="360" w:lineRule="auto"/>
        <w:jc w:val="both"/>
        <w:rPr>
          <w:rFonts w:ascii="Times New Roman" w:hAnsi="Times New Roman"/>
          <w:sz w:val="24"/>
          <w:szCs w:val="24"/>
        </w:rPr>
      </w:pPr>
      <w:r w:rsidRPr="00C835AB">
        <w:rPr>
          <w:rFonts w:ascii="Times New Roman" w:hAnsi="Times New Roman"/>
          <w:sz w:val="24"/>
          <w:szCs w:val="24"/>
        </w:rPr>
        <w:t xml:space="preserve">dyrektywy Parlamentu Europejskiego i Rady 2013/48/UE z dnia 22 października 2013 r. </w:t>
      </w:r>
      <w:r w:rsidRPr="00C835AB">
        <w:rPr>
          <w:rFonts w:ascii="Times New Roman" w:hAnsi="Times New Roman"/>
          <w:iCs/>
          <w:sz w:val="24"/>
          <w:szCs w:val="24"/>
        </w:rPr>
        <w:t>w sprawie prawa dostępu do adwokata w postępowaniu karnym i w postępowaniu dotyczącym europejskiego nakazu aresztowania oraz w sprawie prawa do</w:t>
      </w:r>
      <w:r w:rsidR="001D3092">
        <w:rPr>
          <w:rFonts w:ascii="Times New Roman" w:hAnsi="Times New Roman"/>
          <w:iCs/>
          <w:sz w:val="24"/>
          <w:szCs w:val="24"/>
        </w:rPr>
        <w:t> </w:t>
      </w:r>
      <w:r w:rsidRPr="00C835AB">
        <w:rPr>
          <w:rFonts w:ascii="Times New Roman" w:hAnsi="Times New Roman"/>
          <w:iCs/>
          <w:sz w:val="24"/>
          <w:szCs w:val="24"/>
        </w:rPr>
        <w:t>poinformowania osoby trzeciej o pozbawieniu wolności i prawa do porozumiewania się z</w:t>
      </w:r>
      <w:r w:rsidR="00D92A0D" w:rsidRPr="00C835AB">
        <w:rPr>
          <w:rFonts w:ascii="Times New Roman" w:hAnsi="Times New Roman"/>
          <w:iCs/>
          <w:sz w:val="24"/>
          <w:szCs w:val="24"/>
        </w:rPr>
        <w:t> </w:t>
      </w:r>
      <w:r w:rsidRPr="00C835AB">
        <w:rPr>
          <w:rFonts w:ascii="Times New Roman" w:hAnsi="Times New Roman"/>
          <w:iCs/>
          <w:sz w:val="24"/>
          <w:szCs w:val="24"/>
        </w:rPr>
        <w:t>osobami trzecimi i organami konsularnymi w czasie pozbawienia wolności</w:t>
      </w:r>
      <w:r w:rsidRPr="00C835AB">
        <w:rPr>
          <w:rFonts w:ascii="Times New Roman" w:hAnsi="Times New Roman"/>
          <w:i/>
          <w:sz w:val="24"/>
          <w:szCs w:val="24"/>
        </w:rPr>
        <w:t xml:space="preserve"> </w:t>
      </w:r>
      <w:r w:rsidRPr="00C835AB">
        <w:rPr>
          <w:rFonts w:ascii="Times New Roman" w:hAnsi="Times New Roman"/>
          <w:sz w:val="24"/>
          <w:szCs w:val="24"/>
        </w:rPr>
        <w:t>(Dz. Urz. UE L 294 z 06.11.2013, str. 1)</w:t>
      </w:r>
      <w:r w:rsidR="00EA279B" w:rsidRPr="00C835AB">
        <w:rPr>
          <w:rFonts w:ascii="Times New Roman" w:hAnsi="Times New Roman"/>
          <w:iCs/>
          <w:sz w:val="24"/>
          <w:szCs w:val="24"/>
        </w:rPr>
        <w:t>;</w:t>
      </w:r>
    </w:p>
    <w:p w14:paraId="7CF7ACEB" w14:textId="61CFEF13" w:rsidR="00647D88" w:rsidRPr="00C835AB" w:rsidRDefault="00647D88" w:rsidP="00D823D0">
      <w:pPr>
        <w:pStyle w:val="Akapitzlist1"/>
        <w:numPr>
          <w:ilvl w:val="1"/>
          <w:numId w:val="8"/>
        </w:numPr>
        <w:spacing w:after="0" w:line="360" w:lineRule="auto"/>
        <w:jc w:val="both"/>
        <w:rPr>
          <w:rFonts w:ascii="Times New Roman" w:hAnsi="Times New Roman"/>
          <w:sz w:val="24"/>
          <w:szCs w:val="24"/>
        </w:rPr>
      </w:pPr>
      <w:r w:rsidRPr="00C835AB">
        <w:rPr>
          <w:rFonts w:ascii="Times New Roman" w:hAnsi="Times New Roman"/>
          <w:sz w:val="24"/>
          <w:szCs w:val="24"/>
        </w:rPr>
        <w:t>dyrektywy Parlamentu Europejskiego i Rady (UE) 2016/800 z dnia 11 maja 2016</w:t>
      </w:r>
      <w:r w:rsidR="00280BD8" w:rsidRPr="00C835AB">
        <w:rPr>
          <w:rFonts w:ascii="Times New Roman" w:hAnsi="Times New Roman"/>
          <w:sz w:val="24"/>
          <w:szCs w:val="24"/>
        </w:rPr>
        <w:t xml:space="preserve"> </w:t>
      </w:r>
      <w:r w:rsidRPr="00C835AB">
        <w:rPr>
          <w:rFonts w:ascii="Times New Roman" w:hAnsi="Times New Roman"/>
          <w:sz w:val="24"/>
          <w:szCs w:val="24"/>
        </w:rPr>
        <w:t>r. w</w:t>
      </w:r>
      <w:r w:rsidR="00D92A0D" w:rsidRPr="00C835AB">
        <w:rPr>
          <w:rFonts w:ascii="Times New Roman" w:hAnsi="Times New Roman"/>
          <w:sz w:val="24"/>
          <w:szCs w:val="24"/>
        </w:rPr>
        <w:t> </w:t>
      </w:r>
      <w:r w:rsidRPr="00C835AB">
        <w:rPr>
          <w:rFonts w:ascii="Times New Roman" w:hAnsi="Times New Roman"/>
          <w:sz w:val="24"/>
          <w:szCs w:val="24"/>
        </w:rPr>
        <w:t>sprawie gwarancji procesowych dla dzieci będących podejrzanymi lub oskarżonymi w</w:t>
      </w:r>
      <w:r w:rsidR="00D92A0D" w:rsidRPr="00C835AB">
        <w:rPr>
          <w:rFonts w:ascii="Times New Roman" w:hAnsi="Times New Roman"/>
          <w:sz w:val="24"/>
          <w:szCs w:val="24"/>
        </w:rPr>
        <w:t> </w:t>
      </w:r>
      <w:r w:rsidRPr="00C835AB">
        <w:rPr>
          <w:rFonts w:ascii="Times New Roman" w:hAnsi="Times New Roman"/>
          <w:sz w:val="24"/>
          <w:szCs w:val="24"/>
        </w:rPr>
        <w:t>postępowaniu karnym (Dz. Urz. UE L 132 z 21.05.2016, str. 1)</w:t>
      </w:r>
      <w:r w:rsidR="00EA279B" w:rsidRPr="00C835AB">
        <w:rPr>
          <w:rFonts w:ascii="Times New Roman" w:hAnsi="Times New Roman"/>
          <w:sz w:val="24"/>
          <w:szCs w:val="24"/>
        </w:rPr>
        <w:t>;</w:t>
      </w:r>
    </w:p>
    <w:p w14:paraId="20220F63" w14:textId="40AD46B1" w:rsidR="00720DAF" w:rsidRPr="00C835AB" w:rsidRDefault="00647D88" w:rsidP="00E3159C">
      <w:pPr>
        <w:pStyle w:val="Akapitzlist1"/>
        <w:numPr>
          <w:ilvl w:val="1"/>
          <w:numId w:val="8"/>
        </w:numPr>
        <w:spacing w:after="0" w:line="360" w:lineRule="auto"/>
        <w:jc w:val="both"/>
        <w:rPr>
          <w:rFonts w:ascii="Times New Roman" w:hAnsi="Times New Roman"/>
          <w:sz w:val="24"/>
          <w:szCs w:val="24"/>
        </w:rPr>
      </w:pPr>
      <w:r w:rsidRPr="00C835AB">
        <w:rPr>
          <w:rFonts w:ascii="Times New Roman" w:hAnsi="Times New Roman"/>
          <w:sz w:val="24"/>
          <w:szCs w:val="24"/>
        </w:rPr>
        <w:t>dyrektywy Parlamentu Europejskiego i Rady (UE) 2016/1919 z dnia 26 października 2016 r. w sprawie pomocy prawnej z urzędu dla podejrzanych i oskarżonych w postępowaniu karnym oraz dla osób, których dotyczy wniosek w postępowaniu dotyczącym europejskiego nakazu aresztowania (Dz. Urz. UE L 297 z 04.11.2016, str. 1 oraz Dz. Urz. UE L 91 z 05.04.2017, str. 40).</w:t>
      </w:r>
    </w:p>
    <w:p w14:paraId="6E7F9460" w14:textId="1DD89E34" w:rsidR="00647D88" w:rsidRPr="00C835AB" w:rsidRDefault="007709FC" w:rsidP="00172EA3">
      <w:pPr>
        <w:pStyle w:val="Akapitzlist1"/>
        <w:spacing w:after="0" w:line="360" w:lineRule="auto"/>
        <w:ind w:left="0" w:firstLine="502"/>
        <w:jc w:val="both"/>
        <w:rPr>
          <w:rFonts w:ascii="Times New Roman" w:hAnsi="Times New Roman"/>
          <w:sz w:val="24"/>
          <w:szCs w:val="24"/>
        </w:rPr>
      </w:pPr>
      <w:r w:rsidRPr="00C835AB">
        <w:rPr>
          <w:rFonts w:ascii="Times New Roman" w:hAnsi="Times New Roman"/>
          <w:sz w:val="24"/>
          <w:szCs w:val="24"/>
        </w:rPr>
        <w:t>Powyższe dyrektywy są już włączone do prawa polskiego. Natomiast projektowane regulacje mają na celu podniesienie efektywności ich stosowania w krajowym porządku prawnym.</w:t>
      </w:r>
    </w:p>
    <w:p w14:paraId="1049EE0E" w14:textId="77777777" w:rsidR="005C641A" w:rsidRPr="00C835AB" w:rsidRDefault="005C641A" w:rsidP="00D823D0">
      <w:pPr>
        <w:ind w:firstLine="708"/>
        <w:rPr>
          <w:rFonts w:ascii="Times New Roman" w:eastAsia="Calibri" w:hAnsi="Times New Roman" w:cs="Times New Roman"/>
          <w:color w:val="auto"/>
          <w:sz w:val="24"/>
          <w14:ligatures w14:val="none"/>
        </w:rPr>
      </w:pPr>
    </w:p>
    <w:p w14:paraId="4F7F9573" w14:textId="5827C2C1" w:rsidR="00C14B99" w:rsidRPr="00C835AB" w:rsidRDefault="005C641A" w:rsidP="00D823D0">
      <w:pPr>
        <w:ind w:firstLine="708"/>
        <w:rPr>
          <w:rFonts w:ascii="Times New Roman" w:eastAsia="Calibri" w:hAnsi="Times New Roman" w:cs="Times New Roman"/>
          <w:color w:val="auto"/>
          <w:sz w:val="24"/>
          <w14:ligatures w14:val="none"/>
        </w:rPr>
      </w:pPr>
      <w:r w:rsidRPr="00C835AB">
        <w:rPr>
          <w:rFonts w:ascii="Times New Roman" w:hAnsi="Times New Roman" w:cs="Times New Roman"/>
          <w:color w:val="auto"/>
          <w:sz w:val="24"/>
        </w:rPr>
        <w:t xml:space="preserve">Proponuje się zmianę </w:t>
      </w:r>
      <w:r w:rsidRPr="00C835AB">
        <w:rPr>
          <w:rFonts w:ascii="Times New Roman" w:hAnsi="Times New Roman" w:cs="Times New Roman"/>
          <w:b/>
          <w:bCs/>
          <w:color w:val="auto"/>
          <w:sz w:val="24"/>
        </w:rPr>
        <w:t xml:space="preserve">odnośnika </w:t>
      </w:r>
      <w:r w:rsidR="000E177B" w:rsidRPr="00C835AB">
        <w:rPr>
          <w:rFonts w:ascii="Times New Roman" w:hAnsi="Times New Roman" w:cs="Times New Roman"/>
          <w:b/>
          <w:bCs/>
          <w:color w:val="auto"/>
          <w:sz w:val="24"/>
        </w:rPr>
        <w:t xml:space="preserve">nr 1 </w:t>
      </w:r>
      <w:r w:rsidR="00C17838" w:rsidRPr="00C835AB">
        <w:rPr>
          <w:rFonts w:ascii="Times New Roman" w:hAnsi="Times New Roman" w:cs="Times New Roman"/>
          <w:color w:val="auto"/>
          <w:sz w:val="24"/>
        </w:rPr>
        <w:t>do tytułu</w:t>
      </w:r>
      <w:r w:rsidR="00C17838" w:rsidRPr="00C835AB">
        <w:rPr>
          <w:rFonts w:ascii="Times New Roman" w:hAnsi="Times New Roman" w:cs="Times New Roman"/>
          <w:b/>
          <w:bCs/>
          <w:color w:val="auto"/>
          <w:sz w:val="24"/>
        </w:rPr>
        <w:t xml:space="preserve"> </w:t>
      </w:r>
      <w:r w:rsidRPr="00C835AB">
        <w:rPr>
          <w:rFonts w:ascii="Times New Roman" w:hAnsi="Times New Roman" w:cs="Times New Roman"/>
          <w:color w:val="auto"/>
          <w:sz w:val="24"/>
        </w:rPr>
        <w:t>ustawy – Kodeks postępowania karnego</w:t>
      </w:r>
      <w:r w:rsidR="00DC27C2" w:rsidRPr="00C835AB">
        <w:rPr>
          <w:rFonts w:ascii="Times New Roman" w:eastAsia="Calibri" w:hAnsi="Times New Roman" w:cs="Times New Roman"/>
          <w:color w:val="auto"/>
          <w:sz w:val="24"/>
          <w14:ligatures w14:val="none"/>
        </w:rPr>
        <w:t xml:space="preserve"> </w:t>
      </w:r>
      <w:r w:rsidR="009D1486" w:rsidRPr="00C835AB">
        <w:rPr>
          <w:rFonts w:ascii="Times New Roman" w:eastAsia="Calibri" w:hAnsi="Times New Roman" w:cs="Times New Roman"/>
          <w:color w:val="auto"/>
          <w:sz w:val="24"/>
          <w14:ligatures w14:val="none"/>
        </w:rPr>
        <w:t xml:space="preserve">o charakterze porządkującym </w:t>
      </w:r>
      <w:r w:rsidR="00DC27C2" w:rsidRPr="00C835AB">
        <w:rPr>
          <w:rFonts w:ascii="Times New Roman" w:eastAsia="Calibri" w:hAnsi="Times New Roman" w:cs="Times New Roman"/>
          <w:color w:val="auto"/>
          <w:sz w:val="24"/>
          <w14:ligatures w14:val="none"/>
        </w:rPr>
        <w:t xml:space="preserve">przez jego usystematyzowanie i </w:t>
      </w:r>
      <w:r w:rsidR="00051DAE" w:rsidRPr="00C835AB">
        <w:rPr>
          <w:rFonts w:ascii="Times New Roman" w:eastAsia="Calibri" w:hAnsi="Times New Roman" w:cs="Times New Roman"/>
          <w:color w:val="auto"/>
          <w:sz w:val="24"/>
          <w14:ligatures w14:val="none"/>
        </w:rPr>
        <w:t xml:space="preserve">dodanie </w:t>
      </w:r>
      <w:r w:rsidR="00DC27C2" w:rsidRPr="00C835AB">
        <w:rPr>
          <w:rFonts w:ascii="Times New Roman" w:eastAsia="Calibri" w:hAnsi="Times New Roman" w:cs="Times New Roman"/>
          <w:color w:val="auto"/>
          <w:sz w:val="24"/>
          <w14:ligatures w14:val="none"/>
        </w:rPr>
        <w:t>regulacj</w:t>
      </w:r>
      <w:r w:rsidR="00051DAE" w:rsidRPr="00C835AB">
        <w:rPr>
          <w:rFonts w:ascii="Times New Roman" w:eastAsia="Calibri" w:hAnsi="Times New Roman" w:cs="Times New Roman"/>
          <w:color w:val="auto"/>
          <w:sz w:val="24"/>
          <w14:ligatures w14:val="none"/>
        </w:rPr>
        <w:t>i</w:t>
      </w:r>
      <w:r w:rsidR="00DC27C2" w:rsidRPr="00C835AB">
        <w:rPr>
          <w:rFonts w:ascii="Times New Roman" w:eastAsia="Calibri" w:hAnsi="Times New Roman" w:cs="Times New Roman"/>
          <w:color w:val="auto"/>
          <w:sz w:val="24"/>
          <w14:ligatures w14:val="none"/>
        </w:rPr>
        <w:t xml:space="preserve"> </w:t>
      </w:r>
      <w:r w:rsidR="00051DAE" w:rsidRPr="00C835AB">
        <w:rPr>
          <w:rFonts w:ascii="Times New Roman" w:eastAsia="Calibri" w:hAnsi="Times New Roman" w:cs="Times New Roman"/>
          <w:color w:val="auto"/>
          <w:sz w:val="24"/>
          <w14:ligatures w14:val="none"/>
        </w:rPr>
        <w:t>unijnych</w:t>
      </w:r>
      <w:r w:rsidR="00DC27C2" w:rsidRPr="00C835AB">
        <w:rPr>
          <w:rFonts w:ascii="Times New Roman" w:eastAsia="Calibri" w:hAnsi="Times New Roman" w:cs="Times New Roman"/>
          <w:color w:val="auto"/>
          <w:sz w:val="24"/>
          <w14:ligatures w14:val="none"/>
        </w:rPr>
        <w:t>, które zostały transponowane do krajowego porządku prawnego</w:t>
      </w:r>
      <w:r w:rsidR="009D3FD0" w:rsidRPr="00C835AB">
        <w:rPr>
          <w:rFonts w:ascii="Times New Roman" w:eastAsia="Calibri" w:hAnsi="Times New Roman" w:cs="Times New Roman"/>
          <w:color w:val="auto"/>
          <w:sz w:val="24"/>
          <w14:ligatures w14:val="none"/>
        </w:rPr>
        <w:t xml:space="preserve">, </w:t>
      </w:r>
      <w:r w:rsidR="009C5442" w:rsidRPr="00C835AB">
        <w:rPr>
          <w:rFonts w:ascii="Times New Roman" w:eastAsia="Calibri" w:hAnsi="Times New Roman" w:cs="Times New Roman"/>
          <w:color w:val="auto"/>
          <w:sz w:val="24"/>
          <w14:ligatures w14:val="none"/>
        </w:rPr>
        <w:t>w tym o</w:t>
      </w:r>
      <w:r w:rsidR="009D3FD0" w:rsidRPr="00C835AB">
        <w:rPr>
          <w:rFonts w:ascii="Times New Roman" w:eastAsia="Calibri" w:hAnsi="Times New Roman" w:cs="Times New Roman"/>
          <w:color w:val="auto"/>
          <w:sz w:val="24"/>
          <w14:ligatures w14:val="none"/>
        </w:rPr>
        <w:t>:</w:t>
      </w:r>
    </w:p>
    <w:p w14:paraId="315CF4E1" w14:textId="6A3A1F6D" w:rsidR="006D7244" w:rsidRPr="00C835AB" w:rsidRDefault="006D7244" w:rsidP="006D7244">
      <w:pPr>
        <w:pStyle w:val="Akapitzlist"/>
        <w:numPr>
          <w:ilvl w:val="0"/>
          <w:numId w:val="32"/>
        </w:numPr>
        <w:ind w:left="426" w:hanging="284"/>
        <w:rPr>
          <w:rFonts w:ascii="Times New Roman" w:eastAsia="Calibri" w:hAnsi="Times New Roman" w:cs="Times New Roman"/>
          <w:color w:val="auto"/>
          <w:sz w:val="24"/>
          <w14:ligatures w14:val="none"/>
        </w:rPr>
      </w:pPr>
      <w:r w:rsidRPr="00C835AB">
        <w:rPr>
          <w:rFonts w:ascii="Times New Roman" w:eastAsia="Calibri" w:hAnsi="Times New Roman" w:cs="Times New Roman"/>
          <w:color w:val="auto"/>
          <w:sz w:val="24"/>
          <w14:ligatures w14:val="none"/>
        </w:rPr>
        <w:t>dyrektywę Parlamentu Europejskiego i Rady 2010/64/UE z dnia 20 października 2010 r. w</w:t>
      </w:r>
      <w:r w:rsidR="00D92A0D" w:rsidRPr="00C835AB">
        <w:rPr>
          <w:rFonts w:ascii="Times New Roman" w:eastAsia="Calibri" w:hAnsi="Times New Roman" w:cs="Times New Roman"/>
          <w:color w:val="auto"/>
          <w:sz w:val="24"/>
          <w14:ligatures w14:val="none"/>
        </w:rPr>
        <w:t> </w:t>
      </w:r>
      <w:r w:rsidRPr="00C835AB">
        <w:rPr>
          <w:rFonts w:ascii="Times New Roman" w:eastAsia="Calibri" w:hAnsi="Times New Roman" w:cs="Times New Roman"/>
          <w:color w:val="auto"/>
          <w:sz w:val="24"/>
          <w14:ligatures w14:val="none"/>
        </w:rPr>
        <w:t>sprawie prawa do tłumaczenia ustnego i tłumaczenia pisemnego w postępowaniu karnym m.in. mając na względzie projektowane w tym zakresie dostosowanie przepisów polskiej procedury karnej do przepisów unijnych oraz</w:t>
      </w:r>
    </w:p>
    <w:p w14:paraId="562B3547" w14:textId="408F5244" w:rsidR="006D7244" w:rsidRPr="00C835AB" w:rsidRDefault="006D7244" w:rsidP="006D7244">
      <w:pPr>
        <w:pStyle w:val="Akapitzlist"/>
        <w:numPr>
          <w:ilvl w:val="0"/>
          <w:numId w:val="32"/>
        </w:numPr>
        <w:ind w:left="426" w:hanging="284"/>
        <w:rPr>
          <w:rFonts w:ascii="Times New Roman" w:eastAsia="Calibri" w:hAnsi="Times New Roman" w:cs="Times New Roman"/>
          <w:color w:val="auto"/>
          <w:sz w:val="24"/>
          <w14:ligatures w14:val="none"/>
        </w:rPr>
      </w:pPr>
      <w:r w:rsidRPr="00C835AB">
        <w:rPr>
          <w:rFonts w:ascii="Times New Roman" w:eastAsia="Calibri" w:hAnsi="Times New Roman" w:cs="Times New Roman"/>
          <w:color w:val="auto"/>
          <w:sz w:val="24"/>
          <w14:ligatures w14:val="none"/>
        </w:rPr>
        <w:t>dyrektywę Parlamentu Europejskiego i Rady 2011/99/UE z dnia 13 grudnia 2011 r. w</w:t>
      </w:r>
      <w:r w:rsidR="00D92A0D" w:rsidRPr="00C835AB">
        <w:rPr>
          <w:rFonts w:ascii="Times New Roman" w:eastAsia="Calibri" w:hAnsi="Times New Roman" w:cs="Times New Roman"/>
          <w:color w:val="auto"/>
          <w:sz w:val="24"/>
          <w14:ligatures w14:val="none"/>
        </w:rPr>
        <w:t> </w:t>
      </w:r>
      <w:r w:rsidRPr="00C835AB">
        <w:rPr>
          <w:rFonts w:ascii="Times New Roman" w:eastAsia="Calibri" w:hAnsi="Times New Roman" w:cs="Times New Roman"/>
          <w:color w:val="auto"/>
          <w:sz w:val="24"/>
          <w14:ligatures w14:val="none"/>
        </w:rPr>
        <w:t>sprawie europejskiego nakazu ochrony implementowaną w Rozdziale 66j i 66k k.p.k. oraz</w:t>
      </w:r>
    </w:p>
    <w:p w14:paraId="52A7C0F4" w14:textId="0A056194" w:rsidR="006D7244" w:rsidRPr="00C835AB" w:rsidRDefault="006D7244" w:rsidP="006D7244">
      <w:pPr>
        <w:pStyle w:val="Akapitzlist"/>
        <w:numPr>
          <w:ilvl w:val="0"/>
          <w:numId w:val="32"/>
        </w:numPr>
        <w:ind w:left="426" w:hanging="284"/>
        <w:rPr>
          <w:rFonts w:ascii="Times New Roman" w:eastAsia="Calibri" w:hAnsi="Times New Roman" w:cs="Times New Roman"/>
          <w:color w:val="auto"/>
          <w:sz w:val="24"/>
          <w14:ligatures w14:val="none"/>
        </w:rPr>
      </w:pPr>
      <w:r w:rsidRPr="00C835AB">
        <w:rPr>
          <w:rFonts w:ascii="Times New Roman" w:eastAsia="Calibri" w:hAnsi="Times New Roman" w:cs="Times New Roman"/>
          <w:color w:val="auto"/>
          <w:sz w:val="24"/>
          <w14:ligatures w14:val="none"/>
        </w:rPr>
        <w:t xml:space="preserve">dyrektywę Parlamentu Europejskiego i Rady 2012/13/UE z dnia 22 maja 2012 r. w sprawie prawa do informacji w postępowaniu karnym m.in. mając na względzie projektowane </w:t>
      </w:r>
      <w:r w:rsidRPr="00C835AB">
        <w:rPr>
          <w:rFonts w:ascii="Times New Roman" w:eastAsia="Calibri" w:hAnsi="Times New Roman" w:cs="Times New Roman"/>
          <w:color w:val="auto"/>
          <w:sz w:val="24"/>
          <w14:ligatures w14:val="none"/>
        </w:rPr>
        <w:lastRenderedPageBreak/>
        <w:t>w</w:t>
      </w:r>
      <w:r w:rsidR="00D92A0D" w:rsidRPr="00C835AB">
        <w:rPr>
          <w:rFonts w:ascii="Times New Roman" w:eastAsia="Calibri" w:hAnsi="Times New Roman" w:cs="Times New Roman"/>
          <w:color w:val="auto"/>
          <w:sz w:val="24"/>
          <w14:ligatures w14:val="none"/>
        </w:rPr>
        <w:t> </w:t>
      </w:r>
      <w:r w:rsidRPr="00C835AB">
        <w:rPr>
          <w:rFonts w:ascii="Times New Roman" w:eastAsia="Calibri" w:hAnsi="Times New Roman" w:cs="Times New Roman"/>
          <w:color w:val="auto"/>
          <w:sz w:val="24"/>
          <w14:ligatures w14:val="none"/>
        </w:rPr>
        <w:t>tym zakresie dostosowanie przepisów polskiej procedury karnej do przepisów unijnych oraz</w:t>
      </w:r>
    </w:p>
    <w:p w14:paraId="08A23A85" w14:textId="77777777" w:rsidR="006D7244" w:rsidRPr="00C835AB" w:rsidRDefault="006D7244" w:rsidP="006D7244">
      <w:pPr>
        <w:pStyle w:val="Akapitzlist"/>
        <w:numPr>
          <w:ilvl w:val="0"/>
          <w:numId w:val="32"/>
        </w:numPr>
        <w:ind w:left="426" w:hanging="284"/>
        <w:rPr>
          <w:rFonts w:ascii="Times New Roman" w:eastAsia="Calibri" w:hAnsi="Times New Roman" w:cs="Times New Roman"/>
          <w:color w:val="auto"/>
          <w:sz w:val="24"/>
          <w14:ligatures w14:val="none"/>
        </w:rPr>
      </w:pPr>
      <w:r w:rsidRPr="00C835AB">
        <w:rPr>
          <w:rFonts w:ascii="Times New Roman" w:eastAsia="Calibri" w:hAnsi="Times New Roman" w:cs="Times New Roman"/>
          <w:color w:val="auto"/>
          <w:sz w:val="24"/>
          <w14:ligatures w14:val="none"/>
        </w:rPr>
        <w:t>dyrektywę Parlamentu Europejskiego i Rady 2012/29/UE z dnia 25 października 2012 r. ustanawiająca normy minimalne w zakresie praw, wsparcia i ochrony ofiar przestępstw oraz zastępująca decyzję ramową Rady 2001/220/</w:t>
      </w:r>
      <w:proofErr w:type="spellStart"/>
      <w:r w:rsidRPr="00C835AB">
        <w:rPr>
          <w:rFonts w:ascii="Times New Roman" w:eastAsia="Calibri" w:hAnsi="Times New Roman" w:cs="Times New Roman"/>
          <w:color w:val="auto"/>
          <w:sz w:val="24"/>
          <w14:ligatures w14:val="none"/>
        </w:rPr>
        <w:t>WSiSW</w:t>
      </w:r>
      <w:proofErr w:type="spellEnd"/>
      <w:r w:rsidRPr="00C835AB">
        <w:rPr>
          <w:rFonts w:ascii="Times New Roman" w:eastAsia="Calibri" w:hAnsi="Times New Roman" w:cs="Times New Roman"/>
          <w:color w:val="auto"/>
          <w:sz w:val="24"/>
          <w14:ligatures w14:val="none"/>
        </w:rPr>
        <w:t>, której implementację stanowi przepis art. 304b k.p.k. oraz</w:t>
      </w:r>
    </w:p>
    <w:p w14:paraId="52ABA6AE" w14:textId="7D3A7F9E" w:rsidR="006D7244" w:rsidRPr="00C835AB" w:rsidRDefault="006D7244" w:rsidP="006D7244">
      <w:pPr>
        <w:pStyle w:val="Akapitzlist"/>
        <w:numPr>
          <w:ilvl w:val="0"/>
          <w:numId w:val="32"/>
        </w:numPr>
        <w:ind w:left="426" w:hanging="284"/>
        <w:rPr>
          <w:rFonts w:ascii="Times New Roman" w:eastAsia="Calibri" w:hAnsi="Times New Roman" w:cs="Times New Roman"/>
          <w:color w:val="auto"/>
          <w:sz w:val="24"/>
          <w14:ligatures w14:val="none"/>
        </w:rPr>
      </w:pPr>
      <w:r w:rsidRPr="00C835AB">
        <w:rPr>
          <w:rFonts w:ascii="Times New Roman" w:eastAsia="Calibri" w:hAnsi="Times New Roman" w:cs="Times New Roman"/>
          <w:color w:val="auto"/>
          <w:sz w:val="24"/>
          <w14:ligatures w14:val="none"/>
        </w:rPr>
        <w:t>dyrektywę Parlamentu Europejskiego i Rady nr 2014/41/UE z dnia 3 kwietnia 2014 r. w</w:t>
      </w:r>
      <w:r w:rsidR="00D92A0D" w:rsidRPr="00C835AB">
        <w:rPr>
          <w:rFonts w:ascii="Times New Roman" w:eastAsia="Calibri" w:hAnsi="Times New Roman" w:cs="Times New Roman"/>
          <w:color w:val="auto"/>
          <w:sz w:val="24"/>
          <w14:ligatures w14:val="none"/>
        </w:rPr>
        <w:t> </w:t>
      </w:r>
      <w:r w:rsidRPr="00C835AB">
        <w:rPr>
          <w:rFonts w:ascii="Times New Roman" w:eastAsia="Calibri" w:hAnsi="Times New Roman" w:cs="Times New Roman"/>
          <w:color w:val="auto"/>
          <w:sz w:val="24"/>
          <w14:ligatures w14:val="none"/>
        </w:rPr>
        <w:t>sprawie europejskiego nakazu dochodzeniowego w sprawach karnych transponowaną w</w:t>
      </w:r>
      <w:r w:rsidR="00D92A0D" w:rsidRPr="00C835AB">
        <w:rPr>
          <w:rFonts w:ascii="Times New Roman" w:eastAsia="Calibri" w:hAnsi="Times New Roman" w:cs="Times New Roman"/>
          <w:color w:val="auto"/>
          <w:sz w:val="24"/>
          <w14:ligatures w14:val="none"/>
        </w:rPr>
        <w:t> </w:t>
      </w:r>
      <w:r w:rsidRPr="00C835AB">
        <w:rPr>
          <w:rFonts w:ascii="Times New Roman" w:eastAsia="Calibri" w:hAnsi="Times New Roman" w:cs="Times New Roman"/>
          <w:color w:val="auto"/>
          <w:sz w:val="24"/>
          <w14:ligatures w14:val="none"/>
        </w:rPr>
        <w:t>całości w Rozdziale 62c i 62d k.p.k. oraz</w:t>
      </w:r>
    </w:p>
    <w:p w14:paraId="6093B75C" w14:textId="192CE647" w:rsidR="006D7244" w:rsidRPr="00C835AB" w:rsidRDefault="006D7244" w:rsidP="00172EA3">
      <w:pPr>
        <w:pStyle w:val="Akapitzlist"/>
        <w:numPr>
          <w:ilvl w:val="0"/>
          <w:numId w:val="32"/>
        </w:numPr>
        <w:ind w:left="426" w:hanging="284"/>
        <w:rPr>
          <w:rFonts w:ascii="Times New Roman" w:eastAsia="Calibri" w:hAnsi="Times New Roman" w:cs="Times New Roman"/>
          <w:color w:val="auto"/>
          <w:sz w:val="24"/>
          <w14:ligatures w14:val="none"/>
        </w:rPr>
      </w:pPr>
      <w:r w:rsidRPr="00C835AB">
        <w:rPr>
          <w:rFonts w:ascii="Times New Roman" w:eastAsia="Calibri" w:hAnsi="Times New Roman" w:cs="Times New Roman"/>
          <w:color w:val="auto"/>
          <w:sz w:val="24"/>
          <w14:ligatures w14:val="none"/>
        </w:rPr>
        <w:t>dyrektywę Parlamentu Europejskiego i Rady 2014/42/UE z dnia 3 kwietnia 2014 r. w</w:t>
      </w:r>
      <w:r w:rsidR="00D92A0D" w:rsidRPr="00C835AB">
        <w:rPr>
          <w:rFonts w:ascii="Times New Roman" w:eastAsia="Calibri" w:hAnsi="Times New Roman" w:cs="Times New Roman"/>
          <w:color w:val="auto"/>
          <w:sz w:val="24"/>
          <w14:ligatures w14:val="none"/>
        </w:rPr>
        <w:t> </w:t>
      </w:r>
      <w:r w:rsidRPr="00C835AB">
        <w:rPr>
          <w:rFonts w:ascii="Times New Roman" w:eastAsia="Calibri" w:hAnsi="Times New Roman" w:cs="Times New Roman"/>
          <w:color w:val="auto"/>
          <w:sz w:val="24"/>
          <w14:ligatures w14:val="none"/>
        </w:rPr>
        <w:t>sprawie zabezpieczenia i konfiskaty narzędzi służących do popełnienia przestępstwa i</w:t>
      </w:r>
      <w:r w:rsidR="00D92A0D" w:rsidRPr="00C835AB">
        <w:rPr>
          <w:rFonts w:ascii="Times New Roman" w:eastAsia="Calibri" w:hAnsi="Times New Roman" w:cs="Times New Roman"/>
          <w:color w:val="auto"/>
          <w:sz w:val="24"/>
          <w14:ligatures w14:val="none"/>
        </w:rPr>
        <w:t> </w:t>
      </w:r>
      <w:r w:rsidRPr="00C835AB">
        <w:rPr>
          <w:rFonts w:ascii="Times New Roman" w:eastAsia="Calibri" w:hAnsi="Times New Roman" w:cs="Times New Roman"/>
          <w:color w:val="auto"/>
          <w:sz w:val="24"/>
          <w14:ligatures w14:val="none"/>
        </w:rPr>
        <w:t>korzyści pochodzących z przestępstwa w Unii Europejskiej – wynikiem interwencji ustawodawczej podjętej wskutek wdrożenia tej dyrektywy są: Rozdział 10a k.p.k., przepisy art. 17 § 4 k.p.k</w:t>
      </w:r>
      <w:r w:rsidR="00095D90">
        <w:rPr>
          <w:rFonts w:ascii="Times New Roman" w:eastAsia="Calibri" w:hAnsi="Times New Roman" w:cs="Times New Roman"/>
          <w:color w:val="auto"/>
          <w:sz w:val="24"/>
          <w14:ligatures w14:val="none"/>
        </w:rPr>
        <w:t>.</w:t>
      </w:r>
      <w:r w:rsidRPr="00C835AB">
        <w:rPr>
          <w:rFonts w:ascii="Times New Roman" w:eastAsia="Calibri" w:hAnsi="Times New Roman" w:cs="Times New Roman"/>
          <w:color w:val="auto"/>
          <w:sz w:val="24"/>
          <w14:ligatures w14:val="none"/>
        </w:rPr>
        <w:t>, art. 22 § 4 i 5 k.p.k</w:t>
      </w:r>
      <w:r w:rsidR="008E4D09">
        <w:rPr>
          <w:rFonts w:ascii="Times New Roman" w:eastAsia="Calibri" w:hAnsi="Times New Roman" w:cs="Times New Roman"/>
          <w:color w:val="auto"/>
          <w:sz w:val="24"/>
          <w14:ligatures w14:val="none"/>
        </w:rPr>
        <w:t>.</w:t>
      </w:r>
      <w:r w:rsidRPr="00C835AB">
        <w:rPr>
          <w:rFonts w:ascii="Times New Roman" w:eastAsia="Calibri" w:hAnsi="Times New Roman" w:cs="Times New Roman"/>
          <w:color w:val="auto"/>
          <w:sz w:val="24"/>
          <w14:ligatures w14:val="none"/>
        </w:rPr>
        <w:t xml:space="preserve"> oraz Dział III k.p.k.</w:t>
      </w:r>
    </w:p>
    <w:p w14:paraId="70D06B6F" w14:textId="064D5F6F" w:rsidR="005C641A" w:rsidRPr="00C835AB" w:rsidRDefault="005C641A" w:rsidP="00172EA3">
      <w:pPr>
        <w:ind w:firstLine="709"/>
        <w:rPr>
          <w:rFonts w:ascii="Times New Roman" w:hAnsi="Times New Roman" w:cs="Times New Roman"/>
          <w:color w:val="auto"/>
          <w:sz w:val="24"/>
        </w:rPr>
      </w:pPr>
      <w:r w:rsidRPr="00C835AB">
        <w:rPr>
          <w:rFonts w:ascii="Times New Roman" w:hAnsi="Times New Roman" w:cs="Times New Roman"/>
          <w:color w:val="auto"/>
          <w:sz w:val="24"/>
        </w:rPr>
        <w:t xml:space="preserve">Wprowadzenie projektowanych zmian </w:t>
      </w:r>
      <w:r w:rsidR="00DC27C2" w:rsidRPr="00C835AB">
        <w:rPr>
          <w:rFonts w:ascii="Times New Roman" w:hAnsi="Times New Roman" w:cs="Times New Roman"/>
          <w:color w:val="auto"/>
          <w:sz w:val="24"/>
        </w:rPr>
        <w:t xml:space="preserve">w odnośniku nr 1 do tytułu ustawy – Kodeks postępowania karnego </w:t>
      </w:r>
      <w:r w:rsidRPr="00C835AB">
        <w:rPr>
          <w:rFonts w:ascii="Times New Roman" w:hAnsi="Times New Roman" w:cs="Times New Roman"/>
          <w:color w:val="auto"/>
          <w:sz w:val="24"/>
        </w:rPr>
        <w:t xml:space="preserve">jest </w:t>
      </w:r>
      <w:r w:rsidR="00DC27C2" w:rsidRPr="00C835AB">
        <w:rPr>
          <w:rFonts w:ascii="Times New Roman" w:hAnsi="Times New Roman" w:cs="Times New Roman"/>
          <w:color w:val="auto"/>
          <w:sz w:val="24"/>
        </w:rPr>
        <w:t xml:space="preserve">również </w:t>
      </w:r>
      <w:r w:rsidRPr="00C835AB">
        <w:rPr>
          <w:rFonts w:ascii="Times New Roman" w:hAnsi="Times New Roman" w:cs="Times New Roman"/>
          <w:color w:val="auto"/>
          <w:sz w:val="24"/>
        </w:rPr>
        <w:t>spowodowane koniecznością dochowania wymogów z</w:t>
      </w:r>
      <w:r w:rsidR="00D92A0D" w:rsidRPr="00C835AB">
        <w:rPr>
          <w:rFonts w:ascii="Times New Roman" w:hAnsi="Times New Roman" w:cs="Times New Roman"/>
          <w:color w:val="auto"/>
          <w:sz w:val="24"/>
        </w:rPr>
        <w:t> </w:t>
      </w:r>
      <w:r w:rsidRPr="00C835AB">
        <w:rPr>
          <w:rFonts w:ascii="Times New Roman" w:hAnsi="Times New Roman" w:cs="Times New Roman"/>
          <w:color w:val="auto"/>
          <w:sz w:val="24"/>
        </w:rPr>
        <w:t>art.</w:t>
      </w:r>
      <w:r w:rsidR="00D92A0D" w:rsidRPr="00C835AB">
        <w:rPr>
          <w:rFonts w:ascii="Times New Roman" w:hAnsi="Times New Roman" w:cs="Times New Roman"/>
          <w:color w:val="auto"/>
          <w:sz w:val="24"/>
        </w:rPr>
        <w:t> </w:t>
      </w:r>
      <w:r w:rsidRPr="00C835AB">
        <w:rPr>
          <w:rFonts w:ascii="Times New Roman" w:hAnsi="Times New Roman" w:cs="Times New Roman"/>
          <w:color w:val="auto"/>
          <w:sz w:val="24"/>
        </w:rPr>
        <w:t>2 ust. 1:</w:t>
      </w:r>
    </w:p>
    <w:p w14:paraId="06B67F82" w14:textId="7B27EC88" w:rsidR="005C641A" w:rsidRPr="00C835AB" w:rsidRDefault="005C641A" w:rsidP="00D823D0">
      <w:pPr>
        <w:pStyle w:val="Akapitzlist"/>
        <w:numPr>
          <w:ilvl w:val="0"/>
          <w:numId w:val="23"/>
        </w:numPr>
        <w:rPr>
          <w:rFonts w:ascii="Times New Roman" w:hAnsi="Times New Roman" w:cs="Times New Roman"/>
          <w:color w:val="auto"/>
          <w:sz w:val="24"/>
        </w:rPr>
      </w:pPr>
      <w:r w:rsidRPr="00C835AB">
        <w:rPr>
          <w:rFonts w:ascii="Times New Roman" w:hAnsi="Times New Roman" w:cs="Times New Roman"/>
          <w:color w:val="auto"/>
          <w:sz w:val="24"/>
        </w:rPr>
        <w:t>dyrektywy Parlamentu Europejskiego i Rady (UE) 2022/211 z dnia 16 lutego 2022 r. w</w:t>
      </w:r>
      <w:r w:rsidR="00D92A0D" w:rsidRPr="00C835AB">
        <w:rPr>
          <w:rFonts w:ascii="Times New Roman" w:hAnsi="Times New Roman" w:cs="Times New Roman"/>
          <w:color w:val="auto"/>
          <w:sz w:val="24"/>
        </w:rPr>
        <w:t> </w:t>
      </w:r>
      <w:r w:rsidRPr="00C835AB">
        <w:rPr>
          <w:rFonts w:ascii="Times New Roman" w:hAnsi="Times New Roman" w:cs="Times New Roman"/>
          <w:color w:val="auto"/>
          <w:sz w:val="24"/>
        </w:rPr>
        <w:t>sprawie zmiany decyzji ramowej Rady 2002/465/</w:t>
      </w:r>
      <w:proofErr w:type="spellStart"/>
      <w:r w:rsidRPr="00C835AB">
        <w:rPr>
          <w:rFonts w:ascii="Times New Roman" w:hAnsi="Times New Roman" w:cs="Times New Roman"/>
          <w:color w:val="auto"/>
          <w:sz w:val="24"/>
        </w:rPr>
        <w:t>WSiSW</w:t>
      </w:r>
      <w:proofErr w:type="spellEnd"/>
      <w:r w:rsidRPr="00C835AB">
        <w:rPr>
          <w:rFonts w:ascii="Times New Roman" w:hAnsi="Times New Roman" w:cs="Times New Roman"/>
          <w:color w:val="auto"/>
          <w:sz w:val="24"/>
        </w:rPr>
        <w:t xml:space="preserve"> w odniesieniu do</w:t>
      </w:r>
      <w:r w:rsidR="0004458F">
        <w:rPr>
          <w:rFonts w:ascii="Times New Roman" w:hAnsi="Times New Roman" w:cs="Times New Roman"/>
          <w:color w:val="auto"/>
          <w:sz w:val="24"/>
        </w:rPr>
        <w:t> </w:t>
      </w:r>
      <w:r w:rsidRPr="00C835AB">
        <w:rPr>
          <w:rFonts w:ascii="Times New Roman" w:hAnsi="Times New Roman" w:cs="Times New Roman"/>
          <w:color w:val="auto"/>
          <w:sz w:val="24"/>
        </w:rPr>
        <w:t>jej</w:t>
      </w:r>
      <w:r w:rsidR="0004458F">
        <w:rPr>
          <w:rFonts w:ascii="Times New Roman" w:hAnsi="Times New Roman" w:cs="Times New Roman"/>
          <w:color w:val="auto"/>
          <w:sz w:val="24"/>
        </w:rPr>
        <w:t> </w:t>
      </w:r>
      <w:r w:rsidRPr="00C835AB">
        <w:rPr>
          <w:rFonts w:ascii="Times New Roman" w:hAnsi="Times New Roman" w:cs="Times New Roman"/>
          <w:color w:val="auto"/>
          <w:sz w:val="24"/>
        </w:rPr>
        <w:t xml:space="preserve">dostosowania do przepisów unijnych dotyczących ochrony danych osobowych oraz </w:t>
      </w:r>
    </w:p>
    <w:p w14:paraId="22464D35" w14:textId="24E1C83C" w:rsidR="005C641A" w:rsidRPr="00C835AB" w:rsidRDefault="005C641A" w:rsidP="00D823D0">
      <w:pPr>
        <w:pStyle w:val="Akapitzlist"/>
        <w:numPr>
          <w:ilvl w:val="0"/>
          <w:numId w:val="23"/>
        </w:numPr>
        <w:rPr>
          <w:rFonts w:ascii="Times New Roman" w:hAnsi="Times New Roman" w:cs="Times New Roman"/>
          <w:color w:val="auto"/>
          <w:sz w:val="24"/>
        </w:rPr>
      </w:pPr>
      <w:r w:rsidRPr="00C835AB">
        <w:rPr>
          <w:rFonts w:ascii="Times New Roman" w:hAnsi="Times New Roman" w:cs="Times New Roman"/>
          <w:color w:val="auto"/>
          <w:sz w:val="24"/>
        </w:rPr>
        <w:t>dyrektywy Parlamentu Europejskiego i Rady (UE) 2022/228 z dnia 16 lutego 2022 r. w</w:t>
      </w:r>
      <w:r w:rsidR="00D92A0D" w:rsidRPr="00C835AB">
        <w:rPr>
          <w:rFonts w:ascii="Times New Roman" w:hAnsi="Times New Roman" w:cs="Times New Roman"/>
          <w:color w:val="auto"/>
          <w:sz w:val="24"/>
        </w:rPr>
        <w:t> </w:t>
      </w:r>
      <w:r w:rsidRPr="00C835AB">
        <w:rPr>
          <w:rFonts w:ascii="Times New Roman" w:hAnsi="Times New Roman" w:cs="Times New Roman"/>
          <w:color w:val="auto"/>
          <w:sz w:val="24"/>
        </w:rPr>
        <w:t>sprawie zmiany dyrektywy 2014/41/UE w odniesieniu do jej dostosowania do</w:t>
      </w:r>
      <w:r w:rsidR="001D3092">
        <w:rPr>
          <w:rFonts w:ascii="Times New Roman" w:hAnsi="Times New Roman" w:cs="Times New Roman"/>
          <w:color w:val="auto"/>
          <w:sz w:val="24"/>
        </w:rPr>
        <w:t> </w:t>
      </w:r>
      <w:r w:rsidRPr="00C835AB">
        <w:rPr>
          <w:rFonts w:ascii="Times New Roman" w:hAnsi="Times New Roman" w:cs="Times New Roman"/>
          <w:color w:val="auto"/>
          <w:sz w:val="24"/>
        </w:rPr>
        <w:t>przepisów unijnych dotyczących ochrony danych osobowych.</w:t>
      </w:r>
    </w:p>
    <w:p w14:paraId="7E0CBFD2" w14:textId="6AE29AC5" w:rsidR="005C641A" w:rsidRPr="00C835AB" w:rsidRDefault="005C641A" w:rsidP="00D823D0">
      <w:pPr>
        <w:ind w:left="142"/>
        <w:rPr>
          <w:rFonts w:ascii="Times New Roman" w:hAnsi="Times New Roman" w:cs="Times New Roman"/>
          <w:color w:val="auto"/>
          <w:sz w:val="24"/>
        </w:rPr>
      </w:pPr>
      <w:r w:rsidRPr="00C835AB">
        <w:rPr>
          <w:rFonts w:ascii="Times New Roman" w:hAnsi="Times New Roman" w:cs="Times New Roman"/>
          <w:color w:val="auto"/>
          <w:sz w:val="24"/>
        </w:rPr>
        <w:t>Powyższe dyrektywy 2022/211 i 2022/228</w:t>
      </w:r>
      <w:r w:rsidRPr="00C835AB">
        <w:rPr>
          <w:rFonts w:ascii="Times New Roman" w:hAnsi="Times New Roman" w:cs="Times New Roman"/>
          <w:i/>
          <w:iCs/>
          <w:color w:val="auto"/>
          <w:sz w:val="24"/>
        </w:rPr>
        <w:t xml:space="preserve"> </w:t>
      </w:r>
      <w:r w:rsidRPr="00C835AB">
        <w:rPr>
          <w:rFonts w:ascii="Times New Roman" w:hAnsi="Times New Roman" w:cs="Times New Roman"/>
          <w:color w:val="auto"/>
          <w:sz w:val="24"/>
        </w:rPr>
        <w:t>dostosowują</w:t>
      </w:r>
      <w:r w:rsidR="000E177B" w:rsidRPr="00C835AB">
        <w:rPr>
          <w:rFonts w:ascii="Times New Roman" w:hAnsi="Times New Roman" w:cs="Times New Roman"/>
          <w:color w:val="auto"/>
          <w:sz w:val="24"/>
        </w:rPr>
        <w:t>:</w:t>
      </w:r>
    </w:p>
    <w:p w14:paraId="4A27C5C3" w14:textId="06E90023" w:rsidR="005C641A" w:rsidRPr="00C835AB" w:rsidRDefault="005C641A" w:rsidP="00D823D0">
      <w:pPr>
        <w:pStyle w:val="Akapitzlist"/>
        <w:numPr>
          <w:ilvl w:val="1"/>
          <w:numId w:val="24"/>
        </w:numPr>
        <w:rPr>
          <w:rFonts w:ascii="Times New Roman" w:hAnsi="Times New Roman" w:cs="Times New Roman"/>
          <w:color w:val="auto"/>
          <w:sz w:val="24"/>
        </w:rPr>
      </w:pPr>
      <w:r w:rsidRPr="00C835AB">
        <w:rPr>
          <w:rFonts w:ascii="Times New Roman" w:hAnsi="Times New Roman" w:cs="Times New Roman"/>
          <w:color w:val="auto"/>
          <w:sz w:val="24"/>
        </w:rPr>
        <w:t>decyzję ramową 2002/465/</w:t>
      </w:r>
      <w:proofErr w:type="spellStart"/>
      <w:r w:rsidRPr="00C835AB">
        <w:rPr>
          <w:rFonts w:ascii="Times New Roman" w:hAnsi="Times New Roman" w:cs="Times New Roman"/>
          <w:color w:val="auto"/>
          <w:sz w:val="24"/>
        </w:rPr>
        <w:t>WSiSW</w:t>
      </w:r>
      <w:proofErr w:type="spellEnd"/>
      <w:r w:rsidRPr="00C835AB">
        <w:rPr>
          <w:rFonts w:ascii="Times New Roman" w:hAnsi="Times New Roman" w:cs="Times New Roman"/>
          <w:color w:val="auto"/>
          <w:sz w:val="24"/>
        </w:rPr>
        <w:t xml:space="preserve"> z dnia 13 czerwca 2002 r. w sprawie wspólnych zespołów dochodzeniowo-śledczych oraz </w:t>
      </w:r>
    </w:p>
    <w:p w14:paraId="72DAA806" w14:textId="70208BFF" w:rsidR="005C641A" w:rsidRPr="00C835AB" w:rsidRDefault="005C641A" w:rsidP="00D823D0">
      <w:pPr>
        <w:pStyle w:val="Akapitzlist"/>
        <w:numPr>
          <w:ilvl w:val="1"/>
          <w:numId w:val="24"/>
        </w:numPr>
        <w:rPr>
          <w:rFonts w:ascii="Times New Roman" w:hAnsi="Times New Roman" w:cs="Times New Roman"/>
          <w:color w:val="auto"/>
          <w:sz w:val="24"/>
        </w:rPr>
      </w:pPr>
      <w:r w:rsidRPr="00C835AB">
        <w:rPr>
          <w:rFonts w:ascii="Times New Roman" w:hAnsi="Times New Roman" w:cs="Times New Roman"/>
          <w:color w:val="auto"/>
          <w:sz w:val="24"/>
        </w:rPr>
        <w:t xml:space="preserve">dyrektywę 2014/41/UE z dnia 3 kwietnia 2014 r. w sprawie europejskiego nakazu dochodzeniowego w sprawach karnych </w:t>
      </w:r>
    </w:p>
    <w:p w14:paraId="496CD462" w14:textId="0A3AAC70" w:rsidR="005C641A" w:rsidRPr="00C835AB" w:rsidRDefault="005C641A" w:rsidP="00D823D0">
      <w:pPr>
        <w:rPr>
          <w:rFonts w:ascii="Times New Roman" w:hAnsi="Times New Roman" w:cs="Times New Roman"/>
          <w:color w:val="auto"/>
          <w:sz w:val="24"/>
        </w:rPr>
      </w:pPr>
      <w:r w:rsidRPr="00C835AB">
        <w:rPr>
          <w:rFonts w:ascii="Times New Roman" w:hAnsi="Times New Roman" w:cs="Times New Roman"/>
          <w:color w:val="auto"/>
          <w:sz w:val="24"/>
        </w:rPr>
        <w:t>do treści dyrektywy 2016/680 z dnia 27 kwietnia 2016 r. w sprawie ochrony osób fizycznych w związku z przetwarzaniem danych osobowych przez właściwe organy do celów zapobiegania przestępczości, prowadzenia postępowań przygotowawczych, wykrywania i ścigania czynów zabronionych i wykonywania kar, w sprawie swobodnego przepływu takich danych oraz</w:t>
      </w:r>
      <w:r w:rsidR="001D3092">
        <w:rPr>
          <w:rFonts w:ascii="Times New Roman" w:hAnsi="Times New Roman" w:cs="Times New Roman"/>
          <w:color w:val="auto"/>
          <w:sz w:val="24"/>
        </w:rPr>
        <w:t> </w:t>
      </w:r>
      <w:r w:rsidRPr="00C835AB">
        <w:rPr>
          <w:rFonts w:ascii="Times New Roman" w:hAnsi="Times New Roman" w:cs="Times New Roman"/>
          <w:color w:val="auto"/>
          <w:sz w:val="24"/>
        </w:rPr>
        <w:t>uchylająca decyzję ramową Rady 2008/977/</w:t>
      </w:r>
      <w:proofErr w:type="spellStart"/>
      <w:r w:rsidRPr="00C835AB">
        <w:rPr>
          <w:rFonts w:ascii="Times New Roman" w:hAnsi="Times New Roman" w:cs="Times New Roman"/>
          <w:color w:val="auto"/>
          <w:sz w:val="24"/>
        </w:rPr>
        <w:t>WSiSW</w:t>
      </w:r>
      <w:proofErr w:type="spellEnd"/>
      <w:r w:rsidRPr="00C835AB">
        <w:rPr>
          <w:rFonts w:ascii="Times New Roman" w:hAnsi="Times New Roman" w:cs="Times New Roman"/>
          <w:color w:val="auto"/>
          <w:sz w:val="24"/>
        </w:rPr>
        <w:t xml:space="preserve">. </w:t>
      </w:r>
    </w:p>
    <w:p w14:paraId="6F1C8426" w14:textId="2ABB1A4F" w:rsidR="005C641A" w:rsidRPr="00C835AB" w:rsidRDefault="005C641A" w:rsidP="00D823D0">
      <w:pPr>
        <w:ind w:firstLine="709"/>
        <w:rPr>
          <w:rFonts w:ascii="Times New Roman" w:hAnsi="Times New Roman" w:cs="Times New Roman"/>
          <w:color w:val="auto"/>
          <w:sz w:val="24"/>
        </w:rPr>
      </w:pPr>
      <w:r w:rsidRPr="00C835AB">
        <w:rPr>
          <w:rFonts w:ascii="Times New Roman" w:hAnsi="Times New Roman" w:cs="Times New Roman"/>
          <w:color w:val="auto"/>
          <w:sz w:val="24"/>
        </w:rPr>
        <w:lastRenderedPageBreak/>
        <w:t>Polska w dniu 13 marca 2023 r. dokonała notyfikacji transpozycji dwóch dyrektyw 2022/211 i 2022/228 wskazując na przepisy wdrażające do prawa krajowego. Decyzja ramowa 2002/465/</w:t>
      </w:r>
      <w:proofErr w:type="spellStart"/>
      <w:r w:rsidRPr="00C835AB">
        <w:rPr>
          <w:rFonts w:ascii="Times New Roman" w:hAnsi="Times New Roman" w:cs="Times New Roman"/>
          <w:color w:val="auto"/>
          <w:sz w:val="24"/>
        </w:rPr>
        <w:t>WSiSW</w:t>
      </w:r>
      <w:proofErr w:type="spellEnd"/>
      <w:r w:rsidRPr="00C835AB">
        <w:rPr>
          <w:rFonts w:ascii="Times New Roman" w:hAnsi="Times New Roman" w:cs="Times New Roman"/>
          <w:color w:val="auto"/>
          <w:sz w:val="24"/>
        </w:rPr>
        <w:t xml:space="preserve"> została implementowana do polskiego porządku prawnego przepisami Rozdziału 62 w art. 589a – 589f k.p.k., a dyrektywa 2014/41/UE przepisami Rozdziału 62c i</w:t>
      </w:r>
      <w:r w:rsidR="00D92A0D" w:rsidRPr="00C835AB">
        <w:rPr>
          <w:rFonts w:ascii="Times New Roman" w:hAnsi="Times New Roman" w:cs="Times New Roman"/>
          <w:color w:val="auto"/>
          <w:sz w:val="24"/>
        </w:rPr>
        <w:t> </w:t>
      </w:r>
      <w:r w:rsidRPr="00C835AB">
        <w:rPr>
          <w:rFonts w:ascii="Times New Roman" w:hAnsi="Times New Roman" w:cs="Times New Roman"/>
          <w:color w:val="auto"/>
          <w:sz w:val="24"/>
        </w:rPr>
        <w:t xml:space="preserve">62d w art. 589w – art. 589zt k.p.k. Natomiast implementacja dyrektywy Parlamentu Europejskiego i Rady 2016/680 </w:t>
      </w:r>
      <w:r w:rsidR="000E177B"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 xml:space="preserve">wdrożona została ustawą </w:t>
      </w:r>
      <w:r w:rsidR="000E177B" w:rsidRPr="00C835AB">
        <w:rPr>
          <w:rFonts w:ascii="Times New Roman" w:hAnsi="Times New Roman" w:cs="Times New Roman"/>
          <w:color w:val="auto"/>
          <w:sz w:val="24"/>
        </w:rPr>
        <w:t xml:space="preserve">z dnia 14 grudnia 2018 r. </w:t>
      </w:r>
      <w:r w:rsidRPr="00C835AB">
        <w:rPr>
          <w:rFonts w:ascii="Times New Roman" w:hAnsi="Times New Roman" w:cs="Times New Roman"/>
          <w:color w:val="auto"/>
          <w:sz w:val="24"/>
        </w:rPr>
        <w:t xml:space="preserve">o ochronie danych osobowych przetwarzanych w związku z zapobieganiem i zwalczaniem przestępczości </w:t>
      </w:r>
      <w:r w:rsidR="000E177B" w:rsidRPr="00C835AB">
        <w:rPr>
          <w:rFonts w:ascii="Times New Roman" w:hAnsi="Times New Roman" w:cs="Times New Roman"/>
          <w:color w:val="auto"/>
          <w:sz w:val="24"/>
        </w:rPr>
        <w:t>(Dz. U. z 2023 r. poz. 1206).</w:t>
      </w:r>
    </w:p>
    <w:p w14:paraId="340689C3" w14:textId="320DDCE9" w:rsidR="005C641A" w:rsidRPr="00C835AB" w:rsidRDefault="005C641A" w:rsidP="00D823D0">
      <w:pPr>
        <w:ind w:firstLine="709"/>
        <w:rPr>
          <w:rFonts w:ascii="Times New Roman" w:hAnsi="Times New Roman" w:cs="Times New Roman"/>
          <w:color w:val="auto"/>
          <w:sz w:val="24"/>
        </w:rPr>
      </w:pPr>
      <w:r w:rsidRPr="00C835AB">
        <w:rPr>
          <w:rFonts w:ascii="Times New Roman" w:hAnsi="Times New Roman" w:cs="Times New Roman"/>
          <w:color w:val="auto"/>
          <w:sz w:val="24"/>
        </w:rPr>
        <w:t>W dniu 15 stycznia 2024 r. Komisja Europejska wystosowała do Polski list administracyjny, podnosząc, ż</w:t>
      </w:r>
      <w:r w:rsidR="000D54BA" w:rsidRPr="00C835AB">
        <w:rPr>
          <w:rFonts w:ascii="Times New Roman" w:hAnsi="Times New Roman" w:cs="Times New Roman"/>
          <w:color w:val="auto"/>
          <w:sz w:val="24"/>
        </w:rPr>
        <w:t>e</w:t>
      </w:r>
      <w:r w:rsidRPr="00C835AB">
        <w:rPr>
          <w:rFonts w:ascii="Times New Roman" w:hAnsi="Times New Roman" w:cs="Times New Roman"/>
          <w:color w:val="auto"/>
          <w:sz w:val="24"/>
        </w:rPr>
        <w:t xml:space="preserve"> w krajowych, obowiązujących regulacjach prawnych brak jest odpowiednich odnośników „</w:t>
      </w:r>
      <w:proofErr w:type="spellStart"/>
      <w:r w:rsidRPr="00C835AB">
        <w:rPr>
          <w:rFonts w:ascii="Times New Roman" w:hAnsi="Times New Roman" w:cs="Times New Roman"/>
          <w:color w:val="auto"/>
          <w:sz w:val="24"/>
        </w:rPr>
        <w:t>act</w:t>
      </w:r>
      <w:proofErr w:type="spellEnd"/>
      <w:r w:rsidRPr="00C835AB">
        <w:rPr>
          <w:rFonts w:ascii="Times New Roman" w:hAnsi="Times New Roman" w:cs="Times New Roman"/>
          <w:color w:val="auto"/>
          <w:sz w:val="24"/>
        </w:rPr>
        <w:t xml:space="preserve"> de </w:t>
      </w:r>
      <w:proofErr w:type="spellStart"/>
      <w:r w:rsidRPr="00C835AB">
        <w:rPr>
          <w:rFonts w:ascii="Times New Roman" w:hAnsi="Times New Roman" w:cs="Times New Roman"/>
          <w:color w:val="auto"/>
          <w:sz w:val="24"/>
        </w:rPr>
        <w:t>positsion</w:t>
      </w:r>
      <w:proofErr w:type="spellEnd"/>
      <w:r w:rsidRPr="00C835AB">
        <w:rPr>
          <w:rFonts w:ascii="Times New Roman" w:hAnsi="Times New Roman" w:cs="Times New Roman"/>
          <w:color w:val="auto"/>
          <w:sz w:val="24"/>
        </w:rPr>
        <w:t>”. Komisja Europejska uznała notyfikację Polski w</w:t>
      </w:r>
      <w:r w:rsidR="00D92A0D" w:rsidRPr="00C835AB">
        <w:rPr>
          <w:rFonts w:ascii="Times New Roman" w:hAnsi="Times New Roman" w:cs="Times New Roman"/>
          <w:color w:val="auto"/>
          <w:sz w:val="24"/>
        </w:rPr>
        <w:t> </w:t>
      </w:r>
      <w:r w:rsidRPr="00C835AB">
        <w:rPr>
          <w:rFonts w:ascii="Times New Roman" w:hAnsi="Times New Roman" w:cs="Times New Roman"/>
          <w:color w:val="auto"/>
          <w:sz w:val="24"/>
        </w:rPr>
        <w:t>dniu 13 marca 2023 r. za niewystarczającą, z uwagi na brak wskazania konkretnego środ</w:t>
      </w:r>
      <w:r w:rsidR="000D54BA" w:rsidRPr="00C835AB">
        <w:rPr>
          <w:rFonts w:ascii="Times New Roman" w:hAnsi="Times New Roman" w:cs="Times New Roman"/>
          <w:color w:val="auto"/>
          <w:sz w:val="24"/>
        </w:rPr>
        <w:t>ka</w:t>
      </w:r>
      <w:r w:rsidRPr="00C835AB">
        <w:rPr>
          <w:rFonts w:ascii="Times New Roman" w:hAnsi="Times New Roman" w:cs="Times New Roman"/>
          <w:color w:val="auto"/>
          <w:sz w:val="24"/>
        </w:rPr>
        <w:t xml:space="preserve"> transpozycji (odnośnika), taki jak konkretny akt opublikowany w dzienniku urzędowym państwa członkowskiego, który jednoznacznie wskazuje istniejące wcześniej przepisy ustawowe, wykonawcze i administracyjne, na podstawie których dane państwo członkowskie uważa, że wypełniło obowiązki nałożone tymi dyrektywami.</w:t>
      </w:r>
    </w:p>
    <w:p w14:paraId="79DFBD4D" w14:textId="441B4556" w:rsidR="005C641A" w:rsidRPr="00C835AB" w:rsidRDefault="005C641A" w:rsidP="00D823D0">
      <w:pPr>
        <w:ind w:firstLine="709"/>
        <w:rPr>
          <w:rFonts w:ascii="Times New Roman" w:hAnsi="Times New Roman" w:cs="Times New Roman"/>
          <w:color w:val="auto"/>
          <w:sz w:val="24"/>
        </w:rPr>
      </w:pPr>
      <w:r w:rsidRPr="00C835AB">
        <w:rPr>
          <w:rFonts w:ascii="Times New Roman" w:hAnsi="Times New Roman" w:cs="Times New Roman"/>
          <w:color w:val="auto"/>
          <w:sz w:val="24"/>
        </w:rPr>
        <w:t xml:space="preserve">Zdaniem Komisji Europejskiej Polska w sposób precyzyjny i jasny wskazała środki transpozycji unijnych regulacji (tj. art. 589a – 589f k.p.k. oraz art. 589w – art. </w:t>
      </w:r>
      <w:proofErr w:type="spellStart"/>
      <w:r w:rsidRPr="00C835AB">
        <w:rPr>
          <w:rFonts w:ascii="Times New Roman" w:hAnsi="Times New Roman" w:cs="Times New Roman"/>
          <w:color w:val="auto"/>
          <w:sz w:val="24"/>
        </w:rPr>
        <w:t>589zt</w:t>
      </w:r>
      <w:proofErr w:type="spellEnd"/>
      <w:r w:rsidRPr="00C835AB">
        <w:rPr>
          <w:rFonts w:ascii="Times New Roman" w:hAnsi="Times New Roman" w:cs="Times New Roman"/>
          <w:color w:val="auto"/>
          <w:sz w:val="24"/>
        </w:rPr>
        <w:t xml:space="preserve"> </w:t>
      </w:r>
      <w:proofErr w:type="spellStart"/>
      <w:r w:rsidRPr="00C835AB">
        <w:rPr>
          <w:rFonts w:ascii="Times New Roman" w:hAnsi="Times New Roman" w:cs="Times New Roman"/>
          <w:color w:val="auto"/>
          <w:sz w:val="24"/>
        </w:rPr>
        <w:t>k.p.k</w:t>
      </w:r>
      <w:proofErr w:type="spellEnd"/>
      <w:r w:rsidRPr="00C835AB">
        <w:rPr>
          <w:rFonts w:ascii="Times New Roman" w:hAnsi="Times New Roman" w:cs="Times New Roman"/>
          <w:color w:val="auto"/>
          <w:sz w:val="24"/>
        </w:rPr>
        <w:t>), jednak, brakuje w przepisach krajowej ustawy odniesienia do dyrektyw 2022/211 i 2022/228</w:t>
      </w:r>
      <w:r w:rsidRPr="00C835AB">
        <w:rPr>
          <w:rFonts w:ascii="Times New Roman" w:hAnsi="Times New Roman" w:cs="Times New Roman"/>
          <w:i/>
          <w:iCs/>
          <w:color w:val="auto"/>
          <w:sz w:val="24"/>
        </w:rPr>
        <w:t xml:space="preserve"> </w:t>
      </w:r>
      <w:r w:rsidRPr="00C835AB">
        <w:rPr>
          <w:rFonts w:ascii="Times New Roman" w:hAnsi="Times New Roman" w:cs="Times New Roman"/>
          <w:color w:val="auto"/>
          <w:sz w:val="24"/>
        </w:rPr>
        <w:t>(„</w:t>
      </w:r>
      <w:proofErr w:type="spellStart"/>
      <w:r w:rsidRPr="00C835AB">
        <w:rPr>
          <w:rFonts w:ascii="Times New Roman" w:hAnsi="Times New Roman" w:cs="Times New Roman"/>
          <w:color w:val="auto"/>
          <w:sz w:val="24"/>
        </w:rPr>
        <w:t>act</w:t>
      </w:r>
      <w:proofErr w:type="spellEnd"/>
      <w:r w:rsidRPr="00C835AB">
        <w:rPr>
          <w:rFonts w:ascii="Times New Roman" w:hAnsi="Times New Roman" w:cs="Times New Roman"/>
          <w:color w:val="auto"/>
          <w:sz w:val="24"/>
        </w:rPr>
        <w:t xml:space="preserve"> de </w:t>
      </w:r>
      <w:proofErr w:type="spellStart"/>
      <w:r w:rsidRPr="00C835AB">
        <w:rPr>
          <w:rFonts w:ascii="Times New Roman" w:hAnsi="Times New Roman" w:cs="Times New Roman"/>
          <w:color w:val="auto"/>
          <w:sz w:val="24"/>
        </w:rPr>
        <w:t>positsion</w:t>
      </w:r>
      <w:proofErr w:type="spellEnd"/>
      <w:r w:rsidRPr="00C835AB">
        <w:rPr>
          <w:rFonts w:ascii="Times New Roman" w:hAnsi="Times New Roman" w:cs="Times New Roman"/>
          <w:color w:val="auto"/>
          <w:sz w:val="24"/>
        </w:rPr>
        <w:t xml:space="preserve">”). </w:t>
      </w:r>
    </w:p>
    <w:p w14:paraId="176E2D69" w14:textId="75851710" w:rsidR="005C641A" w:rsidRPr="00C835AB" w:rsidRDefault="005C641A" w:rsidP="00D823D0">
      <w:pPr>
        <w:ind w:firstLine="709"/>
        <w:rPr>
          <w:rFonts w:ascii="Times New Roman" w:hAnsi="Times New Roman" w:cs="Times New Roman"/>
          <w:color w:val="auto"/>
          <w:sz w:val="24"/>
        </w:rPr>
      </w:pPr>
      <w:r w:rsidRPr="00C835AB">
        <w:rPr>
          <w:rFonts w:ascii="Times New Roman" w:hAnsi="Times New Roman" w:cs="Times New Roman"/>
          <w:color w:val="auto"/>
          <w:sz w:val="24"/>
        </w:rPr>
        <w:t>Nie sposób się nie zgodzić, ż</w:t>
      </w:r>
      <w:r w:rsidR="000D54BA" w:rsidRPr="00C835AB">
        <w:rPr>
          <w:rFonts w:ascii="Times New Roman" w:hAnsi="Times New Roman" w:cs="Times New Roman"/>
          <w:color w:val="auto"/>
          <w:sz w:val="24"/>
        </w:rPr>
        <w:t>e</w:t>
      </w:r>
      <w:r w:rsidRPr="00C835AB">
        <w:rPr>
          <w:rFonts w:ascii="Times New Roman" w:hAnsi="Times New Roman" w:cs="Times New Roman"/>
          <w:color w:val="auto"/>
          <w:sz w:val="24"/>
        </w:rPr>
        <w:t xml:space="preserve"> krajowe regulacje powinny zawierać odwołania czy</w:t>
      </w:r>
      <w:r w:rsidR="0004458F">
        <w:rPr>
          <w:rFonts w:ascii="Times New Roman" w:hAnsi="Times New Roman" w:cs="Times New Roman"/>
          <w:color w:val="auto"/>
          <w:sz w:val="24"/>
        </w:rPr>
        <w:t> </w:t>
      </w:r>
      <w:r w:rsidRPr="00C835AB">
        <w:rPr>
          <w:rFonts w:ascii="Times New Roman" w:hAnsi="Times New Roman" w:cs="Times New Roman"/>
          <w:color w:val="auto"/>
          <w:sz w:val="24"/>
        </w:rPr>
        <w:t>też</w:t>
      </w:r>
      <w:r w:rsidR="0004458F">
        <w:rPr>
          <w:rFonts w:ascii="Times New Roman" w:hAnsi="Times New Roman" w:cs="Times New Roman"/>
          <w:color w:val="auto"/>
          <w:sz w:val="24"/>
        </w:rPr>
        <w:t> </w:t>
      </w:r>
      <w:r w:rsidRPr="00C835AB">
        <w:rPr>
          <w:rFonts w:ascii="Times New Roman" w:hAnsi="Times New Roman" w:cs="Times New Roman"/>
          <w:color w:val="auto"/>
          <w:sz w:val="24"/>
        </w:rPr>
        <w:t>odnośniki wskazujące, jakie akty prawa unijnego dana ustawa realizuje, co wynika wprost z</w:t>
      </w:r>
      <w:r w:rsidR="00D92A0D" w:rsidRPr="00C835AB">
        <w:rPr>
          <w:rFonts w:ascii="Times New Roman" w:hAnsi="Times New Roman" w:cs="Times New Roman"/>
          <w:color w:val="auto"/>
          <w:sz w:val="24"/>
        </w:rPr>
        <w:t> </w:t>
      </w:r>
      <w:r w:rsidRPr="00C835AB">
        <w:rPr>
          <w:rFonts w:ascii="Times New Roman" w:hAnsi="Times New Roman" w:cs="Times New Roman"/>
          <w:color w:val="auto"/>
          <w:sz w:val="24"/>
        </w:rPr>
        <w:t>brzmienia art. 2 ust. 1 dyrektyw 2022/211 i 2022/228. Służy to nie tylko pewności prawa, ale dla obywateli jest czytelnym sygnałem pozwalającym na zidentyfikowanie źródła przynależnych im gwarancji procesowych, jako obywateli Unii Europejskiej. W świetle tak</w:t>
      </w:r>
      <w:r w:rsidR="0004458F">
        <w:rPr>
          <w:rFonts w:ascii="Times New Roman" w:hAnsi="Times New Roman" w:cs="Times New Roman"/>
          <w:color w:val="auto"/>
          <w:sz w:val="24"/>
        </w:rPr>
        <w:t> </w:t>
      </w:r>
      <w:r w:rsidRPr="00C835AB">
        <w:rPr>
          <w:rFonts w:ascii="Times New Roman" w:hAnsi="Times New Roman" w:cs="Times New Roman"/>
          <w:color w:val="auto"/>
          <w:sz w:val="24"/>
        </w:rPr>
        <w:t>sformułowanych argumentów, konieczne jest podjęcie niezbędnych kroków dla</w:t>
      </w:r>
      <w:r w:rsidR="0004458F">
        <w:rPr>
          <w:rFonts w:ascii="Times New Roman" w:hAnsi="Times New Roman" w:cs="Times New Roman"/>
          <w:color w:val="auto"/>
          <w:sz w:val="24"/>
        </w:rPr>
        <w:t> </w:t>
      </w:r>
      <w:r w:rsidRPr="00C835AB">
        <w:rPr>
          <w:rFonts w:ascii="Times New Roman" w:hAnsi="Times New Roman" w:cs="Times New Roman"/>
          <w:color w:val="auto"/>
          <w:sz w:val="24"/>
        </w:rPr>
        <w:t>prawidłowej i</w:t>
      </w:r>
      <w:r w:rsidR="00D92A0D" w:rsidRPr="00C835AB">
        <w:rPr>
          <w:rFonts w:ascii="Times New Roman" w:hAnsi="Times New Roman" w:cs="Times New Roman"/>
          <w:color w:val="auto"/>
          <w:sz w:val="24"/>
        </w:rPr>
        <w:t> </w:t>
      </w:r>
      <w:r w:rsidRPr="00C835AB">
        <w:rPr>
          <w:rFonts w:ascii="Times New Roman" w:hAnsi="Times New Roman" w:cs="Times New Roman"/>
          <w:color w:val="auto"/>
          <w:sz w:val="24"/>
        </w:rPr>
        <w:t>należytej realizacji nałożonych na Polskę, jako państwa członkowskiego Unii Europejskiej, obowiązków.</w:t>
      </w:r>
    </w:p>
    <w:p w14:paraId="78D0C120" w14:textId="006296F3" w:rsidR="005C641A" w:rsidRPr="00C835AB" w:rsidRDefault="00C25CFA"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Głównym założeniem </w:t>
      </w:r>
      <w:r w:rsidR="005C641A" w:rsidRPr="00C835AB">
        <w:rPr>
          <w:rFonts w:ascii="Times New Roman" w:hAnsi="Times New Roman" w:cs="Times New Roman"/>
          <w:color w:val="auto"/>
          <w:sz w:val="24"/>
        </w:rPr>
        <w:t>projektowanych zmian</w:t>
      </w:r>
      <w:r w:rsidRPr="00C835AB">
        <w:rPr>
          <w:rFonts w:ascii="Times New Roman" w:hAnsi="Times New Roman" w:cs="Times New Roman"/>
          <w:color w:val="auto"/>
          <w:sz w:val="24"/>
        </w:rPr>
        <w:t xml:space="preserve"> </w:t>
      </w:r>
      <w:r w:rsidR="005C641A" w:rsidRPr="00C835AB">
        <w:rPr>
          <w:rFonts w:ascii="Times New Roman" w:hAnsi="Times New Roman" w:cs="Times New Roman"/>
          <w:color w:val="auto"/>
          <w:sz w:val="24"/>
        </w:rPr>
        <w:t xml:space="preserve">w </w:t>
      </w:r>
      <w:r w:rsidR="00C17838" w:rsidRPr="00C835AB">
        <w:rPr>
          <w:rFonts w:ascii="Times New Roman" w:hAnsi="Times New Roman" w:cs="Times New Roman"/>
          <w:color w:val="auto"/>
          <w:sz w:val="24"/>
        </w:rPr>
        <w:t xml:space="preserve">odnośniku nr 1 </w:t>
      </w:r>
      <w:r w:rsidR="005C641A" w:rsidRPr="00C835AB">
        <w:rPr>
          <w:rFonts w:ascii="Times New Roman" w:hAnsi="Times New Roman" w:cs="Times New Roman"/>
          <w:color w:val="auto"/>
          <w:sz w:val="24"/>
        </w:rPr>
        <w:t xml:space="preserve">jest </w:t>
      </w:r>
      <w:r w:rsidRPr="00C835AB">
        <w:rPr>
          <w:rFonts w:ascii="Times New Roman" w:hAnsi="Times New Roman" w:cs="Times New Roman"/>
          <w:color w:val="auto"/>
          <w:sz w:val="24"/>
        </w:rPr>
        <w:t xml:space="preserve">jego uporządkowanie przez </w:t>
      </w:r>
      <w:r w:rsidR="005C641A" w:rsidRPr="00C835AB">
        <w:rPr>
          <w:rFonts w:ascii="Times New Roman" w:hAnsi="Times New Roman" w:cs="Times New Roman"/>
          <w:color w:val="auto"/>
          <w:sz w:val="24"/>
        </w:rPr>
        <w:t xml:space="preserve">umieszczenie w tytule Kodeksu postępowania karnego odpowiedniego odniesienia, z treści którego w sposób niewątpliwy </w:t>
      </w:r>
      <w:r w:rsidR="00962BFD" w:rsidRPr="00C835AB">
        <w:rPr>
          <w:rFonts w:ascii="Times New Roman" w:hAnsi="Times New Roman" w:cs="Times New Roman"/>
          <w:color w:val="auto"/>
          <w:sz w:val="24"/>
        </w:rPr>
        <w:t xml:space="preserve">będzie </w:t>
      </w:r>
      <w:r w:rsidR="005C641A" w:rsidRPr="00C835AB">
        <w:rPr>
          <w:rFonts w:ascii="Times New Roman" w:hAnsi="Times New Roman" w:cs="Times New Roman"/>
          <w:color w:val="auto"/>
          <w:sz w:val="24"/>
        </w:rPr>
        <w:t>wynikać, jakie regulacje unijne są</w:t>
      </w:r>
      <w:r w:rsidR="001D3092">
        <w:rPr>
          <w:rFonts w:ascii="Times New Roman" w:hAnsi="Times New Roman" w:cs="Times New Roman"/>
          <w:color w:val="auto"/>
          <w:sz w:val="24"/>
        </w:rPr>
        <w:t> </w:t>
      </w:r>
      <w:r w:rsidR="005C641A" w:rsidRPr="00C835AB">
        <w:rPr>
          <w:rFonts w:ascii="Times New Roman" w:hAnsi="Times New Roman" w:cs="Times New Roman"/>
          <w:color w:val="auto"/>
          <w:sz w:val="24"/>
        </w:rPr>
        <w:t>realizowane i wdrażane w oparciu o krajowe przepisy procedury karnej. Podkreślić należy, ż</w:t>
      </w:r>
      <w:r w:rsidR="000D54BA" w:rsidRPr="00C835AB">
        <w:rPr>
          <w:rFonts w:ascii="Times New Roman" w:hAnsi="Times New Roman" w:cs="Times New Roman"/>
          <w:color w:val="auto"/>
          <w:sz w:val="24"/>
        </w:rPr>
        <w:t>e</w:t>
      </w:r>
      <w:r w:rsidR="005C641A" w:rsidRPr="00C835AB">
        <w:rPr>
          <w:rFonts w:ascii="Times New Roman" w:hAnsi="Times New Roman" w:cs="Times New Roman"/>
          <w:color w:val="auto"/>
          <w:sz w:val="24"/>
        </w:rPr>
        <w:t xml:space="preserve"> zarówno europejski nakaz dochodzeniowy jak i wspólne zespoły śledcze są inkorporowane </w:t>
      </w:r>
      <w:r w:rsidR="005C641A" w:rsidRPr="00C835AB">
        <w:rPr>
          <w:rFonts w:ascii="Times New Roman" w:hAnsi="Times New Roman" w:cs="Times New Roman"/>
          <w:color w:val="auto"/>
          <w:sz w:val="24"/>
        </w:rPr>
        <w:lastRenderedPageBreak/>
        <w:t>do krajowej procedury karnej – wobec czego stosowne odniesienie winno znajdować się</w:t>
      </w:r>
      <w:r w:rsidR="001D3092">
        <w:rPr>
          <w:rFonts w:ascii="Times New Roman" w:hAnsi="Times New Roman" w:cs="Times New Roman"/>
          <w:color w:val="auto"/>
          <w:sz w:val="24"/>
        </w:rPr>
        <w:t> </w:t>
      </w:r>
      <w:r w:rsidR="005C641A" w:rsidRPr="00C835AB">
        <w:rPr>
          <w:rFonts w:ascii="Times New Roman" w:hAnsi="Times New Roman" w:cs="Times New Roman"/>
          <w:color w:val="auto"/>
          <w:sz w:val="24"/>
        </w:rPr>
        <w:t>w</w:t>
      </w:r>
      <w:r w:rsidR="001D3092">
        <w:rPr>
          <w:rFonts w:ascii="Times New Roman" w:hAnsi="Times New Roman" w:cs="Times New Roman"/>
          <w:color w:val="auto"/>
          <w:sz w:val="24"/>
        </w:rPr>
        <w:t> </w:t>
      </w:r>
      <w:r w:rsidR="005C641A" w:rsidRPr="00C835AB">
        <w:rPr>
          <w:rFonts w:ascii="Times New Roman" w:hAnsi="Times New Roman" w:cs="Times New Roman"/>
          <w:color w:val="auto"/>
          <w:sz w:val="24"/>
        </w:rPr>
        <w:t xml:space="preserve">tytule </w:t>
      </w:r>
      <w:r w:rsidR="00962BFD" w:rsidRPr="00C835AB">
        <w:rPr>
          <w:rFonts w:ascii="Times New Roman" w:hAnsi="Times New Roman" w:cs="Times New Roman"/>
          <w:color w:val="auto"/>
          <w:sz w:val="24"/>
        </w:rPr>
        <w:t>K</w:t>
      </w:r>
      <w:r w:rsidR="005C641A" w:rsidRPr="00C835AB">
        <w:rPr>
          <w:rFonts w:ascii="Times New Roman" w:hAnsi="Times New Roman" w:cs="Times New Roman"/>
          <w:color w:val="auto"/>
          <w:sz w:val="24"/>
        </w:rPr>
        <w:t xml:space="preserve">odeksu postępowania karnego. </w:t>
      </w:r>
    </w:p>
    <w:p w14:paraId="2F6C2176" w14:textId="2F17C439" w:rsidR="00647D88" w:rsidRPr="00C835AB" w:rsidRDefault="00647D88" w:rsidP="00D823D0">
      <w:pPr>
        <w:pStyle w:val="Akapitzlist1"/>
        <w:spacing w:after="0" w:line="360" w:lineRule="auto"/>
        <w:ind w:left="0"/>
        <w:jc w:val="both"/>
        <w:rPr>
          <w:rFonts w:ascii="Times New Roman" w:hAnsi="Times New Roman"/>
          <w:sz w:val="24"/>
          <w:szCs w:val="24"/>
        </w:rPr>
      </w:pPr>
    </w:p>
    <w:p w14:paraId="624C65A3" w14:textId="19A703D4" w:rsidR="00647D88" w:rsidRPr="00C835AB" w:rsidRDefault="00647D88" w:rsidP="00D823D0">
      <w:pPr>
        <w:ind w:firstLine="708"/>
        <w:rPr>
          <w:rFonts w:ascii="Times New Roman" w:hAnsi="Times New Roman" w:cs="Times New Roman"/>
          <w:b/>
          <w:color w:val="auto"/>
          <w:sz w:val="24"/>
        </w:rPr>
      </w:pPr>
      <w:r w:rsidRPr="00C835AB">
        <w:rPr>
          <w:rFonts w:ascii="Times New Roman" w:hAnsi="Times New Roman" w:cs="Times New Roman"/>
          <w:b/>
          <w:color w:val="auto"/>
          <w:sz w:val="24"/>
        </w:rPr>
        <w:t>Prawo do pomocy tłumacza (dyrektywa 2010/64/UE)</w:t>
      </w:r>
      <w:r w:rsidR="00497D4E" w:rsidRPr="00C835AB">
        <w:rPr>
          <w:rFonts w:ascii="Times New Roman" w:hAnsi="Times New Roman" w:cs="Times New Roman"/>
          <w:b/>
          <w:color w:val="auto"/>
          <w:sz w:val="24"/>
        </w:rPr>
        <w:t xml:space="preserve"> art. 72 § 2, § 2a i § 4 k.p.k., art. 300 § 1a i § 1b k.p.k.</w:t>
      </w:r>
    </w:p>
    <w:p w14:paraId="27E3F9C7" w14:textId="50946160" w:rsidR="00647D88" w:rsidRPr="00C835AB" w:rsidRDefault="00647D88"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 xml:space="preserve">W </w:t>
      </w:r>
      <w:r w:rsidR="002B0738" w:rsidRPr="00C835AB">
        <w:rPr>
          <w:rFonts w:ascii="Times New Roman" w:hAnsi="Times New Roman"/>
          <w:sz w:val="24"/>
          <w:szCs w:val="24"/>
        </w:rPr>
        <w:t xml:space="preserve">zgodzie z założeniami </w:t>
      </w:r>
      <w:r w:rsidRPr="00C835AB">
        <w:rPr>
          <w:rFonts w:ascii="Times New Roman" w:hAnsi="Times New Roman"/>
          <w:sz w:val="24"/>
          <w:szCs w:val="24"/>
        </w:rPr>
        <w:t>dyrektywy 2010/64/UE proponowane są zmiany art. 72 k.p.k. usuwające zbyt wąski zakres gwarantowanego prawa do pomocy tłumacza. Dyrektywa 2010/64/UE w art. 2 ust. 2 wymaga, aby zapewnione zostało tłumaczenie ustne kontaktów między oskarżonym a jego obrońcą, „związanych bezpośrednio z jakimkolwiek przesłuchaniem lub składaniem wyjaśnień podczas postępowania lub ze złożeniem odwołania lub innych wniosków proceduralnych”. Aktualny art. 72 § 2 k.p.k. przewidujący wezwanie tłumacza w celu porozumienia się oskarżonego z obrońcą jedynie w związku z czynnością, do</w:t>
      </w:r>
      <w:r w:rsidR="001D3092">
        <w:rPr>
          <w:rFonts w:ascii="Times New Roman" w:hAnsi="Times New Roman"/>
          <w:sz w:val="24"/>
          <w:szCs w:val="24"/>
        </w:rPr>
        <w:t> </w:t>
      </w:r>
      <w:r w:rsidRPr="00C835AB">
        <w:rPr>
          <w:rFonts w:ascii="Times New Roman" w:hAnsi="Times New Roman"/>
          <w:sz w:val="24"/>
          <w:szCs w:val="24"/>
        </w:rPr>
        <w:t>udziału w której oskarżony jest uprawniony</w:t>
      </w:r>
      <w:r w:rsidR="00497D4E" w:rsidRPr="00C835AB">
        <w:rPr>
          <w:rFonts w:ascii="Times New Roman" w:hAnsi="Times New Roman"/>
          <w:sz w:val="24"/>
          <w:szCs w:val="24"/>
        </w:rPr>
        <w:t>,</w:t>
      </w:r>
      <w:r w:rsidRPr="00C835AB">
        <w:rPr>
          <w:rFonts w:ascii="Times New Roman" w:hAnsi="Times New Roman"/>
          <w:sz w:val="24"/>
          <w:szCs w:val="24"/>
        </w:rPr>
        <w:t xml:space="preserve"> został ujęty zbyt wąsko. Nowe brzmienie tego przepisu ma zapewnić pomoc tłumacza również </w:t>
      </w:r>
      <w:r w:rsidR="00164078" w:rsidRPr="00C835AB">
        <w:rPr>
          <w:rFonts w:ascii="Times New Roman" w:hAnsi="Times New Roman"/>
          <w:sz w:val="24"/>
          <w:szCs w:val="24"/>
        </w:rPr>
        <w:t>w</w:t>
      </w:r>
      <w:r w:rsidRPr="00C835AB">
        <w:rPr>
          <w:rFonts w:ascii="Times New Roman" w:hAnsi="Times New Roman"/>
          <w:sz w:val="24"/>
          <w:szCs w:val="24"/>
        </w:rPr>
        <w:t xml:space="preserve"> sytuacji, gdy oskarżony niewładający językiem polskim i obrońca mają potrzebę porozumienia się w związku z wniesieniem środka zaskarżenia (np. w celu podjęcia decyzji o tym, czy go wnosić albo uzgodnienia jego treści) lub</w:t>
      </w:r>
      <w:r w:rsidR="001D3092">
        <w:rPr>
          <w:rFonts w:ascii="Times New Roman" w:hAnsi="Times New Roman"/>
          <w:sz w:val="24"/>
          <w:szCs w:val="24"/>
        </w:rPr>
        <w:t> </w:t>
      </w:r>
      <w:r w:rsidRPr="00C835AB">
        <w:rPr>
          <w:rFonts w:ascii="Times New Roman" w:hAnsi="Times New Roman"/>
          <w:sz w:val="24"/>
          <w:szCs w:val="24"/>
        </w:rPr>
        <w:t>wniosku dotyczącego toku postępowania (np. wniosku o umorzenie postępowania, wniosku o</w:t>
      </w:r>
      <w:r w:rsidR="00D92A0D" w:rsidRPr="00C835AB">
        <w:rPr>
          <w:rFonts w:ascii="Times New Roman" w:hAnsi="Times New Roman"/>
          <w:sz w:val="24"/>
          <w:szCs w:val="24"/>
        </w:rPr>
        <w:t> </w:t>
      </w:r>
      <w:r w:rsidRPr="00C835AB">
        <w:rPr>
          <w:rFonts w:ascii="Times New Roman" w:hAnsi="Times New Roman"/>
          <w:sz w:val="24"/>
          <w:szCs w:val="24"/>
        </w:rPr>
        <w:t>zwrot sprawy do uzupełnienia istotnych braków postępowania przygotowawczego).</w:t>
      </w:r>
    </w:p>
    <w:p w14:paraId="6FF21FC8" w14:textId="03235580" w:rsidR="00647D88" w:rsidRPr="00C835AB" w:rsidRDefault="00647D88"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Proponowany art. 72 § 2a k.p.k. ma na celu zapewnienie pomocy tłumacza języka migowego oskarżonemu, który jest głuchy lub niemy</w:t>
      </w:r>
      <w:r w:rsidR="00497D4E" w:rsidRPr="00C835AB">
        <w:rPr>
          <w:rFonts w:ascii="Times New Roman" w:hAnsi="Times New Roman"/>
          <w:sz w:val="24"/>
          <w:szCs w:val="24"/>
        </w:rPr>
        <w:t>,</w:t>
      </w:r>
      <w:r w:rsidRPr="00C835AB">
        <w:rPr>
          <w:rFonts w:ascii="Times New Roman" w:hAnsi="Times New Roman"/>
          <w:sz w:val="24"/>
          <w:szCs w:val="24"/>
        </w:rPr>
        <w:t xml:space="preserve"> również na potrzeby jego udziału w</w:t>
      </w:r>
      <w:r w:rsidR="00D92A0D" w:rsidRPr="00C835AB">
        <w:rPr>
          <w:rFonts w:ascii="Times New Roman" w:hAnsi="Times New Roman"/>
          <w:sz w:val="24"/>
          <w:szCs w:val="24"/>
        </w:rPr>
        <w:t> </w:t>
      </w:r>
      <w:r w:rsidRPr="00C835AB">
        <w:rPr>
          <w:rFonts w:ascii="Times New Roman" w:hAnsi="Times New Roman"/>
          <w:sz w:val="24"/>
          <w:szCs w:val="24"/>
        </w:rPr>
        <w:t xml:space="preserve">czynnościach postępowania (np. rozprawie lub posiedzeniach) oraz kontaktów z obrońcą. </w:t>
      </w:r>
      <w:r w:rsidR="0070310B" w:rsidRPr="00C835AB">
        <w:rPr>
          <w:rFonts w:ascii="Times New Roman" w:hAnsi="Times New Roman"/>
          <w:sz w:val="24"/>
          <w:szCs w:val="24"/>
        </w:rPr>
        <w:t>Zdaniem projektodawcy o</w:t>
      </w:r>
      <w:r w:rsidR="00982650" w:rsidRPr="00C835AB">
        <w:rPr>
          <w:rFonts w:ascii="Times New Roman" w:hAnsi="Times New Roman"/>
          <w:sz w:val="24"/>
          <w:szCs w:val="24"/>
        </w:rPr>
        <w:t xml:space="preserve">bowiązujący </w:t>
      </w:r>
      <w:r w:rsidRPr="00C835AB">
        <w:rPr>
          <w:rFonts w:ascii="Times New Roman" w:hAnsi="Times New Roman"/>
          <w:sz w:val="24"/>
          <w:szCs w:val="24"/>
        </w:rPr>
        <w:t xml:space="preserve">art. 204 § 1 k.p.k. ujmuje tę kwestię zbyt wąsko, bowiem pomoc tłumacza języka migowego </w:t>
      </w:r>
      <w:r w:rsidR="00497D4E" w:rsidRPr="00C835AB">
        <w:rPr>
          <w:rFonts w:ascii="Times New Roman" w:hAnsi="Times New Roman"/>
          <w:sz w:val="24"/>
          <w:szCs w:val="24"/>
        </w:rPr>
        <w:t xml:space="preserve">jest </w:t>
      </w:r>
      <w:r w:rsidRPr="00C835AB">
        <w:rPr>
          <w:rFonts w:ascii="Times New Roman" w:hAnsi="Times New Roman"/>
          <w:sz w:val="24"/>
          <w:szCs w:val="24"/>
        </w:rPr>
        <w:t xml:space="preserve">ograniczona jedynie do przesłuchania oskarżonego, który jest głuchy lub niemy. </w:t>
      </w:r>
      <w:r w:rsidR="00697BAB" w:rsidRPr="00C835AB">
        <w:rPr>
          <w:rFonts w:ascii="Times New Roman" w:hAnsi="Times New Roman"/>
          <w:sz w:val="24"/>
          <w:szCs w:val="24"/>
        </w:rPr>
        <w:t xml:space="preserve">Także </w:t>
      </w:r>
      <w:r w:rsidRPr="00C835AB">
        <w:rPr>
          <w:rFonts w:ascii="Times New Roman" w:hAnsi="Times New Roman"/>
          <w:sz w:val="24"/>
          <w:szCs w:val="24"/>
        </w:rPr>
        <w:t>art. 2 ust. 3 dyrektywy 2010/64/UE gwarantuje takiemu oskarżonemu pomoc tłumacza w takich samych sytuacjach, jak w przypadku oskarżonego niewładającego językiem danego postępowania. Proponowanej regulacji art. 72 §</w:t>
      </w:r>
      <w:r w:rsidR="00D92A0D" w:rsidRPr="00C835AB">
        <w:rPr>
          <w:rFonts w:ascii="Times New Roman" w:hAnsi="Times New Roman"/>
          <w:sz w:val="24"/>
          <w:szCs w:val="24"/>
        </w:rPr>
        <w:t> </w:t>
      </w:r>
      <w:r w:rsidRPr="00C835AB">
        <w:rPr>
          <w:rFonts w:ascii="Times New Roman" w:hAnsi="Times New Roman"/>
          <w:sz w:val="24"/>
          <w:szCs w:val="24"/>
        </w:rPr>
        <w:t xml:space="preserve">2a k.p.k. towarzyszy odpowiednia zmiana art. 300 k.p.k., która wprowadza odpowiednie „dedykowane” pouczenie oskarżonego o tych jego uprawnieniach (proponowany art. 300 § 1b k.p.k.) oraz zmiana art. 244 § 2 </w:t>
      </w:r>
      <w:r w:rsidR="00164078" w:rsidRPr="00C835AB">
        <w:rPr>
          <w:rFonts w:ascii="Times New Roman" w:hAnsi="Times New Roman"/>
          <w:sz w:val="24"/>
          <w:szCs w:val="24"/>
        </w:rPr>
        <w:t xml:space="preserve">k.p.k. </w:t>
      </w:r>
      <w:r w:rsidRPr="00C835AB">
        <w:rPr>
          <w:rFonts w:ascii="Times New Roman" w:hAnsi="Times New Roman"/>
          <w:sz w:val="24"/>
          <w:szCs w:val="24"/>
        </w:rPr>
        <w:t>wprowadzająca nakaz pouczenia zatrzymanego, który jest głuchy lub niemy, o uprawnieniu do korzystania z pomocy tłumacza.</w:t>
      </w:r>
    </w:p>
    <w:p w14:paraId="36BA295A" w14:textId="28947AF7" w:rsidR="00647D88" w:rsidRPr="00C835AB" w:rsidRDefault="0070310B"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Zdaniem projektodawcy w</w:t>
      </w:r>
      <w:r w:rsidR="00647D88" w:rsidRPr="00C835AB">
        <w:rPr>
          <w:rFonts w:ascii="Times New Roman" w:hAnsi="Times New Roman"/>
          <w:sz w:val="24"/>
          <w:szCs w:val="24"/>
        </w:rPr>
        <w:t xml:space="preserve"> obowiązującym art. 72 § 3 k.p.k. zbyt wąsko ujęty został również zakres dokumentów, które powinny podlegać tłumaczeniu na język zrozumiały dla</w:t>
      </w:r>
      <w:r w:rsidR="001D3092">
        <w:rPr>
          <w:rFonts w:ascii="Times New Roman" w:hAnsi="Times New Roman"/>
          <w:sz w:val="24"/>
          <w:szCs w:val="24"/>
        </w:rPr>
        <w:t> </w:t>
      </w:r>
      <w:r w:rsidR="00647D88" w:rsidRPr="00C835AB">
        <w:rPr>
          <w:rFonts w:ascii="Times New Roman" w:hAnsi="Times New Roman"/>
          <w:sz w:val="24"/>
          <w:szCs w:val="24"/>
        </w:rPr>
        <w:t xml:space="preserve">oskarżonego, który nie włada językiem polskim. </w:t>
      </w:r>
      <w:r w:rsidRPr="00C835AB">
        <w:rPr>
          <w:rFonts w:ascii="Times New Roman" w:hAnsi="Times New Roman"/>
          <w:sz w:val="24"/>
          <w:szCs w:val="24"/>
        </w:rPr>
        <w:t>Również z</w:t>
      </w:r>
      <w:r w:rsidR="00647D88" w:rsidRPr="00C835AB">
        <w:rPr>
          <w:rFonts w:ascii="Times New Roman" w:hAnsi="Times New Roman"/>
          <w:sz w:val="24"/>
          <w:szCs w:val="24"/>
        </w:rPr>
        <w:t xml:space="preserve"> art. 3 ust. 1</w:t>
      </w:r>
      <w:r w:rsidR="00796D23">
        <w:rPr>
          <w:rFonts w:ascii="Times New Roman" w:hAnsi="Times New Roman"/>
          <w:sz w:val="24"/>
          <w:szCs w:val="24"/>
        </w:rPr>
        <w:t>–</w:t>
      </w:r>
      <w:r w:rsidR="00647D88" w:rsidRPr="00C835AB">
        <w:rPr>
          <w:rFonts w:ascii="Times New Roman" w:hAnsi="Times New Roman"/>
          <w:sz w:val="24"/>
          <w:szCs w:val="24"/>
        </w:rPr>
        <w:t xml:space="preserve">3 dyrektywy 2010/64/UE wynika, że tłumaczeniu podlegają nie tylko postanowienie o przedstawieniu, </w:t>
      </w:r>
      <w:r w:rsidR="00647D88" w:rsidRPr="00C835AB">
        <w:rPr>
          <w:rFonts w:ascii="Times New Roman" w:hAnsi="Times New Roman"/>
          <w:sz w:val="24"/>
          <w:szCs w:val="24"/>
        </w:rPr>
        <w:lastRenderedPageBreak/>
        <w:t>uzupełnieniu lub zmianie zarzutów, akt oskarżenia oraz orzeczenie podlegające zaskarżeniu lub</w:t>
      </w:r>
      <w:r w:rsidR="001D3092">
        <w:rPr>
          <w:rFonts w:ascii="Times New Roman" w:hAnsi="Times New Roman"/>
          <w:sz w:val="24"/>
          <w:szCs w:val="24"/>
        </w:rPr>
        <w:t> </w:t>
      </w:r>
      <w:r w:rsidR="00647D88" w:rsidRPr="00C835AB">
        <w:rPr>
          <w:rFonts w:ascii="Times New Roman" w:hAnsi="Times New Roman"/>
          <w:sz w:val="24"/>
          <w:szCs w:val="24"/>
        </w:rPr>
        <w:t>kończące postępowanie, ale również każdy dokument istotny dla realizacji przez oskarżonego swojego prawa do obrony oraz do zagwarantowania rzetelności postępowania. W</w:t>
      </w:r>
      <w:r w:rsidR="001D3092">
        <w:rPr>
          <w:rFonts w:ascii="Times New Roman" w:hAnsi="Times New Roman"/>
          <w:sz w:val="24"/>
          <w:szCs w:val="24"/>
        </w:rPr>
        <w:t> </w:t>
      </w:r>
      <w:r w:rsidR="00647D88" w:rsidRPr="00C835AB">
        <w:rPr>
          <w:rFonts w:ascii="Times New Roman" w:hAnsi="Times New Roman"/>
          <w:sz w:val="24"/>
          <w:szCs w:val="24"/>
        </w:rPr>
        <w:t>związku z</w:t>
      </w:r>
      <w:r w:rsidR="00D92A0D" w:rsidRPr="00C835AB">
        <w:rPr>
          <w:rFonts w:ascii="Times New Roman" w:hAnsi="Times New Roman"/>
          <w:sz w:val="24"/>
          <w:szCs w:val="24"/>
        </w:rPr>
        <w:t> </w:t>
      </w:r>
      <w:r w:rsidR="00647D88" w:rsidRPr="00C835AB">
        <w:rPr>
          <w:rFonts w:ascii="Times New Roman" w:hAnsi="Times New Roman"/>
          <w:sz w:val="24"/>
          <w:szCs w:val="24"/>
        </w:rPr>
        <w:t xml:space="preserve">tym proponuje się dodanie </w:t>
      </w:r>
      <w:r w:rsidR="000D54BA" w:rsidRPr="00C835AB">
        <w:rPr>
          <w:rFonts w:ascii="Times New Roman" w:hAnsi="Times New Roman"/>
          <w:sz w:val="24"/>
          <w:szCs w:val="24"/>
        </w:rPr>
        <w:t xml:space="preserve">art. 72 </w:t>
      </w:r>
      <w:r w:rsidR="00647D88" w:rsidRPr="00C835AB">
        <w:rPr>
          <w:rFonts w:ascii="Times New Roman" w:hAnsi="Times New Roman"/>
          <w:sz w:val="24"/>
          <w:szCs w:val="24"/>
        </w:rPr>
        <w:t>§ 4</w:t>
      </w:r>
      <w:r w:rsidR="000D54BA" w:rsidRPr="00C835AB">
        <w:rPr>
          <w:rFonts w:ascii="Times New Roman" w:hAnsi="Times New Roman"/>
          <w:sz w:val="24"/>
          <w:szCs w:val="24"/>
        </w:rPr>
        <w:t xml:space="preserve"> k.p.k.</w:t>
      </w:r>
      <w:r w:rsidR="00647D88" w:rsidRPr="00C835AB">
        <w:rPr>
          <w:rFonts w:ascii="Times New Roman" w:hAnsi="Times New Roman"/>
          <w:sz w:val="24"/>
          <w:szCs w:val="24"/>
        </w:rPr>
        <w:t xml:space="preserve">, w którym wprost zostało przyznane oskarżonemu takie prawo, co w powiązaniu z pouczeniem oskarżonego o tym uprawnieniu (proponowany art. 300 § 1a k.p.k.), zapewni efektywne korzystanie z prawa do tłumaczenia. Uprawnienie do żądania dokumentów innych niż określone w </w:t>
      </w:r>
      <w:r w:rsidR="00497D4E" w:rsidRPr="00C835AB">
        <w:rPr>
          <w:rFonts w:ascii="Times New Roman" w:hAnsi="Times New Roman"/>
          <w:sz w:val="24"/>
          <w:szCs w:val="24"/>
        </w:rPr>
        <w:t xml:space="preserve">art. 72 </w:t>
      </w:r>
      <w:r w:rsidR="00647D88" w:rsidRPr="00C835AB">
        <w:rPr>
          <w:rFonts w:ascii="Times New Roman" w:hAnsi="Times New Roman"/>
          <w:sz w:val="24"/>
          <w:szCs w:val="24"/>
        </w:rPr>
        <w:t xml:space="preserve">§ 3 </w:t>
      </w:r>
      <w:r w:rsidR="00497D4E" w:rsidRPr="00C835AB">
        <w:rPr>
          <w:rFonts w:ascii="Times New Roman" w:hAnsi="Times New Roman"/>
          <w:sz w:val="24"/>
          <w:szCs w:val="24"/>
        </w:rPr>
        <w:t xml:space="preserve">k.p.k. </w:t>
      </w:r>
      <w:r w:rsidR="00647D88" w:rsidRPr="00C835AB">
        <w:rPr>
          <w:rFonts w:ascii="Times New Roman" w:hAnsi="Times New Roman"/>
          <w:sz w:val="24"/>
          <w:szCs w:val="24"/>
        </w:rPr>
        <w:t>nie oznacza obowiązku tłumaczenia całych akt sprawy lub całych obszernych dokumentów (np.</w:t>
      </w:r>
      <w:r w:rsidR="001D3092">
        <w:rPr>
          <w:rFonts w:ascii="Times New Roman" w:hAnsi="Times New Roman"/>
          <w:sz w:val="24"/>
          <w:szCs w:val="24"/>
        </w:rPr>
        <w:t> </w:t>
      </w:r>
      <w:r w:rsidR="00647D88" w:rsidRPr="00C835AB">
        <w:rPr>
          <w:rFonts w:ascii="Times New Roman" w:hAnsi="Times New Roman"/>
          <w:sz w:val="24"/>
          <w:szCs w:val="24"/>
        </w:rPr>
        <w:t>uzasadnienia). Rozstrzygające znaczenie ma bowiem istotność dokumentu lub jego określonej części dla realizacji prawa oskarżonego do obrony.</w:t>
      </w:r>
    </w:p>
    <w:p w14:paraId="1ED1388A" w14:textId="1F827271" w:rsidR="00647D88" w:rsidRPr="00C835AB" w:rsidRDefault="00647D88"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Dyrektywa 2010/64/UE kładzie nacisk na efektywność prawa oskarżonego do pomocy tłumacza, czemu służyć ma możliwość kwestionowania przez oskarżonego decyzji odmawiającej mu takiej pomocy (zarówno w zakresie tłumaczenia ustnego, jak i tłumaczenia dokumentów), jak również złożenia skargi na jakość tłumaczenia. Jeśli idzie o tę pierwszą kwestię uznano, ż</w:t>
      </w:r>
      <w:r w:rsidR="003C0335" w:rsidRPr="00C835AB">
        <w:rPr>
          <w:rFonts w:ascii="Times New Roman" w:hAnsi="Times New Roman"/>
          <w:sz w:val="24"/>
          <w:szCs w:val="24"/>
        </w:rPr>
        <w:t>e</w:t>
      </w:r>
      <w:r w:rsidRPr="00C835AB">
        <w:rPr>
          <w:rFonts w:ascii="Times New Roman" w:hAnsi="Times New Roman"/>
          <w:sz w:val="24"/>
          <w:szCs w:val="24"/>
        </w:rPr>
        <w:t xml:space="preserve"> niecelowe jest wprowadzanie odrębnego środka zaskarżenia, zwłaszcza z</w:t>
      </w:r>
      <w:r w:rsidR="00D92A0D" w:rsidRPr="00C835AB">
        <w:rPr>
          <w:rFonts w:ascii="Times New Roman" w:hAnsi="Times New Roman"/>
          <w:sz w:val="24"/>
          <w:szCs w:val="24"/>
        </w:rPr>
        <w:t> </w:t>
      </w:r>
      <w:r w:rsidRPr="00C835AB">
        <w:rPr>
          <w:rFonts w:ascii="Times New Roman" w:hAnsi="Times New Roman"/>
          <w:sz w:val="24"/>
          <w:szCs w:val="24"/>
        </w:rPr>
        <w:t>uwagi na niebezpieczeństwo jego obstrukcyjnego wykorzystywania. Praktyka sądowa nie ujawnia zresztą przypadków rażącego łamania prawa oskarżonego do pomocy tłumacza. Obrona ma niezmiennie możliwość podnoszenia zarzutów dotyczących niezapewnienia pomocy tłumacza w apelacji lub kasacji. W odniesieniu do kwestii zarzutów co do jakości tłumaczenia uznano, ż</w:t>
      </w:r>
      <w:r w:rsidR="003C0335" w:rsidRPr="00C835AB">
        <w:rPr>
          <w:rFonts w:ascii="Times New Roman" w:hAnsi="Times New Roman"/>
          <w:sz w:val="24"/>
          <w:szCs w:val="24"/>
        </w:rPr>
        <w:t>e</w:t>
      </w:r>
      <w:r w:rsidRPr="00C835AB">
        <w:rPr>
          <w:rFonts w:ascii="Times New Roman" w:hAnsi="Times New Roman"/>
          <w:sz w:val="24"/>
          <w:szCs w:val="24"/>
        </w:rPr>
        <w:t xml:space="preserve"> niecelowe jest wprowadzanie w tym zakresie sformalizowanego środka prawnego, zwłaszcza w obliczu trudności w późniejszym weryfikowaniu zastrzeżeń co</w:t>
      </w:r>
      <w:r w:rsidR="001D3092">
        <w:rPr>
          <w:rFonts w:ascii="Times New Roman" w:hAnsi="Times New Roman"/>
          <w:sz w:val="24"/>
          <w:szCs w:val="24"/>
        </w:rPr>
        <w:t> </w:t>
      </w:r>
      <w:r w:rsidRPr="00C835AB">
        <w:rPr>
          <w:rFonts w:ascii="Times New Roman" w:hAnsi="Times New Roman"/>
          <w:sz w:val="24"/>
          <w:szCs w:val="24"/>
        </w:rPr>
        <w:t>do</w:t>
      </w:r>
      <w:r w:rsidR="001D3092">
        <w:rPr>
          <w:rFonts w:ascii="Times New Roman" w:hAnsi="Times New Roman"/>
          <w:sz w:val="24"/>
          <w:szCs w:val="24"/>
        </w:rPr>
        <w:t> </w:t>
      </w:r>
      <w:r w:rsidRPr="00C835AB">
        <w:rPr>
          <w:rFonts w:ascii="Times New Roman" w:hAnsi="Times New Roman"/>
          <w:sz w:val="24"/>
          <w:szCs w:val="24"/>
        </w:rPr>
        <w:t>jakości tłumaczenia ustnego. Bardziej efektywne będzie położenie nacisku na</w:t>
      </w:r>
      <w:r w:rsidR="001D3092">
        <w:rPr>
          <w:rFonts w:ascii="Times New Roman" w:hAnsi="Times New Roman"/>
          <w:sz w:val="24"/>
          <w:szCs w:val="24"/>
        </w:rPr>
        <w:t> </w:t>
      </w:r>
      <w:r w:rsidRPr="00C835AB">
        <w:rPr>
          <w:rFonts w:ascii="Times New Roman" w:hAnsi="Times New Roman"/>
          <w:sz w:val="24"/>
          <w:szCs w:val="24"/>
        </w:rPr>
        <w:t>świadomość uprawnionego oskarżonego, ż</w:t>
      </w:r>
      <w:r w:rsidR="003C0335" w:rsidRPr="00C835AB">
        <w:rPr>
          <w:rFonts w:ascii="Times New Roman" w:hAnsi="Times New Roman"/>
          <w:sz w:val="24"/>
          <w:szCs w:val="24"/>
        </w:rPr>
        <w:t>e</w:t>
      </w:r>
      <w:r w:rsidRPr="00C835AB">
        <w:rPr>
          <w:rFonts w:ascii="Times New Roman" w:hAnsi="Times New Roman"/>
          <w:sz w:val="24"/>
          <w:szCs w:val="24"/>
        </w:rPr>
        <w:t xml:space="preserve"> w toku całego postępowania </w:t>
      </w:r>
      <w:r w:rsidR="00EF0170" w:rsidRPr="00C835AB">
        <w:rPr>
          <w:rFonts w:ascii="Times New Roman" w:hAnsi="Times New Roman"/>
          <w:sz w:val="24"/>
          <w:szCs w:val="24"/>
        </w:rPr>
        <w:t xml:space="preserve">może </w:t>
      </w:r>
      <w:r w:rsidRPr="00C835AB">
        <w:rPr>
          <w:rFonts w:ascii="Times New Roman" w:hAnsi="Times New Roman"/>
          <w:sz w:val="24"/>
          <w:szCs w:val="24"/>
        </w:rPr>
        <w:t xml:space="preserve">zgłaszać </w:t>
      </w:r>
      <w:r w:rsidRPr="00C835AB">
        <w:rPr>
          <w:rFonts w:ascii="Times New Roman" w:hAnsi="Times New Roman"/>
          <w:bCs/>
          <w:sz w:val="24"/>
          <w:szCs w:val="24"/>
        </w:rPr>
        <w:t xml:space="preserve">zastrzeżenia dotyczące jakości otrzymanego tłumaczenia. </w:t>
      </w:r>
      <w:r w:rsidRPr="00C835AB">
        <w:rPr>
          <w:rFonts w:ascii="Times New Roman" w:hAnsi="Times New Roman"/>
          <w:sz w:val="24"/>
          <w:szCs w:val="24"/>
        </w:rPr>
        <w:t>Służy temu pouczenie o tym uprawnieniu przewidziane w proponowanym art. 300 § 1a i 1b k.p.k.</w:t>
      </w:r>
    </w:p>
    <w:p w14:paraId="5B72CD9D" w14:textId="77777777" w:rsidR="00647D88" w:rsidRPr="00C835AB" w:rsidRDefault="00647D88" w:rsidP="00D823D0">
      <w:pPr>
        <w:pStyle w:val="Akapitzlist1"/>
        <w:spacing w:after="0" w:line="360" w:lineRule="auto"/>
        <w:ind w:left="0"/>
        <w:jc w:val="both"/>
        <w:rPr>
          <w:rFonts w:ascii="Times New Roman" w:hAnsi="Times New Roman"/>
          <w:sz w:val="24"/>
          <w:szCs w:val="24"/>
        </w:rPr>
      </w:pPr>
    </w:p>
    <w:p w14:paraId="3074BD34" w14:textId="75248199" w:rsidR="00647D88" w:rsidRPr="00C835AB" w:rsidRDefault="34BA633D"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 xml:space="preserve">Prawo do informacji </w:t>
      </w:r>
      <w:r w:rsidR="72563721" w:rsidRPr="00C835AB">
        <w:rPr>
          <w:rFonts w:ascii="Times New Roman" w:hAnsi="Times New Roman" w:cs="Times New Roman"/>
          <w:b/>
          <w:bCs/>
          <w:color w:val="auto"/>
          <w:sz w:val="24"/>
        </w:rPr>
        <w:t xml:space="preserve">w postępowaniu karnym </w:t>
      </w:r>
      <w:r w:rsidRPr="00C835AB">
        <w:rPr>
          <w:rFonts w:ascii="Times New Roman" w:hAnsi="Times New Roman" w:cs="Times New Roman"/>
          <w:b/>
          <w:bCs/>
          <w:color w:val="auto"/>
          <w:sz w:val="24"/>
        </w:rPr>
        <w:t>(dyrektywa 2012/13/UE)</w:t>
      </w:r>
      <w:r w:rsidR="006929AD" w:rsidRPr="00C835AB">
        <w:rPr>
          <w:rFonts w:ascii="Times New Roman" w:hAnsi="Times New Roman" w:cs="Times New Roman"/>
          <w:b/>
          <w:bCs/>
          <w:color w:val="auto"/>
          <w:sz w:val="24"/>
        </w:rPr>
        <w:t xml:space="preserve"> art. 156 §</w:t>
      </w:r>
      <w:r w:rsidR="001D3092">
        <w:rPr>
          <w:rFonts w:ascii="Times New Roman" w:hAnsi="Times New Roman" w:cs="Times New Roman"/>
          <w:b/>
          <w:bCs/>
          <w:color w:val="auto"/>
          <w:sz w:val="24"/>
        </w:rPr>
        <w:t> </w:t>
      </w:r>
      <w:r w:rsidR="006929AD" w:rsidRPr="00C835AB">
        <w:rPr>
          <w:rFonts w:ascii="Times New Roman" w:hAnsi="Times New Roman" w:cs="Times New Roman"/>
          <w:b/>
          <w:bCs/>
          <w:color w:val="auto"/>
          <w:sz w:val="24"/>
        </w:rPr>
        <w:t>5</w:t>
      </w:r>
      <w:r w:rsidR="004B6571" w:rsidRPr="00C835AB">
        <w:rPr>
          <w:rFonts w:ascii="Times New Roman" w:hAnsi="Times New Roman" w:cs="Times New Roman"/>
          <w:b/>
          <w:bCs/>
          <w:color w:val="auto"/>
          <w:sz w:val="24"/>
        </w:rPr>
        <w:t>a</w:t>
      </w:r>
      <w:r w:rsidR="006929AD" w:rsidRPr="00C835AB">
        <w:rPr>
          <w:rFonts w:ascii="Times New Roman" w:hAnsi="Times New Roman" w:cs="Times New Roman"/>
          <w:b/>
          <w:bCs/>
          <w:color w:val="auto"/>
          <w:sz w:val="24"/>
        </w:rPr>
        <w:t xml:space="preserve"> k.p.k., art. 246 § 1a k.p.k., art. 249a § 1 k.p.k., art. 250 § 2b k.p.k.</w:t>
      </w:r>
    </w:p>
    <w:p w14:paraId="128B70C3" w14:textId="73DAFCDE" w:rsidR="00647D88" w:rsidRPr="00C835AB" w:rsidRDefault="34BA633D"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Zaproponowane zmiany dotyczące </w:t>
      </w:r>
      <w:r w:rsidR="1D4DF282" w:rsidRPr="00C835AB">
        <w:rPr>
          <w:rFonts w:ascii="Times New Roman" w:hAnsi="Times New Roman" w:cs="Times New Roman"/>
          <w:color w:val="auto"/>
          <w:sz w:val="24"/>
        </w:rPr>
        <w:t xml:space="preserve">art. 156 </w:t>
      </w:r>
      <w:r w:rsidRPr="00C835AB">
        <w:rPr>
          <w:rFonts w:ascii="Times New Roman" w:hAnsi="Times New Roman" w:cs="Times New Roman"/>
          <w:color w:val="auto"/>
          <w:sz w:val="24"/>
        </w:rPr>
        <w:t>§ 5a</w:t>
      </w:r>
      <w:r w:rsidR="004E5A08" w:rsidRPr="00C835AB">
        <w:rPr>
          <w:rFonts w:ascii="Times New Roman" w:hAnsi="Times New Roman" w:cs="Times New Roman"/>
          <w:color w:val="auto"/>
          <w:sz w:val="24"/>
        </w:rPr>
        <w:t xml:space="preserve"> k.p.k.</w:t>
      </w:r>
      <w:r w:rsidR="4A567155" w:rsidRPr="00C835AB">
        <w:rPr>
          <w:rFonts w:ascii="Times New Roman" w:hAnsi="Times New Roman" w:cs="Times New Roman"/>
          <w:color w:val="auto"/>
          <w:sz w:val="24"/>
        </w:rPr>
        <w:t>, art. 249a § 1</w:t>
      </w:r>
      <w:r w:rsidR="004E5A08" w:rsidRPr="00C835AB">
        <w:rPr>
          <w:rFonts w:ascii="Times New Roman" w:hAnsi="Times New Roman" w:cs="Times New Roman"/>
          <w:color w:val="auto"/>
          <w:sz w:val="24"/>
        </w:rPr>
        <w:t xml:space="preserve"> k.p.k.</w:t>
      </w:r>
      <w:r w:rsidR="4A567155" w:rsidRPr="00C835AB">
        <w:rPr>
          <w:rFonts w:ascii="Times New Roman" w:hAnsi="Times New Roman" w:cs="Times New Roman"/>
          <w:color w:val="auto"/>
          <w:sz w:val="24"/>
        </w:rPr>
        <w:t xml:space="preserve"> i art</w:t>
      </w:r>
      <w:r w:rsidR="00796D23">
        <w:rPr>
          <w:rFonts w:ascii="Times New Roman" w:hAnsi="Times New Roman" w:cs="Times New Roman"/>
          <w:color w:val="auto"/>
          <w:sz w:val="24"/>
        </w:rPr>
        <w:t>.</w:t>
      </w:r>
      <w:r w:rsidR="4A567155" w:rsidRPr="00C835AB">
        <w:rPr>
          <w:rFonts w:ascii="Times New Roman" w:hAnsi="Times New Roman" w:cs="Times New Roman"/>
          <w:color w:val="auto"/>
          <w:sz w:val="24"/>
        </w:rPr>
        <w:t xml:space="preserve"> 250 § 2b </w:t>
      </w:r>
      <w:r w:rsidR="00304E00" w:rsidRPr="00C835AB">
        <w:rPr>
          <w:rFonts w:ascii="Times New Roman" w:hAnsi="Times New Roman" w:cs="Times New Roman"/>
          <w:color w:val="auto"/>
          <w:sz w:val="24"/>
        </w:rPr>
        <w:t xml:space="preserve">k.p.k. </w:t>
      </w:r>
      <w:r w:rsidR="4A567155" w:rsidRPr="00C835AB">
        <w:rPr>
          <w:rFonts w:ascii="Times New Roman" w:hAnsi="Times New Roman" w:cs="Times New Roman"/>
          <w:color w:val="auto"/>
          <w:sz w:val="24"/>
        </w:rPr>
        <w:t xml:space="preserve">mają na celu </w:t>
      </w:r>
      <w:r w:rsidR="00252EE7" w:rsidRPr="00C835AB">
        <w:rPr>
          <w:rFonts w:ascii="Times New Roman" w:hAnsi="Times New Roman" w:cs="Times New Roman"/>
          <w:color w:val="auto"/>
          <w:sz w:val="24"/>
        </w:rPr>
        <w:t>rozwinięcie</w:t>
      </w:r>
      <w:r w:rsidR="00172EA3" w:rsidRPr="00C835AB">
        <w:rPr>
          <w:rFonts w:ascii="Times New Roman" w:hAnsi="Times New Roman" w:cs="Times New Roman"/>
          <w:color w:val="auto"/>
          <w:sz w:val="24"/>
        </w:rPr>
        <w:t xml:space="preserve"> </w:t>
      </w:r>
      <w:r w:rsidR="4A567155" w:rsidRPr="00C835AB">
        <w:rPr>
          <w:rFonts w:ascii="Times New Roman" w:hAnsi="Times New Roman" w:cs="Times New Roman"/>
          <w:color w:val="auto"/>
          <w:sz w:val="24"/>
        </w:rPr>
        <w:t>standardu u</w:t>
      </w:r>
      <w:r w:rsidR="71250B96" w:rsidRPr="00C835AB">
        <w:rPr>
          <w:rFonts w:ascii="Times New Roman" w:hAnsi="Times New Roman" w:cs="Times New Roman"/>
          <w:color w:val="auto"/>
          <w:sz w:val="24"/>
        </w:rPr>
        <w:t xml:space="preserve">nijnego wynikającego z </w:t>
      </w:r>
      <w:r w:rsidR="00375867" w:rsidRPr="00C835AB">
        <w:rPr>
          <w:rFonts w:ascii="Times New Roman" w:hAnsi="Times New Roman" w:cs="Times New Roman"/>
          <w:color w:val="auto"/>
          <w:sz w:val="24"/>
        </w:rPr>
        <w:t>d</w:t>
      </w:r>
      <w:r w:rsidR="71250B96" w:rsidRPr="00C835AB">
        <w:rPr>
          <w:rFonts w:ascii="Times New Roman" w:hAnsi="Times New Roman" w:cs="Times New Roman"/>
          <w:color w:val="auto"/>
          <w:sz w:val="24"/>
        </w:rPr>
        <w:t>yrektywy 2012/13/UE w</w:t>
      </w:r>
      <w:r w:rsidR="00D92A0D" w:rsidRPr="00C835AB">
        <w:rPr>
          <w:rFonts w:ascii="Times New Roman" w:hAnsi="Times New Roman" w:cs="Times New Roman"/>
          <w:color w:val="auto"/>
          <w:sz w:val="24"/>
        </w:rPr>
        <w:t> </w:t>
      </w:r>
      <w:r w:rsidR="71250B96" w:rsidRPr="00C835AB">
        <w:rPr>
          <w:rFonts w:ascii="Times New Roman" w:hAnsi="Times New Roman" w:cs="Times New Roman"/>
          <w:color w:val="auto"/>
          <w:sz w:val="24"/>
        </w:rPr>
        <w:t>sprawie prawa do informacji, jak i standardu strasburskiego w zakresie dostępu obrony do</w:t>
      </w:r>
      <w:r w:rsidR="001D3092">
        <w:rPr>
          <w:rFonts w:ascii="Times New Roman" w:hAnsi="Times New Roman" w:cs="Times New Roman"/>
          <w:color w:val="auto"/>
          <w:sz w:val="24"/>
        </w:rPr>
        <w:t> </w:t>
      </w:r>
      <w:r w:rsidR="71250B96" w:rsidRPr="00C835AB">
        <w:rPr>
          <w:rFonts w:ascii="Times New Roman" w:hAnsi="Times New Roman" w:cs="Times New Roman"/>
          <w:color w:val="auto"/>
          <w:sz w:val="24"/>
        </w:rPr>
        <w:t>materiałów pos</w:t>
      </w:r>
      <w:r w:rsidR="045A48C4" w:rsidRPr="00C835AB">
        <w:rPr>
          <w:rFonts w:ascii="Times New Roman" w:hAnsi="Times New Roman" w:cs="Times New Roman"/>
          <w:color w:val="auto"/>
          <w:sz w:val="24"/>
        </w:rPr>
        <w:t>tępowania w związku ze stosowaniem tymczasowego aresztowania. Dodatkowo proponuje się zmian</w:t>
      </w:r>
      <w:r w:rsidR="00BD587D">
        <w:rPr>
          <w:rFonts w:ascii="Times New Roman" w:hAnsi="Times New Roman" w:cs="Times New Roman"/>
          <w:color w:val="auto"/>
          <w:sz w:val="24"/>
        </w:rPr>
        <w:t>y</w:t>
      </w:r>
      <w:r w:rsidR="045A48C4" w:rsidRPr="00C835AB">
        <w:rPr>
          <w:rFonts w:ascii="Times New Roman" w:hAnsi="Times New Roman" w:cs="Times New Roman"/>
          <w:color w:val="auto"/>
          <w:sz w:val="24"/>
        </w:rPr>
        <w:t xml:space="preserve"> </w:t>
      </w:r>
      <w:r w:rsidR="00BD587D" w:rsidRPr="00C835AB">
        <w:rPr>
          <w:rFonts w:ascii="Times New Roman" w:hAnsi="Times New Roman" w:cs="Times New Roman"/>
          <w:color w:val="auto"/>
          <w:sz w:val="24"/>
        </w:rPr>
        <w:t>wzmacniając</w:t>
      </w:r>
      <w:r w:rsidR="00BD587D">
        <w:rPr>
          <w:rFonts w:ascii="Times New Roman" w:hAnsi="Times New Roman" w:cs="Times New Roman"/>
          <w:color w:val="auto"/>
          <w:sz w:val="24"/>
        </w:rPr>
        <w:t>e</w:t>
      </w:r>
      <w:r w:rsidR="00BD587D" w:rsidRPr="00C835AB">
        <w:rPr>
          <w:rFonts w:ascii="Times New Roman" w:hAnsi="Times New Roman" w:cs="Times New Roman"/>
          <w:color w:val="auto"/>
          <w:sz w:val="24"/>
        </w:rPr>
        <w:t xml:space="preserve"> </w:t>
      </w:r>
      <w:r w:rsidR="045A48C4" w:rsidRPr="00C835AB">
        <w:rPr>
          <w:rFonts w:ascii="Times New Roman" w:hAnsi="Times New Roman" w:cs="Times New Roman"/>
          <w:color w:val="auto"/>
          <w:sz w:val="24"/>
        </w:rPr>
        <w:t>prawo podejrzanego do obrony</w:t>
      </w:r>
      <w:r w:rsidR="76358D02" w:rsidRPr="00C835AB">
        <w:rPr>
          <w:rFonts w:ascii="Times New Roman" w:hAnsi="Times New Roman" w:cs="Times New Roman"/>
          <w:color w:val="auto"/>
          <w:sz w:val="24"/>
        </w:rPr>
        <w:t xml:space="preserve"> w</w:t>
      </w:r>
      <w:r w:rsidR="001D3092">
        <w:rPr>
          <w:rFonts w:ascii="Times New Roman" w:hAnsi="Times New Roman" w:cs="Times New Roman"/>
          <w:color w:val="auto"/>
          <w:sz w:val="24"/>
        </w:rPr>
        <w:t> </w:t>
      </w:r>
      <w:r w:rsidR="76358D02" w:rsidRPr="00C835AB">
        <w:rPr>
          <w:rFonts w:ascii="Times New Roman" w:hAnsi="Times New Roman" w:cs="Times New Roman"/>
          <w:color w:val="auto"/>
          <w:sz w:val="24"/>
        </w:rPr>
        <w:t>zakresie tego dostępu</w:t>
      </w:r>
      <w:r w:rsidR="045A48C4" w:rsidRPr="00C835AB">
        <w:rPr>
          <w:rFonts w:ascii="Times New Roman" w:hAnsi="Times New Roman" w:cs="Times New Roman"/>
          <w:color w:val="auto"/>
          <w:sz w:val="24"/>
        </w:rPr>
        <w:t>.</w:t>
      </w:r>
    </w:p>
    <w:p w14:paraId="6921EEB4" w14:textId="442F6EE0" w:rsidR="00647D88" w:rsidRPr="00C835AB" w:rsidRDefault="58F87068" w:rsidP="00172EA3">
      <w:pPr>
        <w:pStyle w:val="Akapitzlist"/>
        <w:ind w:left="0" w:firstLine="720"/>
        <w:rPr>
          <w:rFonts w:ascii="Times New Roman" w:eastAsia="Cambria Math" w:hAnsi="Times New Roman" w:cs="Times New Roman"/>
          <w:color w:val="auto"/>
          <w:sz w:val="24"/>
          <w:lang w:eastAsia="pl-PL"/>
        </w:rPr>
      </w:pPr>
      <w:r w:rsidRPr="00C835AB">
        <w:rPr>
          <w:rFonts w:ascii="Times New Roman" w:hAnsi="Times New Roman" w:cs="Times New Roman"/>
          <w:color w:val="auto"/>
          <w:sz w:val="24"/>
        </w:rPr>
        <w:lastRenderedPageBreak/>
        <w:t>Dostęp podejrzanego i jego obrońcy do akt postępowania przygotowawczego i</w:t>
      </w:r>
      <w:r w:rsidR="001D3092">
        <w:rPr>
          <w:rFonts w:ascii="Times New Roman" w:hAnsi="Times New Roman" w:cs="Times New Roman"/>
          <w:color w:val="auto"/>
          <w:sz w:val="24"/>
        </w:rPr>
        <w:t> </w:t>
      </w:r>
      <w:r w:rsidRPr="00C835AB">
        <w:rPr>
          <w:rFonts w:ascii="Times New Roman" w:hAnsi="Times New Roman" w:cs="Times New Roman"/>
          <w:color w:val="auto"/>
          <w:sz w:val="24"/>
        </w:rPr>
        <w:t>do</w:t>
      </w:r>
      <w:r w:rsidR="001D3092">
        <w:rPr>
          <w:rFonts w:ascii="Times New Roman" w:hAnsi="Times New Roman" w:cs="Times New Roman"/>
          <w:color w:val="auto"/>
          <w:sz w:val="24"/>
        </w:rPr>
        <w:t> </w:t>
      </w:r>
      <w:r w:rsidRPr="00C835AB">
        <w:rPr>
          <w:rFonts w:ascii="Times New Roman" w:hAnsi="Times New Roman" w:cs="Times New Roman"/>
          <w:color w:val="auto"/>
          <w:sz w:val="24"/>
        </w:rPr>
        <w:t>dowodów wskazujących na potrzebę stosowania tymczasowego aresztowania stanowi kluczowy element rzetelności procedury stosowania tymczasowego aresztowania. Wynika to</w:t>
      </w:r>
      <w:r w:rsidR="001D3092">
        <w:rPr>
          <w:rFonts w:ascii="Times New Roman" w:hAnsi="Times New Roman" w:cs="Times New Roman"/>
          <w:color w:val="auto"/>
          <w:sz w:val="24"/>
        </w:rPr>
        <w:t> </w:t>
      </w:r>
      <w:r w:rsidRPr="00C835AB">
        <w:rPr>
          <w:rFonts w:ascii="Times New Roman" w:hAnsi="Times New Roman" w:cs="Times New Roman"/>
          <w:color w:val="auto"/>
          <w:sz w:val="24"/>
        </w:rPr>
        <w:t>z</w:t>
      </w:r>
      <w:r w:rsidR="00D92A0D" w:rsidRPr="00C835AB">
        <w:rPr>
          <w:rFonts w:ascii="Times New Roman" w:hAnsi="Times New Roman" w:cs="Times New Roman"/>
          <w:color w:val="auto"/>
          <w:sz w:val="24"/>
        </w:rPr>
        <w:t> </w:t>
      </w:r>
      <w:r w:rsidRPr="00C835AB">
        <w:rPr>
          <w:rFonts w:ascii="Times New Roman" w:hAnsi="Times New Roman" w:cs="Times New Roman"/>
          <w:color w:val="auto"/>
          <w:sz w:val="24"/>
        </w:rPr>
        <w:t>orzecznictwa Trybunału Konstytucyjnego oraz Europejskiego Trybunału Praw Człowieka (por. wyrok T</w:t>
      </w:r>
      <w:r w:rsidR="00EE51B3" w:rsidRPr="00C835AB">
        <w:rPr>
          <w:rFonts w:ascii="Times New Roman" w:hAnsi="Times New Roman" w:cs="Times New Roman"/>
          <w:color w:val="auto"/>
          <w:sz w:val="24"/>
        </w:rPr>
        <w:t>K</w:t>
      </w:r>
      <w:r w:rsidRPr="00C835AB">
        <w:rPr>
          <w:rFonts w:ascii="Times New Roman" w:hAnsi="Times New Roman" w:cs="Times New Roman"/>
          <w:color w:val="auto"/>
          <w:sz w:val="24"/>
        </w:rPr>
        <w:t xml:space="preserve"> z dnia 3 czerwca 2008 r., K 42/07, OTK – A 2008, nr 5, poz. 77; w odniesieniu do orzecznictwa E</w:t>
      </w:r>
      <w:r w:rsidR="00571DE4" w:rsidRPr="00C835AB">
        <w:rPr>
          <w:rFonts w:ascii="Times New Roman" w:hAnsi="Times New Roman" w:cs="Times New Roman"/>
          <w:color w:val="auto"/>
          <w:sz w:val="24"/>
        </w:rPr>
        <w:t>uropejskiego Trybunału Praw Człowieka</w:t>
      </w:r>
      <w:r w:rsidRPr="00C835AB">
        <w:rPr>
          <w:rFonts w:ascii="Times New Roman" w:hAnsi="Times New Roman" w:cs="Times New Roman"/>
          <w:color w:val="auto"/>
          <w:sz w:val="24"/>
        </w:rPr>
        <w:t xml:space="preserve">: wyrok </w:t>
      </w:r>
      <w:r w:rsidR="003C0335" w:rsidRPr="00C835AB">
        <w:rPr>
          <w:rFonts w:ascii="Times New Roman" w:hAnsi="Times New Roman" w:cs="Times New Roman"/>
          <w:color w:val="auto"/>
          <w:sz w:val="24"/>
        </w:rPr>
        <w:t xml:space="preserve">z dnia 15 stycznia 2008 r. </w:t>
      </w:r>
      <w:r w:rsidRPr="00C835AB">
        <w:rPr>
          <w:rFonts w:ascii="Times New Roman" w:hAnsi="Times New Roman" w:cs="Times New Roman"/>
          <w:color w:val="auto"/>
          <w:sz w:val="24"/>
        </w:rPr>
        <w:t xml:space="preserve">w sprawie </w:t>
      </w:r>
      <w:r w:rsidRPr="00C835AB">
        <w:rPr>
          <w:rFonts w:ascii="Times New Roman" w:hAnsi="Times New Roman" w:cs="Times New Roman"/>
          <w:i/>
          <w:iCs/>
          <w:color w:val="auto"/>
          <w:sz w:val="24"/>
        </w:rPr>
        <w:t>Łaszkiewicz p</w:t>
      </w:r>
      <w:r w:rsidR="00582F53" w:rsidRPr="00C835AB">
        <w:rPr>
          <w:rFonts w:ascii="Times New Roman" w:hAnsi="Times New Roman" w:cs="Times New Roman"/>
          <w:i/>
          <w:iCs/>
          <w:color w:val="auto"/>
          <w:sz w:val="24"/>
        </w:rPr>
        <w:t>rzeciwko</w:t>
      </w:r>
      <w:r w:rsidRPr="00C835AB">
        <w:rPr>
          <w:rFonts w:ascii="Times New Roman" w:hAnsi="Times New Roman" w:cs="Times New Roman"/>
          <w:i/>
          <w:iCs/>
          <w:color w:val="auto"/>
          <w:sz w:val="24"/>
        </w:rPr>
        <w:t xml:space="preserve"> Polsc</w:t>
      </w:r>
      <w:r w:rsidR="003C0335" w:rsidRPr="00C835AB">
        <w:rPr>
          <w:rFonts w:ascii="Times New Roman" w:hAnsi="Times New Roman" w:cs="Times New Roman"/>
          <w:i/>
          <w:iCs/>
          <w:color w:val="auto"/>
          <w:sz w:val="24"/>
        </w:rPr>
        <w:t xml:space="preserve">e, </w:t>
      </w:r>
      <w:r w:rsidR="003C0335" w:rsidRPr="00C835AB">
        <w:rPr>
          <w:rFonts w:ascii="Times New Roman" w:hAnsi="Times New Roman" w:cs="Times New Roman"/>
          <w:color w:val="auto"/>
          <w:sz w:val="24"/>
        </w:rPr>
        <w:t>skarga nr 28481/03</w:t>
      </w:r>
      <w:r w:rsidRPr="00C835AB">
        <w:rPr>
          <w:rFonts w:ascii="Times New Roman" w:hAnsi="Times New Roman" w:cs="Times New Roman"/>
          <w:color w:val="auto"/>
          <w:sz w:val="24"/>
        </w:rPr>
        <w:t>;</w:t>
      </w:r>
      <w:r w:rsidR="003C0335" w:rsidRPr="00C835AB">
        <w:rPr>
          <w:rFonts w:ascii="Times New Roman" w:hAnsi="Times New Roman" w:cs="Times New Roman"/>
          <w:color w:val="auto"/>
          <w:sz w:val="24"/>
        </w:rPr>
        <w:t xml:space="preserve"> </w:t>
      </w:r>
      <w:r w:rsidR="003C0335" w:rsidRPr="00C835AB">
        <w:rPr>
          <w:rFonts w:ascii="Times New Roman" w:eastAsia="Cambria Math" w:hAnsi="Times New Roman" w:cs="Times New Roman"/>
          <w:color w:val="auto"/>
          <w:sz w:val="24"/>
          <w:lang w:eastAsia="pl-PL"/>
        </w:rPr>
        <w:t>wyrok z dnia 25 czerwca 2002</w:t>
      </w:r>
      <w:r w:rsidR="001D3092">
        <w:rPr>
          <w:rFonts w:ascii="Times New Roman" w:eastAsia="Cambria Math" w:hAnsi="Times New Roman" w:cs="Times New Roman"/>
          <w:color w:val="auto"/>
          <w:sz w:val="24"/>
          <w:lang w:eastAsia="pl-PL"/>
        </w:rPr>
        <w:t> </w:t>
      </w:r>
      <w:r w:rsidR="003C0335" w:rsidRPr="00C835AB">
        <w:rPr>
          <w:rFonts w:ascii="Times New Roman" w:eastAsia="Cambria Math" w:hAnsi="Times New Roman" w:cs="Times New Roman"/>
          <w:color w:val="auto"/>
          <w:sz w:val="24"/>
          <w:lang w:eastAsia="pl-PL"/>
        </w:rPr>
        <w:t>r. w sprawie</w:t>
      </w:r>
      <w:r w:rsidRPr="00C835AB">
        <w:rPr>
          <w:rFonts w:ascii="Times New Roman" w:hAnsi="Times New Roman" w:cs="Times New Roman"/>
          <w:color w:val="auto"/>
          <w:sz w:val="24"/>
        </w:rPr>
        <w:t xml:space="preserve"> </w:t>
      </w:r>
      <w:proofErr w:type="spellStart"/>
      <w:r w:rsidRPr="00C835AB">
        <w:rPr>
          <w:rFonts w:ascii="Times New Roman" w:eastAsia="Cambria Math" w:hAnsi="Times New Roman" w:cs="Times New Roman"/>
          <w:i/>
          <w:iCs/>
          <w:color w:val="auto"/>
          <w:sz w:val="24"/>
          <w:lang w:eastAsia="pl-PL"/>
        </w:rPr>
        <w:t>Migoń</w:t>
      </w:r>
      <w:proofErr w:type="spellEnd"/>
      <w:r w:rsidRPr="00C835AB">
        <w:rPr>
          <w:rFonts w:ascii="Times New Roman" w:eastAsia="Cambria Math" w:hAnsi="Times New Roman" w:cs="Times New Roman"/>
          <w:i/>
          <w:iCs/>
          <w:color w:val="auto"/>
          <w:sz w:val="24"/>
          <w:lang w:eastAsia="pl-PL"/>
        </w:rPr>
        <w:t xml:space="preserve"> przeciwko Polsce</w:t>
      </w:r>
      <w:r w:rsidR="007453DA" w:rsidRPr="00C835AB">
        <w:rPr>
          <w:rFonts w:ascii="Times New Roman" w:eastAsia="Cambria Math" w:hAnsi="Times New Roman" w:cs="Times New Roman"/>
          <w:i/>
          <w:iCs/>
          <w:color w:val="auto"/>
          <w:sz w:val="24"/>
          <w:lang w:eastAsia="pl-PL"/>
        </w:rPr>
        <w:t xml:space="preserve">, </w:t>
      </w:r>
      <w:r w:rsidR="007453DA" w:rsidRPr="00C835AB">
        <w:rPr>
          <w:rFonts w:ascii="Times New Roman" w:eastAsia="Cambria Math" w:hAnsi="Times New Roman" w:cs="Times New Roman"/>
          <w:color w:val="auto"/>
          <w:sz w:val="24"/>
          <w:lang w:eastAsia="pl-PL"/>
        </w:rPr>
        <w:t>skarga nr 24244/94;</w:t>
      </w:r>
      <w:r w:rsidRPr="00C835AB">
        <w:rPr>
          <w:rFonts w:ascii="Times New Roman" w:eastAsia="Cambria Math" w:hAnsi="Times New Roman" w:cs="Times New Roman"/>
          <w:color w:val="auto"/>
          <w:sz w:val="24"/>
          <w:lang w:eastAsia="pl-PL"/>
        </w:rPr>
        <w:t xml:space="preserve"> </w:t>
      </w:r>
      <w:r w:rsidR="003C0335" w:rsidRPr="00C835AB">
        <w:rPr>
          <w:rFonts w:ascii="Times New Roman" w:eastAsia="Cambria Math" w:hAnsi="Times New Roman" w:cs="Times New Roman"/>
          <w:color w:val="auto"/>
          <w:sz w:val="24"/>
          <w:lang w:eastAsia="pl-PL"/>
        </w:rPr>
        <w:t>wyrok z dnia 6 listopada 2007 r. w</w:t>
      </w:r>
      <w:r w:rsidR="00D92A0D" w:rsidRPr="00C835AB">
        <w:rPr>
          <w:rFonts w:ascii="Times New Roman" w:eastAsia="Cambria Math" w:hAnsi="Times New Roman" w:cs="Times New Roman"/>
          <w:color w:val="auto"/>
          <w:sz w:val="24"/>
          <w:lang w:eastAsia="pl-PL"/>
        </w:rPr>
        <w:t> </w:t>
      </w:r>
      <w:r w:rsidR="003C0335" w:rsidRPr="00C835AB">
        <w:rPr>
          <w:rFonts w:ascii="Times New Roman" w:eastAsia="Cambria Math" w:hAnsi="Times New Roman" w:cs="Times New Roman"/>
          <w:color w:val="auto"/>
          <w:sz w:val="24"/>
          <w:lang w:eastAsia="pl-PL"/>
        </w:rPr>
        <w:t>sprawie</w:t>
      </w:r>
      <w:r w:rsidR="00283116" w:rsidRPr="00C835AB">
        <w:rPr>
          <w:rFonts w:ascii="Times New Roman" w:eastAsia="Cambria Math" w:hAnsi="Times New Roman" w:cs="Times New Roman"/>
          <w:color w:val="auto"/>
          <w:sz w:val="24"/>
          <w:lang w:eastAsia="pl-PL"/>
        </w:rPr>
        <w:t xml:space="preserve"> </w:t>
      </w:r>
      <w:r w:rsidRPr="00C835AB">
        <w:rPr>
          <w:rFonts w:ascii="Times New Roman" w:eastAsia="Cambria Math" w:hAnsi="Times New Roman" w:cs="Times New Roman"/>
          <w:i/>
          <w:iCs/>
          <w:color w:val="auto"/>
          <w:sz w:val="24"/>
          <w:lang w:eastAsia="pl-PL"/>
        </w:rPr>
        <w:t>Chruściński przeciwko Polsce</w:t>
      </w:r>
      <w:r w:rsidR="007453DA" w:rsidRPr="00C835AB">
        <w:rPr>
          <w:rFonts w:ascii="Times New Roman" w:eastAsia="Cambria Math" w:hAnsi="Times New Roman" w:cs="Times New Roman"/>
          <w:i/>
          <w:iCs/>
          <w:color w:val="auto"/>
          <w:sz w:val="24"/>
          <w:lang w:eastAsia="pl-PL"/>
        </w:rPr>
        <w:t xml:space="preserve">, </w:t>
      </w:r>
      <w:r w:rsidR="007453DA" w:rsidRPr="00C835AB">
        <w:rPr>
          <w:rFonts w:ascii="Times New Roman" w:eastAsia="Cambria Math" w:hAnsi="Times New Roman" w:cs="Times New Roman"/>
          <w:color w:val="auto"/>
          <w:sz w:val="24"/>
          <w:lang w:eastAsia="pl-PL"/>
        </w:rPr>
        <w:t>skarga nr 22755/07</w:t>
      </w:r>
      <w:r w:rsidR="003C0335" w:rsidRPr="00C835AB">
        <w:rPr>
          <w:rFonts w:ascii="Times New Roman" w:eastAsia="Cambria Math" w:hAnsi="Times New Roman" w:cs="Times New Roman"/>
          <w:color w:val="auto"/>
          <w:sz w:val="24"/>
          <w:lang w:eastAsia="pl-PL"/>
        </w:rPr>
        <w:t>)</w:t>
      </w:r>
      <w:r w:rsidR="00283116" w:rsidRPr="00C835AB">
        <w:rPr>
          <w:rFonts w:ascii="Times New Roman" w:eastAsia="Cambria Math" w:hAnsi="Times New Roman" w:cs="Times New Roman"/>
          <w:color w:val="auto"/>
          <w:sz w:val="24"/>
          <w:lang w:eastAsia="pl-PL"/>
        </w:rPr>
        <w:t>.</w:t>
      </w:r>
      <w:r w:rsidRPr="00C835AB">
        <w:rPr>
          <w:rFonts w:ascii="Times New Roman" w:eastAsia="Cambria Math" w:hAnsi="Times New Roman" w:cs="Times New Roman"/>
          <w:color w:val="auto"/>
          <w:sz w:val="24"/>
          <w:lang w:eastAsia="pl-PL"/>
        </w:rPr>
        <w:t xml:space="preserve"> Europejski Trybunał Praw Człowieka kilkakrotnie stwierdzał, uwzględniając skargi przeciwko Polsce, że uniemożliwienie oskarżonemu i jego obrońcy dostępu do akt postępowania przygotowawczego narusza zasadę równości broni, stanowiącą istotny element rzetelności procedury przewidzianej w art. 5 ust. 4</w:t>
      </w:r>
      <w:r w:rsidR="006929AD" w:rsidRPr="00C835AB">
        <w:rPr>
          <w:rFonts w:ascii="Times New Roman" w:eastAsia="Cambria Math" w:hAnsi="Times New Roman" w:cs="Times New Roman"/>
          <w:color w:val="auto"/>
          <w:sz w:val="24"/>
          <w:lang w:eastAsia="pl-PL"/>
        </w:rPr>
        <w:t xml:space="preserve"> </w:t>
      </w:r>
      <w:proofErr w:type="spellStart"/>
      <w:r w:rsidR="006929AD" w:rsidRPr="00C835AB">
        <w:rPr>
          <w:rFonts w:ascii="Times New Roman" w:eastAsia="Cambria Math" w:hAnsi="Times New Roman" w:cs="Times New Roman"/>
          <w:color w:val="auto"/>
          <w:sz w:val="24"/>
          <w:lang w:eastAsia="pl-PL"/>
        </w:rPr>
        <w:t>EKPCz</w:t>
      </w:r>
      <w:proofErr w:type="spellEnd"/>
      <w:r w:rsidRPr="00C835AB">
        <w:rPr>
          <w:rFonts w:ascii="Times New Roman" w:eastAsia="Cambria Math" w:hAnsi="Times New Roman" w:cs="Times New Roman"/>
          <w:color w:val="auto"/>
          <w:sz w:val="24"/>
          <w:lang w:eastAsia="pl-PL"/>
        </w:rPr>
        <w:t xml:space="preserve">. W punkcie 84 wyroku w sprawie </w:t>
      </w:r>
      <w:r w:rsidRPr="00C835AB">
        <w:rPr>
          <w:rFonts w:ascii="Times New Roman" w:eastAsia="Cambria Math" w:hAnsi="Times New Roman" w:cs="Times New Roman"/>
          <w:i/>
          <w:iCs/>
          <w:color w:val="auto"/>
          <w:sz w:val="24"/>
          <w:lang w:eastAsia="pl-PL"/>
        </w:rPr>
        <w:t>Łaszkiewicz</w:t>
      </w:r>
      <w:r w:rsidR="00EE51B3" w:rsidRPr="00C835AB">
        <w:rPr>
          <w:rFonts w:ascii="Times New Roman" w:eastAsia="Cambria Math" w:hAnsi="Times New Roman" w:cs="Times New Roman"/>
          <w:i/>
          <w:iCs/>
          <w:color w:val="auto"/>
          <w:sz w:val="24"/>
          <w:lang w:eastAsia="pl-PL"/>
        </w:rPr>
        <w:t xml:space="preserve"> przeciwko Polsce</w:t>
      </w:r>
      <w:r w:rsidRPr="00C835AB">
        <w:rPr>
          <w:rFonts w:ascii="Times New Roman" w:eastAsia="Cambria Math" w:hAnsi="Times New Roman" w:cs="Times New Roman"/>
          <w:color w:val="auto"/>
          <w:sz w:val="24"/>
          <w:lang w:eastAsia="pl-PL"/>
        </w:rPr>
        <w:t xml:space="preserve"> stwierdza się „Trybunał uznaje konieczność skutecznego prowadzenia postępowań karnych, co może oznaczać, że pewna część informacji zebranych w ich trakcie powinna być utajniona w celu uniemożliwienia podejrzanym zacierania dowodów i podważania biegu wymiaru sprawiedliwości. Jednakże, ten zasadny cel nie może być realizowany kosztem znacznego ograniczenia prawa do obrony. Dlatego też informacje kluczowe dla oceny legalności tymczasowego aresztowania, takie jak powody, które zdaniem prokuratury uzasadniają przedłużenie okresu pozbawienia wolności – powinny być w odpowiednim trybie udostępnione adwokatowi podejrzanego [...]”</w:t>
      </w:r>
      <w:r w:rsidR="00283116" w:rsidRPr="00C835AB">
        <w:rPr>
          <w:rFonts w:ascii="Times New Roman" w:eastAsia="Cambria Math" w:hAnsi="Times New Roman" w:cs="Times New Roman"/>
          <w:color w:val="auto"/>
          <w:sz w:val="24"/>
          <w:lang w:eastAsia="pl-PL"/>
        </w:rPr>
        <w:t>.</w:t>
      </w:r>
      <w:r w:rsidRPr="00C835AB">
        <w:rPr>
          <w:rFonts w:ascii="Times New Roman" w:eastAsia="Cambria Math" w:hAnsi="Times New Roman" w:cs="Times New Roman"/>
          <w:color w:val="auto"/>
          <w:sz w:val="24"/>
          <w:lang w:eastAsia="pl-PL"/>
        </w:rPr>
        <w:t xml:space="preserve"> To właśnie uczynienie zadość standardowi konstytucyjnemu i</w:t>
      </w:r>
      <w:r w:rsidR="00D92A0D" w:rsidRPr="00C835AB">
        <w:rPr>
          <w:rFonts w:ascii="Times New Roman" w:eastAsia="Cambria Math" w:hAnsi="Times New Roman" w:cs="Times New Roman"/>
          <w:color w:val="auto"/>
          <w:sz w:val="24"/>
          <w:lang w:eastAsia="pl-PL"/>
        </w:rPr>
        <w:t> </w:t>
      </w:r>
      <w:r w:rsidRPr="00C835AB">
        <w:rPr>
          <w:rFonts w:ascii="Times New Roman" w:eastAsia="Cambria Math" w:hAnsi="Times New Roman" w:cs="Times New Roman"/>
          <w:color w:val="auto"/>
          <w:sz w:val="24"/>
          <w:lang w:eastAsia="pl-PL"/>
        </w:rPr>
        <w:t>konwencyjnemu w tym zakresie było przyczyną wprowadzenia z dniem 1 lipca 2015 r. wzmocnionych gwarancji kontradyktoryjności i równości stron w procedurze aresztowanej (por. w szczególności art. 249a k.p.k. i ówczesne brzmienie art. 250 k.p.k.).</w:t>
      </w:r>
      <w:r w:rsidR="5ABFCFDF" w:rsidRPr="00C835AB">
        <w:rPr>
          <w:rFonts w:ascii="Times New Roman" w:eastAsia="Cambria Math" w:hAnsi="Times New Roman" w:cs="Times New Roman"/>
          <w:color w:val="auto"/>
          <w:sz w:val="24"/>
          <w:lang w:eastAsia="pl-PL"/>
        </w:rPr>
        <w:t xml:space="preserve"> Również przepis art</w:t>
      </w:r>
      <w:r w:rsidR="002D181C" w:rsidRPr="00C835AB">
        <w:rPr>
          <w:rFonts w:ascii="Times New Roman" w:eastAsia="Cambria Math" w:hAnsi="Times New Roman" w:cs="Times New Roman"/>
          <w:color w:val="auto"/>
          <w:sz w:val="24"/>
          <w:lang w:eastAsia="pl-PL"/>
        </w:rPr>
        <w:t>.</w:t>
      </w:r>
      <w:r w:rsidR="5ABFCFDF" w:rsidRPr="00C835AB">
        <w:rPr>
          <w:rFonts w:ascii="Times New Roman" w:eastAsia="Cambria Math" w:hAnsi="Times New Roman" w:cs="Times New Roman"/>
          <w:color w:val="auto"/>
          <w:sz w:val="24"/>
          <w:lang w:eastAsia="pl-PL"/>
        </w:rPr>
        <w:t xml:space="preserve"> 7 ust. 1 dyrektywy 2012/13/UE nie dopuszcza żadnego wyjątku od </w:t>
      </w:r>
      <w:r w:rsidR="2EE9309F" w:rsidRPr="00C835AB">
        <w:rPr>
          <w:rFonts w:ascii="Times New Roman" w:eastAsia="Cambria Math" w:hAnsi="Times New Roman" w:cs="Times New Roman"/>
          <w:color w:val="auto"/>
          <w:sz w:val="24"/>
          <w:lang w:eastAsia="pl-PL"/>
        </w:rPr>
        <w:t>reguły, że należy zapewnić obronie dostęp do będących w posiadaniu właściwych organów dokumentów, które są związane z konkretną sprawą i mają istotne znaczenie dla skutecznego zakwestionowania, zgodnie z prawem krajowym, legalności zatrzymania lub aresztowania.</w:t>
      </w:r>
      <w:r w:rsidRPr="00C835AB">
        <w:rPr>
          <w:rFonts w:ascii="Times New Roman" w:eastAsia="Cambria Math" w:hAnsi="Times New Roman" w:cs="Times New Roman"/>
          <w:color w:val="auto"/>
          <w:sz w:val="24"/>
          <w:lang w:eastAsia="pl-PL"/>
        </w:rPr>
        <w:t xml:space="preserve"> </w:t>
      </w:r>
      <w:r w:rsidR="4E1533F4" w:rsidRPr="00C835AB">
        <w:rPr>
          <w:rFonts w:ascii="Times New Roman" w:eastAsia="Cambria Math" w:hAnsi="Times New Roman" w:cs="Times New Roman"/>
          <w:color w:val="auto"/>
          <w:sz w:val="24"/>
          <w:lang w:eastAsia="pl-PL"/>
        </w:rPr>
        <w:t>Jak wynika z</w:t>
      </w:r>
      <w:r w:rsidR="00D92A0D" w:rsidRPr="00C835AB">
        <w:rPr>
          <w:rFonts w:ascii="Times New Roman" w:eastAsia="Cambria Math" w:hAnsi="Times New Roman" w:cs="Times New Roman"/>
          <w:color w:val="auto"/>
          <w:sz w:val="24"/>
          <w:lang w:eastAsia="pl-PL"/>
        </w:rPr>
        <w:t> </w:t>
      </w:r>
      <w:r w:rsidR="4E1533F4" w:rsidRPr="00C835AB">
        <w:rPr>
          <w:rFonts w:ascii="Times New Roman" w:eastAsia="Cambria Math" w:hAnsi="Times New Roman" w:cs="Times New Roman"/>
          <w:color w:val="auto"/>
          <w:sz w:val="24"/>
          <w:lang w:eastAsia="pl-PL"/>
        </w:rPr>
        <w:t xml:space="preserve">powyższego, podejrzany i jego </w:t>
      </w:r>
      <w:r w:rsidR="62441871" w:rsidRPr="00C835AB">
        <w:rPr>
          <w:rFonts w:ascii="Times New Roman" w:eastAsia="Cambria Math" w:hAnsi="Times New Roman" w:cs="Times New Roman"/>
          <w:color w:val="auto"/>
          <w:sz w:val="24"/>
          <w:lang w:eastAsia="pl-PL"/>
        </w:rPr>
        <w:t>obrońca</w:t>
      </w:r>
      <w:r w:rsidR="4E1533F4" w:rsidRPr="00C835AB">
        <w:rPr>
          <w:rFonts w:ascii="Times New Roman" w:eastAsia="Cambria Math" w:hAnsi="Times New Roman" w:cs="Times New Roman"/>
          <w:color w:val="auto"/>
          <w:sz w:val="24"/>
          <w:lang w:eastAsia="pl-PL"/>
        </w:rPr>
        <w:t xml:space="preserve"> powinni mieć dostęp do dowodów stanowiących p</w:t>
      </w:r>
      <w:r w:rsidR="4E1533F4" w:rsidRPr="00C835AB">
        <w:rPr>
          <w:rFonts w:ascii="Times New Roman" w:hAnsi="Times New Roman" w:cs="Times New Roman"/>
          <w:color w:val="auto"/>
          <w:sz w:val="24"/>
        </w:rPr>
        <w:t xml:space="preserve">odstawę wniosku o zastosowanie (przedłużenie) tymczasowego aresztowania i postanowienia </w:t>
      </w:r>
      <w:r w:rsidR="67E0FC91" w:rsidRPr="00C835AB">
        <w:rPr>
          <w:rFonts w:ascii="Times New Roman" w:hAnsi="Times New Roman" w:cs="Times New Roman"/>
          <w:color w:val="auto"/>
          <w:sz w:val="24"/>
        </w:rPr>
        <w:t xml:space="preserve">o zastosowaniu tego środka zapobiegawczego. </w:t>
      </w:r>
      <w:r w:rsidR="0EF77A4E" w:rsidRPr="00C835AB">
        <w:rPr>
          <w:rFonts w:ascii="Times New Roman" w:hAnsi="Times New Roman" w:cs="Times New Roman"/>
          <w:color w:val="auto"/>
          <w:sz w:val="24"/>
        </w:rPr>
        <w:t>Wyjątki w tym zakresie nie są dopuszczalne.</w:t>
      </w:r>
      <w:r w:rsidR="4E1533F4" w:rsidRPr="00C835AB">
        <w:rPr>
          <w:rFonts w:ascii="Times New Roman" w:eastAsia="Cambria Math" w:hAnsi="Times New Roman" w:cs="Times New Roman"/>
          <w:color w:val="auto"/>
          <w:sz w:val="24"/>
          <w:lang w:eastAsia="pl-PL"/>
        </w:rPr>
        <w:t xml:space="preserve"> </w:t>
      </w:r>
    </w:p>
    <w:p w14:paraId="45A09B08" w14:textId="7F723F33" w:rsidR="00647D88" w:rsidRPr="00C835AB" w:rsidRDefault="11549609" w:rsidP="00172EA3">
      <w:pPr>
        <w:pStyle w:val="Akapitzlist"/>
        <w:ind w:left="0" w:firstLine="720"/>
        <w:rPr>
          <w:rFonts w:ascii="Times New Roman" w:eastAsia="Cambria Math" w:hAnsi="Times New Roman" w:cs="Times New Roman"/>
          <w:color w:val="auto"/>
          <w:sz w:val="24"/>
          <w:lang w:eastAsia="pl-PL"/>
        </w:rPr>
      </w:pPr>
      <w:r w:rsidRPr="00C835AB">
        <w:rPr>
          <w:rFonts w:ascii="Times New Roman" w:eastAsia="Cambria Math" w:hAnsi="Times New Roman" w:cs="Times New Roman"/>
          <w:color w:val="auto"/>
          <w:sz w:val="24"/>
          <w:lang w:eastAsia="pl-PL"/>
        </w:rPr>
        <w:t>Dodatkowo należy zauważyć, że w</w:t>
      </w:r>
      <w:r w:rsidR="58F87068" w:rsidRPr="00C835AB">
        <w:rPr>
          <w:rFonts w:ascii="Times New Roman" w:eastAsia="Cambria Math" w:hAnsi="Times New Roman" w:cs="Times New Roman"/>
          <w:color w:val="auto"/>
          <w:sz w:val="24"/>
          <w:lang w:eastAsia="pl-PL"/>
        </w:rPr>
        <w:t xml:space="preserve">prowadzając </w:t>
      </w:r>
      <w:r w:rsidR="15773DF5" w:rsidRPr="00C835AB">
        <w:rPr>
          <w:rFonts w:ascii="Times New Roman" w:eastAsia="Cambria Math" w:hAnsi="Times New Roman" w:cs="Times New Roman"/>
          <w:color w:val="auto"/>
          <w:sz w:val="24"/>
          <w:lang w:eastAsia="pl-PL"/>
        </w:rPr>
        <w:t xml:space="preserve">w art. 156 § 5a </w:t>
      </w:r>
      <w:r w:rsidR="00304E00" w:rsidRPr="00C835AB">
        <w:rPr>
          <w:rFonts w:ascii="Times New Roman" w:eastAsia="Cambria Math" w:hAnsi="Times New Roman" w:cs="Times New Roman"/>
          <w:color w:val="auto"/>
          <w:sz w:val="24"/>
          <w:lang w:eastAsia="pl-PL"/>
        </w:rPr>
        <w:t xml:space="preserve">k.p.k. </w:t>
      </w:r>
      <w:r w:rsidR="58F87068" w:rsidRPr="00C835AB">
        <w:rPr>
          <w:rFonts w:ascii="Times New Roman" w:eastAsia="Cambria Math" w:hAnsi="Times New Roman" w:cs="Times New Roman"/>
          <w:color w:val="auto"/>
          <w:sz w:val="24"/>
          <w:lang w:eastAsia="pl-PL"/>
        </w:rPr>
        <w:t>ograniczenie w</w:t>
      </w:r>
      <w:r w:rsidR="00D92A0D" w:rsidRPr="00C835AB">
        <w:rPr>
          <w:rFonts w:ascii="Times New Roman" w:eastAsia="Cambria Math" w:hAnsi="Times New Roman" w:cs="Times New Roman"/>
          <w:color w:val="auto"/>
          <w:sz w:val="24"/>
          <w:lang w:eastAsia="pl-PL"/>
        </w:rPr>
        <w:t> </w:t>
      </w:r>
      <w:r w:rsidR="58F87068" w:rsidRPr="00C835AB">
        <w:rPr>
          <w:rFonts w:ascii="Times New Roman" w:eastAsia="Cambria Math" w:hAnsi="Times New Roman" w:cs="Times New Roman"/>
          <w:color w:val="auto"/>
          <w:sz w:val="24"/>
          <w:lang w:eastAsia="pl-PL"/>
        </w:rPr>
        <w:t xml:space="preserve">dostępie podejrzanego i jego obrońcy do dowodów wskazanych we wniosku o </w:t>
      </w:r>
      <w:r w:rsidR="00461BD4" w:rsidRPr="00C835AB">
        <w:rPr>
          <w:rFonts w:ascii="Times New Roman" w:eastAsia="Cambria Math" w:hAnsi="Times New Roman" w:cs="Times New Roman"/>
          <w:color w:val="auto"/>
          <w:sz w:val="24"/>
          <w:lang w:eastAsia="pl-PL"/>
        </w:rPr>
        <w:t xml:space="preserve">zastosowanie </w:t>
      </w:r>
      <w:r w:rsidR="58F87068" w:rsidRPr="00C835AB">
        <w:rPr>
          <w:rFonts w:ascii="Times New Roman" w:eastAsia="Cambria Math" w:hAnsi="Times New Roman" w:cs="Times New Roman"/>
          <w:color w:val="auto"/>
          <w:sz w:val="24"/>
          <w:lang w:eastAsia="pl-PL"/>
        </w:rPr>
        <w:t xml:space="preserve">tymczasowego aresztowania ustawodawca uzasadnił je potrzebą ochrony świadków </w:t>
      </w:r>
      <w:r w:rsidR="58F87068" w:rsidRPr="00C835AB">
        <w:rPr>
          <w:rFonts w:ascii="Times New Roman" w:eastAsia="Cambria Math" w:hAnsi="Times New Roman" w:cs="Times New Roman"/>
          <w:color w:val="auto"/>
          <w:sz w:val="24"/>
          <w:lang w:eastAsia="pl-PL"/>
        </w:rPr>
        <w:lastRenderedPageBreak/>
        <w:t>zagrożonych. Cel ten w procesie karnym może być osiągnięty za pomocą instytucji świadka incognito, której zastosowanie powoduje, że obrona wciąż ma dostęp do treści zeznań, tyle że</w:t>
      </w:r>
      <w:r w:rsidR="001D3092">
        <w:rPr>
          <w:rFonts w:ascii="Times New Roman" w:eastAsia="Cambria Math" w:hAnsi="Times New Roman" w:cs="Times New Roman"/>
          <w:color w:val="auto"/>
          <w:sz w:val="24"/>
          <w:lang w:eastAsia="pl-PL"/>
        </w:rPr>
        <w:t> </w:t>
      </w:r>
      <w:r w:rsidR="58F87068" w:rsidRPr="00C835AB">
        <w:rPr>
          <w:rFonts w:ascii="Times New Roman" w:eastAsia="Cambria Math" w:hAnsi="Times New Roman" w:cs="Times New Roman"/>
          <w:color w:val="auto"/>
          <w:sz w:val="24"/>
          <w:lang w:eastAsia="pl-PL"/>
        </w:rPr>
        <w:t xml:space="preserve">zapewniony w sposób uniemożliwiający ujawnienie tożsamości świadka zagrożonego. Skoro zatem cel godny ochrony może być osiągnięty za pomocą istniejącego w </w:t>
      </w:r>
      <w:r w:rsidR="00304E00" w:rsidRPr="00C835AB">
        <w:rPr>
          <w:rFonts w:ascii="Times New Roman" w:eastAsia="Cambria Math" w:hAnsi="Times New Roman" w:cs="Times New Roman"/>
          <w:color w:val="auto"/>
          <w:sz w:val="24"/>
          <w:lang w:eastAsia="pl-PL"/>
        </w:rPr>
        <w:t xml:space="preserve">Kodeksie postępowania karnego </w:t>
      </w:r>
      <w:r w:rsidR="58F87068" w:rsidRPr="00C835AB">
        <w:rPr>
          <w:rFonts w:ascii="Times New Roman" w:eastAsia="Cambria Math" w:hAnsi="Times New Roman" w:cs="Times New Roman"/>
          <w:color w:val="auto"/>
          <w:sz w:val="24"/>
          <w:lang w:eastAsia="pl-PL"/>
        </w:rPr>
        <w:t>instrumentu, zbędne jest dalej idące ograniczanie prawa do obrony. Dl</w:t>
      </w:r>
      <w:r w:rsidR="7563F668" w:rsidRPr="00C835AB">
        <w:rPr>
          <w:rFonts w:ascii="Times New Roman" w:eastAsia="Cambria Math" w:hAnsi="Times New Roman" w:cs="Times New Roman"/>
          <w:color w:val="auto"/>
          <w:sz w:val="24"/>
          <w:lang w:eastAsia="pl-PL"/>
        </w:rPr>
        <w:t>at</w:t>
      </w:r>
      <w:r w:rsidR="58F87068" w:rsidRPr="00C835AB">
        <w:rPr>
          <w:rFonts w:ascii="Times New Roman" w:eastAsia="Cambria Math" w:hAnsi="Times New Roman" w:cs="Times New Roman"/>
          <w:color w:val="auto"/>
          <w:sz w:val="24"/>
          <w:lang w:eastAsia="pl-PL"/>
        </w:rPr>
        <w:t>ego</w:t>
      </w:r>
      <w:r w:rsidR="003C0335" w:rsidRPr="00C835AB">
        <w:rPr>
          <w:rFonts w:ascii="Times New Roman" w:eastAsia="Cambria Math" w:hAnsi="Times New Roman" w:cs="Times New Roman"/>
          <w:color w:val="auto"/>
          <w:sz w:val="24"/>
          <w:lang w:eastAsia="pl-PL"/>
        </w:rPr>
        <w:t xml:space="preserve"> też uzasadnione jest uchylenie</w:t>
      </w:r>
      <w:r w:rsidR="00C40CF2" w:rsidRPr="00C835AB">
        <w:rPr>
          <w:rFonts w:ascii="Times New Roman" w:eastAsia="Cambria Math" w:hAnsi="Times New Roman" w:cs="Times New Roman"/>
          <w:color w:val="auto"/>
          <w:sz w:val="24"/>
          <w:lang w:eastAsia="pl-PL"/>
        </w:rPr>
        <w:t xml:space="preserve"> </w:t>
      </w:r>
      <w:r w:rsidR="58F87068" w:rsidRPr="00C835AB">
        <w:rPr>
          <w:rFonts w:ascii="Times New Roman" w:eastAsia="Cambria Math" w:hAnsi="Times New Roman" w:cs="Times New Roman"/>
          <w:color w:val="auto"/>
          <w:sz w:val="24"/>
          <w:lang w:eastAsia="pl-PL"/>
        </w:rPr>
        <w:t>art. 250 § 2b k.p.k.</w:t>
      </w:r>
      <w:r w:rsidR="6E8EED15" w:rsidRPr="00C835AB">
        <w:rPr>
          <w:rFonts w:ascii="Times New Roman" w:eastAsia="Cambria Math" w:hAnsi="Times New Roman" w:cs="Times New Roman"/>
          <w:color w:val="auto"/>
          <w:sz w:val="24"/>
          <w:lang w:eastAsia="pl-PL"/>
        </w:rPr>
        <w:t xml:space="preserve">, skoro </w:t>
      </w:r>
      <w:r w:rsidR="6E8EED15" w:rsidRPr="00C835AB">
        <w:rPr>
          <w:rFonts w:ascii="Times New Roman" w:hAnsi="Times New Roman" w:cs="Times New Roman"/>
          <w:color w:val="auto"/>
          <w:sz w:val="24"/>
        </w:rPr>
        <w:t>stanowi on nieproporcjonalne ograniczenie prawa do obrony oraz reguły równości broni.</w:t>
      </w:r>
      <w:r w:rsidR="58F87068" w:rsidRPr="00C835AB">
        <w:rPr>
          <w:rFonts w:ascii="Times New Roman" w:eastAsia="Cambria Math" w:hAnsi="Times New Roman" w:cs="Times New Roman"/>
          <w:color w:val="auto"/>
          <w:sz w:val="24"/>
          <w:lang w:eastAsia="pl-PL"/>
        </w:rPr>
        <w:t xml:space="preserve"> Co za tym idzie, w tym zakresie </w:t>
      </w:r>
      <w:r w:rsidR="00461BD4" w:rsidRPr="00C835AB">
        <w:rPr>
          <w:rFonts w:ascii="Times New Roman" w:eastAsia="Cambria Math" w:hAnsi="Times New Roman" w:cs="Times New Roman"/>
          <w:color w:val="auto"/>
          <w:sz w:val="24"/>
          <w:lang w:eastAsia="pl-PL"/>
        </w:rPr>
        <w:t xml:space="preserve">proponuje się zmianę </w:t>
      </w:r>
      <w:r w:rsidR="58F87068" w:rsidRPr="00C835AB">
        <w:rPr>
          <w:rFonts w:ascii="Times New Roman" w:eastAsia="Cambria Math" w:hAnsi="Times New Roman" w:cs="Times New Roman"/>
          <w:color w:val="auto"/>
          <w:sz w:val="24"/>
          <w:lang w:eastAsia="pl-PL"/>
        </w:rPr>
        <w:t>także art. 156 § 5a k.p.k.</w:t>
      </w:r>
    </w:p>
    <w:p w14:paraId="79788656" w14:textId="7BF83749" w:rsidR="00647D88" w:rsidRPr="00C835AB" w:rsidRDefault="12B9485F"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Konsekwencją </w:t>
      </w:r>
      <w:r w:rsidR="137218AA" w:rsidRPr="00C835AB">
        <w:rPr>
          <w:rFonts w:ascii="Times New Roman" w:hAnsi="Times New Roman" w:cs="Times New Roman"/>
          <w:color w:val="auto"/>
          <w:sz w:val="24"/>
        </w:rPr>
        <w:t xml:space="preserve">respektowania </w:t>
      </w:r>
      <w:r w:rsidRPr="00C835AB">
        <w:rPr>
          <w:rFonts w:ascii="Times New Roman" w:hAnsi="Times New Roman" w:cs="Times New Roman"/>
          <w:color w:val="auto"/>
          <w:sz w:val="24"/>
        </w:rPr>
        <w:t xml:space="preserve">standardu strasburskiego i unijnego jest również proponowane </w:t>
      </w:r>
      <w:r w:rsidR="64A278F4" w:rsidRPr="00C835AB">
        <w:rPr>
          <w:rFonts w:ascii="Times New Roman" w:hAnsi="Times New Roman" w:cs="Times New Roman"/>
          <w:color w:val="auto"/>
          <w:sz w:val="24"/>
        </w:rPr>
        <w:t xml:space="preserve">brzmienie </w:t>
      </w:r>
      <w:r w:rsidR="726F82F5" w:rsidRPr="00C835AB">
        <w:rPr>
          <w:rFonts w:ascii="Times New Roman" w:hAnsi="Times New Roman" w:cs="Times New Roman"/>
          <w:color w:val="auto"/>
          <w:sz w:val="24"/>
        </w:rPr>
        <w:t>art</w:t>
      </w:r>
      <w:r w:rsidR="014CD4D1" w:rsidRPr="00C835AB">
        <w:rPr>
          <w:rFonts w:ascii="Times New Roman" w:hAnsi="Times New Roman" w:cs="Times New Roman"/>
          <w:color w:val="auto"/>
          <w:sz w:val="24"/>
        </w:rPr>
        <w:t>.</w:t>
      </w:r>
      <w:r w:rsidR="64A278F4" w:rsidRPr="00C835AB">
        <w:rPr>
          <w:rFonts w:ascii="Times New Roman" w:hAnsi="Times New Roman" w:cs="Times New Roman"/>
          <w:color w:val="auto"/>
          <w:sz w:val="24"/>
        </w:rPr>
        <w:t xml:space="preserve"> </w:t>
      </w:r>
      <w:r w:rsidR="726F82F5" w:rsidRPr="00C835AB">
        <w:rPr>
          <w:rFonts w:ascii="Times New Roman" w:hAnsi="Times New Roman" w:cs="Times New Roman"/>
          <w:color w:val="auto"/>
          <w:sz w:val="24"/>
        </w:rPr>
        <w:t xml:space="preserve">249a § </w:t>
      </w:r>
      <w:r w:rsidR="64A278F4" w:rsidRPr="00C835AB">
        <w:rPr>
          <w:rFonts w:ascii="Times New Roman" w:hAnsi="Times New Roman" w:cs="Times New Roman"/>
          <w:color w:val="auto"/>
          <w:sz w:val="24"/>
        </w:rPr>
        <w:t>1</w:t>
      </w:r>
      <w:r w:rsidR="00304E00" w:rsidRPr="00C835AB">
        <w:rPr>
          <w:rFonts w:ascii="Times New Roman" w:hAnsi="Times New Roman" w:cs="Times New Roman"/>
          <w:color w:val="auto"/>
          <w:sz w:val="24"/>
        </w:rPr>
        <w:t xml:space="preserve"> k.p.k.</w:t>
      </w:r>
      <w:r w:rsidR="5C48F5F0" w:rsidRPr="00C835AB">
        <w:rPr>
          <w:rFonts w:ascii="Times New Roman" w:hAnsi="Times New Roman" w:cs="Times New Roman"/>
          <w:color w:val="auto"/>
          <w:sz w:val="24"/>
        </w:rPr>
        <w:t xml:space="preserve">, które oznacza </w:t>
      </w:r>
      <w:r w:rsidR="64A278F4" w:rsidRPr="00C835AB">
        <w:rPr>
          <w:rFonts w:ascii="Times New Roman" w:hAnsi="Times New Roman" w:cs="Times New Roman"/>
          <w:color w:val="auto"/>
          <w:sz w:val="24"/>
        </w:rPr>
        <w:t xml:space="preserve">powrót do jego treści obowiązującej od </w:t>
      </w:r>
      <w:r w:rsidR="00DF3729" w:rsidRPr="00C835AB">
        <w:rPr>
          <w:rFonts w:ascii="Times New Roman" w:hAnsi="Times New Roman" w:cs="Times New Roman"/>
          <w:color w:val="auto"/>
          <w:sz w:val="24"/>
        </w:rPr>
        <w:t xml:space="preserve">dnia </w:t>
      </w:r>
      <w:r w:rsidR="64A278F4" w:rsidRPr="00C835AB">
        <w:rPr>
          <w:rFonts w:ascii="Times New Roman" w:hAnsi="Times New Roman" w:cs="Times New Roman"/>
          <w:color w:val="auto"/>
          <w:sz w:val="24"/>
        </w:rPr>
        <w:t>1 lipca 2015 r.</w:t>
      </w:r>
      <w:r w:rsidR="6BB3518B" w:rsidRPr="00C835AB">
        <w:rPr>
          <w:rFonts w:ascii="Times New Roman" w:hAnsi="Times New Roman" w:cs="Times New Roman"/>
          <w:color w:val="auto"/>
          <w:sz w:val="24"/>
        </w:rPr>
        <w:t xml:space="preserve"> U</w:t>
      </w:r>
      <w:r w:rsidR="64A278F4" w:rsidRPr="00C835AB">
        <w:rPr>
          <w:rFonts w:ascii="Times New Roman" w:hAnsi="Times New Roman" w:cs="Times New Roman"/>
          <w:color w:val="auto"/>
          <w:sz w:val="24"/>
        </w:rPr>
        <w:t xml:space="preserve">stawą z </w:t>
      </w:r>
      <w:r w:rsidR="1CB33135" w:rsidRPr="00C835AB">
        <w:rPr>
          <w:rFonts w:ascii="Times New Roman" w:hAnsi="Times New Roman" w:cs="Times New Roman"/>
          <w:color w:val="auto"/>
          <w:sz w:val="24"/>
        </w:rPr>
        <w:t xml:space="preserve">dnia </w:t>
      </w:r>
      <w:r w:rsidR="64A278F4" w:rsidRPr="00C835AB">
        <w:rPr>
          <w:rFonts w:ascii="Times New Roman" w:hAnsi="Times New Roman" w:cs="Times New Roman"/>
          <w:color w:val="auto"/>
          <w:sz w:val="24"/>
        </w:rPr>
        <w:t>11 marca 2016 r</w:t>
      </w:r>
      <w:r w:rsidR="5BFE565E" w:rsidRPr="00C835AB">
        <w:rPr>
          <w:rFonts w:ascii="Times New Roman" w:hAnsi="Times New Roman" w:cs="Times New Roman"/>
          <w:color w:val="auto"/>
          <w:sz w:val="24"/>
        </w:rPr>
        <w:t>.</w:t>
      </w:r>
      <w:r w:rsidR="64A278F4" w:rsidRPr="00C835AB">
        <w:rPr>
          <w:rFonts w:ascii="Times New Roman" w:hAnsi="Times New Roman" w:cs="Times New Roman"/>
          <w:color w:val="auto"/>
          <w:sz w:val="24"/>
        </w:rPr>
        <w:t xml:space="preserve"> wraz z wprowadzeniem art. 250 § 2b </w:t>
      </w:r>
      <w:r w:rsidR="00304E00" w:rsidRPr="00C835AB">
        <w:rPr>
          <w:rFonts w:ascii="Times New Roman" w:hAnsi="Times New Roman" w:cs="Times New Roman"/>
          <w:color w:val="auto"/>
          <w:sz w:val="24"/>
        </w:rPr>
        <w:t xml:space="preserve">k.p.k. </w:t>
      </w:r>
      <w:r w:rsidR="64A278F4" w:rsidRPr="00C835AB">
        <w:rPr>
          <w:rFonts w:ascii="Times New Roman" w:hAnsi="Times New Roman" w:cs="Times New Roman"/>
          <w:color w:val="auto"/>
          <w:sz w:val="24"/>
        </w:rPr>
        <w:t>przewid</w:t>
      </w:r>
      <w:r w:rsidR="4658226F" w:rsidRPr="00C835AB">
        <w:rPr>
          <w:rFonts w:ascii="Times New Roman" w:hAnsi="Times New Roman" w:cs="Times New Roman"/>
          <w:color w:val="auto"/>
          <w:sz w:val="24"/>
        </w:rPr>
        <w:t>ziano</w:t>
      </w:r>
      <w:r w:rsidR="64A278F4" w:rsidRPr="00C835AB">
        <w:rPr>
          <w:rFonts w:ascii="Times New Roman" w:hAnsi="Times New Roman" w:cs="Times New Roman"/>
          <w:color w:val="auto"/>
          <w:sz w:val="24"/>
        </w:rPr>
        <w:t xml:space="preserve"> możliwość wyodrębnienia przez prokuratora szczególnego zbi</w:t>
      </w:r>
      <w:r w:rsidR="517E3E50" w:rsidRPr="00C835AB">
        <w:rPr>
          <w:rFonts w:ascii="Times New Roman" w:hAnsi="Times New Roman" w:cs="Times New Roman"/>
          <w:color w:val="auto"/>
          <w:sz w:val="24"/>
        </w:rPr>
        <w:t>o</w:t>
      </w:r>
      <w:r w:rsidR="64A278F4" w:rsidRPr="00C835AB">
        <w:rPr>
          <w:rFonts w:ascii="Times New Roman" w:hAnsi="Times New Roman" w:cs="Times New Roman"/>
          <w:color w:val="auto"/>
          <w:sz w:val="24"/>
        </w:rPr>
        <w:t>r</w:t>
      </w:r>
      <w:r w:rsidR="05BC4422" w:rsidRPr="00C835AB">
        <w:rPr>
          <w:rFonts w:ascii="Times New Roman" w:hAnsi="Times New Roman" w:cs="Times New Roman"/>
          <w:color w:val="auto"/>
          <w:sz w:val="24"/>
        </w:rPr>
        <w:t>u</w:t>
      </w:r>
      <w:r w:rsidR="64A278F4" w:rsidRPr="00C835AB">
        <w:rPr>
          <w:rFonts w:ascii="Times New Roman" w:hAnsi="Times New Roman" w:cs="Times New Roman"/>
          <w:color w:val="auto"/>
          <w:sz w:val="24"/>
        </w:rPr>
        <w:t xml:space="preserve"> dowodów, który pomimo</w:t>
      </w:r>
      <w:r w:rsidR="00C40CF2" w:rsidRPr="00C835AB">
        <w:rPr>
          <w:rFonts w:ascii="Times New Roman" w:hAnsi="Times New Roman" w:cs="Times New Roman"/>
          <w:color w:val="auto"/>
          <w:sz w:val="24"/>
        </w:rPr>
        <w:t>,</w:t>
      </w:r>
      <w:r w:rsidR="64A278F4" w:rsidRPr="00C835AB">
        <w:rPr>
          <w:rFonts w:ascii="Times New Roman" w:hAnsi="Times New Roman" w:cs="Times New Roman"/>
          <w:color w:val="auto"/>
          <w:sz w:val="24"/>
        </w:rPr>
        <w:t xml:space="preserve"> że stanowić m</w:t>
      </w:r>
      <w:r w:rsidR="15C10E53" w:rsidRPr="00C835AB">
        <w:rPr>
          <w:rFonts w:ascii="Times New Roman" w:hAnsi="Times New Roman" w:cs="Times New Roman"/>
          <w:color w:val="auto"/>
          <w:sz w:val="24"/>
        </w:rPr>
        <w:t>oże</w:t>
      </w:r>
      <w:r w:rsidR="64A278F4" w:rsidRPr="00C835AB">
        <w:rPr>
          <w:rFonts w:ascii="Times New Roman" w:hAnsi="Times New Roman" w:cs="Times New Roman"/>
          <w:color w:val="auto"/>
          <w:sz w:val="24"/>
        </w:rPr>
        <w:t xml:space="preserve"> podstawę orzekania o zastosowaniu lub</w:t>
      </w:r>
      <w:r w:rsidR="001D3092">
        <w:rPr>
          <w:rFonts w:ascii="Times New Roman" w:hAnsi="Times New Roman" w:cs="Times New Roman"/>
          <w:color w:val="auto"/>
          <w:sz w:val="24"/>
        </w:rPr>
        <w:t> </w:t>
      </w:r>
      <w:r w:rsidR="64A278F4" w:rsidRPr="00C835AB">
        <w:rPr>
          <w:rFonts w:ascii="Times New Roman" w:hAnsi="Times New Roman" w:cs="Times New Roman"/>
          <w:color w:val="auto"/>
          <w:sz w:val="24"/>
        </w:rPr>
        <w:t xml:space="preserve">przedłużeniu stosowania tymczasowego aresztowania, nie jest udostępniany oskarżonemu oraz jego obrońcy. Powodem nieudostępniania tych </w:t>
      </w:r>
      <w:r w:rsidR="00461BD4" w:rsidRPr="00C835AB">
        <w:rPr>
          <w:rFonts w:ascii="Times New Roman" w:hAnsi="Times New Roman" w:cs="Times New Roman"/>
          <w:color w:val="auto"/>
          <w:sz w:val="24"/>
        </w:rPr>
        <w:t xml:space="preserve">dowodów </w:t>
      </w:r>
      <w:r w:rsidR="64A278F4" w:rsidRPr="00C835AB">
        <w:rPr>
          <w:rFonts w:ascii="Times New Roman" w:hAnsi="Times New Roman" w:cs="Times New Roman"/>
          <w:color w:val="auto"/>
          <w:sz w:val="24"/>
        </w:rPr>
        <w:t>w postaci zeznań świadka była uzasadniona obawa niebezpieczeństwa dla życia i zdrowia albo wolności świadka lub osoby dla niego najbliższej. T</w:t>
      </w:r>
      <w:r w:rsidR="5C61DDE0" w:rsidRPr="00C835AB">
        <w:rPr>
          <w:rFonts w:ascii="Times New Roman" w:hAnsi="Times New Roman" w:cs="Times New Roman"/>
          <w:color w:val="auto"/>
          <w:sz w:val="24"/>
        </w:rPr>
        <w:t>ymczasem</w:t>
      </w:r>
      <w:r w:rsidR="00C40CF2" w:rsidRPr="00C835AB">
        <w:rPr>
          <w:rFonts w:ascii="Times New Roman" w:hAnsi="Times New Roman" w:cs="Times New Roman"/>
          <w:color w:val="auto"/>
          <w:sz w:val="24"/>
        </w:rPr>
        <w:t>,</w:t>
      </w:r>
      <w:r w:rsidR="64A278F4" w:rsidRPr="00C835AB">
        <w:rPr>
          <w:rFonts w:ascii="Times New Roman" w:hAnsi="Times New Roman" w:cs="Times New Roman"/>
          <w:color w:val="auto"/>
          <w:sz w:val="24"/>
        </w:rPr>
        <w:t xml:space="preserve"> </w:t>
      </w:r>
      <w:r w:rsidR="5C61DDE0" w:rsidRPr="00C835AB">
        <w:rPr>
          <w:rFonts w:ascii="Times New Roman" w:hAnsi="Times New Roman" w:cs="Times New Roman"/>
          <w:color w:val="auto"/>
          <w:sz w:val="24"/>
        </w:rPr>
        <w:t>jak wskazywano</w:t>
      </w:r>
      <w:r w:rsidR="00C40CF2" w:rsidRPr="00C835AB">
        <w:rPr>
          <w:rFonts w:ascii="Times New Roman" w:hAnsi="Times New Roman" w:cs="Times New Roman"/>
          <w:color w:val="auto"/>
          <w:sz w:val="24"/>
        </w:rPr>
        <w:t>,</w:t>
      </w:r>
      <w:r w:rsidR="5C61DDE0" w:rsidRPr="00C835AB">
        <w:rPr>
          <w:rFonts w:ascii="Times New Roman" w:hAnsi="Times New Roman" w:cs="Times New Roman"/>
          <w:color w:val="auto"/>
          <w:sz w:val="24"/>
        </w:rPr>
        <w:t xml:space="preserve"> </w:t>
      </w:r>
      <w:r w:rsidR="64A278F4" w:rsidRPr="00C835AB">
        <w:rPr>
          <w:rFonts w:ascii="Times New Roman" w:hAnsi="Times New Roman" w:cs="Times New Roman"/>
          <w:color w:val="auto"/>
          <w:sz w:val="24"/>
        </w:rPr>
        <w:t>sąd badający podstawy stosowania lub</w:t>
      </w:r>
      <w:r w:rsidR="001D3092">
        <w:rPr>
          <w:rFonts w:ascii="Times New Roman" w:hAnsi="Times New Roman" w:cs="Times New Roman"/>
          <w:color w:val="auto"/>
          <w:sz w:val="24"/>
        </w:rPr>
        <w:t> </w:t>
      </w:r>
      <w:r w:rsidR="64A278F4" w:rsidRPr="00C835AB">
        <w:rPr>
          <w:rFonts w:ascii="Times New Roman" w:hAnsi="Times New Roman" w:cs="Times New Roman"/>
          <w:color w:val="auto"/>
          <w:sz w:val="24"/>
        </w:rPr>
        <w:t>przedłużenia stosowania tymczasowego aresztowania nie może czynić istotnych ustaleń w</w:t>
      </w:r>
      <w:r w:rsidR="001D3092">
        <w:rPr>
          <w:rFonts w:ascii="Times New Roman" w:hAnsi="Times New Roman" w:cs="Times New Roman"/>
          <w:color w:val="auto"/>
          <w:sz w:val="24"/>
        </w:rPr>
        <w:t> </w:t>
      </w:r>
      <w:r w:rsidR="64A278F4" w:rsidRPr="00C835AB">
        <w:rPr>
          <w:rFonts w:ascii="Times New Roman" w:hAnsi="Times New Roman" w:cs="Times New Roman"/>
          <w:color w:val="auto"/>
          <w:sz w:val="24"/>
        </w:rPr>
        <w:t xml:space="preserve">tym zakresie na podstawie </w:t>
      </w:r>
      <w:r w:rsidR="284611B2" w:rsidRPr="00C835AB">
        <w:rPr>
          <w:rFonts w:ascii="Times New Roman" w:hAnsi="Times New Roman" w:cs="Times New Roman"/>
          <w:color w:val="auto"/>
          <w:sz w:val="24"/>
        </w:rPr>
        <w:t xml:space="preserve">dowodów niedostępnych dla </w:t>
      </w:r>
      <w:r w:rsidR="64A278F4" w:rsidRPr="00C835AB">
        <w:rPr>
          <w:rFonts w:ascii="Times New Roman" w:hAnsi="Times New Roman" w:cs="Times New Roman"/>
          <w:color w:val="auto"/>
          <w:sz w:val="24"/>
        </w:rPr>
        <w:t>podejrzane</w:t>
      </w:r>
      <w:r w:rsidR="4BC55D07" w:rsidRPr="00C835AB">
        <w:rPr>
          <w:rFonts w:ascii="Times New Roman" w:hAnsi="Times New Roman" w:cs="Times New Roman"/>
          <w:color w:val="auto"/>
          <w:sz w:val="24"/>
        </w:rPr>
        <w:t>go</w:t>
      </w:r>
      <w:r w:rsidR="64A278F4" w:rsidRPr="00C835AB">
        <w:rPr>
          <w:rFonts w:ascii="Times New Roman" w:hAnsi="Times New Roman" w:cs="Times New Roman"/>
          <w:color w:val="auto"/>
          <w:sz w:val="24"/>
        </w:rPr>
        <w:t xml:space="preserve"> i jego obrońcy.</w:t>
      </w:r>
    </w:p>
    <w:p w14:paraId="3D6EB06C" w14:textId="0A922AAF" w:rsidR="00647D88" w:rsidRPr="00C835AB" w:rsidRDefault="4D625152"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Proponowana treść art. 156 § 5a </w:t>
      </w:r>
      <w:r w:rsidR="00304E00" w:rsidRPr="00C835AB">
        <w:rPr>
          <w:rFonts w:ascii="Times New Roman" w:hAnsi="Times New Roman" w:cs="Times New Roman"/>
          <w:color w:val="auto"/>
          <w:sz w:val="24"/>
        </w:rPr>
        <w:t xml:space="preserve">k.p.k. </w:t>
      </w:r>
      <w:r w:rsidR="34BA633D" w:rsidRPr="00C835AB">
        <w:rPr>
          <w:rFonts w:ascii="Times New Roman" w:hAnsi="Times New Roman" w:cs="Times New Roman"/>
          <w:color w:val="auto"/>
          <w:sz w:val="24"/>
        </w:rPr>
        <w:t xml:space="preserve">ma </w:t>
      </w:r>
      <w:r w:rsidR="335BF36E" w:rsidRPr="00C835AB">
        <w:rPr>
          <w:rFonts w:ascii="Times New Roman" w:hAnsi="Times New Roman" w:cs="Times New Roman"/>
          <w:color w:val="auto"/>
          <w:sz w:val="24"/>
        </w:rPr>
        <w:t xml:space="preserve">również </w:t>
      </w:r>
      <w:r w:rsidR="34BA633D" w:rsidRPr="00C835AB">
        <w:rPr>
          <w:rFonts w:ascii="Times New Roman" w:hAnsi="Times New Roman" w:cs="Times New Roman"/>
          <w:color w:val="auto"/>
          <w:sz w:val="24"/>
        </w:rPr>
        <w:t xml:space="preserve">za zadanie zniwelować dotychczasowe </w:t>
      </w:r>
      <w:r w:rsidR="3394BCE1" w:rsidRPr="00C835AB">
        <w:rPr>
          <w:rFonts w:ascii="Times New Roman" w:hAnsi="Times New Roman" w:cs="Times New Roman"/>
          <w:color w:val="auto"/>
          <w:sz w:val="24"/>
        </w:rPr>
        <w:t xml:space="preserve">niedoskonałości </w:t>
      </w:r>
      <w:r w:rsidR="34BA633D" w:rsidRPr="00C835AB">
        <w:rPr>
          <w:rFonts w:ascii="Times New Roman" w:hAnsi="Times New Roman" w:cs="Times New Roman"/>
          <w:color w:val="auto"/>
          <w:sz w:val="24"/>
        </w:rPr>
        <w:t>normy w nim zawartej. Po pierwsze, przepisy regulujące zasady dostępu do akt postępowania w</w:t>
      </w:r>
      <w:r w:rsidR="4DE66708" w:rsidRPr="00C835AB">
        <w:rPr>
          <w:rFonts w:ascii="Times New Roman" w:hAnsi="Times New Roman" w:cs="Times New Roman"/>
          <w:color w:val="auto"/>
          <w:sz w:val="24"/>
        </w:rPr>
        <w:t xml:space="preserve"> związku ze stosowaniem </w:t>
      </w:r>
      <w:r w:rsidR="34BA633D" w:rsidRPr="00C835AB">
        <w:rPr>
          <w:rFonts w:ascii="Times New Roman" w:hAnsi="Times New Roman" w:cs="Times New Roman"/>
          <w:color w:val="auto"/>
          <w:sz w:val="24"/>
        </w:rPr>
        <w:t xml:space="preserve">tymczasowego aresztowania nie przewidywały obowiązku zawiadomienia podejrzanego o </w:t>
      </w:r>
      <w:r w:rsidR="0582D520" w:rsidRPr="00C835AB">
        <w:rPr>
          <w:rFonts w:ascii="Times New Roman" w:hAnsi="Times New Roman" w:cs="Times New Roman"/>
          <w:color w:val="auto"/>
          <w:sz w:val="24"/>
        </w:rPr>
        <w:t xml:space="preserve">możliwości realizacji tego uprawnienia, co wpływało negatywnie na efektywność korzystania z niego, </w:t>
      </w:r>
      <w:r w:rsidR="5ACF5E6B" w:rsidRPr="00C835AB">
        <w:rPr>
          <w:rFonts w:ascii="Times New Roman" w:hAnsi="Times New Roman" w:cs="Times New Roman"/>
          <w:color w:val="auto"/>
          <w:sz w:val="24"/>
        </w:rPr>
        <w:t>zwłaszcza jeśli idzie o moment uzyskania tego dostępu.</w:t>
      </w:r>
      <w:r w:rsidR="34BA633D" w:rsidRPr="00C835AB">
        <w:rPr>
          <w:rFonts w:ascii="Times New Roman" w:hAnsi="Times New Roman" w:cs="Times New Roman"/>
          <w:color w:val="auto"/>
          <w:sz w:val="24"/>
        </w:rPr>
        <w:t xml:space="preserve"> </w:t>
      </w:r>
      <w:r w:rsidR="7AA304D1" w:rsidRPr="00C835AB">
        <w:rPr>
          <w:rFonts w:ascii="Times New Roman" w:hAnsi="Times New Roman" w:cs="Times New Roman"/>
          <w:color w:val="auto"/>
          <w:sz w:val="24"/>
        </w:rPr>
        <w:t xml:space="preserve">Za </w:t>
      </w:r>
      <w:r w:rsidR="34BA633D" w:rsidRPr="00C835AB">
        <w:rPr>
          <w:rFonts w:ascii="Times New Roman" w:hAnsi="Times New Roman" w:cs="Times New Roman"/>
          <w:color w:val="auto"/>
          <w:sz w:val="24"/>
        </w:rPr>
        <w:t xml:space="preserve">konieczne </w:t>
      </w:r>
      <w:r w:rsidR="1F713DDB" w:rsidRPr="00C835AB">
        <w:rPr>
          <w:rFonts w:ascii="Times New Roman" w:hAnsi="Times New Roman" w:cs="Times New Roman"/>
          <w:color w:val="auto"/>
          <w:sz w:val="24"/>
        </w:rPr>
        <w:t xml:space="preserve">uznano </w:t>
      </w:r>
      <w:r w:rsidR="34BA633D" w:rsidRPr="00C835AB">
        <w:rPr>
          <w:rFonts w:ascii="Times New Roman" w:hAnsi="Times New Roman" w:cs="Times New Roman"/>
          <w:color w:val="auto"/>
          <w:sz w:val="24"/>
        </w:rPr>
        <w:t xml:space="preserve">uzupełnienie </w:t>
      </w:r>
      <w:r w:rsidR="0306B0C3" w:rsidRPr="00C835AB">
        <w:rPr>
          <w:rFonts w:ascii="Times New Roman" w:hAnsi="Times New Roman" w:cs="Times New Roman"/>
          <w:color w:val="auto"/>
          <w:sz w:val="24"/>
        </w:rPr>
        <w:t>tego przepisu o</w:t>
      </w:r>
      <w:r w:rsidR="00D92A0D" w:rsidRPr="00C835AB">
        <w:rPr>
          <w:rFonts w:ascii="Times New Roman" w:hAnsi="Times New Roman" w:cs="Times New Roman"/>
          <w:color w:val="auto"/>
          <w:sz w:val="24"/>
        </w:rPr>
        <w:t> </w:t>
      </w:r>
      <w:r w:rsidR="0306B0C3" w:rsidRPr="00C835AB">
        <w:rPr>
          <w:rFonts w:ascii="Times New Roman" w:hAnsi="Times New Roman" w:cs="Times New Roman"/>
          <w:color w:val="auto"/>
          <w:sz w:val="24"/>
        </w:rPr>
        <w:t xml:space="preserve">nałożenie na prokuratora obowiązku </w:t>
      </w:r>
      <w:r w:rsidR="34BA633D" w:rsidRPr="00C835AB">
        <w:rPr>
          <w:rFonts w:ascii="Times New Roman" w:hAnsi="Times New Roman" w:cs="Times New Roman"/>
          <w:color w:val="auto"/>
          <w:sz w:val="24"/>
        </w:rPr>
        <w:t>poinformowania podejrzanego oraz jego obrońcy o</w:t>
      </w:r>
      <w:r w:rsidR="00D92A0D" w:rsidRPr="00C835AB">
        <w:rPr>
          <w:rFonts w:ascii="Times New Roman" w:hAnsi="Times New Roman" w:cs="Times New Roman"/>
          <w:color w:val="auto"/>
          <w:sz w:val="24"/>
        </w:rPr>
        <w:t> </w:t>
      </w:r>
      <w:r w:rsidR="34BA633D" w:rsidRPr="00C835AB">
        <w:rPr>
          <w:rFonts w:ascii="Times New Roman" w:hAnsi="Times New Roman" w:cs="Times New Roman"/>
          <w:color w:val="auto"/>
          <w:sz w:val="24"/>
        </w:rPr>
        <w:t>kierowanym do sądu wniosku o zastosowanie tymczasowego aresztowania wraz</w:t>
      </w:r>
      <w:r w:rsidR="001D3092">
        <w:rPr>
          <w:rFonts w:ascii="Times New Roman" w:hAnsi="Times New Roman" w:cs="Times New Roman"/>
          <w:color w:val="auto"/>
          <w:sz w:val="24"/>
        </w:rPr>
        <w:t> </w:t>
      </w:r>
      <w:r w:rsidR="34BA633D" w:rsidRPr="00C835AB">
        <w:rPr>
          <w:rFonts w:ascii="Times New Roman" w:hAnsi="Times New Roman" w:cs="Times New Roman"/>
          <w:color w:val="auto"/>
          <w:sz w:val="24"/>
        </w:rPr>
        <w:t>z</w:t>
      </w:r>
      <w:r w:rsidR="00D92A0D" w:rsidRPr="00C835AB">
        <w:rPr>
          <w:rFonts w:ascii="Times New Roman" w:hAnsi="Times New Roman" w:cs="Times New Roman"/>
          <w:color w:val="auto"/>
          <w:sz w:val="24"/>
        </w:rPr>
        <w:t> </w:t>
      </w:r>
      <w:r w:rsidR="34BA633D" w:rsidRPr="00C835AB">
        <w:rPr>
          <w:rFonts w:ascii="Times New Roman" w:hAnsi="Times New Roman" w:cs="Times New Roman"/>
          <w:color w:val="auto"/>
          <w:sz w:val="24"/>
        </w:rPr>
        <w:t>pouczeniem o przysługującym prawie do zapoznania się z materiałami postępowania. Po</w:t>
      </w:r>
      <w:r w:rsidR="00D92A0D" w:rsidRPr="00C835AB">
        <w:rPr>
          <w:rFonts w:ascii="Times New Roman" w:hAnsi="Times New Roman" w:cs="Times New Roman"/>
          <w:color w:val="auto"/>
          <w:sz w:val="24"/>
        </w:rPr>
        <w:t> </w:t>
      </w:r>
      <w:r w:rsidR="34BA633D" w:rsidRPr="00C835AB">
        <w:rPr>
          <w:rFonts w:ascii="Times New Roman" w:hAnsi="Times New Roman" w:cs="Times New Roman"/>
          <w:color w:val="auto"/>
          <w:sz w:val="24"/>
        </w:rPr>
        <w:t>drugie, sprecyzowano, że na wniosek podejrzanego i jego obrońcy prokurator udostępnia akta postępowania w zakresie</w:t>
      </w:r>
      <w:r w:rsidR="00DC0E5A" w:rsidRPr="00C835AB">
        <w:rPr>
          <w:rFonts w:ascii="Times New Roman" w:hAnsi="Times New Roman" w:cs="Times New Roman"/>
          <w:color w:val="auto"/>
          <w:sz w:val="24"/>
        </w:rPr>
        <w:t>,</w:t>
      </w:r>
      <w:r w:rsidR="34BA633D" w:rsidRPr="00C835AB">
        <w:rPr>
          <w:rFonts w:ascii="Times New Roman" w:hAnsi="Times New Roman" w:cs="Times New Roman"/>
          <w:color w:val="auto"/>
          <w:sz w:val="24"/>
        </w:rPr>
        <w:t xml:space="preserve"> w jakim stały się one kanwą wniosku o zastosowanie </w:t>
      </w:r>
      <w:r w:rsidR="53810313" w:rsidRPr="00C835AB">
        <w:rPr>
          <w:rFonts w:ascii="Times New Roman" w:hAnsi="Times New Roman" w:cs="Times New Roman"/>
          <w:color w:val="auto"/>
          <w:sz w:val="24"/>
        </w:rPr>
        <w:t>tymczasowego aresztowania</w:t>
      </w:r>
      <w:r w:rsidR="34BA633D" w:rsidRPr="00C835AB">
        <w:rPr>
          <w:rFonts w:ascii="Times New Roman" w:hAnsi="Times New Roman" w:cs="Times New Roman"/>
          <w:color w:val="auto"/>
          <w:sz w:val="24"/>
        </w:rPr>
        <w:t>, czyniąc to niezwłocznie. Po trzecie,</w:t>
      </w:r>
      <w:r w:rsidR="4B44C165" w:rsidRPr="00C835AB">
        <w:rPr>
          <w:rFonts w:ascii="Times New Roman" w:hAnsi="Times New Roman" w:cs="Times New Roman"/>
          <w:color w:val="auto"/>
          <w:sz w:val="24"/>
        </w:rPr>
        <w:t xml:space="preserve"> z</w:t>
      </w:r>
      <w:r w:rsidR="34BA633D" w:rsidRPr="00C835AB">
        <w:rPr>
          <w:rFonts w:ascii="Times New Roman" w:hAnsi="Times New Roman" w:cs="Times New Roman"/>
          <w:color w:val="auto"/>
          <w:sz w:val="24"/>
        </w:rPr>
        <w:t>mienion</w:t>
      </w:r>
      <w:r w:rsidR="698EE35E" w:rsidRPr="00C835AB">
        <w:rPr>
          <w:rFonts w:ascii="Times New Roman" w:hAnsi="Times New Roman" w:cs="Times New Roman"/>
          <w:color w:val="auto"/>
          <w:sz w:val="24"/>
        </w:rPr>
        <w:t>y</w:t>
      </w:r>
      <w:r w:rsidR="34BA633D" w:rsidRPr="00C835AB">
        <w:rPr>
          <w:rFonts w:ascii="Times New Roman" w:hAnsi="Times New Roman" w:cs="Times New Roman"/>
          <w:color w:val="auto"/>
          <w:sz w:val="24"/>
        </w:rPr>
        <w:t xml:space="preserve"> przepis przesądza o zakresie obowiązków prokuratora</w:t>
      </w:r>
      <w:r w:rsidR="26416044" w:rsidRPr="00C835AB">
        <w:rPr>
          <w:rFonts w:ascii="Times New Roman" w:hAnsi="Times New Roman" w:cs="Times New Roman"/>
          <w:color w:val="auto"/>
          <w:sz w:val="24"/>
        </w:rPr>
        <w:t>,</w:t>
      </w:r>
      <w:r w:rsidR="34BA633D" w:rsidRPr="00C835AB">
        <w:rPr>
          <w:rFonts w:ascii="Times New Roman" w:hAnsi="Times New Roman" w:cs="Times New Roman"/>
          <w:color w:val="auto"/>
          <w:sz w:val="24"/>
        </w:rPr>
        <w:t xml:space="preserve"> przy czym </w:t>
      </w:r>
      <w:r w:rsidR="77ECD445" w:rsidRPr="00C835AB">
        <w:rPr>
          <w:rFonts w:ascii="Times New Roman" w:hAnsi="Times New Roman" w:cs="Times New Roman"/>
          <w:color w:val="auto"/>
          <w:sz w:val="24"/>
        </w:rPr>
        <w:t>u</w:t>
      </w:r>
      <w:r w:rsidR="34BA633D" w:rsidRPr="00C835AB">
        <w:rPr>
          <w:rFonts w:ascii="Times New Roman" w:hAnsi="Times New Roman" w:cs="Times New Roman"/>
          <w:color w:val="auto"/>
          <w:sz w:val="24"/>
        </w:rPr>
        <w:t>dostępnieni</w:t>
      </w:r>
      <w:r w:rsidR="0360FF0F" w:rsidRPr="00C835AB">
        <w:rPr>
          <w:rFonts w:ascii="Times New Roman" w:hAnsi="Times New Roman" w:cs="Times New Roman"/>
          <w:color w:val="auto"/>
          <w:sz w:val="24"/>
        </w:rPr>
        <w:t>e akt następuje z</w:t>
      </w:r>
      <w:r w:rsidR="34BA633D" w:rsidRPr="00C835AB">
        <w:rPr>
          <w:rFonts w:ascii="Times New Roman" w:hAnsi="Times New Roman" w:cs="Times New Roman"/>
          <w:color w:val="auto"/>
          <w:sz w:val="24"/>
        </w:rPr>
        <w:t xml:space="preserve"> inicjatywy podejrzanego lub jego obrońcy. W przypadku braku wniosku o zapoznanie się z aktami, nie</w:t>
      </w:r>
      <w:r w:rsidR="001D3092">
        <w:rPr>
          <w:rFonts w:ascii="Times New Roman" w:hAnsi="Times New Roman" w:cs="Times New Roman"/>
          <w:color w:val="auto"/>
          <w:sz w:val="24"/>
        </w:rPr>
        <w:t> </w:t>
      </w:r>
      <w:r w:rsidR="34BA633D" w:rsidRPr="00C835AB">
        <w:rPr>
          <w:rFonts w:ascii="Times New Roman" w:hAnsi="Times New Roman" w:cs="Times New Roman"/>
          <w:color w:val="auto"/>
          <w:sz w:val="24"/>
        </w:rPr>
        <w:t xml:space="preserve">tamuje </w:t>
      </w:r>
      <w:r w:rsidR="00BD587D">
        <w:rPr>
          <w:rFonts w:ascii="Times New Roman" w:hAnsi="Times New Roman" w:cs="Times New Roman"/>
          <w:color w:val="auto"/>
          <w:sz w:val="24"/>
        </w:rPr>
        <w:t xml:space="preserve">to </w:t>
      </w:r>
      <w:r w:rsidR="34BA633D" w:rsidRPr="00C835AB">
        <w:rPr>
          <w:rFonts w:ascii="Times New Roman" w:hAnsi="Times New Roman" w:cs="Times New Roman"/>
          <w:color w:val="auto"/>
          <w:sz w:val="24"/>
        </w:rPr>
        <w:t xml:space="preserve">biegu postępowania i dalszych, dynamicznych czynności procesowych </w:t>
      </w:r>
      <w:r w:rsidR="34BA633D" w:rsidRPr="00C835AB">
        <w:rPr>
          <w:rFonts w:ascii="Times New Roman" w:hAnsi="Times New Roman" w:cs="Times New Roman"/>
          <w:color w:val="auto"/>
          <w:sz w:val="24"/>
        </w:rPr>
        <w:lastRenderedPageBreak/>
        <w:t>prokuratora na tym etapie.</w:t>
      </w:r>
      <w:r w:rsidR="00662587" w:rsidRPr="00C835AB">
        <w:rPr>
          <w:rFonts w:ascii="Times New Roman" w:hAnsi="Times New Roman" w:cs="Times New Roman"/>
          <w:color w:val="auto"/>
          <w:sz w:val="24"/>
        </w:rPr>
        <w:t xml:space="preserve"> </w:t>
      </w:r>
      <w:r w:rsidR="34BA633D" w:rsidRPr="00C835AB">
        <w:rPr>
          <w:rFonts w:ascii="Times New Roman" w:hAnsi="Times New Roman" w:cs="Times New Roman"/>
          <w:color w:val="auto"/>
          <w:sz w:val="24"/>
        </w:rPr>
        <w:t>P</w:t>
      </w:r>
      <w:r w:rsidR="2B3293DA" w:rsidRPr="00C835AB">
        <w:rPr>
          <w:rFonts w:ascii="Times New Roman" w:hAnsi="Times New Roman" w:cs="Times New Roman"/>
          <w:color w:val="auto"/>
          <w:sz w:val="24"/>
        </w:rPr>
        <w:t>o czwarte, w art</w:t>
      </w:r>
      <w:r w:rsidR="00796D23">
        <w:rPr>
          <w:rFonts w:ascii="Times New Roman" w:hAnsi="Times New Roman" w:cs="Times New Roman"/>
          <w:color w:val="auto"/>
          <w:sz w:val="24"/>
        </w:rPr>
        <w:t>.</w:t>
      </w:r>
      <w:r w:rsidR="2B3293DA" w:rsidRPr="00C835AB">
        <w:rPr>
          <w:rFonts w:ascii="Times New Roman" w:hAnsi="Times New Roman" w:cs="Times New Roman"/>
          <w:color w:val="auto"/>
          <w:sz w:val="24"/>
        </w:rPr>
        <w:t xml:space="preserve"> 156 § 5a</w:t>
      </w:r>
      <w:r w:rsidR="00130C52" w:rsidRPr="00C835AB">
        <w:rPr>
          <w:rFonts w:ascii="Times New Roman" w:hAnsi="Times New Roman" w:cs="Times New Roman"/>
          <w:color w:val="auto"/>
          <w:sz w:val="24"/>
        </w:rPr>
        <w:t xml:space="preserve"> k.p.k.</w:t>
      </w:r>
      <w:r w:rsidR="2B3293DA" w:rsidRPr="00C835AB">
        <w:rPr>
          <w:rFonts w:ascii="Times New Roman" w:hAnsi="Times New Roman" w:cs="Times New Roman"/>
          <w:color w:val="auto"/>
          <w:sz w:val="24"/>
        </w:rPr>
        <w:t xml:space="preserve"> doprecyzowano, że przewidziane w nim prawo podejrzanego i obrońcy obejmuje również </w:t>
      </w:r>
      <w:r w:rsidR="34BA633D" w:rsidRPr="00C835AB">
        <w:rPr>
          <w:rFonts w:ascii="Times New Roman" w:hAnsi="Times New Roman" w:cs="Times New Roman"/>
          <w:color w:val="auto"/>
          <w:sz w:val="24"/>
        </w:rPr>
        <w:t xml:space="preserve">możliwości </w:t>
      </w:r>
      <w:r w:rsidR="78DB8A2E" w:rsidRPr="00C835AB">
        <w:rPr>
          <w:rFonts w:ascii="Times New Roman" w:hAnsi="Times New Roman" w:cs="Times New Roman"/>
          <w:color w:val="auto"/>
          <w:sz w:val="24"/>
        </w:rPr>
        <w:t>sporządzenia odpisów i kopii</w:t>
      </w:r>
      <w:r w:rsidR="34BA633D" w:rsidRPr="00C835AB">
        <w:rPr>
          <w:rFonts w:ascii="Times New Roman" w:hAnsi="Times New Roman" w:cs="Times New Roman"/>
          <w:color w:val="auto"/>
          <w:sz w:val="24"/>
        </w:rPr>
        <w:t xml:space="preserve"> akt, </w:t>
      </w:r>
      <w:r w:rsidR="5FBB0A75" w:rsidRPr="00C835AB">
        <w:rPr>
          <w:rFonts w:ascii="Times New Roman" w:hAnsi="Times New Roman" w:cs="Times New Roman"/>
          <w:color w:val="auto"/>
          <w:sz w:val="24"/>
        </w:rPr>
        <w:t>analogicznie jak jest to w art. 156 § 5</w:t>
      </w:r>
      <w:r w:rsidR="00130C52" w:rsidRPr="00C835AB">
        <w:rPr>
          <w:rFonts w:ascii="Times New Roman" w:hAnsi="Times New Roman" w:cs="Times New Roman"/>
          <w:color w:val="auto"/>
          <w:sz w:val="24"/>
        </w:rPr>
        <w:t xml:space="preserve"> k.p.k</w:t>
      </w:r>
      <w:r w:rsidR="5FBB0A75" w:rsidRPr="00C835AB">
        <w:rPr>
          <w:rFonts w:ascii="Times New Roman" w:hAnsi="Times New Roman" w:cs="Times New Roman"/>
          <w:color w:val="auto"/>
          <w:sz w:val="24"/>
        </w:rPr>
        <w:t>.</w:t>
      </w:r>
      <w:r w:rsidR="00150523">
        <w:rPr>
          <w:rFonts w:ascii="Times New Roman" w:hAnsi="Times New Roman" w:cs="Times New Roman"/>
          <w:color w:val="auto"/>
          <w:sz w:val="24"/>
        </w:rPr>
        <w:t xml:space="preserve"> Po piąte, w projektowanym przepisie przewidziano odesłanie do </w:t>
      </w:r>
      <w:r w:rsidR="00150523" w:rsidRPr="00150523">
        <w:rPr>
          <w:rFonts w:ascii="Times New Roman" w:hAnsi="Times New Roman" w:cs="Times New Roman"/>
          <w:color w:val="auto"/>
          <w:sz w:val="24"/>
        </w:rPr>
        <w:t>§ 4</w:t>
      </w:r>
      <w:r w:rsidR="00150523">
        <w:rPr>
          <w:rFonts w:ascii="Times New Roman" w:hAnsi="Times New Roman" w:cs="Times New Roman"/>
          <w:color w:val="auto"/>
          <w:sz w:val="24"/>
        </w:rPr>
        <w:t>, odnoszącego się do ochrony tajemnic w nim przewidzianych.</w:t>
      </w:r>
    </w:p>
    <w:p w14:paraId="10A3645D" w14:textId="22D1D35A" w:rsidR="00647D88" w:rsidRPr="00C835AB" w:rsidRDefault="3FB370D5"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Proponowana treść nowego art. 246 § 1a </w:t>
      </w:r>
      <w:r w:rsidR="003D33EF" w:rsidRPr="00C835AB">
        <w:rPr>
          <w:rFonts w:ascii="Times New Roman" w:hAnsi="Times New Roman" w:cs="Times New Roman"/>
          <w:color w:val="auto"/>
          <w:sz w:val="24"/>
        </w:rPr>
        <w:t xml:space="preserve">k.p.k. </w:t>
      </w:r>
      <w:r w:rsidRPr="00C835AB">
        <w:rPr>
          <w:rFonts w:ascii="Times New Roman" w:hAnsi="Times New Roman" w:cs="Times New Roman"/>
          <w:color w:val="auto"/>
          <w:sz w:val="24"/>
        </w:rPr>
        <w:t>odpowiada wymogom wynikającym z</w:t>
      </w:r>
      <w:r w:rsidR="00D92A0D" w:rsidRPr="00C835AB">
        <w:rPr>
          <w:rFonts w:ascii="Times New Roman" w:hAnsi="Times New Roman" w:cs="Times New Roman"/>
          <w:color w:val="auto"/>
          <w:sz w:val="24"/>
        </w:rPr>
        <w:t> </w:t>
      </w:r>
      <w:r w:rsidRPr="00C835AB">
        <w:rPr>
          <w:rFonts w:ascii="Times New Roman" w:hAnsi="Times New Roman" w:cs="Times New Roman"/>
          <w:color w:val="auto"/>
          <w:sz w:val="24"/>
        </w:rPr>
        <w:t xml:space="preserve">art. 7 ust. 1 dyrektywy 2012/13/UE i jest uregulowaniem, którego potrzeba była sygnalizowana m.in przez Rzecznika Praw </w:t>
      </w:r>
      <w:r w:rsidR="00315AE2" w:rsidRPr="00C835AB">
        <w:rPr>
          <w:rFonts w:ascii="Times New Roman" w:hAnsi="Times New Roman" w:cs="Times New Roman"/>
          <w:color w:val="auto"/>
          <w:sz w:val="24"/>
        </w:rPr>
        <w:t>Obywatelskich</w:t>
      </w:r>
      <w:r w:rsidRPr="00C835AB">
        <w:rPr>
          <w:rFonts w:ascii="Times New Roman" w:hAnsi="Times New Roman" w:cs="Times New Roman"/>
          <w:color w:val="auto"/>
          <w:sz w:val="24"/>
        </w:rPr>
        <w:t xml:space="preserve"> w </w:t>
      </w:r>
      <w:r w:rsidR="00BF34B6" w:rsidRPr="00C835AB">
        <w:rPr>
          <w:rFonts w:ascii="Times New Roman" w:hAnsi="Times New Roman" w:cs="Times New Roman"/>
          <w:color w:val="auto"/>
          <w:sz w:val="24"/>
        </w:rPr>
        <w:t>wystąpieniu</w:t>
      </w:r>
      <w:r w:rsidRPr="00C835AB">
        <w:rPr>
          <w:rFonts w:ascii="Times New Roman" w:hAnsi="Times New Roman" w:cs="Times New Roman"/>
          <w:color w:val="auto"/>
          <w:sz w:val="24"/>
        </w:rPr>
        <w:t xml:space="preserve"> do Ministra Sprawiedliwości z </w:t>
      </w:r>
      <w:r w:rsidR="00F35058" w:rsidRPr="00C835AB">
        <w:rPr>
          <w:rFonts w:ascii="Times New Roman" w:hAnsi="Times New Roman" w:cs="Times New Roman"/>
          <w:color w:val="auto"/>
          <w:sz w:val="24"/>
        </w:rPr>
        <w:t xml:space="preserve">dnia </w:t>
      </w:r>
      <w:r w:rsidRPr="00C835AB">
        <w:rPr>
          <w:rFonts w:ascii="Times New Roman" w:hAnsi="Times New Roman" w:cs="Times New Roman"/>
          <w:color w:val="auto"/>
          <w:sz w:val="24"/>
        </w:rPr>
        <w:t>19 marca 2023 r. Wskazano na konieczność wprowadzenia możliwości zapoznania się z aktami postępowania, które uzasadniają czynność zatrzymania. Pozbawienie osoby zatrzymanej a następnie zwolnionej nawet bez stawiania zarzutów dostępu do akt sprawy zdaniem Rzecznika stanowi naruszenie art. 41 ust</w:t>
      </w:r>
      <w:r w:rsidR="00796D23">
        <w:rPr>
          <w:rFonts w:ascii="Times New Roman" w:hAnsi="Times New Roman" w:cs="Times New Roman"/>
          <w:color w:val="auto"/>
          <w:sz w:val="24"/>
        </w:rPr>
        <w:t>.</w:t>
      </w:r>
      <w:r w:rsidRPr="00C835AB">
        <w:rPr>
          <w:rFonts w:ascii="Times New Roman" w:hAnsi="Times New Roman" w:cs="Times New Roman"/>
          <w:color w:val="auto"/>
          <w:sz w:val="24"/>
        </w:rPr>
        <w:t xml:space="preserve"> 2 oraz 51 ust</w:t>
      </w:r>
      <w:r w:rsidR="00796D23">
        <w:rPr>
          <w:rFonts w:ascii="Times New Roman" w:hAnsi="Times New Roman" w:cs="Times New Roman"/>
          <w:color w:val="auto"/>
          <w:sz w:val="24"/>
        </w:rPr>
        <w:t>.</w:t>
      </w:r>
      <w:r w:rsidRPr="00C835AB">
        <w:rPr>
          <w:rFonts w:ascii="Times New Roman" w:hAnsi="Times New Roman" w:cs="Times New Roman"/>
          <w:color w:val="auto"/>
          <w:sz w:val="24"/>
        </w:rPr>
        <w:t xml:space="preserve"> 3 Konstytucji RP. Wprawdzie żaden przepis nie zabrania zatrzymanemu</w:t>
      </w:r>
      <w:r w:rsidR="3AAC8445"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któremu nie postawiono zarzutu</w:t>
      </w:r>
      <w:r w:rsidR="232FFDF8"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w:t>
      </w:r>
      <w:r w:rsidR="571A8708" w:rsidRPr="00C835AB">
        <w:rPr>
          <w:rFonts w:ascii="Times New Roman" w:hAnsi="Times New Roman" w:cs="Times New Roman"/>
          <w:color w:val="auto"/>
          <w:sz w:val="24"/>
        </w:rPr>
        <w:t>wnioskowania o</w:t>
      </w:r>
      <w:r w:rsidR="00D92A0D" w:rsidRPr="00C835AB">
        <w:rPr>
          <w:rFonts w:ascii="Times New Roman" w:hAnsi="Times New Roman" w:cs="Times New Roman"/>
          <w:color w:val="auto"/>
          <w:sz w:val="24"/>
        </w:rPr>
        <w:t> </w:t>
      </w:r>
      <w:r w:rsidRPr="00C835AB">
        <w:rPr>
          <w:rFonts w:ascii="Times New Roman" w:hAnsi="Times New Roman" w:cs="Times New Roman"/>
          <w:color w:val="auto"/>
          <w:sz w:val="24"/>
        </w:rPr>
        <w:t>dostęp do akt sprawy</w:t>
      </w:r>
      <w:r w:rsidR="3B9DDE20"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jednak brak jest przepisu</w:t>
      </w:r>
      <w:r w:rsidR="4A74117C"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który by na to zezwalał. Zgodzić się zatem należy z Rzecznikiem, że zapewnienie możliwości wniesienia zażalenia przez zatrzymanego oraz jego obrońcę, w którym domaga się zbadania zasadności, legalności i prawidłowości zatrzymania przewidzianego w </w:t>
      </w:r>
      <w:r w:rsidR="004B1197" w:rsidRPr="00C835AB">
        <w:rPr>
          <w:rFonts w:ascii="Times New Roman" w:hAnsi="Times New Roman" w:cs="Times New Roman"/>
          <w:color w:val="auto"/>
          <w:sz w:val="24"/>
        </w:rPr>
        <w:t xml:space="preserve">art. 246 </w:t>
      </w:r>
      <w:r w:rsidRPr="00C835AB">
        <w:rPr>
          <w:rFonts w:ascii="Times New Roman" w:hAnsi="Times New Roman" w:cs="Times New Roman"/>
          <w:color w:val="auto"/>
          <w:sz w:val="24"/>
        </w:rPr>
        <w:t>§ 1</w:t>
      </w:r>
      <w:r w:rsidR="004B1197" w:rsidRPr="00C835AB">
        <w:rPr>
          <w:rFonts w:ascii="Times New Roman" w:hAnsi="Times New Roman" w:cs="Times New Roman"/>
          <w:color w:val="auto"/>
          <w:sz w:val="24"/>
        </w:rPr>
        <w:t xml:space="preserve"> k.p.k.</w:t>
      </w:r>
      <w:r w:rsidRPr="00C835AB">
        <w:rPr>
          <w:rFonts w:ascii="Times New Roman" w:hAnsi="Times New Roman" w:cs="Times New Roman"/>
          <w:color w:val="auto"/>
          <w:sz w:val="24"/>
        </w:rPr>
        <w:t xml:space="preserve">, nie towarzyszyło dotychczas </w:t>
      </w:r>
      <w:r w:rsidR="00415ED2" w:rsidRPr="00C835AB">
        <w:rPr>
          <w:rFonts w:ascii="Times New Roman" w:hAnsi="Times New Roman" w:cs="Times New Roman"/>
          <w:color w:val="auto"/>
          <w:sz w:val="24"/>
        </w:rPr>
        <w:t xml:space="preserve">prawo </w:t>
      </w:r>
      <w:r w:rsidRPr="00C835AB">
        <w:rPr>
          <w:rFonts w:ascii="Times New Roman" w:hAnsi="Times New Roman" w:cs="Times New Roman"/>
          <w:color w:val="auto"/>
          <w:sz w:val="24"/>
        </w:rPr>
        <w:t>do</w:t>
      </w:r>
      <w:r w:rsidR="001D3092">
        <w:rPr>
          <w:rFonts w:ascii="Times New Roman" w:hAnsi="Times New Roman" w:cs="Times New Roman"/>
          <w:color w:val="auto"/>
          <w:sz w:val="24"/>
        </w:rPr>
        <w:t> </w:t>
      </w:r>
      <w:r w:rsidRPr="00C835AB">
        <w:rPr>
          <w:rFonts w:ascii="Times New Roman" w:hAnsi="Times New Roman" w:cs="Times New Roman"/>
          <w:color w:val="auto"/>
          <w:sz w:val="24"/>
        </w:rPr>
        <w:t>zapoznania się z materiałami sprawy. Mogłoby zatem być kwalifikowane także w kategorii ograniczenia prawa do obrony w rozumieniu art. 42 ust</w:t>
      </w:r>
      <w:r w:rsidR="00796D23">
        <w:rPr>
          <w:rFonts w:ascii="Times New Roman" w:hAnsi="Times New Roman" w:cs="Times New Roman"/>
          <w:color w:val="auto"/>
          <w:sz w:val="24"/>
        </w:rPr>
        <w:t>.</w:t>
      </w:r>
      <w:r w:rsidRPr="00C835AB">
        <w:rPr>
          <w:rFonts w:ascii="Times New Roman" w:hAnsi="Times New Roman" w:cs="Times New Roman"/>
          <w:color w:val="auto"/>
          <w:sz w:val="24"/>
        </w:rPr>
        <w:t xml:space="preserve"> 2 Konstytucji RP. Zagwarantowanie prawa do wglądu w akta postępowania zatrzymanemu i jego obrońcy niweluje rozbieżności między poziomem gwarancji procesowych wynikających z przywołanej dyrektywy, standardów orzecznictwa E</w:t>
      </w:r>
      <w:r w:rsidR="009C4817" w:rsidRPr="00C835AB">
        <w:rPr>
          <w:rFonts w:ascii="Times New Roman" w:hAnsi="Times New Roman" w:cs="Times New Roman"/>
          <w:color w:val="auto"/>
          <w:sz w:val="24"/>
        </w:rPr>
        <w:t>uropejskiego Trybunału Praw Człowieka</w:t>
      </w:r>
      <w:r w:rsidRPr="00C835AB">
        <w:rPr>
          <w:rFonts w:ascii="Times New Roman" w:hAnsi="Times New Roman" w:cs="Times New Roman"/>
          <w:color w:val="auto"/>
          <w:sz w:val="24"/>
        </w:rPr>
        <w:t xml:space="preserve"> (art. 5 ust. 4 </w:t>
      </w:r>
      <w:proofErr w:type="spellStart"/>
      <w:r w:rsidRPr="00C835AB">
        <w:rPr>
          <w:rFonts w:ascii="Times New Roman" w:hAnsi="Times New Roman" w:cs="Times New Roman"/>
          <w:color w:val="auto"/>
          <w:sz w:val="24"/>
        </w:rPr>
        <w:t>EKPC</w:t>
      </w:r>
      <w:r w:rsidR="003D33EF" w:rsidRPr="00C835AB">
        <w:rPr>
          <w:rFonts w:ascii="Times New Roman" w:hAnsi="Times New Roman" w:cs="Times New Roman"/>
          <w:color w:val="auto"/>
          <w:sz w:val="24"/>
        </w:rPr>
        <w:t>z</w:t>
      </w:r>
      <w:proofErr w:type="spellEnd"/>
      <w:r w:rsidRPr="00C835AB">
        <w:rPr>
          <w:rFonts w:ascii="Times New Roman" w:hAnsi="Times New Roman" w:cs="Times New Roman"/>
          <w:color w:val="auto"/>
          <w:sz w:val="24"/>
        </w:rPr>
        <w:t xml:space="preserve"> odnosi się </w:t>
      </w:r>
      <w:r w:rsidR="00DC0E5A" w:rsidRPr="00C835AB">
        <w:rPr>
          <w:rFonts w:ascii="Times New Roman" w:hAnsi="Times New Roman" w:cs="Times New Roman"/>
          <w:color w:val="auto"/>
          <w:sz w:val="24"/>
        </w:rPr>
        <w:t xml:space="preserve">do </w:t>
      </w:r>
      <w:r w:rsidRPr="00C835AB">
        <w:rPr>
          <w:rFonts w:ascii="Times New Roman" w:hAnsi="Times New Roman" w:cs="Times New Roman"/>
          <w:color w:val="auto"/>
          <w:sz w:val="24"/>
        </w:rPr>
        <w:t>możliwości oceny legalności pozbawienia wolności</w:t>
      </w:r>
      <w:r w:rsidR="00DC0E5A"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co wiąże się z dostępem do</w:t>
      </w:r>
      <w:r w:rsidR="001D3092">
        <w:rPr>
          <w:rFonts w:ascii="Times New Roman" w:hAnsi="Times New Roman" w:cs="Times New Roman"/>
          <w:color w:val="auto"/>
          <w:sz w:val="24"/>
        </w:rPr>
        <w:t> </w:t>
      </w:r>
      <w:r w:rsidRPr="00C835AB">
        <w:rPr>
          <w:rFonts w:ascii="Times New Roman" w:hAnsi="Times New Roman" w:cs="Times New Roman"/>
          <w:color w:val="auto"/>
          <w:sz w:val="24"/>
        </w:rPr>
        <w:t>materiałów stanowiących jego podstawę oraz zapewnienia równości broni między stroną oskarżycielską a pozbawioną wolności) a obowiązującymi dotychczas w tym zakresie przepisami krajowymi ustawy karnoprocesowej. Argumentacja powyższa odnosi się</w:t>
      </w:r>
      <w:r w:rsidR="001D3092">
        <w:rPr>
          <w:rFonts w:ascii="Times New Roman" w:hAnsi="Times New Roman" w:cs="Times New Roman"/>
          <w:color w:val="auto"/>
          <w:sz w:val="24"/>
        </w:rPr>
        <w:t> </w:t>
      </w:r>
      <w:r w:rsidRPr="00C835AB">
        <w:rPr>
          <w:rFonts w:ascii="Times New Roman" w:hAnsi="Times New Roman" w:cs="Times New Roman"/>
          <w:color w:val="auto"/>
          <w:sz w:val="24"/>
        </w:rPr>
        <w:t>odpowiednio do obrońcy</w:t>
      </w:r>
      <w:r w:rsidR="73ABA356"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któremu nie zagwarantowano dostępu do akt postępowania, zawierających materiały istotne z perspektywy oceny zasadności, legalności i prawidłowości zatrzymania.</w:t>
      </w:r>
    </w:p>
    <w:p w14:paraId="35376AE6" w14:textId="77777777" w:rsidR="003D33EF" w:rsidRPr="00C835AB" w:rsidRDefault="003D33EF" w:rsidP="00D823D0">
      <w:pPr>
        <w:pStyle w:val="Akapitzlist1"/>
        <w:spacing w:after="0" w:line="360" w:lineRule="auto"/>
        <w:ind w:left="0"/>
        <w:jc w:val="both"/>
        <w:rPr>
          <w:rFonts w:ascii="Times New Roman" w:hAnsi="Times New Roman"/>
          <w:b/>
          <w:bCs/>
          <w:sz w:val="24"/>
          <w:szCs w:val="24"/>
        </w:rPr>
      </w:pPr>
    </w:p>
    <w:p w14:paraId="7CEC3A93" w14:textId="0C4A6A03" w:rsidR="00647D88" w:rsidRPr="00C835AB" w:rsidRDefault="00647D88" w:rsidP="00D823D0">
      <w:pPr>
        <w:ind w:firstLine="708"/>
        <w:rPr>
          <w:rFonts w:ascii="Times New Roman" w:hAnsi="Times New Roman" w:cs="Times New Roman"/>
          <w:b/>
          <w:color w:val="auto"/>
          <w:sz w:val="24"/>
        </w:rPr>
      </w:pPr>
      <w:r w:rsidRPr="00C835AB">
        <w:rPr>
          <w:rFonts w:ascii="Times New Roman" w:hAnsi="Times New Roman" w:cs="Times New Roman"/>
          <w:b/>
          <w:color w:val="auto"/>
          <w:sz w:val="24"/>
        </w:rPr>
        <w:t>Prawo do pomocy obrońcy (dyrektywy 2013/48/UE i 2016/1919/UE)</w:t>
      </w:r>
      <w:r w:rsidR="00A55BA4" w:rsidRPr="00C835AB">
        <w:rPr>
          <w:rFonts w:ascii="Times New Roman" w:hAnsi="Times New Roman" w:cs="Times New Roman"/>
          <w:b/>
          <w:color w:val="auto"/>
          <w:sz w:val="24"/>
        </w:rPr>
        <w:t xml:space="preserve"> art. 71 § 1 k.p.k., art. 74 § 3, § 3a i § 4 k.p.k., </w:t>
      </w:r>
      <w:r w:rsidR="003F0315" w:rsidRPr="00C835AB">
        <w:rPr>
          <w:rFonts w:ascii="Times New Roman" w:hAnsi="Times New Roman" w:cs="Times New Roman"/>
          <w:b/>
          <w:color w:val="auto"/>
          <w:sz w:val="24"/>
        </w:rPr>
        <w:t>art. 189 pkt 3 k.p.k.,</w:t>
      </w:r>
      <w:r w:rsidR="00172EA3" w:rsidRPr="00C835AB">
        <w:rPr>
          <w:rFonts w:ascii="Times New Roman" w:hAnsi="Times New Roman" w:cs="Times New Roman"/>
          <w:b/>
          <w:color w:val="auto"/>
          <w:sz w:val="24"/>
        </w:rPr>
        <w:t xml:space="preserve"> </w:t>
      </w:r>
      <w:r w:rsidR="00A55BA4" w:rsidRPr="00C835AB">
        <w:rPr>
          <w:rFonts w:ascii="Times New Roman" w:hAnsi="Times New Roman" w:cs="Times New Roman"/>
          <w:b/>
          <w:color w:val="auto"/>
          <w:sz w:val="24"/>
        </w:rPr>
        <w:t>art. 308 § 1 k.p.k., art. 335 § 1 k.p.k., art. 219 § 1 k.p.k., art. 237 § 4 k.p.k., art. 244 k.p.k., art. 247 § 1 k.p.k., art. 278 k.p.k., art. 295 § 1 k.p.k., art. 225 § 2 k.p.k., art. 517c § 1 k.p.k., art. 664 k.p.k., art. 248 §</w:t>
      </w:r>
      <w:r w:rsidR="001D3092">
        <w:rPr>
          <w:rFonts w:ascii="Times New Roman" w:hAnsi="Times New Roman" w:cs="Times New Roman"/>
          <w:b/>
          <w:color w:val="auto"/>
          <w:sz w:val="24"/>
        </w:rPr>
        <w:t> </w:t>
      </w:r>
      <w:r w:rsidR="00A55BA4" w:rsidRPr="00C835AB">
        <w:rPr>
          <w:rFonts w:ascii="Times New Roman" w:hAnsi="Times New Roman" w:cs="Times New Roman"/>
          <w:b/>
          <w:color w:val="auto"/>
          <w:sz w:val="24"/>
        </w:rPr>
        <w:t>3 k.p.k., art. 245 § 1, § 2, § 3, § 4 i § 5 k.p.k., art. 178 pkt 1 k.p.k., art. 517j k.p.k., art.</w:t>
      </w:r>
      <w:r w:rsidR="0097228F">
        <w:rPr>
          <w:rFonts w:ascii="Times New Roman" w:hAnsi="Times New Roman" w:cs="Times New Roman"/>
          <w:b/>
          <w:color w:val="auto"/>
          <w:sz w:val="24"/>
        </w:rPr>
        <w:t> </w:t>
      </w:r>
      <w:r w:rsidR="00A55BA4" w:rsidRPr="00C835AB">
        <w:rPr>
          <w:rFonts w:ascii="Times New Roman" w:hAnsi="Times New Roman" w:cs="Times New Roman"/>
          <w:b/>
          <w:color w:val="auto"/>
          <w:sz w:val="24"/>
        </w:rPr>
        <w:t xml:space="preserve">301 </w:t>
      </w:r>
      <w:r w:rsidR="00A55BA4" w:rsidRPr="00C835AB">
        <w:rPr>
          <w:rFonts w:ascii="Times New Roman" w:hAnsi="Times New Roman" w:cs="Times New Roman"/>
          <w:b/>
          <w:color w:val="auto"/>
          <w:sz w:val="24"/>
        </w:rPr>
        <w:lastRenderedPageBreak/>
        <w:t xml:space="preserve">k.p.k., art. </w:t>
      </w:r>
      <w:r w:rsidR="00A33355" w:rsidRPr="00C835AB">
        <w:rPr>
          <w:rFonts w:ascii="Times New Roman" w:hAnsi="Times New Roman" w:cs="Times New Roman"/>
          <w:b/>
          <w:color w:val="auto"/>
          <w:sz w:val="24"/>
        </w:rPr>
        <w:t xml:space="preserve">84 § 2a k.p.k., </w:t>
      </w:r>
      <w:r w:rsidR="006938EC" w:rsidRPr="00C835AB">
        <w:rPr>
          <w:rFonts w:ascii="Times New Roman" w:hAnsi="Times New Roman" w:cs="Times New Roman"/>
          <w:b/>
          <w:color w:val="auto"/>
          <w:sz w:val="24"/>
        </w:rPr>
        <w:t xml:space="preserve">art. 81 § 1 k.p.k., </w:t>
      </w:r>
      <w:r w:rsidR="00A33355" w:rsidRPr="00C835AB">
        <w:rPr>
          <w:rFonts w:ascii="Times New Roman" w:hAnsi="Times New Roman" w:cs="Times New Roman"/>
          <w:b/>
          <w:color w:val="auto"/>
          <w:sz w:val="24"/>
        </w:rPr>
        <w:t>art. 81a § 1a k.p.k., art. 313 § 1, § 1a i § 5 k.p.k., art. 325g § 2 i § 3 k.p.k., art. 327 § 1 i § 2 k.p.k., art. 328 § 1 k.p.k., art. 171 § 7a k.p.k., art.</w:t>
      </w:r>
      <w:r w:rsidR="0097228F">
        <w:rPr>
          <w:rFonts w:ascii="Times New Roman" w:hAnsi="Times New Roman" w:cs="Times New Roman"/>
          <w:b/>
          <w:color w:val="auto"/>
          <w:sz w:val="24"/>
        </w:rPr>
        <w:t> </w:t>
      </w:r>
      <w:r w:rsidR="00A33355" w:rsidRPr="00C835AB">
        <w:rPr>
          <w:rFonts w:ascii="Times New Roman" w:hAnsi="Times New Roman" w:cs="Times New Roman"/>
          <w:b/>
          <w:color w:val="auto"/>
          <w:sz w:val="24"/>
        </w:rPr>
        <w:t>261 § 1a k.p.k., art. 607da k.p.k., art. 607z § 3 k.p.k., art. 607l § 3a k.p.k., art. 607k §</w:t>
      </w:r>
      <w:r w:rsidR="0097228F">
        <w:rPr>
          <w:rFonts w:ascii="Times New Roman" w:hAnsi="Times New Roman" w:cs="Times New Roman"/>
          <w:b/>
          <w:color w:val="auto"/>
          <w:sz w:val="24"/>
        </w:rPr>
        <w:t> </w:t>
      </w:r>
      <w:r w:rsidR="00A33355" w:rsidRPr="00C835AB">
        <w:rPr>
          <w:rFonts w:ascii="Times New Roman" w:hAnsi="Times New Roman" w:cs="Times New Roman"/>
          <w:b/>
          <w:color w:val="auto"/>
          <w:sz w:val="24"/>
        </w:rPr>
        <w:t>3b k.p.k.</w:t>
      </w:r>
    </w:p>
    <w:p w14:paraId="0D902273" w14:textId="0E735D67" w:rsidR="00647D88" w:rsidRPr="00C835AB" w:rsidRDefault="00647D88"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Z treści art. 3 dyrektywy 2013/48/UE wynika, że na gruncie polskiego procesu karnego prawo dostępu do obrońcy powinno przysługiwać następującym podmiotom, począwszy od</w:t>
      </w:r>
      <w:r w:rsidR="0097228F">
        <w:rPr>
          <w:rFonts w:ascii="Times New Roman" w:hAnsi="Times New Roman"/>
          <w:sz w:val="24"/>
          <w:szCs w:val="24"/>
        </w:rPr>
        <w:t> </w:t>
      </w:r>
      <w:r w:rsidRPr="00C835AB">
        <w:rPr>
          <w:rFonts w:ascii="Times New Roman" w:hAnsi="Times New Roman"/>
          <w:sz w:val="24"/>
          <w:szCs w:val="24"/>
        </w:rPr>
        <w:t xml:space="preserve">najwcześniejszego momentu spośród wskazanych poniżej sytuacji (art. 3 ust. 2 </w:t>
      </w:r>
      <w:r w:rsidRPr="00C835AB">
        <w:rPr>
          <w:rFonts w:ascii="Times New Roman" w:hAnsi="Times New Roman"/>
          <w:iCs/>
          <w:sz w:val="24"/>
          <w:szCs w:val="24"/>
        </w:rPr>
        <w:t xml:space="preserve">in </w:t>
      </w:r>
      <w:proofErr w:type="spellStart"/>
      <w:r w:rsidRPr="00C835AB">
        <w:rPr>
          <w:rFonts w:ascii="Times New Roman" w:hAnsi="Times New Roman"/>
          <w:iCs/>
          <w:sz w:val="24"/>
          <w:szCs w:val="24"/>
        </w:rPr>
        <w:t>principio</w:t>
      </w:r>
      <w:proofErr w:type="spellEnd"/>
      <w:r w:rsidRPr="00C835AB">
        <w:rPr>
          <w:rFonts w:ascii="Times New Roman" w:hAnsi="Times New Roman"/>
          <w:sz w:val="24"/>
          <w:szCs w:val="24"/>
        </w:rPr>
        <w:t xml:space="preserve"> dyrektywy 2013/48/UE):</w:t>
      </w:r>
    </w:p>
    <w:p w14:paraId="6D8651CB" w14:textId="623D668A" w:rsidR="00647D88" w:rsidRPr="00C835AB" w:rsidRDefault="00647D88" w:rsidP="00D823D0">
      <w:pPr>
        <w:numPr>
          <w:ilvl w:val="0"/>
          <w:numId w:val="9"/>
        </w:numPr>
        <w:rPr>
          <w:rFonts w:ascii="Times New Roman" w:hAnsi="Times New Roman" w:cs="Times New Roman"/>
          <w:color w:val="auto"/>
          <w:sz w:val="24"/>
        </w:rPr>
      </w:pPr>
      <w:r w:rsidRPr="00C835AB">
        <w:rPr>
          <w:rFonts w:ascii="Times New Roman" w:hAnsi="Times New Roman" w:cs="Times New Roman"/>
          <w:color w:val="auto"/>
          <w:sz w:val="24"/>
        </w:rPr>
        <w:t>oskarżonemu (art. 71 § 2 k.p.k.)</w:t>
      </w:r>
      <w:r w:rsidR="00B62408" w:rsidRPr="00C835AB">
        <w:rPr>
          <w:rFonts w:ascii="Times New Roman" w:hAnsi="Times New Roman" w:cs="Times New Roman"/>
          <w:color w:val="auto"/>
          <w:sz w:val="24"/>
        </w:rPr>
        <w:t>;</w:t>
      </w:r>
    </w:p>
    <w:p w14:paraId="54FCC58B" w14:textId="112B9005" w:rsidR="00647D88" w:rsidRPr="00C835AB" w:rsidRDefault="00647D88" w:rsidP="00D823D0">
      <w:pPr>
        <w:numPr>
          <w:ilvl w:val="0"/>
          <w:numId w:val="9"/>
        </w:numPr>
        <w:rPr>
          <w:rFonts w:ascii="Times New Roman" w:hAnsi="Times New Roman" w:cs="Times New Roman"/>
          <w:color w:val="auto"/>
          <w:sz w:val="24"/>
        </w:rPr>
      </w:pPr>
      <w:r w:rsidRPr="00C835AB">
        <w:rPr>
          <w:rFonts w:ascii="Times New Roman" w:hAnsi="Times New Roman" w:cs="Times New Roman"/>
          <w:color w:val="auto"/>
          <w:sz w:val="24"/>
        </w:rPr>
        <w:t>podejrzanemu w związku z przesłuchaniem w tym charakterze (art. 71 § 1</w:t>
      </w:r>
      <w:r w:rsidR="00A468D6" w:rsidRPr="00C835AB">
        <w:rPr>
          <w:rFonts w:ascii="Times New Roman" w:hAnsi="Times New Roman" w:cs="Times New Roman"/>
          <w:color w:val="auto"/>
          <w:sz w:val="24"/>
        </w:rPr>
        <w:t xml:space="preserve"> k.p.k.</w:t>
      </w:r>
      <w:r w:rsidRPr="00C835AB">
        <w:rPr>
          <w:rFonts w:ascii="Times New Roman" w:hAnsi="Times New Roman" w:cs="Times New Roman"/>
          <w:color w:val="auto"/>
          <w:sz w:val="24"/>
        </w:rPr>
        <w:t>, art. 301</w:t>
      </w:r>
      <w:r w:rsidR="00A468D6" w:rsidRPr="00C835AB">
        <w:rPr>
          <w:rFonts w:ascii="Times New Roman" w:hAnsi="Times New Roman" w:cs="Times New Roman"/>
          <w:color w:val="auto"/>
          <w:sz w:val="24"/>
        </w:rPr>
        <w:t xml:space="preserve"> k.p.k.</w:t>
      </w:r>
      <w:r w:rsidR="003D33EF"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i art. 313 k.p.k.), czynnością jego okazania (art. 74 § 2 pkt 1 k.p.k.) oraz udziałem w konfrontacji i eksperymencie procesowym (art. 316 § 1 i 2</w:t>
      </w:r>
      <w:r w:rsidR="00A468D6" w:rsidRPr="00C835AB">
        <w:rPr>
          <w:rFonts w:ascii="Times New Roman" w:hAnsi="Times New Roman" w:cs="Times New Roman"/>
          <w:color w:val="auto"/>
          <w:sz w:val="24"/>
        </w:rPr>
        <w:t xml:space="preserve"> k.p.k.</w:t>
      </w:r>
      <w:r w:rsidRPr="00C835AB">
        <w:rPr>
          <w:rFonts w:ascii="Times New Roman" w:hAnsi="Times New Roman" w:cs="Times New Roman"/>
          <w:color w:val="auto"/>
          <w:sz w:val="24"/>
        </w:rPr>
        <w:t>, art. 317 k.p.k.)</w:t>
      </w:r>
      <w:r w:rsidR="00B62408" w:rsidRPr="00C835AB">
        <w:rPr>
          <w:rFonts w:ascii="Times New Roman" w:hAnsi="Times New Roman" w:cs="Times New Roman"/>
          <w:color w:val="auto"/>
          <w:sz w:val="24"/>
        </w:rPr>
        <w:t>;</w:t>
      </w:r>
    </w:p>
    <w:p w14:paraId="00333573" w14:textId="3A806D38" w:rsidR="00647D88" w:rsidRPr="00C835AB" w:rsidRDefault="00647D88" w:rsidP="00D823D0">
      <w:pPr>
        <w:numPr>
          <w:ilvl w:val="0"/>
          <w:numId w:val="9"/>
        </w:numPr>
        <w:rPr>
          <w:rFonts w:ascii="Times New Roman" w:hAnsi="Times New Roman" w:cs="Times New Roman"/>
          <w:color w:val="auto"/>
          <w:sz w:val="24"/>
        </w:rPr>
      </w:pPr>
      <w:r w:rsidRPr="00C835AB">
        <w:rPr>
          <w:rFonts w:ascii="Times New Roman" w:hAnsi="Times New Roman" w:cs="Times New Roman"/>
          <w:color w:val="auto"/>
          <w:sz w:val="24"/>
        </w:rPr>
        <w:t>podejrzanemu, który został pozbawiony wolności w związku z zarzutem popełnienia przestępstwa, np. zatrzymany, tymczasowo aresztowany (art. 245 § 1</w:t>
      </w:r>
      <w:r w:rsidR="00A468D6" w:rsidRPr="00C835AB">
        <w:rPr>
          <w:rFonts w:ascii="Times New Roman" w:hAnsi="Times New Roman" w:cs="Times New Roman"/>
          <w:color w:val="auto"/>
          <w:sz w:val="24"/>
        </w:rPr>
        <w:t xml:space="preserve"> k.p.k.</w:t>
      </w:r>
      <w:r w:rsidRPr="00C835AB">
        <w:rPr>
          <w:rFonts w:ascii="Times New Roman" w:hAnsi="Times New Roman" w:cs="Times New Roman"/>
          <w:color w:val="auto"/>
          <w:sz w:val="24"/>
        </w:rPr>
        <w:t>, art. 249 § 5 k.p.k.)</w:t>
      </w:r>
      <w:r w:rsidR="00B62408" w:rsidRPr="00C835AB">
        <w:rPr>
          <w:rFonts w:ascii="Times New Roman" w:hAnsi="Times New Roman" w:cs="Times New Roman"/>
          <w:color w:val="auto"/>
          <w:sz w:val="24"/>
        </w:rPr>
        <w:t>;</w:t>
      </w:r>
    </w:p>
    <w:p w14:paraId="479628FC" w14:textId="7852217C" w:rsidR="00647D88" w:rsidRPr="00C835AB" w:rsidRDefault="00647D88" w:rsidP="00D823D0">
      <w:pPr>
        <w:numPr>
          <w:ilvl w:val="0"/>
          <w:numId w:val="9"/>
        </w:numPr>
        <w:rPr>
          <w:rFonts w:ascii="Times New Roman" w:hAnsi="Times New Roman" w:cs="Times New Roman"/>
          <w:color w:val="auto"/>
          <w:sz w:val="24"/>
        </w:rPr>
      </w:pPr>
      <w:r w:rsidRPr="00C835AB">
        <w:rPr>
          <w:rFonts w:ascii="Times New Roman" w:hAnsi="Times New Roman" w:cs="Times New Roman"/>
          <w:color w:val="auto"/>
          <w:sz w:val="24"/>
        </w:rPr>
        <w:t>osobie podejrzanej, która została zatrzymana (art. 244</w:t>
      </w:r>
      <w:r w:rsidR="00A468D6" w:rsidRPr="00C835AB">
        <w:rPr>
          <w:rFonts w:ascii="Times New Roman" w:hAnsi="Times New Roman" w:cs="Times New Roman"/>
          <w:color w:val="auto"/>
          <w:sz w:val="24"/>
        </w:rPr>
        <w:t xml:space="preserve"> k.p.k.</w:t>
      </w:r>
      <w:r w:rsidRPr="00C835AB">
        <w:rPr>
          <w:rFonts w:ascii="Times New Roman" w:hAnsi="Times New Roman" w:cs="Times New Roman"/>
          <w:color w:val="auto"/>
          <w:sz w:val="24"/>
        </w:rPr>
        <w:t>, art. 247 k.p.k.)</w:t>
      </w:r>
      <w:r w:rsidR="00B62408" w:rsidRPr="00C835AB">
        <w:rPr>
          <w:rFonts w:ascii="Times New Roman" w:hAnsi="Times New Roman" w:cs="Times New Roman"/>
          <w:color w:val="auto"/>
          <w:sz w:val="24"/>
        </w:rPr>
        <w:t>;</w:t>
      </w:r>
    </w:p>
    <w:p w14:paraId="66AF2BD4" w14:textId="07DCF38A" w:rsidR="00647D88" w:rsidRPr="00C835AB" w:rsidRDefault="00647D88" w:rsidP="00D823D0">
      <w:pPr>
        <w:numPr>
          <w:ilvl w:val="0"/>
          <w:numId w:val="9"/>
        </w:numPr>
        <w:rPr>
          <w:rFonts w:ascii="Times New Roman" w:hAnsi="Times New Roman" w:cs="Times New Roman"/>
          <w:color w:val="auto"/>
          <w:sz w:val="24"/>
        </w:rPr>
      </w:pPr>
      <w:r w:rsidRPr="00C835AB">
        <w:rPr>
          <w:rFonts w:ascii="Times New Roman" w:hAnsi="Times New Roman" w:cs="Times New Roman"/>
          <w:color w:val="auto"/>
          <w:sz w:val="24"/>
        </w:rPr>
        <w:t xml:space="preserve">osobie podejrzanej w związku z czynnością jej okazania (art. 74 § 3 </w:t>
      </w:r>
      <w:r w:rsidR="00A468D6" w:rsidRPr="00C835AB">
        <w:rPr>
          <w:rFonts w:ascii="Times New Roman" w:hAnsi="Times New Roman" w:cs="Times New Roman"/>
          <w:color w:val="auto"/>
          <w:sz w:val="24"/>
        </w:rPr>
        <w:t xml:space="preserve">k.p.k. </w:t>
      </w:r>
      <w:r w:rsidRPr="00C835AB">
        <w:rPr>
          <w:rFonts w:ascii="Times New Roman" w:hAnsi="Times New Roman" w:cs="Times New Roman"/>
          <w:color w:val="auto"/>
          <w:sz w:val="24"/>
        </w:rPr>
        <w:t>w</w:t>
      </w:r>
      <w:r w:rsidR="0097228F">
        <w:rPr>
          <w:rFonts w:ascii="Times New Roman" w:hAnsi="Times New Roman" w:cs="Times New Roman"/>
          <w:color w:val="auto"/>
          <w:sz w:val="24"/>
        </w:rPr>
        <w:t> </w:t>
      </w:r>
      <w:r w:rsidRPr="00C835AB">
        <w:rPr>
          <w:rFonts w:ascii="Times New Roman" w:hAnsi="Times New Roman" w:cs="Times New Roman"/>
          <w:color w:val="auto"/>
          <w:sz w:val="24"/>
        </w:rPr>
        <w:t>zw.</w:t>
      </w:r>
      <w:r w:rsidR="0097228F">
        <w:rPr>
          <w:rFonts w:ascii="Times New Roman" w:hAnsi="Times New Roman" w:cs="Times New Roman"/>
          <w:color w:val="auto"/>
          <w:sz w:val="24"/>
        </w:rPr>
        <w:t> </w:t>
      </w:r>
      <w:r w:rsidRPr="00C835AB">
        <w:rPr>
          <w:rFonts w:ascii="Times New Roman" w:hAnsi="Times New Roman" w:cs="Times New Roman"/>
          <w:color w:val="auto"/>
          <w:sz w:val="24"/>
        </w:rPr>
        <w:t>z</w:t>
      </w:r>
      <w:r w:rsidR="00D92A0D" w:rsidRPr="00C835AB">
        <w:rPr>
          <w:rFonts w:ascii="Times New Roman" w:hAnsi="Times New Roman" w:cs="Times New Roman"/>
          <w:color w:val="auto"/>
          <w:sz w:val="24"/>
        </w:rPr>
        <w:t> </w:t>
      </w:r>
      <w:r w:rsidRPr="00C835AB">
        <w:rPr>
          <w:rFonts w:ascii="Times New Roman" w:hAnsi="Times New Roman" w:cs="Times New Roman"/>
          <w:color w:val="auto"/>
          <w:sz w:val="24"/>
        </w:rPr>
        <w:t>§</w:t>
      </w:r>
      <w:r w:rsidR="00D92A0D" w:rsidRPr="00C835AB">
        <w:rPr>
          <w:rFonts w:ascii="Times New Roman" w:hAnsi="Times New Roman" w:cs="Times New Roman"/>
          <w:color w:val="auto"/>
          <w:sz w:val="24"/>
        </w:rPr>
        <w:t> </w:t>
      </w:r>
      <w:r w:rsidRPr="00C835AB">
        <w:rPr>
          <w:rFonts w:ascii="Times New Roman" w:hAnsi="Times New Roman" w:cs="Times New Roman"/>
          <w:color w:val="auto"/>
          <w:sz w:val="24"/>
        </w:rPr>
        <w:t>2 pkt 1 k.p.k.).</w:t>
      </w:r>
    </w:p>
    <w:p w14:paraId="69315BE6" w14:textId="6E6AC4D2" w:rsidR="00647D88" w:rsidRPr="00C835AB" w:rsidRDefault="00647D88"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Z kolei z art. 2 ust. 1 dyrektywy 2016/1919/UE wynika, że na gruncie polskiego procesu karnego podejrzanym i oskarżonym, którzy zgodnie z dyrektywą 2013/48/UE mają prawo dostępu do adwokata</w:t>
      </w:r>
      <w:r w:rsidR="00031362">
        <w:rPr>
          <w:rFonts w:ascii="Times New Roman" w:hAnsi="Times New Roman"/>
          <w:sz w:val="24"/>
          <w:szCs w:val="24"/>
        </w:rPr>
        <w:t xml:space="preserve"> (radcy prawnego)</w:t>
      </w:r>
      <w:r w:rsidRPr="00C835AB">
        <w:rPr>
          <w:rFonts w:ascii="Times New Roman" w:hAnsi="Times New Roman"/>
          <w:sz w:val="24"/>
          <w:szCs w:val="24"/>
        </w:rPr>
        <w:t xml:space="preserve"> i jednocześnie zostali pozbawieni wolności, zachodzi przypadek obrony obligatoryjnej lub też mają prawo do wzięcia udziału w okazaniu, konfrontacji lub eksperymencie procesowym, należy zapewnić pomoc prawną obrońcy z urzędu, jeżeli nie mają wystarczających środków na pokrycie pomocy obrońcy.</w:t>
      </w:r>
    </w:p>
    <w:p w14:paraId="259F785F" w14:textId="02A4B2EC" w:rsidR="00647D88" w:rsidRPr="00C835AB" w:rsidRDefault="38EE72F7"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 xml:space="preserve">Kluczowe znaczenie przy wyborze sposobu </w:t>
      </w:r>
      <w:r w:rsidR="000A4D33" w:rsidRPr="00C835AB">
        <w:rPr>
          <w:rFonts w:ascii="Times New Roman" w:hAnsi="Times New Roman"/>
          <w:sz w:val="24"/>
          <w:szCs w:val="24"/>
        </w:rPr>
        <w:t xml:space="preserve">dostosowania przepisów polskiej procedury karnej do </w:t>
      </w:r>
      <w:r w:rsidRPr="00C835AB">
        <w:rPr>
          <w:rFonts w:ascii="Times New Roman" w:hAnsi="Times New Roman"/>
          <w:sz w:val="24"/>
          <w:szCs w:val="24"/>
        </w:rPr>
        <w:t>obu dyrektyw miało to, że dyrektywa 2013/48/UE wiąże prawo do dostępu do</w:t>
      </w:r>
      <w:r w:rsidR="0097228F">
        <w:rPr>
          <w:rFonts w:ascii="Times New Roman" w:hAnsi="Times New Roman"/>
          <w:sz w:val="24"/>
          <w:szCs w:val="24"/>
        </w:rPr>
        <w:t> </w:t>
      </w:r>
      <w:r w:rsidRPr="00C835AB">
        <w:rPr>
          <w:rFonts w:ascii="Times New Roman" w:hAnsi="Times New Roman"/>
          <w:sz w:val="24"/>
          <w:szCs w:val="24"/>
        </w:rPr>
        <w:t>adwokata nie tylko z uzyskaniem w sposób formalny procesowego statusu podejrzanego, ale również z każdym powiadomieniem osoby „w inny sposób”, że jest podejrzana o</w:t>
      </w:r>
      <w:r w:rsidR="0097228F">
        <w:rPr>
          <w:rFonts w:ascii="Times New Roman" w:hAnsi="Times New Roman"/>
          <w:sz w:val="24"/>
          <w:szCs w:val="24"/>
        </w:rPr>
        <w:t> </w:t>
      </w:r>
      <w:r w:rsidRPr="00C835AB">
        <w:rPr>
          <w:rFonts w:ascii="Times New Roman" w:hAnsi="Times New Roman"/>
          <w:sz w:val="24"/>
          <w:szCs w:val="24"/>
        </w:rPr>
        <w:t>popełnienie przestępstwa (art. 2 dyrektywy 2013/48/UE). Ponadto zakres wskazanych powyżej czynności procesowych, w toku których należy zapewnić osobie dostęp do adwokata (zatrzymanie, pierwsze przesłuchanie, okazanie, konfrontacja, eksperyment procesowy – art. 3 ust. 2 i 3 dyrektywy 2013/48/UE), obejmuje czynności dokonywan</w:t>
      </w:r>
      <w:r w:rsidR="00315AE2" w:rsidRPr="00C835AB">
        <w:rPr>
          <w:rFonts w:ascii="Times New Roman" w:hAnsi="Times New Roman"/>
          <w:sz w:val="24"/>
          <w:szCs w:val="24"/>
        </w:rPr>
        <w:t>e</w:t>
      </w:r>
      <w:r w:rsidRPr="00C835AB">
        <w:rPr>
          <w:rFonts w:ascii="Times New Roman" w:hAnsi="Times New Roman"/>
          <w:sz w:val="24"/>
          <w:szCs w:val="24"/>
        </w:rPr>
        <w:t xml:space="preserve"> obecnie również wobec osoby podejrzanej, czyli przed przedstawieniem zarzutów w postępowaniu karnym. Wskazane </w:t>
      </w:r>
      <w:r w:rsidRPr="00C835AB">
        <w:rPr>
          <w:rFonts w:ascii="Times New Roman" w:hAnsi="Times New Roman"/>
          <w:sz w:val="24"/>
          <w:szCs w:val="24"/>
        </w:rPr>
        <w:lastRenderedPageBreak/>
        <w:t>okoliczności uzasadniają dokonanie zmiany definicji podejrzanego w procesie karnym przez „oderwanie” jej od instytucji przedstawienia zarzutów. O uzyskaniu statusu podejrzanego z</w:t>
      </w:r>
      <w:r w:rsidR="00D92A0D" w:rsidRPr="00C835AB">
        <w:rPr>
          <w:rFonts w:ascii="Times New Roman" w:hAnsi="Times New Roman"/>
          <w:sz w:val="24"/>
          <w:szCs w:val="24"/>
        </w:rPr>
        <w:t> </w:t>
      </w:r>
      <w:r w:rsidR="00764BD0" w:rsidRPr="00C835AB">
        <w:rPr>
          <w:rFonts w:ascii="Times New Roman" w:hAnsi="Times New Roman"/>
          <w:sz w:val="24"/>
          <w:szCs w:val="24"/>
        </w:rPr>
        <w:t xml:space="preserve">dalszymi tego </w:t>
      </w:r>
      <w:r w:rsidRPr="00C835AB">
        <w:rPr>
          <w:rFonts w:ascii="Times New Roman" w:hAnsi="Times New Roman"/>
          <w:sz w:val="24"/>
          <w:szCs w:val="24"/>
        </w:rPr>
        <w:t xml:space="preserve">implikacjami procesowymi (przewidzianymi m.in. w art. 299 § 1 k.p.k.) będą przesądzały dwie okoliczności: istnienie uzasadnionego podejrzenia popełnienia przestępstwa przez osobę na podstawie zebranych dowodów i podjęcie wobec niej pierwszej czynności procesowej ukierunkowanej na </w:t>
      </w:r>
      <w:r w:rsidR="3D037789" w:rsidRPr="00C835AB">
        <w:rPr>
          <w:rFonts w:ascii="Times New Roman" w:hAnsi="Times New Roman"/>
          <w:sz w:val="24"/>
          <w:szCs w:val="24"/>
        </w:rPr>
        <w:t xml:space="preserve">jej </w:t>
      </w:r>
      <w:r w:rsidRPr="00C835AB">
        <w:rPr>
          <w:rFonts w:ascii="Times New Roman" w:hAnsi="Times New Roman"/>
          <w:sz w:val="24"/>
          <w:szCs w:val="24"/>
        </w:rPr>
        <w:t>ściganie (proponowany art. 71 § 1</w:t>
      </w:r>
      <w:r w:rsidR="0001272B" w:rsidRPr="00C835AB">
        <w:rPr>
          <w:rFonts w:ascii="Times New Roman" w:hAnsi="Times New Roman"/>
          <w:sz w:val="24"/>
          <w:szCs w:val="24"/>
        </w:rPr>
        <w:t xml:space="preserve"> k.p.k.</w:t>
      </w:r>
      <w:r w:rsidRPr="00C835AB">
        <w:rPr>
          <w:rFonts w:ascii="Times New Roman" w:hAnsi="Times New Roman"/>
          <w:sz w:val="24"/>
          <w:szCs w:val="24"/>
        </w:rPr>
        <w:t>). Tą czynnością może być zatrzymanie</w:t>
      </w:r>
      <w:r w:rsidR="5730F71B" w:rsidRPr="00C835AB">
        <w:rPr>
          <w:rFonts w:ascii="Times New Roman" w:hAnsi="Times New Roman"/>
          <w:sz w:val="24"/>
          <w:szCs w:val="24"/>
        </w:rPr>
        <w:t xml:space="preserve"> takiej osoby</w:t>
      </w:r>
      <w:r w:rsidRPr="00C835AB">
        <w:rPr>
          <w:rFonts w:ascii="Times New Roman" w:hAnsi="Times New Roman"/>
          <w:sz w:val="24"/>
          <w:szCs w:val="24"/>
        </w:rPr>
        <w:t>, przeprowadzenie jej okazania, przeszukania tej osoby lub</w:t>
      </w:r>
      <w:r w:rsidR="0097228F">
        <w:rPr>
          <w:rFonts w:ascii="Times New Roman" w:hAnsi="Times New Roman"/>
          <w:sz w:val="24"/>
          <w:szCs w:val="24"/>
        </w:rPr>
        <w:t> </w:t>
      </w:r>
      <w:r w:rsidRPr="00C835AB">
        <w:rPr>
          <w:rFonts w:ascii="Times New Roman" w:hAnsi="Times New Roman"/>
          <w:sz w:val="24"/>
          <w:szCs w:val="24"/>
        </w:rPr>
        <w:t>zajmowanego przez nią lokalu lub jej pojazdu, pobranie od tej osoby materiałów biologicznych do badań na podstawie art. 74 § 2 k.p.k. lub zarządzenie wobec niej podsłuchu procesowego.</w:t>
      </w:r>
    </w:p>
    <w:p w14:paraId="71D9AAFA" w14:textId="30E98220" w:rsidR="00647D88" w:rsidRPr="00C835AB" w:rsidRDefault="00647D88"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 xml:space="preserve">Nie sposób w tym kontekście również pominąć faktu, że w świetle orzecznictwa Trybunału Konstytucyjnego, osoba podejrzana </w:t>
      </w:r>
      <w:r w:rsidR="00764BD0" w:rsidRPr="00C835AB">
        <w:rPr>
          <w:rFonts w:ascii="Times New Roman" w:hAnsi="Times New Roman"/>
          <w:sz w:val="24"/>
          <w:szCs w:val="24"/>
        </w:rPr>
        <w:t xml:space="preserve">(w aktualnym rozumieniu tego pojęcia) </w:t>
      </w:r>
      <w:r w:rsidRPr="00C835AB">
        <w:rPr>
          <w:rFonts w:ascii="Times New Roman" w:hAnsi="Times New Roman"/>
          <w:sz w:val="24"/>
          <w:szCs w:val="24"/>
        </w:rPr>
        <w:t>jest podmiotem, któremu przysługuje prawo do obrony zagwarantowane w art. 42 ust. 2 Konstytucji RP. Trybunał podzielił pogląd Sądu Najwyższego, że „nie formalne postawienie zarzutu popełnienia przestępstwa, lecz już pierwsza czynność organów procesowych skierowana na</w:t>
      </w:r>
      <w:r w:rsidR="0097228F">
        <w:rPr>
          <w:rFonts w:ascii="Times New Roman" w:hAnsi="Times New Roman"/>
          <w:sz w:val="24"/>
          <w:szCs w:val="24"/>
        </w:rPr>
        <w:t> </w:t>
      </w:r>
      <w:r w:rsidRPr="00C835AB">
        <w:rPr>
          <w:rFonts w:ascii="Times New Roman" w:hAnsi="Times New Roman"/>
          <w:sz w:val="24"/>
          <w:szCs w:val="24"/>
        </w:rPr>
        <w:t>ściganie określonej osoby czyni ją podmiotem prawa do obrony”</w:t>
      </w:r>
      <w:r w:rsidR="00822B4C" w:rsidRPr="00C835AB">
        <w:rPr>
          <w:rFonts w:ascii="Times New Roman" w:hAnsi="Times New Roman"/>
          <w:sz w:val="24"/>
          <w:szCs w:val="24"/>
        </w:rPr>
        <w:t xml:space="preserve"> </w:t>
      </w:r>
      <w:r w:rsidR="0001272B" w:rsidRPr="00C835AB">
        <w:rPr>
          <w:rFonts w:ascii="Times New Roman" w:hAnsi="Times New Roman"/>
          <w:sz w:val="24"/>
          <w:szCs w:val="24"/>
        </w:rPr>
        <w:t>(</w:t>
      </w:r>
      <w:r w:rsidR="00822B4C" w:rsidRPr="00C835AB">
        <w:rPr>
          <w:rFonts w:ascii="Times New Roman" w:hAnsi="Times New Roman"/>
          <w:sz w:val="24"/>
          <w:szCs w:val="24"/>
        </w:rPr>
        <w:t>z</w:t>
      </w:r>
      <w:r w:rsidR="0001272B" w:rsidRPr="00C835AB">
        <w:rPr>
          <w:rFonts w:ascii="Times New Roman" w:hAnsi="Times New Roman"/>
          <w:sz w:val="24"/>
          <w:szCs w:val="24"/>
        </w:rPr>
        <w:t>ob. wyrok TK z dnia 11</w:t>
      </w:r>
      <w:r w:rsidR="0004458F">
        <w:rPr>
          <w:rFonts w:ascii="Times New Roman" w:hAnsi="Times New Roman"/>
          <w:sz w:val="24"/>
          <w:szCs w:val="24"/>
        </w:rPr>
        <w:t> </w:t>
      </w:r>
      <w:r w:rsidR="0001272B" w:rsidRPr="00C835AB">
        <w:rPr>
          <w:rFonts w:ascii="Times New Roman" w:hAnsi="Times New Roman"/>
          <w:sz w:val="24"/>
          <w:szCs w:val="24"/>
        </w:rPr>
        <w:t>grudnia 2012 r., K 37/11, OTK-A 2012, nr 11, poz. 133 – pkt III.2.3 uzasadnienia)</w:t>
      </w:r>
      <w:r w:rsidRPr="00C835AB">
        <w:rPr>
          <w:rFonts w:ascii="Times New Roman" w:hAnsi="Times New Roman"/>
          <w:sz w:val="24"/>
          <w:szCs w:val="24"/>
        </w:rPr>
        <w:t>. Trzeba</w:t>
      </w:r>
      <w:r w:rsidR="0004458F">
        <w:rPr>
          <w:rFonts w:ascii="Times New Roman" w:hAnsi="Times New Roman"/>
          <w:sz w:val="24"/>
          <w:szCs w:val="24"/>
        </w:rPr>
        <w:t> </w:t>
      </w:r>
      <w:r w:rsidRPr="00C835AB">
        <w:rPr>
          <w:rFonts w:ascii="Times New Roman" w:hAnsi="Times New Roman"/>
          <w:sz w:val="24"/>
          <w:szCs w:val="24"/>
        </w:rPr>
        <w:t>też w końcu pamiętać, że dyrektywy przewidują jedynie normy minimalne, więc nie</w:t>
      </w:r>
      <w:r w:rsidR="0004458F">
        <w:rPr>
          <w:rFonts w:ascii="Times New Roman" w:hAnsi="Times New Roman"/>
          <w:sz w:val="24"/>
          <w:szCs w:val="24"/>
        </w:rPr>
        <w:t> </w:t>
      </w:r>
      <w:r w:rsidRPr="00C835AB">
        <w:rPr>
          <w:rFonts w:ascii="Times New Roman" w:hAnsi="Times New Roman"/>
          <w:sz w:val="24"/>
          <w:szCs w:val="24"/>
        </w:rPr>
        <w:t>może być jakichkolwiek wątpliwości, że państwa członkowskie mają możliwość rozszerzenia praw w niej określonych (zob. pkt 54 motywów dyrektywy 2013/48/UE).</w:t>
      </w:r>
      <w:r w:rsidR="00CD3459" w:rsidRPr="00C835AB">
        <w:rPr>
          <w:rFonts w:ascii="Times New Roman" w:hAnsi="Times New Roman"/>
          <w:sz w:val="24"/>
          <w:szCs w:val="24"/>
        </w:rPr>
        <w:t xml:space="preserve"> Warto jednak zauważyć, że</w:t>
      </w:r>
      <w:r w:rsidR="0097228F">
        <w:rPr>
          <w:rFonts w:ascii="Times New Roman" w:hAnsi="Times New Roman"/>
          <w:sz w:val="24"/>
          <w:szCs w:val="24"/>
        </w:rPr>
        <w:t> </w:t>
      </w:r>
      <w:r w:rsidR="00CD3459" w:rsidRPr="00C835AB">
        <w:rPr>
          <w:rFonts w:ascii="Times New Roman" w:hAnsi="Times New Roman"/>
          <w:sz w:val="24"/>
          <w:szCs w:val="24"/>
        </w:rPr>
        <w:t>Trybunał Sprawiedliwości w swoim orzecznictwie wyraźnie przyjmuje, ż</w:t>
      </w:r>
      <w:r w:rsidR="00315AE2" w:rsidRPr="00C835AB">
        <w:rPr>
          <w:rFonts w:ascii="Times New Roman" w:hAnsi="Times New Roman"/>
          <w:sz w:val="24"/>
          <w:szCs w:val="24"/>
        </w:rPr>
        <w:t>e</w:t>
      </w:r>
      <w:r w:rsidR="00CD3459" w:rsidRPr="00C835AB">
        <w:rPr>
          <w:rFonts w:ascii="Times New Roman" w:hAnsi="Times New Roman"/>
          <w:sz w:val="24"/>
          <w:szCs w:val="24"/>
        </w:rPr>
        <w:t xml:space="preserve"> dyrektywa 2013/48/UE i dyrektywa 2012/13/UE mają zastosowanie do osoby, co do której istnieją informacje o tym, że popełniła przestępstwo (np. posiada nielegalne substancje) i</w:t>
      </w:r>
      <w:r w:rsidR="00D92A0D" w:rsidRPr="00C835AB">
        <w:rPr>
          <w:rFonts w:ascii="Times New Roman" w:hAnsi="Times New Roman"/>
          <w:sz w:val="24"/>
          <w:szCs w:val="24"/>
        </w:rPr>
        <w:t> </w:t>
      </w:r>
      <w:r w:rsidR="00CD3459" w:rsidRPr="00C835AB">
        <w:rPr>
          <w:rFonts w:ascii="Times New Roman" w:hAnsi="Times New Roman"/>
          <w:sz w:val="24"/>
          <w:szCs w:val="24"/>
        </w:rPr>
        <w:t>przeprowadzono wobec niej czynność taką jak jej przeszukanie i zatrzymanie nielegalnych substancji, a więc czynność nakierowaną na ściganie tej osoby, przy czym bez znaczenia dla</w:t>
      </w:r>
      <w:r w:rsidR="0097228F">
        <w:rPr>
          <w:rFonts w:ascii="Times New Roman" w:hAnsi="Times New Roman"/>
          <w:sz w:val="24"/>
          <w:szCs w:val="24"/>
        </w:rPr>
        <w:t> </w:t>
      </w:r>
      <w:r w:rsidR="00CD3459" w:rsidRPr="00C835AB">
        <w:rPr>
          <w:rFonts w:ascii="Times New Roman" w:hAnsi="Times New Roman"/>
          <w:sz w:val="24"/>
          <w:szCs w:val="24"/>
        </w:rPr>
        <w:t>korzystania z uprawnień gwarantowanych przez wskazane dyrektywy jest, że osoba ta nie została oficjalnie poinformowana o tym, że ma status podejrzanego (zob. wyrok TS z dnia 7</w:t>
      </w:r>
      <w:r w:rsidR="00D92A0D" w:rsidRPr="00C835AB">
        <w:rPr>
          <w:rFonts w:ascii="Times New Roman" w:hAnsi="Times New Roman"/>
          <w:sz w:val="24"/>
          <w:szCs w:val="24"/>
        </w:rPr>
        <w:t> </w:t>
      </w:r>
      <w:r w:rsidR="00CD3459" w:rsidRPr="00C835AB">
        <w:rPr>
          <w:rFonts w:ascii="Times New Roman" w:hAnsi="Times New Roman"/>
          <w:sz w:val="24"/>
          <w:szCs w:val="24"/>
        </w:rPr>
        <w:t xml:space="preserve">września 2023 r., C-209/22). </w:t>
      </w:r>
      <w:r w:rsidR="008E0DEA" w:rsidRPr="00C835AB">
        <w:rPr>
          <w:rFonts w:ascii="Times New Roman" w:hAnsi="Times New Roman"/>
          <w:sz w:val="24"/>
          <w:szCs w:val="24"/>
        </w:rPr>
        <w:t xml:space="preserve">Projektowana w art. 71 § 1 </w:t>
      </w:r>
      <w:r w:rsidR="004A2DAF" w:rsidRPr="00C835AB">
        <w:rPr>
          <w:rFonts w:ascii="Times New Roman" w:hAnsi="Times New Roman"/>
          <w:sz w:val="24"/>
          <w:szCs w:val="24"/>
        </w:rPr>
        <w:t xml:space="preserve">k.p.k. </w:t>
      </w:r>
      <w:r w:rsidR="00315AE2" w:rsidRPr="00C835AB">
        <w:rPr>
          <w:rFonts w:ascii="Times New Roman" w:hAnsi="Times New Roman"/>
          <w:sz w:val="24"/>
          <w:szCs w:val="24"/>
        </w:rPr>
        <w:t xml:space="preserve">definicja </w:t>
      </w:r>
      <w:r w:rsidR="008E0DEA" w:rsidRPr="00C835AB">
        <w:rPr>
          <w:rFonts w:ascii="Times New Roman" w:hAnsi="Times New Roman"/>
          <w:sz w:val="24"/>
          <w:szCs w:val="24"/>
        </w:rPr>
        <w:t>podejrzanego oraz</w:t>
      </w:r>
      <w:r w:rsidR="0097228F">
        <w:rPr>
          <w:rFonts w:ascii="Times New Roman" w:hAnsi="Times New Roman"/>
          <w:sz w:val="24"/>
          <w:szCs w:val="24"/>
        </w:rPr>
        <w:t> </w:t>
      </w:r>
      <w:r w:rsidR="008E0DEA" w:rsidRPr="00C835AB">
        <w:rPr>
          <w:rFonts w:ascii="Times New Roman" w:hAnsi="Times New Roman"/>
          <w:sz w:val="24"/>
          <w:szCs w:val="24"/>
        </w:rPr>
        <w:t xml:space="preserve">związane z tym uzyskanie uprawnień procesowych pozwoli na zapewnienie </w:t>
      </w:r>
      <w:r w:rsidR="005C27BE" w:rsidRPr="00C835AB">
        <w:rPr>
          <w:rFonts w:ascii="Times New Roman" w:hAnsi="Times New Roman"/>
          <w:sz w:val="24"/>
          <w:szCs w:val="24"/>
        </w:rPr>
        <w:t xml:space="preserve">pełnej </w:t>
      </w:r>
      <w:r w:rsidR="008E0DEA" w:rsidRPr="00C835AB">
        <w:rPr>
          <w:rFonts w:ascii="Times New Roman" w:hAnsi="Times New Roman"/>
          <w:sz w:val="24"/>
          <w:szCs w:val="24"/>
        </w:rPr>
        <w:t xml:space="preserve">spójności polskiego unormowania z wymogami przewidzianymi we wskazanych dyrektywach. </w:t>
      </w:r>
    </w:p>
    <w:p w14:paraId="46812A30" w14:textId="0D83606A" w:rsidR="00647D88" w:rsidRPr="00C835AB" w:rsidRDefault="00647D88"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Aktualnie obowiązujący tryb desygnowania podejrzanego w postępowaniu przygotowawczym</w:t>
      </w:r>
      <w:r w:rsidR="00744B6C" w:rsidRPr="00C835AB">
        <w:rPr>
          <w:rFonts w:ascii="Times New Roman" w:hAnsi="Times New Roman"/>
          <w:sz w:val="24"/>
          <w:szCs w:val="24"/>
        </w:rPr>
        <w:t>,</w:t>
      </w:r>
      <w:r w:rsidRPr="00C835AB">
        <w:rPr>
          <w:rFonts w:ascii="Times New Roman" w:hAnsi="Times New Roman"/>
          <w:sz w:val="24"/>
          <w:szCs w:val="24"/>
        </w:rPr>
        <w:t xml:space="preserve"> polegający na formalnym przedstawieniu zarzutów</w:t>
      </w:r>
      <w:r w:rsidR="00744B6C" w:rsidRPr="00C835AB">
        <w:rPr>
          <w:rFonts w:ascii="Times New Roman" w:hAnsi="Times New Roman"/>
          <w:sz w:val="24"/>
          <w:szCs w:val="24"/>
        </w:rPr>
        <w:t>,</w:t>
      </w:r>
      <w:r w:rsidRPr="00C835AB">
        <w:rPr>
          <w:rFonts w:ascii="Times New Roman" w:hAnsi="Times New Roman"/>
          <w:sz w:val="24"/>
          <w:szCs w:val="24"/>
        </w:rPr>
        <w:t xml:space="preserve"> został wprowadzony do polskiego procesu karnego dekretem z dnia 21 grudnia 1955 r. – z mocą </w:t>
      </w:r>
      <w:r w:rsidR="00E2254F" w:rsidRPr="00C835AB">
        <w:rPr>
          <w:rFonts w:ascii="Times New Roman" w:hAnsi="Times New Roman"/>
          <w:sz w:val="24"/>
          <w:szCs w:val="24"/>
        </w:rPr>
        <w:t>obowiązując</w:t>
      </w:r>
      <w:r w:rsidR="00E2254F">
        <w:rPr>
          <w:rFonts w:ascii="Times New Roman" w:hAnsi="Times New Roman"/>
          <w:sz w:val="24"/>
          <w:szCs w:val="24"/>
        </w:rPr>
        <w:t>ą</w:t>
      </w:r>
      <w:r w:rsidR="00A704D9">
        <w:rPr>
          <w:rFonts w:ascii="Times New Roman" w:hAnsi="Times New Roman"/>
          <w:sz w:val="24"/>
          <w:szCs w:val="24"/>
        </w:rPr>
        <w:t xml:space="preserve"> </w:t>
      </w:r>
      <w:r w:rsidRPr="00C835AB">
        <w:rPr>
          <w:rFonts w:ascii="Times New Roman" w:hAnsi="Times New Roman"/>
          <w:sz w:val="24"/>
          <w:szCs w:val="24"/>
        </w:rPr>
        <w:t>od</w:t>
      </w:r>
      <w:r w:rsidR="0097228F">
        <w:rPr>
          <w:rFonts w:ascii="Times New Roman" w:hAnsi="Times New Roman"/>
          <w:sz w:val="24"/>
          <w:szCs w:val="24"/>
        </w:rPr>
        <w:t> </w:t>
      </w:r>
      <w:r w:rsidR="00AC00D0" w:rsidRPr="00C835AB">
        <w:rPr>
          <w:rFonts w:ascii="Times New Roman" w:hAnsi="Times New Roman"/>
          <w:sz w:val="24"/>
          <w:szCs w:val="24"/>
        </w:rPr>
        <w:t xml:space="preserve">dnia </w:t>
      </w:r>
      <w:r w:rsidRPr="00C835AB">
        <w:rPr>
          <w:rFonts w:ascii="Times New Roman" w:hAnsi="Times New Roman"/>
          <w:sz w:val="24"/>
          <w:szCs w:val="24"/>
        </w:rPr>
        <w:t xml:space="preserve">1 marca 1956 r. Rozwiązanie to na przestrzeni lat całkowicie straciło swój gwarancyjny </w:t>
      </w:r>
      <w:r w:rsidRPr="00C835AB">
        <w:rPr>
          <w:rFonts w:ascii="Times New Roman" w:hAnsi="Times New Roman"/>
          <w:sz w:val="24"/>
          <w:szCs w:val="24"/>
        </w:rPr>
        <w:lastRenderedPageBreak/>
        <w:t>charakter, głównie z uwagi na systematyczne poszerzanie przez ustawodawcę możliwości podejmowania czynności śledczych bezpośrednio wobec osoby podejrzanej zanim doszło jeszcze do formalnego przedstawienia zarzutów. Pomimo tego przepisy procesowe zapewniają osobie podejrzanej ograniczone możliwości realizowania swojej obrony. Nie odpowiada fundamentalnym zasadom współczesnego procesu karnego w demokratycznym państwie prawa sytuacja, kiedy o tym, czy i kiedy jednostka może realizować swoje prawo do obrony, decyduje organ państwa (prokurator, funkcjonariusz Policji), zwłaszcza w sytuacji, gdy bez przeszkód wobec takiej jednostki mogą być podejmowane działania ingerujące w jej prawa podstawowe oraz nakładane są już na nią obowiązki procesowe. W nowej regulacji przedstawienie zarzutów nie będzie już jedyną, ale jedną z czynności skutkujących ukonstytuowaniem podejrzanego w postępowaniu przygotowawczym. Skutek ten będzie wywoływał</w:t>
      </w:r>
      <w:r w:rsidR="008E0DEA" w:rsidRPr="00C835AB">
        <w:rPr>
          <w:rFonts w:ascii="Times New Roman" w:hAnsi="Times New Roman"/>
          <w:sz w:val="24"/>
          <w:szCs w:val="24"/>
        </w:rPr>
        <w:t>o</w:t>
      </w:r>
      <w:r w:rsidRPr="00C835AB">
        <w:rPr>
          <w:rFonts w:ascii="Times New Roman" w:hAnsi="Times New Roman"/>
          <w:sz w:val="24"/>
          <w:szCs w:val="24"/>
        </w:rPr>
        <w:t xml:space="preserve"> bowiem tylko w sytuacji, gdy wobec osoby, co do której istnieje uzasadnione podejrzenie popełnienia przestępstwa, nie podjęto wcześniej innej czynności nakierowanej na</w:t>
      </w:r>
      <w:r w:rsidR="0097228F">
        <w:rPr>
          <w:rFonts w:ascii="Times New Roman" w:hAnsi="Times New Roman"/>
          <w:sz w:val="24"/>
          <w:szCs w:val="24"/>
        </w:rPr>
        <w:t> </w:t>
      </w:r>
      <w:r w:rsidRPr="00C835AB">
        <w:rPr>
          <w:rFonts w:ascii="Times New Roman" w:hAnsi="Times New Roman"/>
          <w:sz w:val="24"/>
          <w:szCs w:val="24"/>
        </w:rPr>
        <w:t>jej ściganie (np. nie została ona zatrzymana, lecz poprzestano na wezwaniu jej do stawienia się na przesłuchanie w charakterze podejrzanego).</w:t>
      </w:r>
    </w:p>
    <w:p w14:paraId="628B6AAD" w14:textId="2364FF37" w:rsidR="008E0DEA" w:rsidRPr="00C835AB" w:rsidRDefault="008E0DEA"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 xml:space="preserve">Przesunięcie momentu uzyskania statusu podejrzanego będzie miało kluczowe znaczenie </w:t>
      </w:r>
      <w:r w:rsidR="00833138" w:rsidRPr="00C835AB">
        <w:rPr>
          <w:rFonts w:ascii="Times New Roman" w:hAnsi="Times New Roman"/>
          <w:sz w:val="24"/>
          <w:szCs w:val="24"/>
        </w:rPr>
        <w:t xml:space="preserve">dla </w:t>
      </w:r>
      <w:r w:rsidRPr="00C835AB">
        <w:rPr>
          <w:rFonts w:ascii="Times New Roman" w:hAnsi="Times New Roman"/>
          <w:sz w:val="24"/>
          <w:szCs w:val="24"/>
        </w:rPr>
        <w:t xml:space="preserve">sytuacji osób objętych podejrzeniem popełnienia przestępstwa, które wprawdzie pozostają na wolności, lecz wobec których podejmowane są inne czynności zmierzające do ich ścigania (np. przeszukanie). </w:t>
      </w:r>
      <w:r w:rsidR="00EE4956" w:rsidRPr="00C835AB">
        <w:rPr>
          <w:rFonts w:ascii="Times New Roman" w:hAnsi="Times New Roman"/>
          <w:sz w:val="24"/>
          <w:szCs w:val="24"/>
        </w:rPr>
        <w:t xml:space="preserve">Od </w:t>
      </w:r>
      <w:r w:rsidRPr="00C835AB">
        <w:rPr>
          <w:rFonts w:ascii="Times New Roman" w:hAnsi="Times New Roman"/>
          <w:sz w:val="24"/>
          <w:szCs w:val="24"/>
        </w:rPr>
        <w:t>t</w:t>
      </w:r>
      <w:r w:rsidR="00EE4956" w:rsidRPr="00C835AB">
        <w:rPr>
          <w:rFonts w:ascii="Times New Roman" w:hAnsi="Times New Roman"/>
          <w:sz w:val="24"/>
          <w:szCs w:val="24"/>
        </w:rPr>
        <w:t>ego</w:t>
      </w:r>
      <w:r w:rsidRPr="00C835AB">
        <w:rPr>
          <w:rFonts w:ascii="Times New Roman" w:hAnsi="Times New Roman"/>
          <w:sz w:val="24"/>
          <w:szCs w:val="24"/>
        </w:rPr>
        <w:t xml:space="preserve"> moment</w:t>
      </w:r>
      <w:r w:rsidR="00EE4956" w:rsidRPr="00C835AB">
        <w:rPr>
          <w:rFonts w:ascii="Times New Roman" w:hAnsi="Times New Roman"/>
          <w:sz w:val="24"/>
          <w:szCs w:val="24"/>
        </w:rPr>
        <w:t>u</w:t>
      </w:r>
      <w:r w:rsidRPr="00C835AB">
        <w:rPr>
          <w:rFonts w:ascii="Times New Roman" w:hAnsi="Times New Roman"/>
          <w:sz w:val="24"/>
          <w:szCs w:val="24"/>
        </w:rPr>
        <w:t xml:space="preserve"> niedopuszczalne bowiem będzie traktowanie takiej osoby inaczej niż jako podejrzanego, a zatem naruszeniem jej praw procesowych będzie </w:t>
      </w:r>
      <w:r w:rsidR="00EE4956" w:rsidRPr="00C835AB">
        <w:rPr>
          <w:rFonts w:ascii="Times New Roman" w:hAnsi="Times New Roman"/>
          <w:sz w:val="24"/>
          <w:szCs w:val="24"/>
        </w:rPr>
        <w:t xml:space="preserve">jej </w:t>
      </w:r>
      <w:r w:rsidRPr="00C835AB">
        <w:rPr>
          <w:rFonts w:ascii="Times New Roman" w:hAnsi="Times New Roman"/>
          <w:sz w:val="24"/>
          <w:szCs w:val="24"/>
        </w:rPr>
        <w:t>przesłuchanie w charakterze świadka.</w:t>
      </w:r>
    </w:p>
    <w:p w14:paraId="0F95C59A" w14:textId="633E2321" w:rsidR="38EE72F7" w:rsidRPr="00C835AB" w:rsidRDefault="38EE72F7"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Projektowana zmiana definicji podejrzanego spowod</w:t>
      </w:r>
      <w:r w:rsidR="00CD3459" w:rsidRPr="00C835AB">
        <w:rPr>
          <w:rFonts w:ascii="Times New Roman" w:hAnsi="Times New Roman"/>
          <w:sz w:val="24"/>
          <w:szCs w:val="24"/>
        </w:rPr>
        <w:t>uje</w:t>
      </w:r>
      <w:r w:rsidRPr="00C835AB">
        <w:rPr>
          <w:rFonts w:ascii="Times New Roman" w:hAnsi="Times New Roman"/>
          <w:sz w:val="24"/>
          <w:szCs w:val="24"/>
        </w:rPr>
        <w:t xml:space="preserve"> w istocie objęcie nią osób, które obecnie są w </w:t>
      </w:r>
      <w:r w:rsidR="004A2DAF" w:rsidRPr="00C835AB">
        <w:rPr>
          <w:rFonts w:ascii="Times New Roman" w:hAnsi="Times New Roman"/>
          <w:sz w:val="24"/>
          <w:szCs w:val="24"/>
        </w:rPr>
        <w:t>Kodeksie postępowania karnego</w:t>
      </w:r>
      <w:r w:rsidRPr="00C835AB">
        <w:rPr>
          <w:rFonts w:ascii="Times New Roman" w:hAnsi="Times New Roman"/>
          <w:sz w:val="24"/>
          <w:szCs w:val="24"/>
        </w:rPr>
        <w:t xml:space="preserve"> określane mianem „osób podejrzanych”. Z</w:t>
      </w:r>
      <w:r w:rsidR="00D92A0D" w:rsidRPr="00C835AB">
        <w:rPr>
          <w:rFonts w:ascii="Times New Roman" w:hAnsi="Times New Roman"/>
          <w:sz w:val="24"/>
          <w:szCs w:val="24"/>
        </w:rPr>
        <w:t> </w:t>
      </w:r>
      <w:r w:rsidRPr="00C835AB">
        <w:rPr>
          <w:rFonts w:ascii="Times New Roman" w:hAnsi="Times New Roman"/>
          <w:sz w:val="24"/>
          <w:szCs w:val="24"/>
        </w:rPr>
        <w:t xml:space="preserve">tego powodu konieczne </w:t>
      </w:r>
      <w:r w:rsidR="00315AE2" w:rsidRPr="00C835AB">
        <w:rPr>
          <w:rFonts w:ascii="Times New Roman" w:hAnsi="Times New Roman"/>
          <w:sz w:val="24"/>
          <w:szCs w:val="24"/>
        </w:rPr>
        <w:t>są</w:t>
      </w:r>
      <w:r w:rsidRPr="00C835AB">
        <w:rPr>
          <w:rFonts w:ascii="Times New Roman" w:hAnsi="Times New Roman"/>
          <w:sz w:val="24"/>
          <w:szCs w:val="24"/>
        </w:rPr>
        <w:t xml:space="preserve"> zmiany w tych przepisach, w których występuje pojęcie „osoba podejrzana”. Mają one dwojaki charakter. W tych przepisach, które przewidują czynności mogące wedle nowej definicji z art. 71 § 1 </w:t>
      </w:r>
      <w:r w:rsidR="004A2DAF" w:rsidRPr="00C835AB">
        <w:rPr>
          <w:rFonts w:ascii="Times New Roman" w:hAnsi="Times New Roman"/>
          <w:sz w:val="24"/>
          <w:szCs w:val="24"/>
        </w:rPr>
        <w:t xml:space="preserve">k.p.k. </w:t>
      </w:r>
      <w:r w:rsidRPr="00C835AB">
        <w:rPr>
          <w:rFonts w:ascii="Times New Roman" w:hAnsi="Times New Roman"/>
          <w:sz w:val="24"/>
          <w:szCs w:val="24"/>
        </w:rPr>
        <w:t>konstytuować podejrzanego jako stronę w</w:t>
      </w:r>
      <w:r w:rsidR="00D92A0D" w:rsidRPr="00C835AB">
        <w:rPr>
          <w:rFonts w:ascii="Times New Roman" w:hAnsi="Times New Roman"/>
          <w:sz w:val="24"/>
          <w:szCs w:val="24"/>
        </w:rPr>
        <w:t> </w:t>
      </w:r>
      <w:r w:rsidRPr="00C835AB">
        <w:rPr>
          <w:rFonts w:ascii="Times New Roman" w:hAnsi="Times New Roman"/>
          <w:sz w:val="24"/>
          <w:szCs w:val="24"/>
        </w:rPr>
        <w:t>postępowaniu przygotowawczym: art. 74 § 3</w:t>
      </w:r>
      <w:r w:rsidR="00796D23">
        <w:rPr>
          <w:rFonts w:ascii="Times New Roman" w:hAnsi="Times New Roman"/>
          <w:sz w:val="24"/>
          <w:szCs w:val="24"/>
        </w:rPr>
        <w:t>–</w:t>
      </w:r>
      <w:r w:rsidRPr="00C835AB">
        <w:rPr>
          <w:rFonts w:ascii="Times New Roman" w:hAnsi="Times New Roman"/>
          <w:sz w:val="24"/>
          <w:szCs w:val="24"/>
        </w:rPr>
        <w:t>4</w:t>
      </w:r>
      <w:r w:rsidR="004A2DAF" w:rsidRPr="00C835AB">
        <w:rPr>
          <w:rFonts w:ascii="Times New Roman" w:hAnsi="Times New Roman"/>
          <w:sz w:val="24"/>
          <w:szCs w:val="24"/>
        </w:rPr>
        <w:t xml:space="preserve"> </w:t>
      </w:r>
      <w:r w:rsidR="00A468D6" w:rsidRPr="00C835AB">
        <w:rPr>
          <w:rFonts w:ascii="Times New Roman" w:hAnsi="Times New Roman"/>
          <w:sz w:val="24"/>
          <w:szCs w:val="24"/>
        </w:rPr>
        <w:t xml:space="preserve">k.p.k. </w:t>
      </w:r>
      <w:r w:rsidRPr="00C835AB">
        <w:rPr>
          <w:rFonts w:ascii="Times New Roman" w:hAnsi="Times New Roman"/>
          <w:sz w:val="24"/>
          <w:szCs w:val="24"/>
        </w:rPr>
        <w:t>(w konsekwencji również w art. 308 §</w:t>
      </w:r>
      <w:r w:rsidR="00D92A0D" w:rsidRPr="00C835AB">
        <w:rPr>
          <w:rFonts w:ascii="Times New Roman" w:hAnsi="Times New Roman"/>
          <w:sz w:val="24"/>
          <w:szCs w:val="24"/>
        </w:rPr>
        <w:t> </w:t>
      </w:r>
      <w:r w:rsidRPr="00C835AB">
        <w:rPr>
          <w:rFonts w:ascii="Times New Roman" w:hAnsi="Times New Roman"/>
          <w:sz w:val="24"/>
          <w:szCs w:val="24"/>
        </w:rPr>
        <w:t>1</w:t>
      </w:r>
      <w:r w:rsidR="00A468D6" w:rsidRPr="00C835AB">
        <w:rPr>
          <w:rFonts w:ascii="Times New Roman" w:hAnsi="Times New Roman"/>
          <w:sz w:val="24"/>
          <w:szCs w:val="24"/>
        </w:rPr>
        <w:t xml:space="preserve"> k.p.k.</w:t>
      </w:r>
      <w:r w:rsidRPr="00C835AB">
        <w:rPr>
          <w:rFonts w:ascii="Times New Roman" w:hAnsi="Times New Roman"/>
          <w:sz w:val="24"/>
          <w:szCs w:val="24"/>
        </w:rPr>
        <w:t xml:space="preserve"> i art. 335 § 1</w:t>
      </w:r>
      <w:r w:rsidR="00A468D6" w:rsidRPr="00C835AB">
        <w:rPr>
          <w:rFonts w:ascii="Times New Roman" w:hAnsi="Times New Roman"/>
          <w:sz w:val="24"/>
          <w:szCs w:val="24"/>
        </w:rPr>
        <w:t xml:space="preserve"> k.p.k.</w:t>
      </w:r>
      <w:r w:rsidRPr="00C835AB">
        <w:rPr>
          <w:rFonts w:ascii="Times New Roman" w:hAnsi="Times New Roman"/>
          <w:sz w:val="24"/>
          <w:szCs w:val="24"/>
        </w:rPr>
        <w:t>), art. 219 § 1</w:t>
      </w:r>
      <w:r w:rsidR="00A468D6" w:rsidRPr="00C835AB">
        <w:rPr>
          <w:rFonts w:ascii="Times New Roman" w:hAnsi="Times New Roman"/>
          <w:sz w:val="24"/>
          <w:szCs w:val="24"/>
        </w:rPr>
        <w:t xml:space="preserve"> k.p.k.</w:t>
      </w:r>
      <w:r w:rsidRPr="00C835AB">
        <w:rPr>
          <w:rFonts w:ascii="Times New Roman" w:hAnsi="Times New Roman"/>
          <w:sz w:val="24"/>
          <w:szCs w:val="24"/>
        </w:rPr>
        <w:t>, art. 237 § 4</w:t>
      </w:r>
      <w:r w:rsidR="00A468D6" w:rsidRPr="00C835AB">
        <w:rPr>
          <w:rFonts w:ascii="Times New Roman" w:hAnsi="Times New Roman"/>
          <w:sz w:val="24"/>
          <w:szCs w:val="24"/>
        </w:rPr>
        <w:t xml:space="preserve"> k.p.k.</w:t>
      </w:r>
      <w:r w:rsidRPr="00C835AB">
        <w:rPr>
          <w:rFonts w:ascii="Times New Roman" w:hAnsi="Times New Roman"/>
          <w:sz w:val="24"/>
          <w:szCs w:val="24"/>
        </w:rPr>
        <w:t>, art. 244 § 1, 1a, 1b</w:t>
      </w:r>
      <w:r w:rsidR="006C6CA2" w:rsidRPr="00C835AB">
        <w:rPr>
          <w:rFonts w:ascii="Times New Roman" w:hAnsi="Times New Roman"/>
          <w:sz w:val="24"/>
          <w:szCs w:val="24"/>
        </w:rPr>
        <w:t xml:space="preserve"> </w:t>
      </w:r>
      <w:r w:rsidR="00A468D6" w:rsidRPr="00C835AB">
        <w:rPr>
          <w:rFonts w:ascii="Times New Roman" w:hAnsi="Times New Roman"/>
          <w:sz w:val="24"/>
          <w:szCs w:val="24"/>
        </w:rPr>
        <w:t>k.p.k.</w:t>
      </w:r>
      <w:r w:rsidRPr="00C835AB">
        <w:rPr>
          <w:rFonts w:ascii="Times New Roman" w:hAnsi="Times New Roman"/>
          <w:sz w:val="24"/>
          <w:szCs w:val="24"/>
        </w:rPr>
        <w:t>, art. 247 § 1</w:t>
      </w:r>
      <w:r w:rsidR="00A468D6" w:rsidRPr="00C835AB">
        <w:rPr>
          <w:rFonts w:ascii="Times New Roman" w:hAnsi="Times New Roman"/>
          <w:sz w:val="24"/>
          <w:szCs w:val="24"/>
        </w:rPr>
        <w:t xml:space="preserve"> k.p.k.</w:t>
      </w:r>
      <w:r w:rsidRPr="00C835AB">
        <w:rPr>
          <w:rFonts w:ascii="Times New Roman" w:hAnsi="Times New Roman"/>
          <w:sz w:val="24"/>
          <w:szCs w:val="24"/>
        </w:rPr>
        <w:t xml:space="preserve">, art. 278 </w:t>
      </w:r>
      <w:r w:rsidR="00A468D6" w:rsidRPr="00C835AB">
        <w:rPr>
          <w:rFonts w:ascii="Times New Roman" w:hAnsi="Times New Roman"/>
          <w:sz w:val="24"/>
          <w:szCs w:val="24"/>
        </w:rPr>
        <w:t xml:space="preserve">k.p.k. </w:t>
      </w:r>
      <w:r w:rsidRPr="00C835AB">
        <w:rPr>
          <w:rFonts w:ascii="Times New Roman" w:hAnsi="Times New Roman"/>
          <w:sz w:val="24"/>
          <w:szCs w:val="24"/>
        </w:rPr>
        <w:t xml:space="preserve">i art. 295 § 1 </w:t>
      </w:r>
      <w:r w:rsidR="004A2DAF" w:rsidRPr="00C835AB">
        <w:rPr>
          <w:rFonts w:ascii="Times New Roman" w:hAnsi="Times New Roman"/>
          <w:sz w:val="24"/>
          <w:szCs w:val="24"/>
        </w:rPr>
        <w:t>k.p.k.</w:t>
      </w:r>
      <w:r w:rsidR="0012316D" w:rsidRPr="00C835AB">
        <w:rPr>
          <w:rFonts w:ascii="Times New Roman" w:hAnsi="Times New Roman"/>
          <w:sz w:val="24"/>
          <w:szCs w:val="24"/>
        </w:rPr>
        <w:t>,</w:t>
      </w:r>
      <w:r w:rsidR="004A2DAF" w:rsidRPr="00C835AB">
        <w:rPr>
          <w:rFonts w:ascii="Times New Roman" w:hAnsi="Times New Roman"/>
          <w:sz w:val="24"/>
          <w:szCs w:val="24"/>
        </w:rPr>
        <w:t xml:space="preserve"> </w:t>
      </w:r>
      <w:r w:rsidRPr="00C835AB">
        <w:rPr>
          <w:rFonts w:ascii="Times New Roman" w:hAnsi="Times New Roman"/>
          <w:sz w:val="24"/>
          <w:szCs w:val="24"/>
        </w:rPr>
        <w:t>posłużono się pojęciem „osoba, co</w:t>
      </w:r>
      <w:r w:rsidR="0097228F">
        <w:rPr>
          <w:rFonts w:ascii="Times New Roman" w:hAnsi="Times New Roman"/>
          <w:sz w:val="24"/>
          <w:szCs w:val="24"/>
        </w:rPr>
        <w:t> </w:t>
      </w:r>
      <w:r w:rsidRPr="00C835AB">
        <w:rPr>
          <w:rFonts w:ascii="Times New Roman" w:hAnsi="Times New Roman"/>
          <w:sz w:val="24"/>
          <w:szCs w:val="24"/>
        </w:rPr>
        <w:t>do</w:t>
      </w:r>
      <w:r w:rsidR="0097228F">
        <w:rPr>
          <w:rFonts w:ascii="Times New Roman" w:hAnsi="Times New Roman"/>
          <w:sz w:val="24"/>
          <w:szCs w:val="24"/>
        </w:rPr>
        <w:t> </w:t>
      </w:r>
      <w:r w:rsidRPr="00C835AB">
        <w:rPr>
          <w:rFonts w:ascii="Times New Roman" w:hAnsi="Times New Roman"/>
          <w:sz w:val="24"/>
          <w:szCs w:val="24"/>
        </w:rPr>
        <w:t>której istnieje uzasadnione podejrzenie popełnienia przestępstwa”, a więc wyrażeniem określającym pierwszy element definicji podejrzanego z art. 71 § 1</w:t>
      </w:r>
      <w:r w:rsidR="004A2DAF" w:rsidRPr="00C835AB">
        <w:rPr>
          <w:rFonts w:ascii="Times New Roman" w:hAnsi="Times New Roman"/>
          <w:sz w:val="24"/>
          <w:szCs w:val="24"/>
        </w:rPr>
        <w:t xml:space="preserve"> k.p.k</w:t>
      </w:r>
      <w:r w:rsidRPr="00C835AB">
        <w:rPr>
          <w:rFonts w:ascii="Times New Roman" w:hAnsi="Times New Roman"/>
          <w:sz w:val="24"/>
          <w:szCs w:val="24"/>
        </w:rPr>
        <w:t>. Oznaczać to będzie, że z momentem podjęcia takiej czynności (np. pobrania materiału dowodowego na podstawie art. 74 § 3</w:t>
      </w:r>
      <w:r w:rsidR="004A2DAF" w:rsidRPr="00C835AB">
        <w:rPr>
          <w:rFonts w:ascii="Times New Roman" w:hAnsi="Times New Roman"/>
          <w:sz w:val="24"/>
          <w:szCs w:val="24"/>
        </w:rPr>
        <w:t xml:space="preserve"> k.p.k.</w:t>
      </w:r>
      <w:r w:rsidR="14816F84" w:rsidRPr="00C835AB">
        <w:rPr>
          <w:rFonts w:ascii="Times New Roman" w:hAnsi="Times New Roman"/>
          <w:sz w:val="24"/>
          <w:szCs w:val="24"/>
        </w:rPr>
        <w:t>, przeszukania</w:t>
      </w:r>
      <w:r w:rsidRPr="00C835AB">
        <w:rPr>
          <w:rFonts w:ascii="Times New Roman" w:hAnsi="Times New Roman"/>
          <w:sz w:val="24"/>
          <w:szCs w:val="24"/>
        </w:rPr>
        <w:t>) lub wydania odpowiedniej decyzji procesowej (np. zarządzenia zatrzymania i przymusowego doprowadzenia na podstawie art. 247 § 1</w:t>
      </w:r>
      <w:r w:rsidR="004A2DAF" w:rsidRPr="00C835AB">
        <w:rPr>
          <w:rFonts w:ascii="Times New Roman" w:hAnsi="Times New Roman"/>
          <w:sz w:val="24"/>
          <w:szCs w:val="24"/>
        </w:rPr>
        <w:t xml:space="preserve"> k.p.k.</w:t>
      </w:r>
      <w:r w:rsidRPr="00C835AB">
        <w:rPr>
          <w:rFonts w:ascii="Times New Roman" w:hAnsi="Times New Roman"/>
          <w:sz w:val="24"/>
          <w:szCs w:val="24"/>
        </w:rPr>
        <w:t xml:space="preserve">) osoba, której </w:t>
      </w:r>
      <w:r w:rsidRPr="00C835AB">
        <w:rPr>
          <w:rFonts w:ascii="Times New Roman" w:hAnsi="Times New Roman"/>
          <w:sz w:val="24"/>
          <w:szCs w:val="24"/>
        </w:rPr>
        <w:lastRenderedPageBreak/>
        <w:t>taka czynność lub decyzja będzie dotyczyć, będzie uzyskiwać status podejrzanego</w:t>
      </w:r>
      <w:bookmarkStart w:id="0" w:name="_Hlk167779533"/>
      <w:r w:rsidRPr="00C835AB">
        <w:rPr>
          <w:rFonts w:ascii="Times New Roman" w:hAnsi="Times New Roman"/>
          <w:sz w:val="24"/>
          <w:szCs w:val="24"/>
        </w:rPr>
        <w:t>. Natomiast w przypadku przepisów mających zastosowanie w sytuacji, gdy już wcześniej doszło do</w:t>
      </w:r>
      <w:r w:rsidR="0097228F">
        <w:rPr>
          <w:rFonts w:ascii="Times New Roman" w:hAnsi="Times New Roman"/>
          <w:sz w:val="24"/>
          <w:szCs w:val="24"/>
        </w:rPr>
        <w:t> </w:t>
      </w:r>
      <w:r w:rsidRPr="00C835AB">
        <w:rPr>
          <w:rFonts w:ascii="Times New Roman" w:hAnsi="Times New Roman"/>
          <w:sz w:val="24"/>
          <w:szCs w:val="24"/>
        </w:rPr>
        <w:t>dokonania czynności procesowej ukierunkowanej na ściganie, posłużono się pojęciem „podejrzany” lub „oskarżony” (</w:t>
      </w:r>
      <w:r w:rsidR="00CE52A3" w:rsidRPr="00C835AB">
        <w:rPr>
          <w:rFonts w:ascii="Times New Roman" w:hAnsi="Times New Roman"/>
          <w:sz w:val="24"/>
          <w:szCs w:val="24"/>
        </w:rPr>
        <w:t xml:space="preserve">art. 189 pkt 3 k.p.k., </w:t>
      </w:r>
      <w:r w:rsidRPr="00C835AB">
        <w:rPr>
          <w:rFonts w:ascii="Times New Roman" w:hAnsi="Times New Roman"/>
          <w:sz w:val="24"/>
          <w:szCs w:val="24"/>
        </w:rPr>
        <w:t>art. 225 § 2</w:t>
      </w:r>
      <w:r w:rsidR="005F642D" w:rsidRPr="00C835AB">
        <w:rPr>
          <w:rFonts w:ascii="Times New Roman" w:hAnsi="Times New Roman"/>
          <w:sz w:val="24"/>
          <w:szCs w:val="24"/>
        </w:rPr>
        <w:t xml:space="preserve"> k.p.k.</w:t>
      </w:r>
      <w:r w:rsidR="00CE52A3" w:rsidRPr="00C835AB">
        <w:rPr>
          <w:rFonts w:ascii="Times New Roman" w:hAnsi="Times New Roman"/>
          <w:sz w:val="24"/>
          <w:szCs w:val="24"/>
        </w:rPr>
        <w:t xml:space="preserve"> i</w:t>
      </w:r>
      <w:r w:rsidRPr="00C835AB">
        <w:rPr>
          <w:rFonts w:ascii="Times New Roman" w:hAnsi="Times New Roman"/>
          <w:sz w:val="24"/>
          <w:szCs w:val="24"/>
        </w:rPr>
        <w:t xml:space="preserve"> art. 517c § 1</w:t>
      </w:r>
      <w:r w:rsidR="004A2DAF" w:rsidRPr="00C835AB">
        <w:rPr>
          <w:rFonts w:ascii="Times New Roman" w:hAnsi="Times New Roman"/>
          <w:sz w:val="24"/>
          <w:szCs w:val="24"/>
        </w:rPr>
        <w:t xml:space="preserve"> k.p.k.</w:t>
      </w:r>
      <w:r w:rsidRPr="00C835AB">
        <w:rPr>
          <w:rFonts w:ascii="Times New Roman" w:hAnsi="Times New Roman"/>
          <w:sz w:val="24"/>
          <w:szCs w:val="24"/>
        </w:rPr>
        <w:t>) lub</w:t>
      </w:r>
      <w:r w:rsidR="0097228F">
        <w:rPr>
          <w:rFonts w:ascii="Times New Roman" w:hAnsi="Times New Roman"/>
          <w:sz w:val="24"/>
          <w:szCs w:val="24"/>
        </w:rPr>
        <w:t> </w:t>
      </w:r>
      <w:r w:rsidRPr="00C835AB">
        <w:rPr>
          <w:rFonts w:ascii="Times New Roman" w:hAnsi="Times New Roman"/>
          <w:sz w:val="24"/>
          <w:szCs w:val="24"/>
        </w:rPr>
        <w:t>terminem ogólnym „osoba” (</w:t>
      </w:r>
      <w:r w:rsidR="006C6CA2" w:rsidRPr="00C835AB">
        <w:rPr>
          <w:rFonts w:ascii="Times New Roman" w:hAnsi="Times New Roman"/>
          <w:sz w:val="24"/>
          <w:szCs w:val="24"/>
        </w:rPr>
        <w:t xml:space="preserve">art. 244 § 4 k.p.k., </w:t>
      </w:r>
      <w:r w:rsidRPr="00C835AB">
        <w:rPr>
          <w:rFonts w:ascii="Times New Roman" w:hAnsi="Times New Roman"/>
          <w:sz w:val="24"/>
          <w:szCs w:val="24"/>
        </w:rPr>
        <w:t>art. 664</w:t>
      </w:r>
      <w:r w:rsidR="004A2DAF" w:rsidRPr="00C835AB">
        <w:rPr>
          <w:rFonts w:ascii="Times New Roman" w:hAnsi="Times New Roman"/>
          <w:sz w:val="24"/>
          <w:szCs w:val="24"/>
        </w:rPr>
        <w:t xml:space="preserve"> k.p.k.</w:t>
      </w:r>
      <w:r w:rsidRPr="00C835AB">
        <w:rPr>
          <w:rFonts w:ascii="Times New Roman" w:hAnsi="Times New Roman"/>
          <w:sz w:val="24"/>
          <w:szCs w:val="24"/>
        </w:rPr>
        <w:t>)</w:t>
      </w:r>
      <w:r w:rsidR="4C357511" w:rsidRPr="00C835AB">
        <w:rPr>
          <w:rFonts w:ascii="Times New Roman" w:hAnsi="Times New Roman"/>
          <w:sz w:val="24"/>
          <w:szCs w:val="24"/>
        </w:rPr>
        <w:t xml:space="preserve"> albo też całkowicie pominięto termin </w:t>
      </w:r>
      <w:r w:rsidR="004A2DAF" w:rsidRPr="00C835AB">
        <w:rPr>
          <w:rFonts w:ascii="Times New Roman" w:hAnsi="Times New Roman"/>
          <w:sz w:val="24"/>
          <w:szCs w:val="24"/>
        </w:rPr>
        <w:t>„</w:t>
      </w:r>
      <w:r w:rsidR="4C357511" w:rsidRPr="00C835AB">
        <w:rPr>
          <w:rFonts w:ascii="Times New Roman" w:hAnsi="Times New Roman"/>
          <w:sz w:val="24"/>
          <w:szCs w:val="24"/>
        </w:rPr>
        <w:t xml:space="preserve">osoba podejrzana”, uznając, że nie </w:t>
      </w:r>
      <w:r w:rsidR="7D5F9AF5" w:rsidRPr="00C835AB">
        <w:rPr>
          <w:rFonts w:ascii="Times New Roman" w:hAnsi="Times New Roman"/>
          <w:sz w:val="24"/>
          <w:szCs w:val="24"/>
        </w:rPr>
        <w:t xml:space="preserve">wpływa to na </w:t>
      </w:r>
      <w:r w:rsidR="11B7FE14" w:rsidRPr="00C835AB">
        <w:rPr>
          <w:rFonts w:ascii="Times New Roman" w:hAnsi="Times New Roman"/>
          <w:sz w:val="24"/>
          <w:szCs w:val="24"/>
        </w:rPr>
        <w:t xml:space="preserve">treść </w:t>
      </w:r>
      <w:r w:rsidR="07118C9C" w:rsidRPr="00C835AB">
        <w:rPr>
          <w:rFonts w:ascii="Times New Roman" w:hAnsi="Times New Roman"/>
          <w:sz w:val="24"/>
          <w:szCs w:val="24"/>
        </w:rPr>
        <w:t>n</w:t>
      </w:r>
      <w:r w:rsidR="4C357511" w:rsidRPr="00C835AB">
        <w:rPr>
          <w:rFonts w:ascii="Times New Roman" w:hAnsi="Times New Roman"/>
          <w:sz w:val="24"/>
          <w:szCs w:val="24"/>
        </w:rPr>
        <w:t>ormatywn</w:t>
      </w:r>
      <w:r w:rsidR="18CD1E5C" w:rsidRPr="00C835AB">
        <w:rPr>
          <w:rFonts w:ascii="Times New Roman" w:hAnsi="Times New Roman"/>
          <w:sz w:val="24"/>
          <w:szCs w:val="24"/>
        </w:rPr>
        <w:t>ą</w:t>
      </w:r>
      <w:r w:rsidR="4C357511" w:rsidRPr="00C835AB">
        <w:rPr>
          <w:rFonts w:ascii="Times New Roman" w:hAnsi="Times New Roman"/>
          <w:sz w:val="24"/>
          <w:szCs w:val="24"/>
        </w:rPr>
        <w:t xml:space="preserve"> </w:t>
      </w:r>
      <w:r w:rsidR="6C4E9D7D" w:rsidRPr="00C835AB">
        <w:rPr>
          <w:rFonts w:ascii="Times New Roman" w:hAnsi="Times New Roman"/>
          <w:sz w:val="24"/>
          <w:szCs w:val="24"/>
        </w:rPr>
        <w:t>regulacji (a</w:t>
      </w:r>
      <w:bookmarkEnd w:id="0"/>
      <w:r w:rsidR="57EBC232" w:rsidRPr="00C835AB">
        <w:rPr>
          <w:rFonts w:ascii="Times New Roman" w:hAnsi="Times New Roman"/>
          <w:sz w:val="24"/>
          <w:szCs w:val="24"/>
        </w:rPr>
        <w:t>rt. 248 § 3</w:t>
      </w:r>
      <w:r w:rsidR="004A2DAF" w:rsidRPr="00C835AB">
        <w:rPr>
          <w:rFonts w:ascii="Times New Roman" w:hAnsi="Times New Roman"/>
          <w:sz w:val="24"/>
          <w:szCs w:val="24"/>
        </w:rPr>
        <w:t xml:space="preserve"> k.p.k.</w:t>
      </w:r>
      <w:r w:rsidR="7C4E96AD" w:rsidRPr="00C835AB">
        <w:rPr>
          <w:rFonts w:ascii="Times New Roman" w:hAnsi="Times New Roman"/>
          <w:sz w:val="24"/>
          <w:szCs w:val="24"/>
        </w:rPr>
        <w:t>).</w:t>
      </w:r>
      <w:r w:rsidR="51AD6B6C" w:rsidRPr="00C835AB">
        <w:rPr>
          <w:rFonts w:ascii="Times New Roman" w:hAnsi="Times New Roman"/>
          <w:sz w:val="24"/>
          <w:szCs w:val="24"/>
        </w:rPr>
        <w:t xml:space="preserve"> </w:t>
      </w:r>
      <w:r w:rsidRPr="00C835AB">
        <w:rPr>
          <w:rFonts w:ascii="Times New Roman" w:hAnsi="Times New Roman"/>
          <w:sz w:val="24"/>
          <w:szCs w:val="24"/>
        </w:rPr>
        <w:t>Takiej zmiany nie wprowadza się jedynie w art. 192a § 1 k.p.k. celowo pozostawiając termin „osoba podejrzana” na określenie osoby na przedpolu podejrzenia popełnienia przestępstwa (właściwie co do osób, których dotyczy ten przepis, nie sposób mówić o uzasadnionym podejrzeniu popełnienia przestępstwa).</w:t>
      </w:r>
    </w:p>
    <w:p w14:paraId="54726A76" w14:textId="38DDFCA2" w:rsidR="00647D88" w:rsidRPr="00C835AB" w:rsidRDefault="38EE72F7"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Według projektu od momentu zatrzymania w związku z podejrzeniem popełnienia przestępstwa zatrzymany uzyskuje status podejrzanego. Zatrzymanie jest bowiem czynnością ukierunkowaną na jego ściganie. W rezultacie należało uznać, że ma on prawo do skorzystania z pomocy obrońcy (projektowany art. 244 § 2 i 5</w:t>
      </w:r>
      <w:r w:rsidR="00F90383" w:rsidRPr="00C835AB">
        <w:rPr>
          <w:rFonts w:ascii="Times New Roman" w:hAnsi="Times New Roman" w:cs="Times New Roman"/>
          <w:color w:val="auto"/>
          <w:sz w:val="24"/>
        </w:rPr>
        <w:t xml:space="preserve"> k.p.k.</w:t>
      </w:r>
      <w:r w:rsidRPr="00C835AB">
        <w:rPr>
          <w:rFonts w:ascii="Times New Roman" w:hAnsi="Times New Roman" w:cs="Times New Roman"/>
          <w:color w:val="auto"/>
          <w:sz w:val="24"/>
        </w:rPr>
        <w:t>), o czym jest pouczany (art. 244 § 5</w:t>
      </w:r>
      <w:r w:rsidR="00F90383" w:rsidRPr="00C835AB">
        <w:rPr>
          <w:rFonts w:ascii="Times New Roman" w:hAnsi="Times New Roman" w:cs="Times New Roman"/>
          <w:color w:val="auto"/>
          <w:sz w:val="24"/>
        </w:rPr>
        <w:t xml:space="preserve"> k.p.k.</w:t>
      </w:r>
      <w:r w:rsidRPr="00C835AB">
        <w:rPr>
          <w:rFonts w:ascii="Times New Roman" w:hAnsi="Times New Roman" w:cs="Times New Roman"/>
          <w:color w:val="auto"/>
          <w:sz w:val="24"/>
        </w:rPr>
        <w:t xml:space="preserve">). </w:t>
      </w:r>
      <w:r w:rsidR="26999897" w:rsidRPr="00C835AB">
        <w:rPr>
          <w:rFonts w:ascii="Times New Roman" w:hAnsi="Times New Roman" w:cs="Times New Roman"/>
          <w:color w:val="auto"/>
          <w:sz w:val="24"/>
        </w:rPr>
        <w:t>W konsekwencji nie będzie ulegać żadnej wątpliwości, że adwokat lub radca prawny udzielaj</w:t>
      </w:r>
      <w:r w:rsidR="41DB23EE" w:rsidRPr="00C835AB">
        <w:rPr>
          <w:rFonts w:ascii="Times New Roman" w:hAnsi="Times New Roman" w:cs="Times New Roman"/>
          <w:color w:val="auto"/>
          <w:sz w:val="24"/>
        </w:rPr>
        <w:t>ą</w:t>
      </w:r>
      <w:r w:rsidR="26999897" w:rsidRPr="00C835AB">
        <w:rPr>
          <w:rFonts w:ascii="Times New Roman" w:hAnsi="Times New Roman" w:cs="Times New Roman"/>
          <w:color w:val="auto"/>
          <w:sz w:val="24"/>
        </w:rPr>
        <w:t xml:space="preserve">cy </w:t>
      </w:r>
      <w:r w:rsidR="4F3C0473" w:rsidRPr="00C835AB">
        <w:rPr>
          <w:rFonts w:ascii="Times New Roman" w:hAnsi="Times New Roman" w:cs="Times New Roman"/>
          <w:color w:val="auto"/>
          <w:sz w:val="24"/>
        </w:rPr>
        <w:t xml:space="preserve">zgodnie z art. 245 § 1 </w:t>
      </w:r>
      <w:r w:rsidR="00F90383" w:rsidRPr="00C835AB">
        <w:rPr>
          <w:rFonts w:ascii="Times New Roman" w:hAnsi="Times New Roman" w:cs="Times New Roman"/>
          <w:color w:val="auto"/>
          <w:sz w:val="24"/>
        </w:rPr>
        <w:t xml:space="preserve">k.p.k. </w:t>
      </w:r>
      <w:r w:rsidR="26999897" w:rsidRPr="00C835AB">
        <w:rPr>
          <w:rFonts w:ascii="Times New Roman" w:hAnsi="Times New Roman" w:cs="Times New Roman"/>
          <w:color w:val="auto"/>
          <w:sz w:val="24"/>
        </w:rPr>
        <w:t xml:space="preserve">pomocy prawnej zatrzymanemu ma status </w:t>
      </w:r>
      <w:r w:rsidR="693C12F7" w:rsidRPr="00C835AB">
        <w:rPr>
          <w:rFonts w:ascii="Times New Roman" w:eastAsia="Times New Roman" w:hAnsi="Times New Roman" w:cs="Times New Roman"/>
          <w:color w:val="auto"/>
          <w:sz w:val="24"/>
        </w:rPr>
        <w:t>obrońcy</w:t>
      </w:r>
      <w:r w:rsidR="26999897" w:rsidRPr="00C835AB">
        <w:rPr>
          <w:rFonts w:ascii="Times New Roman" w:hAnsi="Times New Roman" w:cs="Times New Roman"/>
          <w:color w:val="auto"/>
          <w:sz w:val="24"/>
        </w:rPr>
        <w:t xml:space="preserve">. </w:t>
      </w:r>
      <w:r w:rsidR="56EDD6BD" w:rsidRPr="00C835AB">
        <w:rPr>
          <w:rFonts w:ascii="Times New Roman" w:hAnsi="Times New Roman" w:cs="Times New Roman"/>
          <w:color w:val="auto"/>
          <w:sz w:val="24"/>
        </w:rPr>
        <w:t xml:space="preserve">Skutkowało to zmianą art. 178 pkt 1 </w:t>
      </w:r>
      <w:r w:rsidR="00F90383" w:rsidRPr="00C835AB">
        <w:rPr>
          <w:rFonts w:ascii="Times New Roman" w:hAnsi="Times New Roman" w:cs="Times New Roman"/>
          <w:color w:val="auto"/>
          <w:sz w:val="24"/>
        </w:rPr>
        <w:t xml:space="preserve">k.p.k. </w:t>
      </w:r>
      <w:r w:rsidR="56EDD6BD" w:rsidRPr="00C835AB">
        <w:rPr>
          <w:rFonts w:ascii="Times New Roman" w:hAnsi="Times New Roman" w:cs="Times New Roman"/>
          <w:color w:val="auto"/>
          <w:sz w:val="24"/>
        </w:rPr>
        <w:t>dotyczącego tajemnicy obro</w:t>
      </w:r>
      <w:r w:rsidR="56EDD6BD" w:rsidRPr="00C835AB">
        <w:rPr>
          <w:rFonts w:ascii="Times New Roman" w:eastAsia="Times New Roman" w:hAnsi="Times New Roman" w:cs="Times New Roman"/>
          <w:color w:val="auto"/>
          <w:sz w:val="24"/>
        </w:rPr>
        <w:t>ń</w:t>
      </w:r>
      <w:r w:rsidR="56EDD6BD" w:rsidRPr="00C835AB">
        <w:rPr>
          <w:rFonts w:ascii="Times New Roman" w:hAnsi="Times New Roman" w:cs="Times New Roman"/>
          <w:color w:val="auto"/>
          <w:sz w:val="24"/>
        </w:rPr>
        <w:t xml:space="preserve">czej, bowiem </w:t>
      </w:r>
      <w:r w:rsidR="02B306A2" w:rsidRPr="00C835AB">
        <w:rPr>
          <w:rFonts w:ascii="Times New Roman" w:hAnsi="Times New Roman" w:cs="Times New Roman"/>
          <w:color w:val="auto"/>
          <w:sz w:val="24"/>
        </w:rPr>
        <w:t xml:space="preserve">odrębne wskazywanie takiego adwokata lub radcy prawnego w </w:t>
      </w:r>
      <w:r w:rsidR="4B718020" w:rsidRPr="00C835AB">
        <w:rPr>
          <w:rFonts w:ascii="Times New Roman" w:hAnsi="Times New Roman" w:cs="Times New Roman"/>
          <w:color w:val="auto"/>
          <w:sz w:val="24"/>
        </w:rPr>
        <w:t xml:space="preserve">tym </w:t>
      </w:r>
      <w:r w:rsidR="02B306A2" w:rsidRPr="00C835AB">
        <w:rPr>
          <w:rFonts w:ascii="Times New Roman" w:hAnsi="Times New Roman" w:cs="Times New Roman"/>
          <w:color w:val="auto"/>
          <w:sz w:val="24"/>
        </w:rPr>
        <w:t xml:space="preserve">przepisie </w:t>
      </w:r>
      <w:r w:rsidR="14F4CCEB" w:rsidRPr="00C835AB">
        <w:rPr>
          <w:rFonts w:ascii="Times New Roman" w:hAnsi="Times New Roman" w:cs="Times New Roman"/>
          <w:color w:val="auto"/>
          <w:sz w:val="24"/>
        </w:rPr>
        <w:t>stało się zbędne</w:t>
      </w:r>
      <w:r w:rsidR="02B306A2"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Dla</w:t>
      </w:r>
      <w:r w:rsidR="0097228F">
        <w:rPr>
          <w:rFonts w:ascii="Times New Roman" w:hAnsi="Times New Roman" w:cs="Times New Roman"/>
          <w:color w:val="auto"/>
          <w:sz w:val="24"/>
        </w:rPr>
        <w:t> </w:t>
      </w:r>
      <w:r w:rsidRPr="00C835AB">
        <w:rPr>
          <w:rFonts w:ascii="Times New Roman" w:hAnsi="Times New Roman" w:cs="Times New Roman"/>
          <w:color w:val="auto"/>
          <w:sz w:val="24"/>
        </w:rPr>
        <w:t>uczynienia realnym dostępu zatrzymanego do obrońcy, zwłaszcza w sytuacji, gdy</w:t>
      </w:r>
      <w:r w:rsidR="0097228F">
        <w:rPr>
          <w:rFonts w:ascii="Times New Roman" w:hAnsi="Times New Roman" w:cs="Times New Roman"/>
          <w:color w:val="auto"/>
          <w:sz w:val="24"/>
        </w:rPr>
        <w:t> </w:t>
      </w:r>
      <w:r w:rsidRPr="00C835AB">
        <w:rPr>
          <w:rFonts w:ascii="Times New Roman" w:hAnsi="Times New Roman" w:cs="Times New Roman"/>
          <w:color w:val="auto"/>
          <w:sz w:val="24"/>
        </w:rPr>
        <w:t>nie</w:t>
      </w:r>
      <w:r w:rsidR="0097228F">
        <w:rPr>
          <w:rFonts w:ascii="Times New Roman" w:hAnsi="Times New Roman" w:cs="Times New Roman"/>
          <w:color w:val="auto"/>
          <w:sz w:val="24"/>
        </w:rPr>
        <w:t> </w:t>
      </w:r>
      <w:r w:rsidRPr="00C835AB">
        <w:rPr>
          <w:rFonts w:ascii="Times New Roman" w:hAnsi="Times New Roman" w:cs="Times New Roman"/>
          <w:color w:val="auto"/>
          <w:sz w:val="24"/>
        </w:rPr>
        <w:t>ma</w:t>
      </w:r>
      <w:r w:rsidR="0097228F">
        <w:rPr>
          <w:rFonts w:ascii="Times New Roman" w:hAnsi="Times New Roman" w:cs="Times New Roman"/>
          <w:color w:val="auto"/>
          <w:sz w:val="24"/>
        </w:rPr>
        <w:t> </w:t>
      </w:r>
      <w:r w:rsidRPr="00C835AB">
        <w:rPr>
          <w:rFonts w:ascii="Times New Roman" w:hAnsi="Times New Roman" w:cs="Times New Roman"/>
          <w:color w:val="auto"/>
          <w:sz w:val="24"/>
        </w:rPr>
        <w:t>on środków na ustanowienie obrońcy z wyboru, proponuje się zmiany dotyczące dyżurów adwokacko</w:t>
      </w:r>
      <w:r w:rsidR="08AA73E8" w:rsidRPr="00C835AB">
        <w:rPr>
          <w:rFonts w:ascii="Times New Roman" w:hAnsi="Times New Roman" w:cs="Times New Roman"/>
          <w:color w:val="auto"/>
          <w:sz w:val="24"/>
        </w:rPr>
        <w:t>-</w:t>
      </w:r>
      <w:r w:rsidRPr="00C835AB">
        <w:rPr>
          <w:rFonts w:ascii="Times New Roman" w:hAnsi="Times New Roman" w:cs="Times New Roman"/>
          <w:color w:val="auto"/>
          <w:sz w:val="24"/>
        </w:rPr>
        <w:t>radcowskich (art. 245 § 2</w:t>
      </w:r>
      <w:r w:rsidR="00F90383" w:rsidRPr="00C835AB">
        <w:rPr>
          <w:rFonts w:ascii="Times New Roman" w:hAnsi="Times New Roman" w:cs="Times New Roman"/>
          <w:color w:val="auto"/>
          <w:sz w:val="24"/>
        </w:rPr>
        <w:t xml:space="preserve"> k.p.k.</w:t>
      </w:r>
      <w:r w:rsidRPr="00C835AB">
        <w:rPr>
          <w:rFonts w:ascii="Times New Roman" w:hAnsi="Times New Roman" w:cs="Times New Roman"/>
          <w:color w:val="auto"/>
          <w:sz w:val="24"/>
        </w:rPr>
        <w:t xml:space="preserve">). Po pierwsze, celowe jest legislacyjne uporządkowanie regulacji dotyczącej pełnienia dyżurów i zamieszczenie jej w obrębie przepisów o zatrzymaniu, a więc mających ogólne zastosowanie, zaś w art. 517j </w:t>
      </w:r>
      <w:r w:rsidR="00F90383" w:rsidRPr="00C835AB">
        <w:rPr>
          <w:rFonts w:ascii="Times New Roman" w:hAnsi="Times New Roman" w:cs="Times New Roman"/>
          <w:color w:val="auto"/>
          <w:sz w:val="24"/>
        </w:rPr>
        <w:t xml:space="preserve">k.p.k. </w:t>
      </w:r>
      <w:r w:rsidR="00C969BA" w:rsidRPr="00C835AB">
        <w:rPr>
          <w:rFonts w:ascii="Times New Roman" w:hAnsi="Times New Roman" w:cs="Times New Roman"/>
          <w:color w:val="auto"/>
          <w:sz w:val="24"/>
        </w:rPr>
        <w:t>oraz</w:t>
      </w:r>
      <w:r w:rsidR="0097228F">
        <w:rPr>
          <w:rFonts w:ascii="Times New Roman" w:hAnsi="Times New Roman" w:cs="Times New Roman"/>
          <w:color w:val="auto"/>
          <w:sz w:val="24"/>
        </w:rPr>
        <w:t> </w:t>
      </w:r>
      <w:r w:rsidR="0012316D" w:rsidRPr="00C835AB">
        <w:rPr>
          <w:rFonts w:ascii="Times New Roman" w:hAnsi="Times New Roman" w:cs="Times New Roman"/>
          <w:color w:val="auto"/>
          <w:sz w:val="24"/>
        </w:rPr>
        <w:t>art.</w:t>
      </w:r>
      <w:r w:rsidR="0097228F">
        <w:rPr>
          <w:rFonts w:ascii="Times New Roman" w:hAnsi="Times New Roman" w:cs="Times New Roman"/>
          <w:color w:val="auto"/>
          <w:sz w:val="24"/>
        </w:rPr>
        <w:t> </w:t>
      </w:r>
      <w:r w:rsidR="00C969BA" w:rsidRPr="00C835AB">
        <w:rPr>
          <w:rFonts w:ascii="Times New Roman" w:hAnsi="Times New Roman" w:cs="Times New Roman"/>
          <w:color w:val="auto"/>
          <w:sz w:val="24"/>
        </w:rPr>
        <w:t xml:space="preserve">301 § </w:t>
      </w:r>
      <w:r w:rsidR="00172776" w:rsidRPr="00C835AB">
        <w:rPr>
          <w:rFonts w:ascii="Times New Roman" w:hAnsi="Times New Roman" w:cs="Times New Roman"/>
          <w:color w:val="auto"/>
          <w:sz w:val="24"/>
        </w:rPr>
        <w:t>7</w:t>
      </w:r>
      <w:r w:rsidR="00C969BA" w:rsidRPr="00C835AB">
        <w:rPr>
          <w:rFonts w:ascii="Times New Roman" w:hAnsi="Times New Roman" w:cs="Times New Roman"/>
          <w:color w:val="auto"/>
          <w:sz w:val="24"/>
        </w:rPr>
        <w:t xml:space="preserve"> k.p.k. </w:t>
      </w:r>
      <w:r w:rsidRPr="00C835AB">
        <w:rPr>
          <w:rFonts w:ascii="Times New Roman" w:hAnsi="Times New Roman" w:cs="Times New Roman"/>
          <w:color w:val="auto"/>
          <w:sz w:val="24"/>
        </w:rPr>
        <w:t>zamieszczenie odesłania</w:t>
      </w:r>
      <w:r w:rsidR="00C969BA" w:rsidRPr="00C835AB">
        <w:rPr>
          <w:rFonts w:ascii="Times New Roman" w:hAnsi="Times New Roman" w:cs="Times New Roman"/>
          <w:color w:val="auto"/>
          <w:sz w:val="24"/>
        </w:rPr>
        <w:t xml:space="preserve"> do</w:t>
      </w:r>
      <w:r w:rsidRPr="00C835AB">
        <w:rPr>
          <w:rFonts w:ascii="Times New Roman" w:hAnsi="Times New Roman" w:cs="Times New Roman"/>
          <w:color w:val="auto"/>
          <w:sz w:val="24"/>
        </w:rPr>
        <w:t xml:space="preserve"> odpowiedniego stosowania</w:t>
      </w:r>
      <w:r w:rsidR="00C969BA" w:rsidRPr="00C835AB">
        <w:rPr>
          <w:rFonts w:ascii="Times New Roman" w:hAnsi="Times New Roman" w:cs="Times New Roman"/>
          <w:color w:val="auto"/>
          <w:sz w:val="24"/>
        </w:rPr>
        <w:t xml:space="preserve"> przepisów wydanych na podstawie art. 245 § 5 k.p.k.</w:t>
      </w:r>
      <w:r w:rsidR="00F55C3F"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 xml:space="preserve">Po drugie, w celu </w:t>
      </w:r>
      <w:r w:rsidR="005C27BE" w:rsidRPr="00C835AB">
        <w:rPr>
          <w:rFonts w:ascii="Times New Roman" w:hAnsi="Times New Roman" w:cs="Times New Roman"/>
          <w:color w:val="auto"/>
          <w:sz w:val="24"/>
        </w:rPr>
        <w:t xml:space="preserve">poprawy </w:t>
      </w:r>
      <w:r w:rsidRPr="00C835AB">
        <w:rPr>
          <w:rFonts w:ascii="Times New Roman" w:hAnsi="Times New Roman" w:cs="Times New Roman"/>
          <w:color w:val="auto"/>
          <w:sz w:val="24"/>
        </w:rPr>
        <w:t>dostępu do adwokata</w:t>
      </w:r>
      <w:r w:rsidR="00031362">
        <w:rPr>
          <w:rFonts w:ascii="Times New Roman" w:hAnsi="Times New Roman" w:cs="Times New Roman"/>
          <w:color w:val="auto"/>
          <w:sz w:val="24"/>
        </w:rPr>
        <w:t xml:space="preserve"> (radcy prawnego)</w:t>
      </w:r>
      <w:r w:rsidRPr="00C835AB">
        <w:rPr>
          <w:rFonts w:ascii="Times New Roman" w:hAnsi="Times New Roman" w:cs="Times New Roman"/>
          <w:color w:val="auto"/>
          <w:sz w:val="24"/>
        </w:rPr>
        <w:t xml:space="preserve"> (czego wymaga art. 3 ust. 4 dyrektywy i pkt 27 i 28 preambuły dyrektywy 2013/48/UE) wprowadza się: 1) obowiązek udostępnienia zatrzymanemu listy obrońców pełniących dyżur (art. 245 § 1 </w:t>
      </w:r>
      <w:proofErr w:type="spellStart"/>
      <w:r w:rsidRPr="00C835AB">
        <w:rPr>
          <w:rFonts w:ascii="Times New Roman" w:hAnsi="Times New Roman" w:cs="Times New Roman"/>
          <w:color w:val="auto"/>
          <w:sz w:val="24"/>
        </w:rPr>
        <w:t>zd</w:t>
      </w:r>
      <w:proofErr w:type="spellEnd"/>
      <w:r w:rsidRPr="00C835AB">
        <w:rPr>
          <w:rFonts w:ascii="Times New Roman" w:hAnsi="Times New Roman" w:cs="Times New Roman"/>
          <w:color w:val="auto"/>
          <w:sz w:val="24"/>
        </w:rPr>
        <w:t>. 2</w:t>
      </w:r>
      <w:r w:rsidR="00F90383" w:rsidRPr="00C835AB">
        <w:rPr>
          <w:rFonts w:ascii="Times New Roman" w:hAnsi="Times New Roman" w:cs="Times New Roman"/>
          <w:color w:val="auto"/>
          <w:sz w:val="24"/>
        </w:rPr>
        <w:t xml:space="preserve"> k.p.k.</w:t>
      </w:r>
      <w:r w:rsidRPr="00C835AB">
        <w:rPr>
          <w:rFonts w:ascii="Times New Roman" w:hAnsi="Times New Roman" w:cs="Times New Roman"/>
          <w:color w:val="auto"/>
          <w:sz w:val="24"/>
        </w:rPr>
        <w:t>); 2) obowiązek odnotowania udostępnienia listy obrońców w protokole zatrzymania (art. 244 § 3</w:t>
      </w:r>
      <w:r w:rsidR="00F90383" w:rsidRPr="00C835AB">
        <w:rPr>
          <w:rFonts w:ascii="Times New Roman" w:hAnsi="Times New Roman" w:cs="Times New Roman"/>
          <w:color w:val="auto"/>
          <w:sz w:val="24"/>
        </w:rPr>
        <w:t xml:space="preserve"> k.p.k.</w:t>
      </w:r>
      <w:r w:rsidRPr="00C835AB">
        <w:rPr>
          <w:rFonts w:ascii="Times New Roman" w:hAnsi="Times New Roman" w:cs="Times New Roman"/>
          <w:color w:val="auto"/>
          <w:sz w:val="24"/>
        </w:rPr>
        <w:t>). Po trzecie, konieczne stało się wprowadzenie uproszczonego systemu zapewnienia zatrzymanym pomocy prawnej z urzędu.</w:t>
      </w:r>
      <w:r w:rsidR="00A468D6" w:rsidRPr="00C835AB">
        <w:rPr>
          <w:rFonts w:ascii="Times New Roman" w:hAnsi="Times New Roman" w:cs="Times New Roman"/>
          <w:color w:val="auto"/>
          <w:sz w:val="24"/>
        </w:rPr>
        <w:t xml:space="preserve"> </w:t>
      </w:r>
      <w:r w:rsidR="00F80F03" w:rsidRPr="00C835AB">
        <w:rPr>
          <w:rFonts w:ascii="Times New Roman" w:hAnsi="Times New Roman" w:cs="Times New Roman"/>
          <w:color w:val="auto"/>
          <w:sz w:val="24"/>
        </w:rPr>
        <w:t>Zrezygnowano również z</w:t>
      </w:r>
      <w:r w:rsidR="0097228F">
        <w:rPr>
          <w:rFonts w:ascii="Times New Roman" w:hAnsi="Times New Roman" w:cs="Times New Roman"/>
          <w:color w:val="auto"/>
          <w:sz w:val="24"/>
        </w:rPr>
        <w:t> </w:t>
      </w:r>
      <w:r w:rsidR="00647D88" w:rsidRPr="00C835AB">
        <w:rPr>
          <w:rFonts w:ascii="Times New Roman" w:hAnsi="Times New Roman" w:cs="Times New Roman"/>
          <w:color w:val="auto"/>
          <w:sz w:val="24"/>
        </w:rPr>
        <w:t>możliwoś</w:t>
      </w:r>
      <w:r w:rsidR="00EF0170" w:rsidRPr="00C835AB">
        <w:rPr>
          <w:rFonts w:ascii="Times New Roman" w:hAnsi="Times New Roman" w:cs="Times New Roman"/>
          <w:color w:val="auto"/>
          <w:sz w:val="24"/>
        </w:rPr>
        <w:t>ci</w:t>
      </w:r>
      <w:r w:rsidR="00647D88" w:rsidRPr="00C835AB">
        <w:rPr>
          <w:rFonts w:ascii="Times New Roman" w:hAnsi="Times New Roman" w:cs="Times New Roman"/>
          <w:color w:val="auto"/>
          <w:sz w:val="24"/>
        </w:rPr>
        <w:t xml:space="preserve"> ograniczenia poufności rozmowy zatrzymanego z obrońcą</w:t>
      </w:r>
      <w:r w:rsidR="00F80F03" w:rsidRPr="00C835AB">
        <w:rPr>
          <w:rFonts w:ascii="Times New Roman" w:hAnsi="Times New Roman" w:cs="Times New Roman"/>
          <w:color w:val="auto"/>
          <w:sz w:val="24"/>
        </w:rPr>
        <w:t>. Szerzej na ten temat jest mowa w uwagach do art. 73 k.p.k.</w:t>
      </w:r>
    </w:p>
    <w:p w14:paraId="08849602" w14:textId="6F626311" w:rsidR="00143D6E" w:rsidRDefault="00647D88" w:rsidP="00143D6E">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Najobszerniejsze zmiany wprowadz</w:t>
      </w:r>
      <w:r w:rsidR="00315AE2" w:rsidRPr="00C835AB">
        <w:rPr>
          <w:rFonts w:ascii="Times New Roman" w:hAnsi="Times New Roman"/>
          <w:sz w:val="24"/>
          <w:szCs w:val="24"/>
        </w:rPr>
        <w:t>a</w:t>
      </w:r>
      <w:r w:rsidRPr="00C835AB">
        <w:rPr>
          <w:rFonts w:ascii="Times New Roman" w:hAnsi="Times New Roman"/>
          <w:sz w:val="24"/>
          <w:szCs w:val="24"/>
        </w:rPr>
        <w:t xml:space="preserve"> </w:t>
      </w:r>
      <w:r w:rsidR="00315AE2" w:rsidRPr="00C835AB">
        <w:rPr>
          <w:rFonts w:ascii="Times New Roman" w:hAnsi="Times New Roman"/>
          <w:sz w:val="24"/>
          <w:szCs w:val="24"/>
        </w:rPr>
        <w:t xml:space="preserve">się </w:t>
      </w:r>
      <w:r w:rsidRPr="00C835AB">
        <w:rPr>
          <w:rFonts w:ascii="Times New Roman" w:hAnsi="Times New Roman"/>
          <w:sz w:val="24"/>
          <w:szCs w:val="24"/>
        </w:rPr>
        <w:t xml:space="preserve">do art. 301 </w:t>
      </w:r>
      <w:r w:rsidR="00F90383" w:rsidRPr="00C835AB">
        <w:rPr>
          <w:rFonts w:ascii="Times New Roman" w:hAnsi="Times New Roman"/>
          <w:sz w:val="24"/>
          <w:szCs w:val="24"/>
        </w:rPr>
        <w:t xml:space="preserve">k.p.k. </w:t>
      </w:r>
      <w:r w:rsidRPr="00C835AB">
        <w:rPr>
          <w:rFonts w:ascii="Times New Roman" w:hAnsi="Times New Roman"/>
          <w:sz w:val="24"/>
          <w:szCs w:val="24"/>
        </w:rPr>
        <w:t xml:space="preserve">regulującego prawo podejrzanego do przesłuchania z udziałem obrońcy. Projektowane brzmienie tego przepisu </w:t>
      </w:r>
      <w:r w:rsidRPr="00C835AB">
        <w:rPr>
          <w:rFonts w:ascii="Times New Roman" w:hAnsi="Times New Roman"/>
          <w:sz w:val="24"/>
          <w:szCs w:val="24"/>
        </w:rPr>
        <w:lastRenderedPageBreak/>
        <w:t>ma</w:t>
      </w:r>
      <w:r w:rsidR="0097228F">
        <w:rPr>
          <w:rFonts w:ascii="Times New Roman" w:hAnsi="Times New Roman"/>
          <w:sz w:val="24"/>
          <w:szCs w:val="24"/>
        </w:rPr>
        <w:t> </w:t>
      </w:r>
      <w:r w:rsidRPr="00C835AB">
        <w:rPr>
          <w:rFonts w:ascii="Times New Roman" w:hAnsi="Times New Roman"/>
          <w:sz w:val="24"/>
          <w:szCs w:val="24"/>
        </w:rPr>
        <w:t xml:space="preserve">na celu </w:t>
      </w:r>
      <w:r w:rsidR="005C27BE" w:rsidRPr="00C835AB">
        <w:rPr>
          <w:rFonts w:ascii="Times New Roman" w:hAnsi="Times New Roman"/>
          <w:sz w:val="24"/>
          <w:szCs w:val="24"/>
        </w:rPr>
        <w:t xml:space="preserve">dostosowanie regulacji kodeksowej do </w:t>
      </w:r>
      <w:r w:rsidRPr="00C835AB">
        <w:rPr>
          <w:rFonts w:ascii="Times New Roman" w:hAnsi="Times New Roman"/>
          <w:sz w:val="24"/>
          <w:szCs w:val="24"/>
        </w:rPr>
        <w:t>art. 3 ust. 3 dyrektywy 2013/48/UE, z</w:t>
      </w:r>
      <w:r w:rsidR="0097228F">
        <w:rPr>
          <w:rFonts w:ascii="Times New Roman" w:hAnsi="Times New Roman"/>
          <w:sz w:val="24"/>
          <w:szCs w:val="24"/>
        </w:rPr>
        <w:t> </w:t>
      </w:r>
      <w:r w:rsidRPr="00C835AB">
        <w:rPr>
          <w:rFonts w:ascii="Times New Roman" w:hAnsi="Times New Roman"/>
          <w:sz w:val="24"/>
          <w:szCs w:val="24"/>
        </w:rPr>
        <w:t>którego wynika obowiązek zapewnienia podejrzanemu dostępu do obrońcy przed przesłuchaniem i</w:t>
      </w:r>
      <w:r w:rsidR="00D92A0D" w:rsidRPr="00C835AB">
        <w:rPr>
          <w:rFonts w:ascii="Times New Roman" w:hAnsi="Times New Roman"/>
          <w:sz w:val="24"/>
          <w:szCs w:val="24"/>
        </w:rPr>
        <w:t> </w:t>
      </w:r>
      <w:r w:rsidRPr="00C835AB">
        <w:rPr>
          <w:rFonts w:ascii="Times New Roman" w:hAnsi="Times New Roman"/>
          <w:sz w:val="24"/>
          <w:szCs w:val="24"/>
        </w:rPr>
        <w:t>w</w:t>
      </w:r>
      <w:r w:rsidR="00D92A0D" w:rsidRPr="00C835AB">
        <w:rPr>
          <w:rFonts w:ascii="Times New Roman" w:hAnsi="Times New Roman"/>
          <w:sz w:val="24"/>
          <w:szCs w:val="24"/>
        </w:rPr>
        <w:t> </w:t>
      </w:r>
      <w:r w:rsidRPr="00C835AB">
        <w:rPr>
          <w:rFonts w:ascii="Times New Roman" w:hAnsi="Times New Roman"/>
          <w:sz w:val="24"/>
          <w:szCs w:val="24"/>
        </w:rPr>
        <w:t>czasie przesłuchania oraz w związku z czynnością okazania. W</w:t>
      </w:r>
      <w:r w:rsidR="0097228F">
        <w:rPr>
          <w:rFonts w:ascii="Times New Roman" w:hAnsi="Times New Roman"/>
          <w:sz w:val="24"/>
          <w:szCs w:val="24"/>
        </w:rPr>
        <w:t> </w:t>
      </w:r>
      <w:r w:rsidRPr="00C835AB">
        <w:rPr>
          <w:rFonts w:ascii="Times New Roman" w:hAnsi="Times New Roman"/>
          <w:sz w:val="24"/>
          <w:szCs w:val="24"/>
        </w:rPr>
        <w:t>projektowanym art. 301 §</w:t>
      </w:r>
      <w:r w:rsidR="00D92A0D" w:rsidRPr="00C835AB">
        <w:rPr>
          <w:rFonts w:ascii="Times New Roman" w:hAnsi="Times New Roman"/>
          <w:sz w:val="24"/>
          <w:szCs w:val="24"/>
        </w:rPr>
        <w:t> </w:t>
      </w:r>
      <w:r w:rsidRPr="00C835AB">
        <w:rPr>
          <w:rFonts w:ascii="Times New Roman" w:hAnsi="Times New Roman"/>
          <w:sz w:val="24"/>
          <w:szCs w:val="24"/>
        </w:rPr>
        <w:t xml:space="preserve">2 i 3 </w:t>
      </w:r>
      <w:r w:rsidR="00F90383" w:rsidRPr="00C835AB">
        <w:rPr>
          <w:rFonts w:ascii="Times New Roman" w:hAnsi="Times New Roman"/>
          <w:sz w:val="24"/>
          <w:szCs w:val="24"/>
        </w:rPr>
        <w:t xml:space="preserve">k.p.k. </w:t>
      </w:r>
      <w:r w:rsidRPr="00C835AB">
        <w:rPr>
          <w:rFonts w:ascii="Times New Roman" w:hAnsi="Times New Roman"/>
          <w:sz w:val="24"/>
          <w:szCs w:val="24"/>
        </w:rPr>
        <w:t>uregulowano procedowanie w dwóch sytuacjach: rezygnacji przez podejrzanego z</w:t>
      </w:r>
      <w:r w:rsidR="00E865A6" w:rsidRPr="00C835AB">
        <w:rPr>
          <w:rFonts w:ascii="Times New Roman" w:hAnsi="Times New Roman"/>
          <w:sz w:val="24"/>
          <w:szCs w:val="24"/>
        </w:rPr>
        <w:t> </w:t>
      </w:r>
      <w:r w:rsidRPr="00C835AB">
        <w:rPr>
          <w:rFonts w:ascii="Times New Roman" w:hAnsi="Times New Roman"/>
          <w:sz w:val="24"/>
          <w:szCs w:val="24"/>
        </w:rPr>
        <w:t xml:space="preserve">dostępu do obrońcy przed pierwszym przesłuchaniem (§ 2) oraz wyrażenia woli skorzystania z pomocy obrońcy przed tą czynnością (§ 3). Rozwiązanie przewidziane w </w:t>
      </w:r>
      <w:r w:rsidR="00315AE2" w:rsidRPr="00C835AB">
        <w:rPr>
          <w:rFonts w:ascii="Times New Roman" w:hAnsi="Times New Roman"/>
          <w:sz w:val="24"/>
          <w:szCs w:val="24"/>
        </w:rPr>
        <w:t xml:space="preserve">art. 301 </w:t>
      </w:r>
      <w:r w:rsidRPr="00C835AB">
        <w:rPr>
          <w:rFonts w:ascii="Times New Roman" w:hAnsi="Times New Roman"/>
          <w:sz w:val="24"/>
          <w:szCs w:val="24"/>
        </w:rPr>
        <w:t xml:space="preserve">§ 3 </w:t>
      </w:r>
      <w:r w:rsidR="00315AE2" w:rsidRPr="00C835AB">
        <w:rPr>
          <w:rFonts w:ascii="Times New Roman" w:hAnsi="Times New Roman"/>
          <w:sz w:val="24"/>
          <w:szCs w:val="24"/>
        </w:rPr>
        <w:t xml:space="preserve">k.p.k. </w:t>
      </w:r>
      <w:r w:rsidRPr="00C835AB">
        <w:rPr>
          <w:rFonts w:ascii="Times New Roman" w:hAnsi="Times New Roman"/>
          <w:sz w:val="24"/>
          <w:szCs w:val="24"/>
        </w:rPr>
        <w:t xml:space="preserve">jest wzorowane na przyjętym w chorwackim kodeksie postępowania karnego. W </w:t>
      </w:r>
      <w:r w:rsidR="00315AE2" w:rsidRPr="00C835AB">
        <w:rPr>
          <w:rFonts w:ascii="Times New Roman" w:hAnsi="Times New Roman"/>
          <w:sz w:val="24"/>
          <w:szCs w:val="24"/>
        </w:rPr>
        <w:t xml:space="preserve">art. 301 </w:t>
      </w:r>
      <w:r w:rsidRPr="00C835AB">
        <w:rPr>
          <w:rFonts w:ascii="Times New Roman" w:hAnsi="Times New Roman"/>
          <w:sz w:val="24"/>
          <w:szCs w:val="24"/>
        </w:rPr>
        <w:t xml:space="preserve">§ </w:t>
      </w:r>
      <w:r w:rsidR="00172776" w:rsidRPr="00C835AB">
        <w:rPr>
          <w:rFonts w:ascii="Times New Roman" w:hAnsi="Times New Roman"/>
          <w:sz w:val="24"/>
          <w:szCs w:val="24"/>
        </w:rPr>
        <w:t xml:space="preserve">8 </w:t>
      </w:r>
      <w:r w:rsidR="00315AE2" w:rsidRPr="00C835AB">
        <w:rPr>
          <w:rFonts w:ascii="Times New Roman" w:hAnsi="Times New Roman"/>
          <w:sz w:val="24"/>
          <w:szCs w:val="24"/>
        </w:rPr>
        <w:t xml:space="preserve">k.p.k. </w:t>
      </w:r>
      <w:r w:rsidRPr="00C835AB">
        <w:rPr>
          <w:rFonts w:ascii="Times New Roman" w:hAnsi="Times New Roman"/>
          <w:sz w:val="24"/>
          <w:szCs w:val="24"/>
        </w:rPr>
        <w:t>oddaje się treść normatywną art. 3 ust. 6 dyrektywy, który pozwala na czasowe odstępstwo od zapewnienia podejrzanemu dostępu do</w:t>
      </w:r>
      <w:r w:rsidR="0097228F">
        <w:rPr>
          <w:rFonts w:ascii="Times New Roman" w:hAnsi="Times New Roman"/>
          <w:sz w:val="24"/>
          <w:szCs w:val="24"/>
        </w:rPr>
        <w:t> </w:t>
      </w:r>
      <w:r w:rsidR="00031362">
        <w:rPr>
          <w:rFonts w:ascii="Times New Roman" w:hAnsi="Times New Roman"/>
          <w:sz w:val="24"/>
          <w:szCs w:val="24"/>
        </w:rPr>
        <w:t>obrońcy</w:t>
      </w:r>
      <w:r w:rsidR="00031362" w:rsidRPr="00C835AB">
        <w:rPr>
          <w:rFonts w:ascii="Times New Roman" w:hAnsi="Times New Roman"/>
          <w:sz w:val="24"/>
          <w:szCs w:val="24"/>
        </w:rPr>
        <w:t xml:space="preserve"> </w:t>
      </w:r>
      <w:r w:rsidRPr="00C835AB">
        <w:rPr>
          <w:rFonts w:ascii="Times New Roman" w:hAnsi="Times New Roman"/>
          <w:sz w:val="24"/>
          <w:szCs w:val="24"/>
        </w:rPr>
        <w:t>w związku z czynnością przesłuchania.</w:t>
      </w:r>
      <w:r w:rsidR="00FA5186">
        <w:rPr>
          <w:rFonts w:ascii="Times New Roman" w:hAnsi="Times New Roman"/>
          <w:sz w:val="24"/>
          <w:szCs w:val="24"/>
        </w:rPr>
        <w:t xml:space="preserve"> Ponadto w </w:t>
      </w:r>
      <w:r w:rsidR="00143D6E">
        <w:rPr>
          <w:rFonts w:ascii="Times New Roman" w:hAnsi="Times New Roman"/>
          <w:sz w:val="24"/>
          <w:szCs w:val="24"/>
        </w:rPr>
        <w:t>paragrafie</w:t>
      </w:r>
      <w:r w:rsidR="00FA5186">
        <w:rPr>
          <w:rFonts w:ascii="Times New Roman" w:hAnsi="Times New Roman"/>
          <w:sz w:val="24"/>
          <w:szCs w:val="24"/>
        </w:rPr>
        <w:t xml:space="preserve"> tym zawarto </w:t>
      </w:r>
      <w:r w:rsidR="00FA5186" w:rsidRPr="00FA5186">
        <w:rPr>
          <w:rFonts w:ascii="Times New Roman" w:hAnsi="Times New Roman"/>
          <w:sz w:val="24"/>
          <w:szCs w:val="24"/>
        </w:rPr>
        <w:t>dodatkową przesłankę w postaci</w:t>
      </w:r>
      <w:r w:rsidR="00FA5186">
        <w:rPr>
          <w:rFonts w:ascii="Times New Roman" w:hAnsi="Times New Roman"/>
          <w:sz w:val="24"/>
          <w:szCs w:val="24"/>
        </w:rPr>
        <w:t xml:space="preserve"> </w:t>
      </w:r>
      <w:r w:rsidR="00FA5186" w:rsidRPr="00FA5186">
        <w:rPr>
          <w:rFonts w:ascii="Times New Roman" w:hAnsi="Times New Roman"/>
          <w:sz w:val="24"/>
          <w:szCs w:val="24"/>
        </w:rPr>
        <w:t>„bezpieczeństwa narodowego”.</w:t>
      </w:r>
      <w:r w:rsidR="00FA5186">
        <w:rPr>
          <w:rFonts w:ascii="Times New Roman" w:hAnsi="Times New Roman"/>
          <w:sz w:val="24"/>
          <w:szCs w:val="24"/>
        </w:rPr>
        <w:t xml:space="preserve"> </w:t>
      </w:r>
      <w:r w:rsidR="00FA5186" w:rsidRPr="00FA5186">
        <w:rPr>
          <w:rFonts w:ascii="Times New Roman" w:hAnsi="Times New Roman"/>
          <w:sz w:val="24"/>
          <w:szCs w:val="24"/>
        </w:rPr>
        <w:t>Proponowana zmiana nie narusza postanowień dyrektywy 2013/48, w motywie</w:t>
      </w:r>
      <w:r w:rsidR="00FA5186">
        <w:rPr>
          <w:rFonts w:ascii="Times New Roman" w:hAnsi="Times New Roman"/>
          <w:sz w:val="24"/>
          <w:szCs w:val="24"/>
        </w:rPr>
        <w:t xml:space="preserve"> </w:t>
      </w:r>
      <w:r w:rsidR="00FA5186" w:rsidRPr="00FA5186">
        <w:rPr>
          <w:rFonts w:ascii="Times New Roman" w:hAnsi="Times New Roman"/>
          <w:sz w:val="24"/>
          <w:szCs w:val="24"/>
        </w:rPr>
        <w:t>34 jej preambuły wskazano bowiem, że „Niniejsza dyrektywa powinna także</w:t>
      </w:r>
      <w:r w:rsidR="00FA5186">
        <w:rPr>
          <w:rFonts w:ascii="Times New Roman" w:hAnsi="Times New Roman"/>
          <w:sz w:val="24"/>
          <w:szCs w:val="24"/>
        </w:rPr>
        <w:t xml:space="preserve"> </w:t>
      </w:r>
      <w:r w:rsidR="00FA5186" w:rsidRPr="00FA5186">
        <w:rPr>
          <w:rFonts w:ascii="Times New Roman" w:hAnsi="Times New Roman"/>
          <w:sz w:val="24"/>
          <w:szCs w:val="24"/>
        </w:rPr>
        <w:t>pozostawać bez uszczerbku dla prac prowadzonych na przykład przez krajowe</w:t>
      </w:r>
      <w:r w:rsidR="00FA5186">
        <w:rPr>
          <w:rFonts w:ascii="Times New Roman" w:hAnsi="Times New Roman"/>
          <w:sz w:val="24"/>
          <w:szCs w:val="24"/>
        </w:rPr>
        <w:t xml:space="preserve"> </w:t>
      </w:r>
      <w:r w:rsidR="00FA5186" w:rsidRPr="00FA5186">
        <w:rPr>
          <w:rFonts w:ascii="Times New Roman" w:hAnsi="Times New Roman"/>
          <w:sz w:val="24"/>
          <w:szCs w:val="24"/>
        </w:rPr>
        <w:t>służby wywiadu w celu ochrony bezpieczeństwa narodowego zgodnie z art. 4 ust.</w:t>
      </w:r>
      <w:r w:rsidR="00FA5186">
        <w:rPr>
          <w:rFonts w:ascii="Times New Roman" w:hAnsi="Times New Roman"/>
          <w:sz w:val="24"/>
          <w:szCs w:val="24"/>
        </w:rPr>
        <w:t xml:space="preserve"> </w:t>
      </w:r>
      <w:r w:rsidR="00FA5186" w:rsidRPr="00FA5186">
        <w:rPr>
          <w:rFonts w:ascii="Times New Roman" w:hAnsi="Times New Roman"/>
          <w:sz w:val="24"/>
          <w:szCs w:val="24"/>
        </w:rPr>
        <w:t>2 Traktatu o Unii Europejskiej ("TUE") lub art. 72 TFUE, zgodnie z którym tytuł V</w:t>
      </w:r>
      <w:r w:rsidR="00FA5186">
        <w:rPr>
          <w:rFonts w:ascii="Times New Roman" w:hAnsi="Times New Roman"/>
          <w:sz w:val="24"/>
          <w:szCs w:val="24"/>
        </w:rPr>
        <w:t xml:space="preserve"> </w:t>
      </w:r>
      <w:r w:rsidR="00FA5186" w:rsidRPr="00FA5186">
        <w:rPr>
          <w:rFonts w:ascii="Times New Roman" w:hAnsi="Times New Roman"/>
          <w:sz w:val="24"/>
          <w:szCs w:val="24"/>
        </w:rPr>
        <w:t>odnoszący się do przestrzeni wolności, bezpieczeństwa i sprawiedliwości nie</w:t>
      </w:r>
      <w:r w:rsidR="00FA5186">
        <w:rPr>
          <w:rFonts w:ascii="Times New Roman" w:hAnsi="Times New Roman"/>
          <w:sz w:val="24"/>
          <w:szCs w:val="24"/>
        </w:rPr>
        <w:t xml:space="preserve"> </w:t>
      </w:r>
      <w:r w:rsidR="00FA5186" w:rsidRPr="00FA5186">
        <w:rPr>
          <w:rFonts w:ascii="Times New Roman" w:hAnsi="Times New Roman"/>
          <w:sz w:val="24"/>
          <w:szCs w:val="24"/>
        </w:rPr>
        <w:t>może mieć wpływu na wykonywanie przez państwa członkowskie obowiązków</w:t>
      </w:r>
      <w:r w:rsidR="00FA5186">
        <w:rPr>
          <w:rFonts w:ascii="Times New Roman" w:hAnsi="Times New Roman"/>
          <w:sz w:val="24"/>
          <w:szCs w:val="24"/>
        </w:rPr>
        <w:t xml:space="preserve"> </w:t>
      </w:r>
      <w:r w:rsidR="00FA5186" w:rsidRPr="00FA5186">
        <w:rPr>
          <w:rFonts w:ascii="Times New Roman" w:hAnsi="Times New Roman"/>
          <w:sz w:val="24"/>
          <w:szCs w:val="24"/>
        </w:rPr>
        <w:t>dotyczących utrzymania porządku publicznego i ochrony bezpieczeństwa</w:t>
      </w:r>
      <w:r w:rsidR="00FA5186">
        <w:rPr>
          <w:rFonts w:ascii="Times New Roman" w:hAnsi="Times New Roman"/>
          <w:sz w:val="24"/>
          <w:szCs w:val="24"/>
        </w:rPr>
        <w:t xml:space="preserve"> </w:t>
      </w:r>
      <w:r w:rsidR="00FA5186" w:rsidRPr="00FA5186">
        <w:rPr>
          <w:rFonts w:ascii="Times New Roman" w:hAnsi="Times New Roman"/>
          <w:sz w:val="24"/>
          <w:szCs w:val="24"/>
        </w:rPr>
        <w:t>wewnętrznego”.</w:t>
      </w:r>
      <w:r w:rsidR="00143D6E">
        <w:rPr>
          <w:rFonts w:ascii="Times New Roman" w:hAnsi="Times New Roman"/>
          <w:sz w:val="24"/>
          <w:szCs w:val="24"/>
        </w:rPr>
        <w:t xml:space="preserve"> </w:t>
      </w:r>
      <w:r w:rsidR="00143D6E" w:rsidRPr="00143D6E">
        <w:rPr>
          <w:rFonts w:ascii="Times New Roman" w:hAnsi="Times New Roman"/>
          <w:sz w:val="24"/>
          <w:szCs w:val="24"/>
        </w:rPr>
        <w:t>Wyjątek oparty o ochronę bezpieczeństwa narodowego jest ponadto już znany</w:t>
      </w:r>
      <w:r w:rsidR="00143D6E">
        <w:rPr>
          <w:rFonts w:ascii="Times New Roman" w:hAnsi="Times New Roman"/>
          <w:sz w:val="24"/>
          <w:szCs w:val="24"/>
        </w:rPr>
        <w:t xml:space="preserve"> </w:t>
      </w:r>
      <w:r w:rsidR="00143D6E" w:rsidRPr="00143D6E">
        <w:rPr>
          <w:rFonts w:ascii="Times New Roman" w:hAnsi="Times New Roman"/>
          <w:sz w:val="24"/>
          <w:szCs w:val="24"/>
        </w:rPr>
        <w:t>ustawie karnoprocesowej. Przewidują go art. 589zj § 1 pkt 6 oraz art. 589zo § 1</w:t>
      </w:r>
      <w:r w:rsidR="00143D6E">
        <w:rPr>
          <w:rFonts w:ascii="Times New Roman" w:hAnsi="Times New Roman"/>
          <w:sz w:val="24"/>
          <w:szCs w:val="24"/>
        </w:rPr>
        <w:t xml:space="preserve"> </w:t>
      </w:r>
      <w:r w:rsidR="00143D6E" w:rsidRPr="00143D6E">
        <w:rPr>
          <w:rFonts w:ascii="Times New Roman" w:hAnsi="Times New Roman"/>
          <w:sz w:val="24"/>
          <w:szCs w:val="24"/>
        </w:rPr>
        <w:t>k.p.k. dotyczące wykonywania europejskiego nakazu dochodzeniowego.</w:t>
      </w:r>
      <w:r w:rsidR="00143D6E">
        <w:rPr>
          <w:rFonts w:ascii="Times New Roman" w:hAnsi="Times New Roman"/>
          <w:sz w:val="24"/>
          <w:szCs w:val="24"/>
        </w:rPr>
        <w:t xml:space="preserve"> </w:t>
      </w:r>
    </w:p>
    <w:p w14:paraId="446B03D0" w14:textId="2C7F7FF8" w:rsidR="00647D88" w:rsidRPr="00C835AB" w:rsidRDefault="00647D88" w:rsidP="00A0500E">
      <w:pPr>
        <w:pStyle w:val="Akapitzlist1"/>
        <w:spacing w:after="0" w:line="360" w:lineRule="auto"/>
        <w:ind w:left="0"/>
        <w:jc w:val="both"/>
        <w:rPr>
          <w:rFonts w:ascii="Times New Roman" w:hAnsi="Times New Roman"/>
          <w:sz w:val="24"/>
          <w:szCs w:val="24"/>
        </w:rPr>
      </w:pPr>
      <w:r w:rsidRPr="00C835AB">
        <w:rPr>
          <w:rFonts w:ascii="Times New Roman" w:hAnsi="Times New Roman"/>
          <w:sz w:val="24"/>
          <w:szCs w:val="24"/>
        </w:rPr>
        <w:t xml:space="preserve">W </w:t>
      </w:r>
      <w:r w:rsidR="00315AE2" w:rsidRPr="00C835AB">
        <w:rPr>
          <w:rFonts w:ascii="Times New Roman" w:hAnsi="Times New Roman"/>
          <w:sz w:val="24"/>
          <w:szCs w:val="24"/>
        </w:rPr>
        <w:t xml:space="preserve">art. 301 </w:t>
      </w:r>
      <w:r w:rsidRPr="00C835AB">
        <w:rPr>
          <w:rFonts w:ascii="Times New Roman" w:hAnsi="Times New Roman"/>
          <w:sz w:val="24"/>
          <w:szCs w:val="24"/>
        </w:rPr>
        <w:t xml:space="preserve">§ </w:t>
      </w:r>
      <w:r w:rsidR="00172776" w:rsidRPr="00C835AB">
        <w:rPr>
          <w:rFonts w:ascii="Times New Roman" w:hAnsi="Times New Roman"/>
          <w:sz w:val="24"/>
          <w:szCs w:val="24"/>
        </w:rPr>
        <w:t xml:space="preserve">11 </w:t>
      </w:r>
      <w:r w:rsidR="00315AE2" w:rsidRPr="00C835AB">
        <w:rPr>
          <w:rFonts w:ascii="Times New Roman" w:hAnsi="Times New Roman"/>
          <w:sz w:val="24"/>
          <w:szCs w:val="24"/>
        </w:rPr>
        <w:t>k.p.k.</w:t>
      </w:r>
      <w:r w:rsidRPr="00C835AB">
        <w:rPr>
          <w:rFonts w:ascii="Times New Roman" w:hAnsi="Times New Roman"/>
          <w:sz w:val="24"/>
          <w:szCs w:val="24"/>
        </w:rPr>
        <w:t xml:space="preserve"> uregulowano dostęp podejrzanego do </w:t>
      </w:r>
      <w:r w:rsidR="00031362">
        <w:rPr>
          <w:rFonts w:ascii="Times New Roman" w:hAnsi="Times New Roman"/>
          <w:sz w:val="24"/>
          <w:szCs w:val="24"/>
        </w:rPr>
        <w:t>obrońcy</w:t>
      </w:r>
      <w:r w:rsidR="00031362" w:rsidRPr="00C835AB">
        <w:rPr>
          <w:rFonts w:ascii="Times New Roman" w:hAnsi="Times New Roman"/>
          <w:sz w:val="24"/>
          <w:szCs w:val="24"/>
        </w:rPr>
        <w:t xml:space="preserve"> </w:t>
      </w:r>
      <w:r w:rsidRPr="00C835AB">
        <w:rPr>
          <w:rFonts w:ascii="Times New Roman" w:hAnsi="Times New Roman"/>
          <w:sz w:val="24"/>
          <w:szCs w:val="24"/>
        </w:rPr>
        <w:t>w</w:t>
      </w:r>
      <w:r w:rsidR="00E865A6" w:rsidRPr="00C835AB">
        <w:rPr>
          <w:rFonts w:ascii="Times New Roman" w:hAnsi="Times New Roman"/>
          <w:sz w:val="24"/>
          <w:szCs w:val="24"/>
        </w:rPr>
        <w:t> </w:t>
      </w:r>
      <w:r w:rsidRPr="00C835AB">
        <w:rPr>
          <w:rFonts w:ascii="Times New Roman" w:hAnsi="Times New Roman"/>
          <w:sz w:val="24"/>
          <w:szCs w:val="24"/>
        </w:rPr>
        <w:t xml:space="preserve">sytuacji, gdy czynność okazania poprzedza jego pierwsze przesłuchanie w charakterze podejrzanego. </w:t>
      </w:r>
    </w:p>
    <w:p w14:paraId="587E1F53" w14:textId="61D69B2D" w:rsidR="00647D88" w:rsidRPr="00C835AB" w:rsidRDefault="00315AE2"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Projektowane p</w:t>
      </w:r>
      <w:r w:rsidR="00647D88" w:rsidRPr="00C835AB">
        <w:rPr>
          <w:rFonts w:ascii="Times New Roman" w:hAnsi="Times New Roman"/>
          <w:sz w:val="24"/>
          <w:szCs w:val="24"/>
        </w:rPr>
        <w:t>rzepisy art. 301 § 2</w:t>
      </w:r>
      <w:r w:rsidR="00796D23">
        <w:rPr>
          <w:rFonts w:ascii="Times New Roman" w:hAnsi="Times New Roman"/>
          <w:sz w:val="24"/>
          <w:szCs w:val="24"/>
        </w:rPr>
        <w:t>–</w:t>
      </w:r>
      <w:r w:rsidR="00647D88" w:rsidRPr="00C835AB">
        <w:rPr>
          <w:rFonts w:ascii="Times New Roman" w:hAnsi="Times New Roman"/>
          <w:sz w:val="24"/>
          <w:szCs w:val="24"/>
        </w:rPr>
        <w:t xml:space="preserve">4 </w:t>
      </w:r>
      <w:r w:rsidR="00F90383" w:rsidRPr="00C835AB">
        <w:rPr>
          <w:rFonts w:ascii="Times New Roman" w:hAnsi="Times New Roman"/>
          <w:sz w:val="24"/>
          <w:szCs w:val="24"/>
        </w:rPr>
        <w:t xml:space="preserve">k.p.k. </w:t>
      </w:r>
      <w:r w:rsidR="00647D88" w:rsidRPr="00C835AB">
        <w:rPr>
          <w:rFonts w:ascii="Times New Roman" w:hAnsi="Times New Roman"/>
          <w:sz w:val="24"/>
          <w:szCs w:val="24"/>
        </w:rPr>
        <w:t>regulują kwestię konsultacji podejrzanego z</w:t>
      </w:r>
      <w:r w:rsidR="00E865A6" w:rsidRPr="00C835AB">
        <w:rPr>
          <w:rFonts w:ascii="Times New Roman" w:hAnsi="Times New Roman"/>
          <w:sz w:val="24"/>
          <w:szCs w:val="24"/>
        </w:rPr>
        <w:t> </w:t>
      </w:r>
      <w:r w:rsidR="00647D88" w:rsidRPr="00C835AB">
        <w:rPr>
          <w:rFonts w:ascii="Times New Roman" w:hAnsi="Times New Roman"/>
          <w:sz w:val="24"/>
          <w:szCs w:val="24"/>
        </w:rPr>
        <w:t>obrońcą przed pierwszym przesłuchaniem (okazaniem). Mając jednak na względzie, że</w:t>
      </w:r>
      <w:r w:rsidR="0097228F">
        <w:rPr>
          <w:rFonts w:ascii="Times New Roman" w:hAnsi="Times New Roman"/>
          <w:sz w:val="24"/>
          <w:szCs w:val="24"/>
        </w:rPr>
        <w:t> </w:t>
      </w:r>
      <w:r w:rsidR="00647D88" w:rsidRPr="00C835AB">
        <w:rPr>
          <w:rFonts w:ascii="Times New Roman" w:hAnsi="Times New Roman"/>
          <w:sz w:val="24"/>
          <w:szCs w:val="24"/>
        </w:rPr>
        <w:t>dyrektywa wymaga zapewnienia podejrzanemu dostępu do obrońcy również w związku z</w:t>
      </w:r>
      <w:r w:rsidR="00E865A6" w:rsidRPr="00C835AB">
        <w:rPr>
          <w:rFonts w:ascii="Times New Roman" w:hAnsi="Times New Roman"/>
          <w:sz w:val="24"/>
          <w:szCs w:val="24"/>
        </w:rPr>
        <w:t> </w:t>
      </w:r>
      <w:r w:rsidR="00647D88" w:rsidRPr="00C835AB">
        <w:rPr>
          <w:rFonts w:ascii="Times New Roman" w:hAnsi="Times New Roman"/>
          <w:sz w:val="24"/>
          <w:szCs w:val="24"/>
        </w:rPr>
        <w:t>kolejnymi przesłuchaniami (art. 3 ust. 3 a i b), konieczne było uregulowanie sposobu reagowania organu procesowego w dwóch dalszych sytuacjach: usprawiedliwionego oraz</w:t>
      </w:r>
      <w:r w:rsidR="0097228F">
        <w:rPr>
          <w:rFonts w:ascii="Times New Roman" w:hAnsi="Times New Roman"/>
          <w:sz w:val="24"/>
          <w:szCs w:val="24"/>
        </w:rPr>
        <w:t> </w:t>
      </w:r>
      <w:r w:rsidR="00647D88" w:rsidRPr="00C835AB">
        <w:rPr>
          <w:rFonts w:ascii="Times New Roman" w:hAnsi="Times New Roman"/>
          <w:sz w:val="24"/>
          <w:szCs w:val="24"/>
        </w:rPr>
        <w:t xml:space="preserve">nieusprawiedliwionego niestawiennictwa obrońcy na kolejne przesłuchanie. W pierwszym przypadku – usprawiedliwionego niestawiennictwa </w:t>
      </w:r>
      <w:r w:rsidR="00F90383" w:rsidRPr="00C835AB">
        <w:rPr>
          <w:rFonts w:ascii="Times New Roman" w:hAnsi="Times New Roman"/>
          <w:sz w:val="24"/>
          <w:szCs w:val="24"/>
        </w:rPr>
        <w:t>–</w:t>
      </w:r>
      <w:r w:rsidR="00647D88" w:rsidRPr="00C835AB">
        <w:rPr>
          <w:rFonts w:ascii="Times New Roman" w:hAnsi="Times New Roman"/>
          <w:sz w:val="24"/>
          <w:szCs w:val="24"/>
        </w:rPr>
        <w:t xml:space="preserve"> przystąpienie do przesłuchania bez</w:t>
      </w:r>
      <w:r w:rsidR="0097228F">
        <w:rPr>
          <w:rFonts w:ascii="Times New Roman" w:hAnsi="Times New Roman"/>
          <w:sz w:val="24"/>
          <w:szCs w:val="24"/>
        </w:rPr>
        <w:t> </w:t>
      </w:r>
      <w:r w:rsidR="00647D88" w:rsidRPr="00C835AB">
        <w:rPr>
          <w:rFonts w:ascii="Times New Roman" w:hAnsi="Times New Roman"/>
          <w:sz w:val="24"/>
          <w:szCs w:val="24"/>
        </w:rPr>
        <w:t>zapewnienia podejrzanemu możliwości konsultacji z obrońcą będzie zgodnie z art. 30</w:t>
      </w:r>
      <w:r w:rsidR="00A468D6" w:rsidRPr="00C835AB">
        <w:rPr>
          <w:rFonts w:ascii="Times New Roman" w:hAnsi="Times New Roman"/>
          <w:sz w:val="24"/>
          <w:szCs w:val="24"/>
        </w:rPr>
        <w:t>1</w:t>
      </w:r>
      <w:r w:rsidR="00647D88" w:rsidRPr="00C835AB">
        <w:rPr>
          <w:rFonts w:ascii="Times New Roman" w:hAnsi="Times New Roman"/>
          <w:sz w:val="24"/>
          <w:szCs w:val="24"/>
        </w:rPr>
        <w:t xml:space="preserve"> § </w:t>
      </w:r>
      <w:r w:rsidR="00172776" w:rsidRPr="00C835AB">
        <w:rPr>
          <w:rFonts w:ascii="Times New Roman" w:hAnsi="Times New Roman"/>
          <w:sz w:val="24"/>
          <w:szCs w:val="24"/>
        </w:rPr>
        <w:t xml:space="preserve">9 </w:t>
      </w:r>
      <w:r w:rsidR="00F90383" w:rsidRPr="00C835AB">
        <w:rPr>
          <w:rFonts w:ascii="Times New Roman" w:hAnsi="Times New Roman"/>
          <w:sz w:val="24"/>
          <w:szCs w:val="24"/>
        </w:rPr>
        <w:t xml:space="preserve">k.p.k. </w:t>
      </w:r>
      <w:r w:rsidR="00647D88" w:rsidRPr="00C835AB">
        <w:rPr>
          <w:rFonts w:ascii="Times New Roman" w:hAnsi="Times New Roman"/>
          <w:sz w:val="24"/>
          <w:szCs w:val="24"/>
        </w:rPr>
        <w:t xml:space="preserve">możliwe wyjątkowo, w warunkach określonych w § 2 (zrzeczenie się prawa do obecności obrońcy przy przesłuchaniu) i § </w:t>
      </w:r>
      <w:r w:rsidR="006614A5" w:rsidRPr="00C835AB">
        <w:rPr>
          <w:rFonts w:ascii="Times New Roman" w:hAnsi="Times New Roman"/>
          <w:sz w:val="24"/>
          <w:szCs w:val="24"/>
        </w:rPr>
        <w:t xml:space="preserve">8 </w:t>
      </w:r>
      <w:r w:rsidR="00647D88" w:rsidRPr="00C835AB">
        <w:rPr>
          <w:rFonts w:ascii="Times New Roman" w:hAnsi="Times New Roman"/>
          <w:sz w:val="24"/>
          <w:szCs w:val="24"/>
        </w:rPr>
        <w:t xml:space="preserve">(ograniczenie prawa dostępu do obrońcy). Natomiast </w:t>
      </w:r>
      <w:r w:rsidR="00647D88" w:rsidRPr="00C835AB">
        <w:rPr>
          <w:rFonts w:ascii="Times New Roman" w:hAnsi="Times New Roman"/>
          <w:sz w:val="24"/>
          <w:szCs w:val="24"/>
        </w:rPr>
        <w:lastRenderedPageBreak/>
        <w:t>nieusprawiedliwione niestawiennictwo obrońcy nie będzie tamowało przesłuchania (</w:t>
      </w:r>
      <w:r w:rsidRPr="00C835AB">
        <w:rPr>
          <w:rFonts w:ascii="Times New Roman" w:hAnsi="Times New Roman"/>
          <w:sz w:val="24"/>
          <w:szCs w:val="24"/>
        </w:rPr>
        <w:t xml:space="preserve">art. 301 </w:t>
      </w:r>
      <w:r w:rsidR="00647D88" w:rsidRPr="00C835AB">
        <w:rPr>
          <w:rFonts w:ascii="Times New Roman" w:hAnsi="Times New Roman"/>
          <w:sz w:val="24"/>
          <w:szCs w:val="24"/>
        </w:rPr>
        <w:t>§</w:t>
      </w:r>
      <w:r w:rsidR="00E865A6" w:rsidRPr="00C835AB">
        <w:rPr>
          <w:rFonts w:ascii="Times New Roman" w:hAnsi="Times New Roman"/>
          <w:sz w:val="24"/>
          <w:szCs w:val="24"/>
        </w:rPr>
        <w:t> </w:t>
      </w:r>
      <w:r w:rsidR="006614A5" w:rsidRPr="00C835AB">
        <w:rPr>
          <w:rFonts w:ascii="Times New Roman" w:hAnsi="Times New Roman"/>
          <w:sz w:val="24"/>
          <w:szCs w:val="24"/>
        </w:rPr>
        <w:t xml:space="preserve">10 </w:t>
      </w:r>
      <w:r w:rsidRPr="00C835AB">
        <w:rPr>
          <w:rFonts w:ascii="Times New Roman" w:hAnsi="Times New Roman"/>
          <w:sz w:val="24"/>
          <w:szCs w:val="24"/>
        </w:rPr>
        <w:t>k.p.k.</w:t>
      </w:r>
      <w:r w:rsidR="00647D88" w:rsidRPr="00C835AB">
        <w:rPr>
          <w:rFonts w:ascii="Times New Roman" w:hAnsi="Times New Roman"/>
          <w:sz w:val="24"/>
          <w:szCs w:val="24"/>
        </w:rPr>
        <w:t>).</w:t>
      </w:r>
    </w:p>
    <w:p w14:paraId="7984880B" w14:textId="325D27D5" w:rsidR="00647D88" w:rsidRPr="00C835AB" w:rsidRDefault="00704D92"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 xml:space="preserve">Poprawa </w:t>
      </w:r>
      <w:r w:rsidR="38EE72F7" w:rsidRPr="00C835AB">
        <w:rPr>
          <w:rFonts w:ascii="Times New Roman" w:hAnsi="Times New Roman"/>
          <w:sz w:val="24"/>
          <w:szCs w:val="24"/>
        </w:rPr>
        <w:t>dostępu do obrońcy osobom pozbawionym wolności przed pierwszym przesłuchaniem w charakterze podejrzanego wymag</w:t>
      </w:r>
      <w:r w:rsidR="00F55C3F" w:rsidRPr="00C835AB">
        <w:rPr>
          <w:rFonts w:ascii="Times New Roman" w:hAnsi="Times New Roman"/>
          <w:sz w:val="24"/>
          <w:szCs w:val="24"/>
        </w:rPr>
        <w:t>a</w:t>
      </w:r>
      <w:r w:rsidR="38EE72F7" w:rsidRPr="00C835AB">
        <w:rPr>
          <w:rFonts w:ascii="Times New Roman" w:hAnsi="Times New Roman"/>
          <w:sz w:val="24"/>
          <w:szCs w:val="24"/>
        </w:rPr>
        <w:t xml:space="preserve"> istotnego skrócenia i odformalizowania procedury wyznaczenia obrońcy z urzędu na podstawie art. 78 k.p.k. W tym zakresie dyrektywy 2013/48/UE i 2016/1919/UE są nierozerwalnie ze sobą związane. W zasadzie trudno mówić o</w:t>
      </w:r>
      <w:r w:rsidR="00E865A6" w:rsidRPr="00C835AB">
        <w:rPr>
          <w:rFonts w:ascii="Times New Roman" w:hAnsi="Times New Roman"/>
          <w:sz w:val="24"/>
          <w:szCs w:val="24"/>
        </w:rPr>
        <w:t> </w:t>
      </w:r>
      <w:r w:rsidR="38EE72F7" w:rsidRPr="00C835AB">
        <w:rPr>
          <w:rFonts w:ascii="Times New Roman" w:hAnsi="Times New Roman"/>
          <w:sz w:val="24"/>
          <w:szCs w:val="24"/>
        </w:rPr>
        <w:t>zapewnieniu zatrzymanemu realnego dostępu do obrońcy, jeżeli jedynie z powodu ubóstwa nie skorzysta on z usług adwokata lub radcy prawnego pełniącego dyżur. Z art. 2 ust. 1 i art. 4 ust. 4 dyrektywy 2016/1919/UE wynika, że osoba pozbawiona wolności powinna mieć dostęp do pomocy prawnej z urzędu, jeżeli nie ma wystarczających środków na ustanowienie obrońcy z wyboru. Z uwagi na krótki czas zatrzymania oraz przyjęty w polskim systemie model wyznaczania obrońcy z urzędu</w:t>
      </w:r>
      <w:r w:rsidR="001C0934" w:rsidRPr="00C835AB">
        <w:rPr>
          <w:rFonts w:ascii="Times New Roman" w:hAnsi="Times New Roman"/>
          <w:sz w:val="24"/>
          <w:szCs w:val="24"/>
        </w:rPr>
        <w:t>,</w:t>
      </w:r>
      <w:r w:rsidR="38EE72F7" w:rsidRPr="00C835AB">
        <w:rPr>
          <w:rFonts w:ascii="Times New Roman" w:hAnsi="Times New Roman"/>
          <w:sz w:val="24"/>
          <w:szCs w:val="24"/>
        </w:rPr>
        <w:t xml:space="preserve"> niejednokrotnie nierealne jest szybkie uzyskanie przez</w:t>
      </w:r>
      <w:r w:rsidR="0097228F">
        <w:rPr>
          <w:rFonts w:ascii="Times New Roman" w:hAnsi="Times New Roman"/>
          <w:sz w:val="24"/>
          <w:szCs w:val="24"/>
        </w:rPr>
        <w:t> </w:t>
      </w:r>
      <w:r w:rsidR="38EE72F7" w:rsidRPr="00C835AB">
        <w:rPr>
          <w:rFonts w:ascii="Times New Roman" w:hAnsi="Times New Roman"/>
          <w:sz w:val="24"/>
          <w:szCs w:val="24"/>
        </w:rPr>
        <w:t>zatrzymanego pomocy prawnej z urzędu. W związku z tym, aby zapewnić efektywność pomocy prawnej z urzędu dla zatrzymanego</w:t>
      </w:r>
      <w:r w:rsidR="001C0934" w:rsidRPr="00C835AB">
        <w:rPr>
          <w:rFonts w:ascii="Times New Roman" w:hAnsi="Times New Roman"/>
          <w:sz w:val="24"/>
          <w:szCs w:val="24"/>
        </w:rPr>
        <w:t>,</w:t>
      </w:r>
      <w:r w:rsidR="38EE72F7" w:rsidRPr="00C835AB">
        <w:rPr>
          <w:rFonts w:ascii="Times New Roman" w:hAnsi="Times New Roman"/>
          <w:sz w:val="24"/>
          <w:szCs w:val="24"/>
        </w:rPr>
        <w:t xml:space="preserve"> proponuje się wprowadzenie w art. 245 § 2</w:t>
      </w:r>
      <w:r w:rsidR="00167E72" w:rsidRPr="00C835AB">
        <w:rPr>
          <w:rFonts w:ascii="Times New Roman" w:hAnsi="Times New Roman"/>
          <w:sz w:val="24"/>
          <w:szCs w:val="24"/>
        </w:rPr>
        <w:t xml:space="preserve"> k.p.k.</w:t>
      </w:r>
      <w:r w:rsidR="38EE72F7" w:rsidRPr="00C835AB">
        <w:rPr>
          <w:rFonts w:ascii="Times New Roman" w:hAnsi="Times New Roman"/>
          <w:sz w:val="24"/>
          <w:szCs w:val="24"/>
        </w:rPr>
        <w:t xml:space="preserve"> reguły, że koszty pomocy udzielonej zatrzymanemu przez obrońcę pełniącego dyżur </w:t>
      </w:r>
      <w:r w:rsidR="002A7743">
        <w:rPr>
          <w:rFonts w:ascii="Times New Roman" w:hAnsi="Times New Roman"/>
          <w:sz w:val="24"/>
          <w:szCs w:val="24"/>
        </w:rPr>
        <w:t>wykłada tymczasowo</w:t>
      </w:r>
      <w:r w:rsidR="002A7743" w:rsidRPr="00C835AB">
        <w:rPr>
          <w:rFonts w:ascii="Times New Roman" w:hAnsi="Times New Roman"/>
          <w:sz w:val="24"/>
          <w:szCs w:val="24"/>
        </w:rPr>
        <w:t xml:space="preserve"> </w:t>
      </w:r>
      <w:r w:rsidR="38EE72F7" w:rsidRPr="00C835AB">
        <w:rPr>
          <w:rFonts w:ascii="Times New Roman" w:hAnsi="Times New Roman"/>
          <w:sz w:val="24"/>
          <w:szCs w:val="24"/>
        </w:rPr>
        <w:t>Skarb Państwa. Chodzi tu wyłącznie o koszt pomocy (konsultacji z obrońcą), jaką zatrzymany uzyskał w związku z zatrzymaniem, co powoduje, że nie będzie to skutkowało nadmiernym obciążeniem budżetu państwa, a jednocześnie umożliwi sprawne uzyskanie przez</w:t>
      </w:r>
      <w:r w:rsidR="0097228F">
        <w:rPr>
          <w:rFonts w:ascii="Times New Roman" w:hAnsi="Times New Roman"/>
          <w:sz w:val="24"/>
          <w:szCs w:val="24"/>
        </w:rPr>
        <w:t> </w:t>
      </w:r>
      <w:r w:rsidR="38EE72F7" w:rsidRPr="00C835AB">
        <w:rPr>
          <w:rFonts w:ascii="Times New Roman" w:hAnsi="Times New Roman"/>
          <w:sz w:val="24"/>
          <w:szCs w:val="24"/>
        </w:rPr>
        <w:t>zatrzymanego pomocy prawnej z urzędu.</w:t>
      </w:r>
      <w:r w:rsidR="3816FD5D" w:rsidRPr="00C835AB">
        <w:rPr>
          <w:rFonts w:ascii="Times New Roman" w:hAnsi="Times New Roman"/>
          <w:sz w:val="24"/>
          <w:szCs w:val="24"/>
        </w:rPr>
        <w:t xml:space="preserve"> </w:t>
      </w:r>
      <w:r w:rsidR="22764D4E" w:rsidRPr="00C835AB">
        <w:rPr>
          <w:rFonts w:ascii="Times New Roman" w:hAnsi="Times New Roman"/>
          <w:sz w:val="24"/>
          <w:szCs w:val="24"/>
        </w:rPr>
        <w:t>Rola w</w:t>
      </w:r>
      <w:r w:rsidR="3816FD5D" w:rsidRPr="00C835AB">
        <w:rPr>
          <w:rFonts w:ascii="Times New Roman" w:hAnsi="Times New Roman"/>
          <w:sz w:val="24"/>
          <w:szCs w:val="24"/>
        </w:rPr>
        <w:t>yznaczon</w:t>
      </w:r>
      <w:r w:rsidR="669EF253" w:rsidRPr="00C835AB">
        <w:rPr>
          <w:rFonts w:ascii="Times New Roman" w:hAnsi="Times New Roman"/>
          <w:sz w:val="24"/>
          <w:szCs w:val="24"/>
        </w:rPr>
        <w:t>ego</w:t>
      </w:r>
      <w:r w:rsidR="3816FD5D" w:rsidRPr="00C835AB">
        <w:rPr>
          <w:rFonts w:ascii="Times New Roman" w:hAnsi="Times New Roman"/>
          <w:sz w:val="24"/>
          <w:szCs w:val="24"/>
        </w:rPr>
        <w:t xml:space="preserve"> w tym trybie </w:t>
      </w:r>
      <w:r w:rsidR="2C669B8E" w:rsidRPr="00C835AB">
        <w:rPr>
          <w:rFonts w:ascii="Times New Roman" w:hAnsi="Times New Roman"/>
          <w:sz w:val="24"/>
          <w:szCs w:val="24"/>
        </w:rPr>
        <w:t>obrońc</w:t>
      </w:r>
      <w:r w:rsidR="074BEF68" w:rsidRPr="00C835AB">
        <w:rPr>
          <w:rFonts w:ascii="Times New Roman" w:hAnsi="Times New Roman"/>
          <w:sz w:val="24"/>
          <w:szCs w:val="24"/>
        </w:rPr>
        <w:t>y</w:t>
      </w:r>
      <w:r w:rsidR="25FB06CC" w:rsidRPr="00C835AB">
        <w:rPr>
          <w:rFonts w:ascii="Times New Roman" w:hAnsi="Times New Roman"/>
          <w:sz w:val="24"/>
          <w:szCs w:val="24"/>
        </w:rPr>
        <w:t xml:space="preserve"> z</w:t>
      </w:r>
      <w:r w:rsidR="0097228F">
        <w:rPr>
          <w:rFonts w:ascii="Times New Roman" w:hAnsi="Times New Roman"/>
          <w:sz w:val="24"/>
          <w:szCs w:val="24"/>
        </w:rPr>
        <w:t> </w:t>
      </w:r>
      <w:r w:rsidR="25FB06CC" w:rsidRPr="00C835AB">
        <w:rPr>
          <w:rFonts w:ascii="Times New Roman" w:hAnsi="Times New Roman"/>
          <w:sz w:val="24"/>
          <w:szCs w:val="24"/>
        </w:rPr>
        <w:t xml:space="preserve">urzędu </w:t>
      </w:r>
      <w:r w:rsidR="0A987122" w:rsidRPr="00C835AB">
        <w:rPr>
          <w:rFonts w:ascii="Times New Roman" w:hAnsi="Times New Roman"/>
          <w:sz w:val="24"/>
          <w:szCs w:val="24"/>
        </w:rPr>
        <w:t>polegać będzie przede wszystkim na udzieleniu porady prawnej zatrzymanemu</w:t>
      </w:r>
      <w:r w:rsidR="020E0204" w:rsidRPr="00C835AB">
        <w:rPr>
          <w:rFonts w:ascii="Times New Roman" w:hAnsi="Times New Roman"/>
          <w:sz w:val="24"/>
          <w:szCs w:val="24"/>
        </w:rPr>
        <w:t xml:space="preserve"> i</w:t>
      </w:r>
      <w:r w:rsidR="0097228F">
        <w:rPr>
          <w:rFonts w:ascii="Times New Roman" w:hAnsi="Times New Roman"/>
          <w:sz w:val="24"/>
          <w:szCs w:val="24"/>
        </w:rPr>
        <w:t> </w:t>
      </w:r>
      <w:r w:rsidR="020E0204" w:rsidRPr="00C835AB">
        <w:rPr>
          <w:rFonts w:ascii="Times New Roman" w:hAnsi="Times New Roman"/>
          <w:sz w:val="24"/>
          <w:szCs w:val="24"/>
        </w:rPr>
        <w:t xml:space="preserve">kończyć się będzie </w:t>
      </w:r>
      <w:r w:rsidR="70D9062B" w:rsidRPr="00C835AB">
        <w:rPr>
          <w:rFonts w:ascii="Times New Roman" w:hAnsi="Times New Roman"/>
          <w:sz w:val="24"/>
          <w:szCs w:val="24"/>
        </w:rPr>
        <w:t>najpóźniej z</w:t>
      </w:r>
      <w:r w:rsidR="020E0204" w:rsidRPr="00C835AB">
        <w:rPr>
          <w:rFonts w:ascii="Times New Roman" w:hAnsi="Times New Roman"/>
          <w:sz w:val="24"/>
          <w:szCs w:val="24"/>
        </w:rPr>
        <w:t xml:space="preserve"> momentem ustania zatrzymania</w:t>
      </w:r>
      <w:r w:rsidR="0A987122" w:rsidRPr="00C835AB">
        <w:rPr>
          <w:rFonts w:ascii="Times New Roman" w:hAnsi="Times New Roman"/>
          <w:sz w:val="24"/>
          <w:szCs w:val="24"/>
        </w:rPr>
        <w:t xml:space="preserve">. W zależności od rozwoju sytuacji procesowej osoba ta będzie mogła korzystać z pomocy </w:t>
      </w:r>
      <w:r w:rsidR="0BCDE39B" w:rsidRPr="00C835AB">
        <w:rPr>
          <w:rFonts w:ascii="Times New Roman" w:hAnsi="Times New Roman"/>
          <w:sz w:val="24"/>
          <w:szCs w:val="24"/>
        </w:rPr>
        <w:t>obrońcy</w:t>
      </w:r>
      <w:r w:rsidR="241327F4" w:rsidRPr="00C835AB">
        <w:rPr>
          <w:rFonts w:ascii="Times New Roman" w:hAnsi="Times New Roman"/>
          <w:sz w:val="24"/>
          <w:szCs w:val="24"/>
        </w:rPr>
        <w:t xml:space="preserve"> na zasadach ogólnych </w:t>
      </w:r>
      <w:r w:rsidR="00167E72" w:rsidRPr="00C835AB">
        <w:rPr>
          <w:rFonts w:ascii="Times New Roman" w:hAnsi="Times New Roman"/>
          <w:sz w:val="24"/>
          <w:szCs w:val="24"/>
        </w:rPr>
        <w:t>–</w:t>
      </w:r>
      <w:r w:rsidR="241327F4" w:rsidRPr="00C835AB">
        <w:rPr>
          <w:rFonts w:ascii="Times New Roman" w:hAnsi="Times New Roman"/>
          <w:sz w:val="24"/>
          <w:szCs w:val="24"/>
        </w:rPr>
        <w:t xml:space="preserve"> </w:t>
      </w:r>
      <w:r w:rsidR="0BCDE39B" w:rsidRPr="00C835AB">
        <w:rPr>
          <w:rFonts w:ascii="Times New Roman" w:hAnsi="Times New Roman"/>
          <w:sz w:val="24"/>
          <w:szCs w:val="24"/>
        </w:rPr>
        <w:t>jeśli zostaną jej przedstawione zarzuty</w:t>
      </w:r>
      <w:r w:rsidR="45AE168A" w:rsidRPr="00C835AB">
        <w:rPr>
          <w:rFonts w:ascii="Times New Roman" w:hAnsi="Times New Roman"/>
          <w:sz w:val="24"/>
          <w:szCs w:val="24"/>
        </w:rPr>
        <w:t xml:space="preserve"> będzie mogła ustanowić obrońcę z wyboru lub uzyskać pomoc obrońcy z urzędu w</w:t>
      </w:r>
      <w:r w:rsidR="622066BD" w:rsidRPr="00C835AB">
        <w:rPr>
          <w:rFonts w:ascii="Times New Roman" w:hAnsi="Times New Roman"/>
          <w:sz w:val="24"/>
          <w:szCs w:val="24"/>
        </w:rPr>
        <w:t xml:space="preserve"> trybie art. 301</w:t>
      </w:r>
      <w:r w:rsidR="514DC678" w:rsidRPr="00C835AB">
        <w:rPr>
          <w:rFonts w:ascii="Times New Roman" w:hAnsi="Times New Roman"/>
          <w:sz w:val="24"/>
          <w:szCs w:val="24"/>
        </w:rPr>
        <w:t xml:space="preserve"> § 5</w:t>
      </w:r>
      <w:r w:rsidR="00167E72" w:rsidRPr="00C835AB">
        <w:rPr>
          <w:rFonts w:ascii="Times New Roman" w:hAnsi="Times New Roman"/>
          <w:sz w:val="24"/>
          <w:szCs w:val="24"/>
        </w:rPr>
        <w:t xml:space="preserve"> k.p.k.</w:t>
      </w:r>
      <w:r w:rsidR="514DC678" w:rsidRPr="00C835AB">
        <w:rPr>
          <w:rFonts w:ascii="Times New Roman" w:hAnsi="Times New Roman"/>
          <w:sz w:val="24"/>
          <w:szCs w:val="24"/>
        </w:rPr>
        <w:t xml:space="preserve"> i w dalszej konsekwencji art. 78 § 1</w:t>
      </w:r>
      <w:r w:rsidR="00167E72" w:rsidRPr="00C835AB">
        <w:rPr>
          <w:rFonts w:ascii="Times New Roman" w:hAnsi="Times New Roman"/>
          <w:sz w:val="24"/>
          <w:szCs w:val="24"/>
        </w:rPr>
        <w:t xml:space="preserve"> k.p.k.</w:t>
      </w:r>
      <w:r w:rsidR="514DC678" w:rsidRPr="00C835AB">
        <w:rPr>
          <w:rFonts w:ascii="Times New Roman" w:hAnsi="Times New Roman"/>
          <w:sz w:val="24"/>
          <w:szCs w:val="24"/>
        </w:rPr>
        <w:t xml:space="preserve">, zaś w przypadku, gdyby </w:t>
      </w:r>
      <w:r w:rsidR="7F74C0E7" w:rsidRPr="00C835AB">
        <w:rPr>
          <w:rFonts w:ascii="Times New Roman" w:hAnsi="Times New Roman"/>
          <w:sz w:val="24"/>
          <w:szCs w:val="24"/>
        </w:rPr>
        <w:t xml:space="preserve">została zwolniona bez przedstawienia </w:t>
      </w:r>
      <w:r w:rsidR="514DC678" w:rsidRPr="00C835AB">
        <w:rPr>
          <w:rFonts w:ascii="Times New Roman" w:hAnsi="Times New Roman"/>
          <w:sz w:val="24"/>
          <w:szCs w:val="24"/>
        </w:rPr>
        <w:t>zarzut</w:t>
      </w:r>
      <w:r w:rsidR="01DCCAE9" w:rsidRPr="00C835AB">
        <w:rPr>
          <w:rFonts w:ascii="Times New Roman" w:hAnsi="Times New Roman"/>
          <w:sz w:val="24"/>
          <w:szCs w:val="24"/>
        </w:rPr>
        <w:t>ów</w:t>
      </w:r>
      <w:r w:rsidR="514DC678" w:rsidRPr="00C835AB">
        <w:rPr>
          <w:rFonts w:ascii="Times New Roman" w:hAnsi="Times New Roman"/>
          <w:sz w:val="24"/>
          <w:szCs w:val="24"/>
        </w:rPr>
        <w:t xml:space="preserve">, będzie mogła </w:t>
      </w:r>
      <w:r w:rsidR="23476708" w:rsidRPr="00C835AB">
        <w:rPr>
          <w:rFonts w:ascii="Times New Roman" w:hAnsi="Times New Roman"/>
          <w:sz w:val="24"/>
          <w:szCs w:val="24"/>
        </w:rPr>
        <w:t xml:space="preserve">samodzielnie ustanowić swojego reprezentanta lub na zasadzie art. 78 § 1a </w:t>
      </w:r>
      <w:r w:rsidR="00167E72" w:rsidRPr="00C835AB">
        <w:rPr>
          <w:rFonts w:ascii="Times New Roman" w:hAnsi="Times New Roman"/>
          <w:sz w:val="24"/>
          <w:szCs w:val="24"/>
        </w:rPr>
        <w:t xml:space="preserve">k.p.k. </w:t>
      </w:r>
      <w:r w:rsidR="23476708" w:rsidRPr="00C835AB">
        <w:rPr>
          <w:rFonts w:ascii="Times New Roman" w:hAnsi="Times New Roman"/>
          <w:sz w:val="24"/>
          <w:szCs w:val="24"/>
        </w:rPr>
        <w:t>uzyskać pomoc prawną z urzędu na potrzeby wniesienia ewentualnego zażalenia na zatrzymanie.</w:t>
      </w:r>
    </w:p>
    <w:p w14:paraId="6C64067A" w14:textId="3B3110A5" w:rsidR="00647D88" w:rsidRPr="00C835AB" w:rsidRDefault="38EE72F7"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W odniesieniu do pomocy prawnej z urzędu w związku z dalszymi czynnościami wprowadza się w projekcie procedurę wyznaczenia „tymczasowego” obrońcy, w zasadzie na</w:t>
      </w:r>
      <w:r w:rsidR="0097228F">
        <w:rPr>
          <w:rFonts w:ascii="Times New Roman" w:hAnsi="Times New Roman"/>
          <w:sz w:val="24"/>
          <w:szCs w:val="24"/>
        </w:rPr>
        <w:t> </w:t>
      </w:r>
      <w:r w:rsidRPr="00C835AB">
        <w:rPr>
          <w:rFonts w:ascii="Times New Roman" w:hAnsi="Times New Roman"/>
          <w:sz w:val="24"/>
          <w:szCs w:val="24"/>
        </w:rPr>
        <w:t>żądanie podejrzanego pozbawionego wolności. Wówczas taki obrońca byłby wyznaczany przez organ przeprowadzający czynność pierwszego przesłuchania lub okazania, jeżeli</w:t>
      </w:r>
      <w:r w:rsidR="0004458F">
        <w:rPr>
          <w:rFonts w:ascii="Times New Roman" w:hAnsi="Times New Roman"/>
          <w:sz w:val="24"/>
          <w:szCs w:val="24"/>
        </w:rPr>
        <w:t> </w:t>
      </w:r>
      <w:r w:rsidRPr="00C835AB">
        <w:rPr>
          <w:rFonts w:ascii="Times New Roman" w:hAnsi="Times New Roman"/>
          <w:sz w:val="24"/>
          <w:szCs w:val="24"/>
        </w:rPr>
        <w:t xml:space="preserve">wyprzedza ono czasowo przesłuchanie (art. 301 § 5 i </w:t>
      </w:r>
      <w:r w:rsidR="006614A5" w:rsidRPr="00C835AB">
        <w:rPr>
          <w:rFonts w:ascii="Times New Roman" w:hAnsi="Times New Roman"/>
          <w:sz w:val="24"/>
          <w:szCs w:val="24"/>
        </w:rPr>
        <w:t xml:space="preserve">11 </w:t>
      </w:r>
      <w:r w:rsidR="00167E72" w:rsidRPr="00C835AB">
        <w:rPr>
          <w:rFonts w:ascii="Times New Roman" w:hAnsi="Times New Roman"/>
          <w:sz w:val="24"/>
          <w:szCs w:val="24"/>
        </w:rPr>
        <w:t>k.p.k.</w:t>
      </w:r>
      <w:r w:rsidRPr="00C835AB">
        <w:rPr>
          <w:rFonts w:ascii="Times New Roman" w:hAnsi="Times New Roman"/>
          <w:sz w:val="24"/>
          <w:szCs w:val="24"/>
        </w:rPr>
        <w:t xml:space="preserve">). </w:t>
      </w:r>
      <w:r w:rsidR="36CA658E" w:rsidRPr="00C835AB">
        <w:rPr>
          <w:rFonts w:ascii="Times New Roman" w:hAnsi="Times New Roman"/>
          <w:sz w:val="24"/>
          <w:szCs w:val="24"/>
        </w:rPr>
        <w:t xml:space="preserve">Jeśli podejrzany </w:t>
      </w:r>
      <w:r w:rsidR="59DDD3CC" w:rsidRPr="00C835AB">
        <w:rPr>
          <w:rFonts w:ascii="Times New Roman" w:hAnsi="Times New Roman"/>
          <w:sz w:val="24"/>
          <w:szCs w:val="24"/>
        </w:rPr>
        <w:t>uzyskał już</w:t>
      </w:r>
      <w:r w:rsidR="0097228F">
        <w:rPr>
          <w:rFonts w:ascii="Times New Roman" w:hAnsi="Times New Roman"/>
          <w:sz w:val="24"/>
          <w:szCs w:val="24"/>
        </w:rPr>
        <w:t> </w:t>
      </w:r>
      <w:r w:rsidR="36CA658E" w:rsidRPr="00C835AB">
        <w:rPr>
          <w:rFonts w:ascii="Times New Roman" w:hAnsi="Times New Roman"/>
          <w:sz w:val="24"/>
          <w:szCs w:val="24"/>
        </w:rPr>
        <w:t xml:space="preserve">wcześniej pomoc obrońcy </w:t>
      </w:r>
      <w:r w:rsidR="028B327E" w:rsidRPr="00C835AB">
        <w:rPr>
          <w:rFonts w:ascii="Times New Roman" w:hAnsi="Times New Roman"/>
          <w:sz w:val="24"/>
          <w:szCs w:val="24"/>
        </w:rPr>
        <w:t xml:space="preserve">w trybie art. 245 § 2 </w:t>
      </w:r>
      <w:r w:rsidR="00167E72" w:rsidRPr="00C835AB">
        <w:rPr>
          <w:rFonts w:ascii="Times New Roman" w:hAnsi="Times New Roman"/>
          <w:sz w:val="24"/>
          <w:szCs w:val="24"/>
        </w:rPr>
        <w:t xml:space="preserve">k.p.k. </w:t>
      </w:r>
      <w:r w:rsidR="6AAAC7CE" w:rsidRPr="00C835AB">
        <w:rPr>
          <w:rFonts w:ascii="Times New Roman" w:hAnsi="Times New Roman"/>
          <w:sz w:val="24"/>
          <w:szCs w:val="24"/>
        </w:rPr>
        <w:t xml:space="preserve">w związku z </w:t>
      </w:r>
      <w:r w:rsidR="36CA658E" w:rsidRPr="00C835AB">
        <w:rPr>
          <w:rFonts w:ascii="Times New Roman" w:hAnsi="Times New Roman"/>
          <w:sz w:val="24"/>
          <w:szCs w:val="24"/>
        </w:rPr>
        <w:t>zatrzyma</w:t>
      </w:r>
      <w:r w:rsidR="1DBBA2B7" w:rsidRPr="00C835AB">
        <w:rPr>
          <w:rFonts w:ascii="Times New Roman" w:hAnsi="Times New Roman"/>
          <w:sz w:val="24"/>
          <w:szCs w:val="24"/>
        </w:rPr>
        <w:t>niem</w:t>
      </w:r>
      <w:r w:rsidR="2FA7E22E" w:rsidRPr="00C835AB">
        <w:rPr>
          <w:rFonts w:ascii="Times New Roman" w:hAnsi="Times New Roman"/>
          <w:sz w:val="24"/>
          <w:szCs w:val="24"/>
        </w:rPr>
        <w:t>, ten</w:t>
      </w:r>
      <w:r w:rsidR="0097228F">
        <w:rPr>
          <w:rFonts w:ascii="Times New Roman" w:hAnsi="Times New Roman"/>
          <w:sz w:val="24"/>
          <w:szCs w:val="24"/>
        </w:rPr>
        <w:t> </w:t>
      </w:r>
      <w:r w:rsidR="36CA658E" w:rsidRPr="00C835AB">
        <w:rPr>
          <w:rFonts w:ascii="Times New Roman" w:hAnsi="Times New Roman"/>
          <w:sz w:val="24"/>
          <w:szCs w:val="24"/>
        </w:rPr>
        <w:t>adwokat lub radc</w:t>
      </w:r>
      <w:r w:rsidR="60381984" w:rsidRPr="00C835AB">
        <w:rPr>
          <w:rFonts w:ascii="Times New Roman" w:hAnsi="Times New Roman"/>
          <w:sz w:val="24"/>
          <w:szCs w:val="24"/>
        </w:rPr>
        <w:t>a</w:t>
      </w:r>
      <w:r w:rsidR="36CA658E" w:rsidRPr="00C835AB">
        <w:rPr>
          <w:rFonts w:ascii="Times New Roman" w:hAnsi="Times New Roman"/>
          <w:sz w:val="24"/>
          <w:szCs w:val="24"/>
        </w:rPr>
        <w:t xml:space="preserve"> prawn</w:t>
      </w:r>
      <w:r w:rsidR="2517CE6F" w:rsidRPr="00C835AB">
        <w:rPr>
          <w:rFonts w:ascii="Times New Roman" w:hAnsi="Times New Roman"/>
          <w:sz w:val="24"/>
          <w:szCs w:val="24"/>
        </w:rPr>
        <w:t xml:space="preserve">y powinien w miarę możliwości zostać wyznaczony jako </w:t>
      </w:r>
      <w:r w:rsidR="3386E02D" w:rsidRPr="00C835AB">
        <w:rPr>
          <w:rFonts w:ascii="Times New Roman" w:hAnsi="Times New Roman"/>
          <w:sz w:val="24"/>
          <w:szCs w:val="24"/>
        </w:rPr>
        <w:t xml:space="preserve">obrońca </w:t>
      </w:r>
      <w:r w:rsidR="3386E02D" w:rsidRPr="00C835AB">
        <w:rPr>
          <w:rFonts w:ascii="Times New Roman" w:hAnsi="Times New Roman"/>
          <w:sz w:val="24"/>
          <w:szCs w:val="24"/>
        </w:rPr>
        <w:lastRenderedPageBreak/>
        <w:t>w trybie art. 301 § 5</w:t>
      </w:r>
      <w:r w:rsidR="00167E72" w:rsidRPr="00C835AB">
        <w:rPr>
          <w:rFonts w:ascii="Times New Roman" w:hAnsi="Times New Roman"/>
          <w:sz w:val="24"/>
          <w:szCs w:val="24"/>
        </w:rPr>
        <w:t xml:space="preserve"> k.p.k.</w:t>
      </w:r>
      <w:r w:rsidR="36CA658E" w:rsidRPr="00C835AB">
        <w:rPr>
          <w:rFonts w:ascii="Times New Roman" w:hAnsi="Times New Roman"/>
          <w:sz w:val="24"/>
          <w:szCs w:val="24"/>
        </w:rPr>
        <w:t>,</w:t>
      </w:r>
      <w:r w:rsidR="52C925F4" w:rsidRPr="00C835AB">
        <w:rPr>
          <w:rFonts w:ascii="Times New Roman" w:hAnsi="Times New Roman"/>
          <w:sz w:val="24"/>
          <w:szCs w:val="24"/>
        </w:rPr>
        <w:t xml:space="preserve"> gdyż sprzyjać to będzie </w:t>
      </w:r>
      <w:r w:rsidR="7AD14390" w:rsidRPr="00C835AB">
        <w:rPr>
          <w:rFonts w:ascii="Times New Roman" w:hAnsi="Times New Roman"/>
          <w:sz w:val="24"/>
          <w:szCs w:val="24"/>
        </w:rPr>
        <w:t xml:space="preserve">zapewnieniu ciągłości, a w konsekwencji również </w:t>
      </w:r>
      <w:r w:rsidR="52C925F4" w:rsidRPr="00C835AB">
        <w:rPr>
          <w:rFonts w:ascii="Times New Roman" w:hAnsi="Times New Roman"/>
          <w:sz w:val="24"/>
          <w:szCs w:val="24"/>
        </w:rPr>
        <w:t>efektywnośc</w:t>
      </w:r>
      <w:r w:rsidR="074C26B6" w:rsidRPr="00C835AB">
        <w:rPr>
          <w:rFonts w:ascii="Times New Roman" w:hAnsi="Times New Roman"/>
          <w:sz w:val="24"/>
          <w:szCs w:val="24"/>
        </w:rPr>
        <w:t>i</w:t>
      </w:r>
      <w:r w:rsidR="52C925F4" w:rsidRPr="00C835AB">
        <w:rPr>
          <w:rFonts w:ascii="Times New Roman" w:hAnsi="Times New Roman"/>
          <w:sz w:val="24"/>
          <w:szCs w:val="24"/>
        </w:rPr>
        <w:t xml:space="preserve"> obrony.</w:t>
      </w:r>
      <w:r w:rsidR="36CA658E" w:rsidRPr="00C835AB">
        <w:rPr>
          <w:rFonts w:ascii="Times New Roman" w:hAnsi="Times New Roman"/>
          <w:sz w:val="24"/>
          <w:szCs w:val="24"/>
        </w:rPr>
        <w:t xml:space="preserve"> </w:t>
      </w:r>
      <w:r w:rsidRPr="00C835AB">
        <w:rPr>
          <w:rFonts w:ascii="Times New Roman" w:hAnsi="Times New Roman"/>
          <w:sz w:val="24"/>
          <w:szCs w:val="24"/>
        </w:rPr>
        <w:t>Jednocześnie organ ten niezwłocznie powinien przesłać wniosek o</w:t>
      </w:r>
      <w:r w:rsidR="00E865A6" w:rsidRPr="00C835AB">
        <w:rPr>
          <w:rFonts w:ascii="Times New Roman" w:hAnsi="Times New Roman"/>
          <w:sz w:val="24"/>
          <w:szCs w:val="24"/>
        </w:rPr>
        <w:t> </w:t>
      </w:r>
      <w:r w:rsidRPr="00C835AB">
        <w:rPr>
          <w:rFonts w:ascii="Times New Roman" w:hAnsi="Times New Roman"/>
          <w:sz w:val="24"/>
          <w:szCs w:val="24"/>
        </w:rPr>
        <w:t>wyznaczenie obrońcy z urzędu wraz z niezbędnymi dokumentami do właściwego sądu, aby</w:t>
      </w:r>
      <w:r w:rsidR="0097228F">
        <w:rPr>
          <w:rFonts w:ascii="Times New Roman" w:hAnsi="Times New Roman"/>
          <w:sz w:val="24"/>
          <w:szCs w:val="24"/>
        </w:rPr>
        <w:t> </w:t>
      </w:r>
      <w:r w:rsidRPr="00C835AB">
        <w:rPr>
          <w:rFonts w:ascii="Times New Roman" w:hAnsi="Times New Roman"/>
          <w:sz w:val="24"/>
          <w:szCs w:val="24"/>
        </w:rPr>
        <w:t>nastąpiło tam rozstrzygnięcie tej kwestii w zwykłym trybie (projektowany art. 81a § 1a</w:t>
      </w:r>
      <w:r w:rsidR="003600D8" w:rsidRPr="00C835AB">
        <w:rPr>
          <w:rFonts w:ascii="Times New Roman" w:hAnsi="Times New Roman"/>
          <w:sz w:val="24"/>
          <w:szCs w:val="24"/>
        </w:rPr>
        <w:t xml:space="preserve"> k.p.k.</w:t>
      </w:r>
      <w:r w:rsidRPr="00C835AB">
        <w:rPr>
          <w:rFonts w:ascii="Times New Roman" w:hAnsi="Times New Roman"/>
          <w:sz w:val="24"/>
          <w:szCs w:val="24"/>
        </w:rPr>
        <w:t>). Obrońca „tymczasowy” wyznaczony w trybie art. 301 § 5</w:t>
      </w:r>
      <w:r w:rsidR="003600D8" w:rsidRPr="00C835AB">
        <w:rPr>
          <w:rFonts w:ascii="Times New Roman" w:hAnsi="Times New Roman"/>
          <w:sz w:val="24"/>
          <w:szCs w:val="24"/>
        </w:rPr>
        <w:t xml:space="preserve"> k.p.k.</w:t>
      </w:r>
      <w:r w:rsidRPr="00C835AB">
        <w:rPr>
          <w:rFonts w:ascii="Times New Roman" w:hAnsi="Times New Roman"/>
          <w:sz w:val="24"/>
          <w:szCs w:val="24"/>
        </w:rPr>
        <w:t xml:space="preserve"> byłby uprawniony podejmować czynności jedynie do czasu prawomocnego rozstrzygnięcia przez uprawnione podmioty w przedmiocie wniosku podejrzanego o wyznaczenie obrońcy z urzędu na podstawie art. 78 k.p.k. (projektowany art. 84 § 2a</w:t>
      </w:r>
      <w:r w:rsidR="003600D8" w:rsidRPr="00C835AB">
        <w:rPr>
          <w:rFonts w:ascii="Times New Roman" w:hAnsi="Times New Roman"/>
          <w:sz w:val="24"/>
          <w:szCs w:val="24"/>
        </w:rPr>
        <w:t xml:space="preserve"> k.p.k.</w:t>
      </w:r>
      <w:r w:rsidRPr="00C835AB">
        <w:rPr>
          <w:rFonts w:ascii="Times New Roman" w:hAnsi="Times New Roman"/>
          <w:sz w:val="24"/>
          <w:szCs w:val="24"/>
        </w:rPr>
        <w:t>), przy czym adwokat lub radca prawny będący obrońcą „tymczasowym” powinien zostać w miarę możliwości wyznaczony jako obrońca z</w:t>
      </w:r>
      <w:r w:rsidR="00E865A6" w:rsidRPr="00C835AB">
        <w:rPr>
          <w:rFonts w:ascii="Times New Roman" w:hAnsi="Times New Roman"/>
          <w:sz w:val="24"/>
          <w:szCs w:val="24"/>
        </w:rPr>
        <w:t> </w:t>
      </w:r>
      <w:r w:rsidRPr="00C835AB">
        <w:rPr>
          <w:rFonts w:ascii="Times New Roman" w:hAnsi="Times New Roman"/>
          <w:sz w:val="24"/>
          <w:szCs w:val="24"/>
        </w:rPr>
        <w:t>urzędu, aby w ten sposób zapewnić ciągłość pomocy obrońcy (projektowany art. 81a § 1a</w:t>
      </w:r>
      <w:r w:rsidR="003600D8" w:rsidRPr="00C835AB">
        <w:rPr>
          <w:rFonts w:ascii="Times New Roman" w:hAnsi="Times New Roman"/>
          <w:sz w:val="24"/>
          <w:szCs w:val="24"/>
        </w:rPr>
        <w:t xml:space="preserve"> k.p.k.</w:t>
      </w:r>
      <w:r w:rsidRPr="00C835AB">
        <w:rPr>
          <w:rFonts w:ascii="Times New Roman" w:hAnsi="Times New Roman"/>
          <w:sz w:val="24"/>
          <w:szCs w:val="24"/>
        </w:rPr>
        <w:t>). Za uregulowaniem dostępu do „obrońcy tymczasowego” w art. 301</w:t>
      </w:r>
      <w:r w:rsidR="003600D8" w:rsidRPr="00C835AB">
        <w:rPr>
          <w:rFonts w:ascii="Times New Roman" w:hAnsi="Times New Roman"/>
          <w:sz w:val="24"/>
          <w:szCs w:val="24"/>
        </w:rPr>
        <w:t xml:space="preserve"> k.p.k.</w:t>
      </w:r>
      <w:r w:rsidRPr="00C835AB">
        <w:rPr>
          <w:rFonts w:ascii="Times New Roman" w:hAnsi="Times New Roman"/>
          <w:sz w:val="24"/>
          <w:szCs w:val="24"/>
        </w:rPr>
        <w:t>, a</w:t>
      </w:r>
      <w:r w:rsidR="0097228F">
        <w:rPr>
          <w:rFonts w:ascii="Times New Roman" w:hAnsi="Times New Roman"/>
          <w:sz w:val="24"/>
          <w:szCs w:val="24"/>
        </w:rPr>
        <w:t> </w:t>
      </w:r>
      <w:r w:rsidRPr="00C835AB">
        <w:rPr>
          <w:rFonts w:ascii="Times New Roman" w:hAnsi="Times New Roman"/>
          <w:sz w:val="24"/>
          <w:szCs w:val="24"/>
        </w:rPr>
        <w:t>nie</w:t>
      </w:r>
      <w:r w:rsidR="0097228F">
        <w:rPr>
          <w:rFonts w:ascii="Times New Roman" w:hAnsi="Times New Roman"/>
          <w:sz w:val="24"/>
          <w:szCs w:val="24"/>
        </w:rPr>
        <w:t> </w:t>
      </w:r>
      <w:r w:rsidRPr="00C835AB">
        <w:rPr>
          <w:rFonts w:ascii="Times New Roman" w:hAnsi="Times New Roman"/>
          <w:sz w:val="24"/>
          <w:szCs w:val="24"/>
        </w:rPr>
        <w:t>w</w:t>
      </w:r>
      <w:r w:rsidR="00E865A6" w:rsidRPr="00C835AB">
        <w:rPr>
          <w:rFonts w:ascii="Times New Roman" w:hAnsi="Times New Roman"/>
          <w:sz w:val="24"/>
          <w:szCs w:val="24"/>
        </w:rPr>
        <w:t> </w:t>
      </w:r>
      <w:r w:rsidRPr="00C835AB">
        <w:rPr>
          <w:rFonts w:ascii="Times New Roman" w:hAnsi="Times New Roman"/>
          <w:sz w:val="24"/>
          <w:szCs w:val="24"/>
        </w:rPr>
        <w:t>przepisach o zatrzymaniu przemawiał następujący argument: jeżeli zatrzymanie nie</w:t>
      </w:r>
      <w:r w:rsidR="0097228F">
        <w:rPr>
          <w:rFonts w:ascii="Times New Roman" w:hAnsi="Times New Roman"/>
          <w:sz w:val="24"/>
          <w:szCs w:val="24"/>
        </w:rPr>
        <w:t> </w:t>
      </w:r>
      <w:r w:rsidRPr="00C835AB">
        <w:rPr>
          <w:rFonts w:ascii="Times New Roman" w:hAnsi="Times New Roman"/>
          <w:sz w:val="24"/>
          <w:szCs w:val="24"/>
        </w:rPr>
        <w:t>przechodzi w przesłuchanie związane z przedstawieniem zarzutów, a kończy się po kilku godzinach zwolnieniem, to wystarczy pakiet gwarancyjny, łącznie z prawem do obrońcy i</w:t>
      </w:r>
      <w:r w:rsidR="00E865A6" w:rsidRPr="00C835AB">
        <w:rPr>
          <w:rFonts w:ascii="Times New Roman" w:hAnsi="Times New Roman"/>
          <w:sz w:val="24"/>
          <w:szCs w:val="24"/>
        </w:rPr>
        <w:t> </w:t>
      </w:r>
      <w:r w:rsidRPr="00C835AB">
        <w:rPr>
          <w:rFonts w:ascii="Times New Roman" w:hAnsi="Times New Roman"/>
          <w:sz w:val="24"/>
          <w:szCs w:val="24"/>
        </w:rPr>
        <w:t xml:space="preserve">prawem do złożenia „oświadczeń” i pouczeniem, o jakim mowa w art. 244 § 5 </w:t>
      </w:r>
      <w:r w:rsidR="003600D8" w:rsidRPr="00C835AB">
        <w:rPr>
          <w:rFonts w:ascii="Times New Roman" w:hAnsi="Times New Roman"/>
          <w:sz w:val="24"/>
          <w:szCs w:val="24"/>
        </w:rPr>
        <w:t xml:space="preserve">k.p.k. </w:t>
      </w:r>
      <w:r w:rsidRPr="00C835AB">
        <w:rPr>
          <w:rFonts w:ascii="Times New Roman" w:hAnsi="Times New Roman"/>
          <w:sz w:val="24"/>
          <w:szCs w:val="24"/>
        </w:rPr>
        <w:t>(rozporządzenie). Natomiast w przypadku przystąpienia do przesłuchania w związku z</w:t>
      </w:r>
      <w:r w:rsidR="00E865A6" w:rsidRPr="00C835AB">
        <w:rPr>
          <w:rFonts w:ascii="Times New Roman" w:hAnsi="Times New Roman"/>
          <w:sz w:val="24"/>
          <w:szCs w:val="24"/>
        </w:rPr>
        <w:t> </w:t>
      </w:r>
      <w:r w:rsidRPr="00C835AB">
        <w:rPr>
          <w:rFonts w:ascii="Times New Roman" w:hAnsi="Times New Roman"/>
          <w:sz w:val="24"/>
          <w:szCs w:val="24"/>
        </w:rPr>
        <w:t>zarzutami, konieczne jest zapewnienie również dostępu do pełnej pomocy prawnej z urzędu.</w:t>
      </w:r>
    </w:p>
    <w:p w14:paraId="54597985" w14:textId="3BD0ABE4" w:rsidR="00647D88" w:rsidRPr="00C835AB" w:rsidRDefault="00647D88"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Wprowadzenie nowych zasad wyznaczania obrońcy z urzędu w związku z</w:t>
      </w:r>
      <w:r w:rsidR="00E865A6" w:rsidRPr="00C835AB">
        <w:rPr>
          <w:rFonts w:ascii="Times New Roman" w:hAnsi="Times New Roman"/>
          <w:sz w:val="24"/>
          <w:szCs w:val="24"/>
        </w:rPr>
        <w:t> </w:t>
      </w:r>
      <w:r w:rsidRPr="00C835AB">
        <w:rPr>
          <w:rFonts w:ascii="Times New Roman" w:hAnsi="Times New Roman"/>
          <w:sz w:val="24"/>
          <w:szCs w:val="24"/>
        </w:rPr>
        <w:t>przesłuchaniem w charakterze podejrzanego spowodowało konieczność zsynchronizowania nowej regulacji z przepisami o obronie obligatoryjnej. W przypadku, gdy już przed pierwszym przesłuchaniem w charakterze podejrzanego zaistnieje jedna z sytuacji, o których mowa art. 79 § 1</w:t>
      </w:r>
      <w:r w:rsidR="003600D8" w:rsidRPr="00C835AB">
        <w:rPr>
          <w:rFonts w:ascii="Times New Roman" w:hAnsi="Times New Roman"/>
          <w:sz w:val="24"/>
          <w:szCs w:val="24"/>
        </w:rPr>
        <w:t xml:space="preserve"> k.p.k.</w:t>
      </w:r>
      <w:r w:rsidRPr="00C835AB">
        <w:rPr>
          <w:rFonts w:ascii="Times New Roman" w:hAnsi="Times New Roman"/>
          <w:sz w:val="24"/>
          <w:szCs w:val="24"/>
        </w:rPr>
        <w:t xml:space="preserve">, konieczne staje się wyznaczenie obrońcy z urzędu, a jednocześnie deficyty, którymi dotknięty jest podejrzany przemawiają za tym, aby jak najszybciej uzyskał on pomoc obrońcy. Z tego względu również w takiej sytuacji, </w:t>
      </w:r>
      <w:r w:rsidRPr="00C835AB">
        <w:rPr>
          <w:rFonts w:ascii="Times New Roman" w:hAnsi="Times New Roman"/>
          <w:bCs/>
          <w:sz w:val="24"/>
          <w:szCs w:val="24"/>
        </w:rPr>
        <w:t>gdy wyznaczenie obrońcy z urzędu w „zwykłym” trybie określonym w art. 81 § 1 k.p.k. nie jest możliwe przed przystąpieniem do przesłuchania,</w:t>
      </w:r>
      <w:r w:rsidRPr="00C835AB">
        <w:rPr>
          <w:rFonts w:ascii="Times New Roman" w:hAnsi="Times New Roman"/>
          <w:sz w:val="24"/>
          <w:szCs w:val="24"/>
        </w:rPr>
        <w:t xml:space="preserve"> przewiduje się wyznaczenie „tymczasowego” obrońcy z urzędu (proponowany art. 301 § 6</w:t>
      </w:r>
      <w:r w:rsidR="003600D8" w:rsidRPr="00C835AB">
        <w:rPr>
          <w:rFonts w:ascii="Times New Roman" w:hAnsi="Times New Roman"/>
          <w:sz w:val="24"/>
          <w:szCs w:val="24"/>
        </w:rPr>
        <w:t xml:space="preserve"> k.p.k.</w:t>
      </w:r>
      <w:r w:rsidRPr="00C835AB">
        <w:rPr>
          <w:rFonts w:ascii="Times New Roman" w:hAnsi="Times New Roman"/>
          <w:sz w:val="24"/>
          <w:szCs w:val="24"/>
        </w:rPr>
        <w:t>).</w:t>
      </w:r>
    </w:p>
    <w:p w14:paraId="141F2B8B" w14:textId="02A9CAC7" w:rsidR="00605812" w:rsidRPr="00C835AB" w:rsidRDefault="00A0654E"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 xml:space="preserve">Wyznaczenie obrońcy przez organ </w:t>
      </w:r>
      <w:r w:rsidR="002E602C" w:rsidRPr="00C835AB">
        <w:rPr>
          <w:rFonts w:ascii="Times New Roman" w:hAnsi="Times New Roman"/>
          <w:sz w:val="24"/>
          <w:szCs w:val="24"/>
        </w:rPr>
        <w:t xml:space="preserve">przeprowadzający czynność jest zgodne z </w:t>
      </w:r>
      <w:r w:rsidRPr="00C835AB">
        <w:rPr>
          <w:rFonts w:ascii="Times New Roman" w:hAnsi="Times New Roman"/>
          <w:sz w:val="24"/>
          <w:szCs w:val="24"/>
        </w:rPr>
        <w:t>dyrektyw</w:t>
      </w:r>
      <w:r w:rsidR="002E602C" w:rsidRPr="00C835AB">
        <w:rPr>
          <w:rFonts w:ascii="Times New Roman" w:hAnsi="Times New Roman"/>
          <w:sz w:val="24"/>
          <w:szCs w:val="24"/>
        </w:rPr>
        <w:t>ą</w:t>
      </w:r>
      <w:r w:rsidRPr="00C835AB">
        <w:rPr>
          <w:rFonts w:ascii="Times New Roman" w:hAnsi="Times New Roman"/>
          <w:sz w:val="24"/>
          <w:szCs w:val="24"/>
        </w:rPr>
        <w:t xml:space="preserve"> Parlamentu Europejskiego i Rady (UE) 2016/1919 z dnia 26 października 2016 r. w sprawie pomocy prawnej z urzędu dla podejrzanych i oskarżonych w postępowaniu karnym oraz</w:t>
      </w:r>
      <w:r w:rsidR="0097228F">
        <w:rPr>
          <w:rFonts w:ascii="Times New Roman" w:hAnsi="Times New Roman"/>
          <w:sz w:val="24"/>
          <w:szCs w:val="24"/>
        </w:rPr>
        <w:t> </w:t>
      </w:r>
      <w:r w:rsidRPr="00C835AB">
        <w:rPr>
          <w:rFonts w:ascii="Times New Roman" w:hAnsi="Times New Roman"/>
          <w:sz w:val="24"/>
          <w:szCs w:val="24"/>
        </w:rPr>
        <w:t>dla</w:t>
      </w:r>
      <w:r w:rsidR="0097228F">
        <w:rPr>
          <w:rFonts w:ascii="Times New Roman" w:hAnsi="Times New Roman"/>
          <w:sz w:val="24"/>
          <w:szCs w:val="24"/>
        </w:rPr>
        <w:t> </w:t>
      </w:r>
      <w:r w:rsidRPr="00C835AB">
        <w:rPr>
          <w:rFonts w:ascii="Times New Roman" w:hAnsi="Times New Roman"/>
          <w:sz w:val="24"/>
          <w:szCs w:val="24"/>
        </w:rPr>
        <w:t>osób, których dotyczy wniosek w postępowaniu dotyczącym europejskiego nakazu aresztowania</w:t>
      </w:r>
      <w:r w:rsidR="00EF0170" w:rsidRPr="00C835AB">
        <w:rPr>
          <w:rFonts w:ascii="Times New Roman" w:hAnsi="Times New Roman"/>
          <w:sz w:val="24"/>
          <w:szCs w:val="24"/>
        </w:rPr>
        <w:t>.</w:t>
      </w:r>
      <w:r w:rsidR="002E602C" w:rsidRPr="00C835AB">
        <w:rPr>
          <w:rFonts w:ascii="Times New Roman" w:hAnsi="Times New Roman"/>
          <w:sz w:val="24"/>
          <w:szCs w:val="24"/>
        </w:rPr>
        <w:t xml:space="preserve"> W motywie 24 wskazuje się, że „W pilnych przypadkach powinno być jednak możliwe tymczasowe zaangażowanie policji i organów ścigania w zakresie, w jakim jest to</w:t>
      </w:r>
      <w:r w:rsidR="0097228F">
        <w:rPr>
          <w:rFonts w:ascii="Times New Roman" w:hAnsi="Times New Roman"/>
          <w:sz w:val="24"/>
          <w:szCs w:val="24"/>
        </w:rPr>
        <w:t> </w:t>
      </w:r>
      <w:r w:rsidR="002E602C" w:rsidRPr="00C835AB">
        <w:rPr>
          <w:rFonts w:ascii="Times New Roman" w:hAnsi="Times New Roman"/>
          <w:sz w:val="24"/>
          <w:szCs w:val="24"/>
        </w:rPr>
        <w:t>konieczne dla przyznania pomocy prawnej z urzędu w odpowiednim czasie”.</w:t>
      </w:r>
    </w:p>
    <w:p w14:paraId="0797BF42" w14:textId="3ACDEEF2" w:rsidR="00647D88" w:rsidRPr="00C835AB" w:rsidRDefault="00647D88"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lastRenderedPageBreak/>
        <w:t xml:space="preserve">Projektowana zmiana art. 313 § 1 </w:t>
      </w:r>
      <w:r w:rsidR="003600D8" w:rsidRPr="00C835AB">
        <w:rPr>
          <w:rFonts w:ascii="Times New Roman" w:hAnsi="Times New Roman"/>
          <w:sz w:val="24"/>
          <w:szCs w:val="24"/>
        </w:rPr>
        <w:t xml:space="preserve">k.p.k. </w:t>
      </w:r>
      <w:r w:rsidRPr="00C835AB">
        <w:rPr>
          <w:rFonts w:ascii="Times New Roman" w:hAnsi="Times New Roman"/>
          <w:sz w:val="24"/>
          <w:szCs w:val="24"/>
        </w:rPr>
        <w:t>ma charakter porządkujący i pozwala na pełne i spójne osiągnięcie celów zakładanych przez dyrektywy obrończe. W nowym otoczeniu normatywnym samo sporządzenie postanowienia o przedstawieniu zarzutów (bez ogłoszenia i</w:t>
      </w:r>
      <w:r w:rsidR="00E865A6" w:rsidRPr="00C835AB">
        <w:rPr>
          <w:rFonts w:ascii="Times New Roman" w:hAnsi="Times New Roman"/>
          <w:sz w:val="24"/>
          <w:szCs w:val="24"/>
        </w:rPr>
        <w:t> </w:t>
      </w:r>
      <w:r w:rsidRPr="00C835AB">
        <w:rPr>
          <w:rFonts w:ascii="Times New Roman" w:hAnsi="Times New Roman"/>
          <w:sz w:val="24"/>
          <w:szCs w:val="24"/>
        </w:rPr>
        <w:t>przesłuchania) będzie kreowało podejrzanego jako czynność procesowa ukierunkowana na</w:t>
      </w:r>
      <w:r w:rsidR="0097228F">
        <w:rPr>
          <w:rFonts w:ascii="Times New Roman" w:hAnsi="Times New Roman"/>
          <w:sz w:val="24"/>
          <w:szCs w:val="24"/>
        </w:rPr>
        <w:t> </w:t>
      </w:r>
      <w:r w:rsidRPr="00C835AB">
        <w:rPr>
          <w:rFonts w:ascii="Times New Roman" w:hAnsi="Times New Roman"/>
          <w:sz w:val="24"/>
          <w:szCs w:val="24"/>
        </w:rPr>
        <w:t>ściganie, jeżeli wcześniej nie miała miejsca inna taka czynność, np. zatrzymanie. W</w:t>
      </w:r>
      <w:r w:rsidR="00E865A6" w:rsidRPr="00C835AB">
        <w:rPr>
          <w:rFonts w:ascii="Times New Roman" w:hAnsi="Times New Roman"/>
          <w:sz w:val="24"/>
          <w:szCs w:val="24"/>
        </w:rPr>
        <w:t> </w:t>
      </w:r>
      <w:r w:rsidRPr="00C835AB">
        <w:rPr>
          <w:rFonts w:ascii="Times New Roman" w:hAnsi="Times New Roman"/>
          <w:sz w:val="24"/>
          <w:szCs w:val="24"/>
        </w:rPr>
        <w:t>projektowanym przepisie poszerza się katalog sytuacji, w których dopuszczalne jest</w:t>
      </w:r>
      <w:r w:rsidR="0004458F">
        <w:rPr>
          <w:rFonts w:ascii="Times New Roman" w:hAnsi="Times New Roman"/>
          <w:sz w:val="24"/>
          <w:szCs w:val="24"/>
        </w:rPr>
        <w:t> </w:t>
      </w:r>
      <w:r w:rsidRPr="00C835AB">
        <w:rPr>
          <w:rFonts w:ascii="Times New Roman" w:hAnsi="Times New Roman"/>
          <w:sz w:val="24"/>
          <w:szCs w:val="24"/>
        </w:rPr>
        <w:t>odstąpienie od „niezwłocznego” ogłoszenia zarzutów podejrzanemu lub jego przesłuchania. Odstąpienie od niezwłocznego przesłuchania będzie bowiem możliwe również w sytuacji, „</w:t>
      </w:r>
      <w:r w:rsidRPr="00C835AB">
        <w:rPr>
          <w:rFonts w:ascii="Times New Roman" w:hAnsi="Times New Roman"/>
          <w:bCs/>
          <w:sz w:val="24"/>
          <w:szCs w:val="24"/>
        </w:rPr>
        <w:t>gdy</w:t>
      </w:r>
      <w:r w:rsidR="0097228F">
        <w:rPr>
          <w:rFonts w:ascii="Times New Roman" w:hAnsi="Times New Roman"/>
          <w:bCs/>
          <w:sz w:val="24"/>
          <w:szCs w:val="24"/>
        </w:rPr>
        <w:t> </w:t>
      </w:r>
      <w:r w:rsidRPr="00C835AB">
        <w:rPr>
          <w:rFonts w:ascii="Times New Roman" w:hAnsi="Times New Roman"/>
          <w:bCs/>
          <w:sz w:val="24"/>
          <w:szCs w:val="24"/>
        </w:rPr>
        <w:t>przesłuchanie podejrzanego nie jest możliwe ze względu na upływ terminu zatrzymania przewidzianego w art. 248 § 1, jeżeli prokurator kieruje do sądu wniosek o</w:t>
      </w:r>
      <w:r w:rsidR="0004458F">
        <w:rPr>
          <w:rFonts w:ascii="Times New Roman" w:hAnsi="Times New Roman"/>
          <w:bCs/>
          <w:sz w:val="24"/>
          <w:szCs w:val="24"/>
        </w:rPr>
        <w:t> </w:t>
      </w:r>
      <w:r w:rsidRPr="00C835AB">
        <w:rPr>
          <w:rFonts w:ascii="Times New Roman" w:hAnsi="Times New Roman"/>
          <w:bCs/>
          <w:sz w:val="24"/>
          <w:szCs w:val="24"/>
        </w:rPr>
        <w:t>zastosowanie tymczasowego aresztowania”. Unormowanie to zapewnia balans między wymogami efektywności postępowania a prawem podejrzanego do obrony. W sytuacji, gdy</w:t>
      </w:r>
      <w:r w:rsidR="0004458F">
        <w:rPr>
          <w:rFonts w:ascii="Times New Roman" w:hAnsi="Times New Roman"/>
          <w:bCs/>
          <w:sz w:val="24"/>
          <w:szCs w:val="24"/>
        </w:rPr>
        <w:t> </w:t>
      </w:r>
      <w:r w:rsidRPr="00C835AB">
        <w:rPr>
          <w:rFonts w:ascii="Times New Roman" w:hAnsi="Times New Roman"/>
          <w:bCs/>
          <w:sz w:val="24"/>
          <w:szCs w:val="24"/>
        </w:rPr>
        <w:t>prokurator nie</w:t>
      </w:r>
      <w:r w:rsidR="0097228F">
        <w:rPr>
          <w:rFonts w:ascii="Times New Roman" w:hAnsi="Times New Roman"/>
          <w:bCs/>
          <w:sz w:val="24"/>
          <w:szCs w:val="24"/>
        </w:rPr>
        <w:t> </w:t>
      </w:r>
      <w:r w:rsidRPr="00C835AB">
        <w:rPr>
          <w:rFonts w:ascii="Times New Roman" w:hAnsi="Times New Roman"/>
          <w:bCs/>
          <w:sz w:val="24"/>
          <w:szCs w:val="24"/>
        </w:rPr>
        <w:t>będzie dysponował wystarczającym czasem na przesłuchanie podejrzanego (zwłaszcza z</w:t>
      </w:r>
      <w:r w:rsidR="0097228F">
        <w:rPr>
          <w:rFonts w:ascii="Times New Roman" w:hAnsi="Times New Roman"/>
          <w:bCs/>
          <w:sz w:val="24"/>
          <w:szCs w:val="24"/>
        </w:rPr>
        <w:t> </w:t>
      </w:r>
      <w:r w:rsidRPr="00C835AB">
        <w:rPr>
          <w:rFonts w:ascii="Times New Roman" w:hAnsi="Times New Roman"/>
          <w:bCs/>
          <w:sz w:val="24"/>
          <w:szCs w:val="24"/>
        </w:rPr>
        <w:t>uwagi na konieczność zapewnienia mu dostępu do obrońcy), będzie mógł ograniczyć</w:t>
      </w:r>
      <w:r w:rsidR="00280BD8" w:rsidRPr="00C835AB">
        <w:rPr>
          <w:rFonts w:ascii="Times New Roman" w:hAnsi="Times New Roman"/>
          <w:bCs/>
          <w:sz w:val="24"/>
          <w:szCs w:val="24"/>
        </w:rPr>
        <w:t xml:space="preserve"> </w:t>
      </w:r>
      <w:r w:rsidRPr="00C835AB">
        <w:rPr>
          <w:rFonts w:ascii="Times New Roman" w:hAnsi="Times New Roman"/>
          <w:bCs/>
          <w:sz w:val="24"/>
          <w:szCs w:val="24"/>
        </w:rPr>
        <w:t>czynność do ogłoszenia zarzutów i wystąpić do sądu z wnioskiem o tymczasowe aresztowanie podejrzanego. Zostanie on wówczas przesłuchany dopiero przed sądem. Pozwoli to</w:t>
      </w:r>
      <w:r w:rsidR="0097228F">
        <w:rPr>
          <w:rFonts w:ascii="Times New Roman" w:hAnsi="Times New Roman"/>
          <w:bCs/>
          <w:sz w:val="24"/>
          <w:szCs w:val="24"/>
        </w:rPr>
        <w:t> </w:t>
      </w:r>
      <w:r w:rsidRPr="00C835AB">
        <w:rPr>
          <w:rFonts w:ascii="Times New Roman" w:hAnsi="Times New Roman"/>
          <w:bCs/>
          <w:sz w:val="24"/>
          <w:szCs w:val="24"/>
        </w:rPr>
        <w:t xml:space="preserve">prokuratorowi realizować niezbędne czynności bez konieczności sięgania po ograniczenia dostępu do obrońcy, o których mowa w projektowanym art. 301 § </w:t>
      </w:r>
      <w:r w:rsidR="006614A5" w:rsidRPr="00C835AB">
        <w:rPr>
          <w:rFonts w:ascii="Times New Roman" w:hAnsi="Times New Roman"/>
          <w:bCs/>
          <w:sz w:val="24"/>
          <w:szCs w:val="24"/>
        </w:rPr>
        <w:t xml:space="preserve">8 </w:t>
      </w:r>
      <w:r w:rsidR="003600D8" w:rsidRPr="00C835AB">
        <w:rPr>
          <w:rFonts w:ascii="Times New Roman" w:hAnsi="Times New Roman"/>
          <w:bCs/>
          <w:sz w:val="24"/>
          <w:szCs w:val="24"/>
        </w:rPr>
        <w:t>k.p.k</w:t>
      </w:r>
      <w:r w:rsidRPr="00C835AB">
        <w:rPr>
          <w:rFonts w:ascii="Times New Roman" w:hAnsi="Times New Roman"/>
          <w:bCs/>
          <w:sz w:val="24"/>
          <w:szCs w:val="24"/>
        </w:rPr>
        <w:t xml:space="preserve">. </w:t>
      </w:r>
      <w:r w:rsidRPr="00C835AB">
        <w:rPr>
          <w:rFonts w:ascii="Times New Roman" w:hAnsi="Times New Roman"/>
          <w:sz w:val="24"/>
          <w:szCs w:val="24"/>
        </w:rPr>
        <w:t>Jednocześnie nie</w:t>
      </w:r>
      <w:r w:rsidR="0097228F">
        <w:rPr>
          <w:rFonts w:ascii="Times New Roman" w:hAnsi="Times New Roman"/>
          <w:sz w:val="24"/>
          <w:szCs w:val="24"/>
        </w:rPr>
        <w:t> </w:t>
      </w:r>
      <w:r w:rsidRPr="00C835AB">
        <w:rPr>
          <w:rFonts w:ascii="Times New Roman" w:hAnsi="Times New Roman"/>
          <w:sz w:val="24"/>
          <w:szCs w:val="24"/>
        </w:rPr>
        <w:t xml:space="preserve">będzie to miało negatywnego wpływu na możliwość wykonywania swoich praw przez podejrzanego, gdyż uzyskanie tego statusu nie będzie uzależnione od </w:t>
      </w:r>
      <w:r w:rsidR="00CB7F36">
        <w:rPr>
          <w:rFonts w:ascii="Times New Roman" w:hAnsi="Times New Roman"/>
          <w:sz w:val="24"/>
          <w:szCs w:val="24"/>
        </w:rPr>
        <w:t>przesłuchania podejrzanego</w:t>
      </w:r>
      <w:r w:rsidRPr="00C835AB">
        <w:rPr>
          <w:rFonts w:ascii="Times New Roman" w:hAnsi="Times New Roman"/>
          <w:sz w:val="24"/>
          <w:szCs w:val="24"/>
        </w:rPr>
        <w:t>. Taki p</w:t>
      </w:r>
      <w:r w:rsidRPr="00C835AB">
        <w:rPr>
          <w:rFonts w:ascii="Times New Roman" w:hAnsi="Times New Roman"/>
          <w:bCs/>
          <w:sz w:val="24"/>
          <w:szCs w:val="24"/>
        </w:rPr>
        <w:t>odejrzany nie zostanie pozbawiony prawa do bycia przesłuchanym z</w:t>
      </w:r>
      <w:r w:rsidR="0097228F">
        <w:rPr>
          <w:rFonts w:ascii="Times New Roman" w:hAnsi="Times New Roman"/>
          <w:bCs/>
          <w:sz w:val="24"/>
          <w:szCs w:val="24"/>
        </w:rPr>
        <w:t> </w:t>
      </w:r>
      <w:r w:rsidRPr="00C835AB">
        <w:rPr>
          <w:rFonts w:ascii="Times New Roman" w:hAnsi="Times New Roman"/>
          <w:bCs/>
          <w:sz w:val="24"/>
          <w:szCs w:val="24"/>
        </w:rPr>
        <w:t>udziałem obrońcy, bowiem unormowania przewidziane w projektowanym art. 301 § 2 i 3</w:t>
      </w:r>
      <w:r w:rsidR="003600D8" w:rsidRPr="00C835AB">
        <w:rPr>
          <w:rFonts w:ascii="Times New Roman" w:hAnsi="Times New Roman"/>
          <w:bCs/>
          <w:sz w:val="24"/>
          <w:szCs w:val="24"/>
        </w:rPr>
        <w:t xml:space="preserve"> k.p.k.</w:t>
      </w:r>
      <w:r w:rsidRPr="00C835AB">
        <w:rPr>
          <w:rFonts w:ascii="Times New Roman" w:hAnsi="Times New Roman"/>
          <w:bCs/>
          <w:sz w:val="24"/>
          <w:szCs w:val="24"/>
        </w:rPr>
        <w:t xml:space="preserve"> będą miały w tej sytuacji zastosowanie, a obrońca może wziąć udział w posiedzeniu </w:t>
      </w:r>
      <w:proofErr w:type="spellStart"/>
      <w:r w:rsidRPr="00C835AB">
        <w:rPr>
          <w:rFonts w:ascii="Times New Roman" w:hAnsi="Times New Roman"/>
          <w:bCs/>
          <w:sz w:val="24"/>
          <w:szCs w:val="24"/>
        </w:rPr>
        <w:t>aresztowym</w:t>
      </w:r>
      <w:proofErr w:type="spellEnd"/>
      <w:r w:rsidRPr="00C835AB">
        <w:rPr>
          <w:rFonts w:ascii="Times New Roman" w:hAnsi="Times New Roman"/>
          <w:bCs/>
          <w:sz w:val="24"/>
          <w:szCs w:val="24"/>
        </w:rPr>
        <w:t xml:space="preserve"> (art. 249 § 3 k.p.k.).</w:t>
      </w:r>
    </w:p>
    <w:p w14:paraId="6390F595" w14:textId="30574997" w:rsidR="00647D88" w:rsidRPr="00C835AB" w:rsidRDefault="38EE72F7"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Charakter porządkujący ma</w:t>
      </w:r>
      <w:r w:rsidR="15C858E2" w:rsidRPr="00C835AB">
        <w:rPr>
          <w:rFonts w:ascii="Times New Roman" w:hAnsi="Times New Roman"/>
          <w:sz w:val="24"/>
          <w:szCs w:val="24"/>
        </w:rPr>
        <w:t>ją</w:t>
      </w:r>
      <w:r w:rsidRPr="00C835AB">
        <w:rPr>
          <w:rFonts w:ascii="Times New Roman" w:hAnsi="Times New Roman"/>
          <w:sz w:val="24"/>
          <w:szCs w:val="24"/>
        </w:rPr>
        <w:t xml:space="preserve"> również </w:t>
      </w:r>
      <w:r w:rsidR="0042422E" w:rsidRPr="00C835AB">
        <w:rPr>
          <w:rFonts w:ascii="Times New Roman" w:hAnsi="Times New Roman"/>
          <w:sz w:val="24"/>
          <w:szCs w:val="24"/>
        </w:rPr>
        <w:t xml:space="preserve">projektowane </w:t>
      </w:r>
      <w:r w:rsidR="571C3628" w:rsidRPr="00C835AB">
        <w:rPr>
          <w:rFonts w:ascii="Times New Roman" w:hAnsi="Times New Roman"/>
          <w:sz w:val="24"/>
          <w:szCs w:val="24"/>
        </w:rPr>
        <w:t>zmiany art</w:t>
      </w:r>
      <w:r w:rsidR="7C6FBA71" w:rsidRPr="00C835AB">
        <w:rPr>
          <w:rFonts w:ascii="Times New Roman" w:hAnsi="Times New Roman"/>
          <w:sz w:val="24"/>
          <w:szCs w:val="24"/>
        </w:rPr>
        <w:t>.</w:t>
      </w:r>
      <w:r w:rsidR="571C3628" w:rsidRPr="00C835AB">
        <w:rPr>
          <w:rFonts w:ascii="Times New Roman" w:hAnsi="Times New Roman"/>
          <w:sz w:val="24"/>
          <w:szCs w:val="24"/>
        </w:rPr>
        <w:t xml:space="preserve"> 325g</w:t>
      </w:r>
      <w:r w:rsidR="003600D8" w:rsidRPr="00C835AB">
        <w:rPr>
          <w:rFonts w:ascii="Times New Roman" w:hAnsi="Times New Roman"/>
          <w:sz w:val="24"/>
          <w:szCs w:val="24"/>
        </w:rPr>
        <w:t xml:space="preserve"> k.p.k</w:t>
      </w:r>
      <w:r w:rsidR="571C3628" w:rsidRPr="00C835AB">
        <w:rPr>
          <w:rFonts w:ascii="Times New Roman" w:hAnsi="Times New Roman"/>
          <w:sz w:val="24"/>
          <w:szCs w:val="24"/>
        </w:rPr>
        <w:t xml:space="preserve">. </w:t>
      </w:r>
      <w:r w:rsidR="37D9B59E" w:rsidRPr="00C835AB">
        <w:rPr>
          <w:rFonts w:ascii="Times New Roman" w:hAnsi="Times New Roman"/>
          <w:sz w:val="24"/>
          <w:szCs w:val="24"/>
        </w:rPr>
        <w:t>Zmiana definicji podejrzanego</w:t>
      </w:r>
      <w:r w:rsidR="7B5F4888" w:rsidRPr="00C835AB">
        <w:rPr>
          <w:rFonts w:ascii="Times New Roman" w:hAnsi="Times New Roman"/>
          <w:sz w:val="24"/>
          <w:szCs w:val="24"/>
        </w:rPr>
        <w:t xml:space="preserve"> w art. 71 § 1</w:t>
      </w:r>
      <w:r w:rsidR="003600D8" w:rsidRPr="00C835AB">
        <w:rPr>
          <w:rFonts w:ascii="Times New Roman" w:hAnsi="Times New Roman"/>
          <w:sz w:val="24"/>
          <w:szCs w:val="24"/>
        </w:rPr>
        <w:t xml:space="preserve"> k.p.k.</w:t>
      </w:r>
      <w:r w:rsidR="37D9B59E" w:rsidRPr="00C835AB">
        <w:rPr>
          <w:rFonts w:ascii="Times New Roman" w:hAnsi="Times New Roman"/>
          <w:sz w:val="24"/>
          <w:szCs w:val="24"/>
        </w:rPr>
        <w:t xml:space="preserve"> skutkuje tym, że</w:t>
      </w:r>
      <w:r w:rsidR="541895FA" w:rsidRPr="00C835AB">
        <w:rPr>
          <w:rFonts w:ascii="Times New Roman" w:hAnsi="Times New Roman"/>
          <w:sz w:val="24"/>
          <w:szCs w:val="24"/>
        </w:rPr>
        <w:t xml:space="preserve"> </w:t>
      </w:r>
      <w:r w:rsidR="75518C04" w:rsidRPr="00C835AB">
        <w:rPr>
          <w:rFonts w:ascii="Times New Roman" w:hAnsi="Times New Roman"/>
          <w:sz w:val="24"/>
          <w:szCs w:val="24"/>
        </w:rPr>
        <w:t>przesłuchani</w:t>
      </w:r>
      <w:r w:rsidR="24412FD1" w:rsidRPr="00C835AB">
        <w:rPr>
          <w:rFonts w:ascii="Times New Roman" w:hAnsi="Times New Roman"/>
          <w:sz w:val="24"/>
          <w:szCs w:val="24"/>
        </w:rPr>
        <w:t>e</w:t>
      </w:r>
      <w:r w:rsidR="75518C04" w:rsidRPr="00C835AB">
        <w:rPr>
          <w:rFonts w:ascii="Times New Roman" w:hAnsi="Times New Roman"/>
          <w:sz w:val="24"/>
          <w:szCs w:val="24"/>
        </w:rPr>
        <w:t>, o którym mowa w</w:t>
      </w:r>
      <w:r w:rsidR="00E865A6" w:rsidRPr="00C835AB">
        <w:rPr>
          <w:rFonts w:ascii="Times New Roman" w:hAnsi="Times New Roman"/>
          <w:sz w:val="24"/>
          <w:szCs w:val="24"/>
        </w:rPr>
        <w:t> </w:t>
      </w:r>
      <w:r w:rsidR="0042422E" w:rsidRPr="00C835AB">
        <w:rPr>
          <w:rFonts w:ascii="Times New Roman" w:hAnsi="Times New Roman"/>
          <w:sz w:val="24"/>
          <w:szCs w:val="24"/>
        </w:rPr>
        <w:t xml:space="preserve">art. 325g </w:t>
      </w:r>
      <w:r w:rsidR="75518C04" w:rsidRPr="00C835AB">
        <w:rPr>
          <w:rFonts w:ascii="Times New Roman" w:hAnsi="Times New Roman"/>
          <w:sz w:val="24"/>
          <w:szCs w:val="24"/>
        </w:rPr>
        <w:t>§ 2</w:t>
      </w:r>
      <w:r w:rsidR="0042422E" w:rsidRPr="00C835AB">
        <w:rPr>
          <w:rFonts w:ascii="Times New Roman" w:hAnsi="Times New Roman"/>
          <w:sz w:val="24"/>
          <w:szCs w:val="24"/>
        </w:rPr>
        <w:t xml:space="preserve"> k.p.k.</w:t>
      </w:r>
      <w:r w:rsidR="75518C04" w:rsidRPr="00C835AB">
        <w:rPr>
          <w:rFonts w:ascii="Times New Roman" w:hAnsi="Times New Roman"/>
          <w:sz w:val="24"/>
          <w:szCs w:val="24"/>
        </w:rPr>
        <w:t xml:space="preserve">, </w:t>
      </w:r>
      <w:r w:rsidR="6AD83284" w:rsidRPr="00C835AB">
        <w:rPr>
          <w:rFonts w:ascii="Times New Roman" w:hAnsi="Times New Roman"/>
          <w:sz w:val="24"/>
          <w:szCs w:val="24"/>
        </w:rPr>
        <w:t>odnosić się będzie już do</w:t>
      </w:r>
      <w:r w:rsidR="75518C04" w:rsidRPr="00C835AB">
        <w:rPr>
          <w:rFonts w:ascii="Times New Roman" w:hAnsi="Times New Roman"/>
          <w:sz w:val="24"/>
          <w:szCs w:val="24"/>
        </w:rPr>
        <w:t xml:space="preserve"> podejrzanego</w:t>
      </w:r>
      <w:r w:rsidR="55C3085E" w:rsidRPr="00C835AB">
        <w:rPr>
          <w:rFonts w:ascii="Times New Roman" w:hAnsi="Times New Roman"/>
          <w:sz w:val="24"/>
          <w:szCs w:val="24"/>
        </w:rPr>
        <w:t>, bowiem będzie ono poprzedzone albo zatrzymani</w:t>
      </w:r>
      <w:r w:rsidR="0369FE93" w:rsidRPr="00C835AB">
        <w:rPr>
          <w:rFonts w:ascii="Times New Roman" w:hAnsi="Times New Roman"/>
          <w:sz w:val="24"/>
          <w:szCs w:val="24"/>
        </w:rPr>
        <w:t>em tej osoby</w:t>
      </w:r>
      <w:r w:rsidR="55C3085E" w:rsidRPr="00C835AB">
        <w:rPr>
          <w:rFonts w:ascii="Times New Roman" w:hAnsi="Times New Roman"/>
          <w:sz w:val="24"/>
          <w:szCs w:val="24"/>
        </w:rPr>
        <w:t xml:space="preserve"> </w:t>
      </w:r>
      <w:r w:rsidR="42DE1FAC" w:rsidRPr="00C835AB">
        <w:rPr>
          <w:rFonts w:ascii="Times New Roman" w:hAnsi="Times New Roman"/>
          <w:sz w:val="24"/>
          <w:szCs w:val="24"/>
        </w:rPr>
        <w:t xml:space="preserve">albo jej </w:t>
      </w:r>
      <w:r w:rsidR="55C3085E" w:rsidRPr="00C835AB">
        <w:rPr>
          <w:rFonts w:ascii="Times New Roman" w:hAnsi="Times New Roman"/>
          <w:sz w:val="24"/>
          <w:szCs w:val="24"/>
        </w:rPr>
        <w:t>wezwan</w:t>
      </w:r>
      <w:r w:rsidR="04F9EE0F" w:rsidRPr="00C835AB">
        <w:rPr>
          <w:rFonts w:ascii="Times New Roman" w:hAnsi="Times New Roman"/>
          <w:sz w:val="24"/>
          <w:szCs w:val="24"/>
        </w:rPr>
        <w:t>iem</w:t>
      </w:r>
      <w:r w:rsidR="55C3085E" w:rsidRPr="00C835AB">
        <w:rPr>
          <w:rFonts w:ascii="Times New Roman" w:hAnsi="Times New Roman"/>
          <w:sz w:val="24"/>
          <w:szCs w:val="24"/>
        </w:rPr>
        <w:t xml:space="preserve"> do stawienia się na przesłuchanie w</w:t>
      </w:r>
      <w:r w:rsidR="00E865A6" w:rsidRPr="00C835AB">
        <w:rPr>
          <w:rFonts w:ascii="Times New Roman" w:hAnsi="Times New Roman"/>
          <w:sz w:val="24"/>
          <w:szCs w:val="24"/>
        </w:rPr>
        <w:t> </w:t>
      </w:r>
      <w:r w:rsidR="55C3085E" w:rsidRPr="00C835AB">
        <w:rPr>
          <w:rFonts w:ascii="Times New Roman" w:hAnsi="Times New Roman"/>
          <w:sz w:val="24"/>
          <w:szCs w:val="24"/>
        </w:rPr>
        <w:t>charakterze podejrzanego</w:t>
      </w:r>
      <w:r w:rsidR="1F453D19" w:rsidRPr="00C835AB">
        <w:rPr>
          <w:rFonts w:ascii="Times New Roman" w:hAnsi="Times New Roman"/>
          <w:sz w:val="24"/>
          <w:szCs w:val="24"/>
        </w:rPr>
        <w:t>. W obu sytuacjach w momencie przystąpienia do przesłuchania osoba ta będzie już podejrzanym</w:t>
      </w:r>
      <w:r w:rsidR="5D3FFAE0" w:rsidRPr="00C835AB">
        <w:rPr>
          <w:rFonts w:ascii="Times New Roman" w:hAnsi="Times New Roman"/>
          <w:sz w:val="24"/>
          <w:szCs w:val="24"/>
        </w:rPr>
        <w:t>, co czyni zbędnym zdanie drugie aktualnie obowiązującego art</w:t>
      </w:r>
      <w:r w:rsidR="00796D23">
        <w:rPr>
          <w:rFonts w:ascii="Times New Roman" w:hAnsi="Times New Roman"/>
          <w:sz w:val="24"/>
          <w:szCs w:val="24"/>
        </w:rPr>
        <w:t>.</w:t>
      </w:r>
      <w:r w:rsidR="5D3FFAE0" w:rsidRPr="00C835AB">
        <w:rPr>
          <w:rFonts w:ascii="Times New Roman" w:hAnsi="Times New Roman"/>
          <w:sz w:val="24"/>
          <w:szCs w:val="24"/>
        </w:rPr>
        <w:t xml:space="preserve"> 325g § 2</w:t>
      </w:r>
      <w:r w:rsidR="003600D8" w:rsidRPr="00C835AB">
        <w:rPr>
          <w:rFonts w:ascii="Times New Roman" w:hAnsi="Times New Roman"/>
          <w:sz w:val="24"/>
          <w:szCs w:val="24"/>
        </w:rPr>
        <w:t xml:space="preserve"> k.p.k</w:t>
      </w:r>
      <w:r w:rsidR="1F453D19" w:rsidRPr="00C835AB">
        <w:rPr>
          <w:rFonts w:ascii="Times New Roman" w:hAnsi="Times New Roman"/>
          <w:sz w:val="24"/>
          <w:szCs w:val="24"/>
        </w:rPr>
        <w:t>.</w:t>
      </w:r>
      <w:r w:rsidR="37D9B59E" w:rsidRPr="00C835AB">
        <w:rPr>
          <w:rFonts w:ascii="Times New Roman" w:hAnsi="Times New Roman"/>
          <w:sz w:val="24"/>
          <w:szCs w:val="24"/>
        </w:rPr>
        <w:t xml:space="preserve"> </w:t>
      </w:r>
      <w:r w:rsidR="571C3628" w:rsidRPr="00C835AB">
        <w:rPr>
          <w:rFonts w:ascii="Times New Roman" w:hAnsi="Times New Roman"/>
          <w:sz w:val="24"/>
          <w:szCs w:val="24"/>
        </w:rPr>
        <w:t>Jeśli idzie o p</w:t>
      </w:r>
      <w:r w:rsidRPr="00C835AB">
        <w:rPr>
          <w:rFonts w:ascii="Times New Roman" w:hAnsi="Times New Roman"/>
          <w:sz w:val="24"/>
          <w:szCs w:val="24"/>
        </w:rPr>
        <w:t xml:space="preserve">roponowane </w:t>
      </w:r>
      <w:r w:rsidR="00B54FD2" w:rsidRPr="00C835AB">
        <w:rPr>
          <w:rFonts w:ascii="Times New Roman" w:hAnsi="Times New Roman"/>
          <w:sz w:val="24"/>
          <w:szCs w:val="24"/>
        </w:rPr>
        <w:t>uchylenie</w:t>
      </w:r>
      <w:r w:rsidRPr="00C835AB">
        <w:rPr>
          <w:rFonts w:ascii="Times New Roman" w:hAnsi="Times New Roman"/>
          <w:sz w:val="24"/>
          <w:szCs w:val="24"/>
        </w:rPr>
        <w:t xml:space="preserve"> art. 325g § 3 k.p.k.</w:t>
      </w:r>
      <w:r w:rsidR="79E229C9" w:rsidRPr="00C835AB">
        <w:rPr>
          <w:rFonts w:ascii="Times New Roman" w:hAnsi="Times New Roman"/>
          <w:sz w:val="24"/>
          <w:szCs w:val="24"/>
        </w:rPr>
        <w:t>, należy zauważyć, że</w:t>
      </w:r>
      <w:r w:rsidRPr="00C835AB">
        <w:rPr>
          <w:rFonts w:ascii="Times New Roman" w:hAnsi="Times New Roman"/>
          <w:sz w:val="24"/>
          <w:szCs w:val="24"/>
        </w:rPr>
        <w:t xml:space="preserve"> </w:t>
      </w:r>
      <w:r w:rsidR="796E3F84" w:rsidRPr="00C835AB">
        <w:rPr>
          <w:rFonts w:ascii="Times New Roman" w:hAnsi="Times New Roman"/>
          <w:sz w:val="24"/>
          <w:szCs w:val="24"/>
        </w:rPr>
        <w:t>w</w:t>
      </w:r>
      <w:r w:rsidRPr="00C835AB">
        <w:rPr>
          <w:rFonts w:ascii="Times New Roman" w:hAnsi="Times New Roman"/>
          <w:sz w:val="24"/>
          <w:szCs w:val="24"/>
        </w:rPr>
        <w:t xml:space="preserve"> sytuacji, gdy proponowany art. 301</w:t>
      </w:r>
      <w:r w:rsidR="003600D8" w:rsidRPr="00C835AB">
        <w:rPr>
          <w:rFonts w:ascii="Times New Roman" w:hAnsi="Times New Roman"/>
          <w:sz w:val="24"/>
          <w:szCs w:val="24"/>
        </w:rPr>
        <w:t xml:space="preserve"> k.p.k.</w:t>
      </w:r>
      <w:r w:rsidRPr="00C835AB">
        <w:rPr>
          <w:rFonts w:ascii="Times New Roman" w:hAnsi="Times New Roman"/>
          <w:sz w:val="24"/>
          <w:szCs w:val="24"/>
        </w:rPr>
        <w:t xml:space="preserve"> szczegółowo reguluje kwestie dotyczące zapewnienia pomocy obrońcy w związku z przesłuchaniem lub okazaniem, a jednocześnie </w:t>
      </w:r>
      <w:r w:rsidRPr="00C835AB">
        <w:rPr>
          <w:rFonts w:ascii="Times New Roman" w:hAnsi="Times New Roman"/>
          <w:sz w:val="24"/>
          <w:szCs w:val="24"/>
        </w:rPr>
        <w:lastRenderedPageBreak/>
        <w:t xml:space="preserve">będzie on na mocy art. 325a § 2 k.p.k. miał odpowiednie zastosowanie w dochodzeniu, ogólnikowe uregulowanie zawarte w art. 325g § 3 </w:t>
      </w:r>
      <w:r w:rsidR="003600D8" w:rsidRPr="00C835AB">
        <w:rPr>
          <w:rFonts w:ascii="Times New Roman" w:hAnsi="Times New Roman"/>
          <w:sz w:val="24"/>
          <w:szCs w:val="24"/>
        </w:rPr>
        <w:t xml:space="preserve">k.p.k. </w:t>
      </w:r>
      <w:r w:rsidRPr="00C835AB">
        <w:rPr>
          <w:rFonts w:ascii="Times New Roman" w:hAnsi="Times New Roman"/>
          <w:sz w:val="24"/>
          <w:szCs w:val="24"/>
        </w:rPr>
        <w:t>staje się zbędne.</w:t>
      </w:r>
    </w:p>
    <w:p w14:paraId="1D04EAF4" w14:textId="64DCC7E5" w:rsidR="00EE4956" w:rsidRPr="00C835AB" w:rsidRDefault="0042422E"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Projektowane d</w:t>
      </w:r>
      <w:r w:rsidR="00EE4956" w:rsidRPr="00C835AB">
        <w:rPr>
          <w:rFonts w:ascii="Times New Roman" w:hAnsi="Times New Roman"/>
          <w:sz w:val="24"/>
          <w:szCs w:val="24"/>
        </w:rPr>
        <w:t>odanie art. 313</w:t>
      </w:r>
      <w:r w:rsidR="003600D8" w:rsidRPr="00C835AB">
        <w:rPr>
          <w:rFonts w:ascii="Times New Roman" w:hAnsi="Times New Roman"/>
          <w:sz w:val="24"/>
          <w:szCs w:val="24"/>
        </w:rPr>
        <w:t xml:space="preserve"> § 5</w:t>
      </w:r>
      <w:r w:rsidR="00EE4956" w:rsidRPr="00C835AB">
        <w:rPr>
          <w:rFonts w:ascii="Times New Roman" w:hAnsi="Times New Roman"/>
          <w:sz w:val="24"/>
          <w:szCs w:val="24"/>
        </w:rPr>
        <w:t xml:space="preserve"> </w:t>
      </w:r>
      <w:r w:rsidR="003600D8" w:rsidRPr="00C835AB">
        <w:rPr>
          <w:rFonts w:ascii="Times New Roman" w:hAnsi="Times New Roman"/>
          <w:sz w:val="24"/>
          <w:szCs w:val="24"/>
        </w:rPr>
        <w:t xml:space="preserve">k.p.k. </w:t>
      </w:r>
      <w:r w:rsidR="00EE4956" w:rsidRPr="00C835AB">
        <w:rPr>
          <w:rFonts w:ascii="Times New Roman" w:hAnsi="Times New Roman"/>
          <w:sz w:val="24"/>
          <w:szCs w:val="24"/>
        </w:rPr>
        <w:t>ma na celu zdefiniowanie momentu</w:t>
      </w:r>
      <w:r w:rsidR="00A201C7" w:rsidRPr="00C835AB">
        <w:rPr>
          <w:rFonts w:ascii="Times New Roman" w:hAnsi="Times New Roman"/>
          <w:sz w:val="24"/>
          <w:szCs w:val="24"/>
        </w:rPr>
        <w:t>, w którym następuje wszczęcie postępowania karnego przeciwko osobie.</w:t>
      </w:r>
      <w:r w:rsidR="00EE4956" w:rsidRPr="00C835AB">
        <w:rPr>
          <w:rFonts w:ascii="Times New Roman" w:hAnsi="Times New Roman"/>
          <w:sz w:val="24"/>
          <w:szCs w:val="24"/>
        </w:rPr>
        <w:t xml:space="preserve"> </w:t>
      </w:r>
      <w:r w:rsidR="00A201C7" w:rsidRPr="00C835AB">
        <w:rPr>
          <w:rFonts w:ascii="Times New Roman" w:hAnsi="Times New Roman"/>
          <w:sz w:val="24"/>
          <w:szCs w:val="24"/>
        </w:rPr>
        <w:t>W celu u</w:t>
      </w:r>
      <w:r w:rsidR="004E0BED" w:rsidRPr="00C835AB">
        <w:rPr>
          <w:rFonts w:ascii="Times New Roman" w:hAnsi="Times New Roman"/>
          <w:sz w:val="24"/>
          <w:szCs w:val="24"/>
        </w:rPr>
        <w:t xml:space="preserve">niknięcia </w:t>
      </w:r>
      <w:r w:rsidR="00A201C7" w:rsidRPr="00C835AB">
        <w:rPr>
          <w:rFonts w:ascii="Times New Roman" w:hAnsi="Times New Roman"/>
          <w:sz w:val="24"/>
          <w:szCs w:val="24"/>
        </w:rPr>
        <w:t xml:space="preserve">potencjalnych niejasności w tym zakresie </w:t>
      </w:r>
      <w:r w:rsidR="004E0BED" w:rsidRPr="00C835AB">
        <w:rPr>
          <w:rFonts w:ascii="Times New Roman" w:hAnsi="Times New Roman"/>
          <w:sz w:val="24"/>
          <w:szCs w:val="24"/>
        </w:rPr>
        <w:t>związanych z dynamiką postępowania przygotowawczego i</w:t>
      </w:r>
      <w:r w:rsidR="00E865A6" w:rsidRPr="00C835AB">
        <w:rPr>
          <w:rFonts w:ascii="Times New Roman" w:hAnsi="Times New Roman"/>
          <w:sz w:val="24"/>
          <w:szCs w:val="24"/>
        </w:rPr>
        <w:t> </w:t>
      </w:r>
      <w:r w:rsidR="004E0BED" w:rsidRPr="00C835AB">
        <w:rPr>
          <w:rFonts w:ascii="Times New Roman" w:hAnsi="Times New Roman"/>
          <w:sz w:val="24"/>
          <w:szCs w:val="24"/>
        </w:rPr>
        <w:t xml:space="preserve">poszerzeniem katalogu czynności skutkujących uzyskaniem uprawnień podejrzanego </w:t>
      </w:r>
      <w:r w:rsidR="00A201C7" w:rsidRPr="00C835AB">
        <w:rPr>
          <w:rFonts w:ascii="Times New Roman" w:hAnsi="Times New Roman"/>
          <w:sz w:val="24"/>
          <w:szCs w:val="24"/>
        </w:rPr>
        <w:t>projekt proponuje utrzymanie zasady, ż</w:t>
      </w:r>
      <w:r w:rsidRPr="00C835AB">
        <w:rPr>
          <w:rFonts w:ascii="Times New Roman" w:hAnsi="Times New Roman"/>
          <w:sz w:val="24"/>
          <w:szCs w:val="24"/>
        </w:rPr>
        <w:t>e</w:t>
      </w:r>
      <w:r w:rsidR="00A201C7" w:rsidRPr="00C835AB">
        <w:rPr>
          <w:rFonts w:ascii="Times New Roman" w:hAnsi="Times New Roman"/>
          <w:sz w:val="24"/>
          <w:szCs w:val="24"/>
        </w:rPr>
        <w:t xml:space="preserve"> przejście postępowania przygotowawczego do fazy in</w:t>
      </w:r>
      <w:r w:rsidR="0097228F">
        <w:rPr>
          <w:rFonts w:ascii="Times New Roman" w:hAnsi="Times New Roman"/>
          <w:sz w:val="24"/>
          <w:szCs w:val="24"/>
        </w:rPr>
        <w:t> </w:t>
      </w:r>
      <w:r w:rsidR="00A201C7" w:rsidRPr="00C835AB">
        <w:rPr>
          <w:rFonts w:ascii="Times New Roman" w:hAnsi="Times New Roman"/>
          <w:sz w:val="24"/>
          <w:szCs w:val="24"/>
        </w:rPr>
        <w:t>personam następuje w momencie przedstawienia zarzutów. Z tym przepisem skorelowane są</w:t>
      </w:r>
      <w:r w:rsidR="0097228F">
        <w:rPr>
          <w:rFonts w:ascii="Times New Roman" w:hAnsi="Times New Roman"/>
          <w:sz w:val="24"/>
          <w:szCs w:val="24"/>
        </w:rPr>
        <w:t> </w:t>
      </w:r>
      <w:r w:rsidR="00A201C7" w:rsidRPr="00C835AB">
        <w:rPr>
          <w:rFonts w:ascii="Times New Roman" w:hAnsi="Times New Roman"/>
          <w:sz w:val="24"/>
          <w:szCs w:val="24"/>
        </w:rPr>
        <w:t xml:space="preserve">zmiany art. 327 § 1 i 2 </w:t>
      </w:r>
      <w:r w:rsidRPr="00C835AB">
        <w:rPr>
          <w:rFonts w:ascii="Times New Roman" w:hAnsi="Times New Roman"/>
          <w:sz w:val="24"/>
          <w:szCs w:val="24"/>
        </w:rPr>
        <w:t xml:space="preserve">k.p.k. </w:t>
      </w:r>
      <w:r w:rsidR="00A201C7" w:rsidRPr="00C835AB">
        <w:rPr>
          <w:rFonts w:ascii="Times New Roman" w:hAnsi="Times New Roman"/>
          <w:sz w:val="24"/>
          <w:szCs w:val="24"/>
        </w:rPr>
        <w:t>oraz art. 328 § 1</w:t>
      </w:r>
      <w:r w:rsidR="003600D8" w:rsidRPr="00C835AB">
        <w:rPr>
          <w:rFonts w:ascii="Times New Roman" w:hAnsi="Times New Roman"/>
          <w:sz w:val="24"/>
          <w:szCs w:val="24"/>
        </w:rPr>
        <w:t xml:space="preserve"> k.p.k.</w:t>
      </w:r>
      <w:r w:rsidR="00A201C7" w:rsidRPr="00C835AB">
        <w:rPr>
          <w:rFonts w:ascii="Times New Roman" w:hAnsi="Times New Roman"/>
          <w:sz w:val="24"/>
          <w:szCs w:val="24"/>
        </w:rPr>
        <w:t>,</w:t>
      </w:r>
      <w:r w:rsidR="004E0BED" w:rsidRPr="00C835AB">
        <w:rPr>
          <w:rFonts w:ascii="Times New Roman" w:hAnsi="Times New Roman"/>
          <w:sz w:val="24"/>
          <w:szCs w:val="24"/>
        </w:rPr>
        <w:t xml:space="preserve"> co powodować będzie, że dopiero przedstawienie zarzutów skutkować będzie zaktualizowaniem się zakazu </w:t>
      </w:r>
      <w:proofErr w:type="spellStart"/>
      <w:r w:rsidR="004E0BED" w:rsidRPr="00C835AB">
        <w:rPr>
          <w:rFonts w:ascii="Times New Roman" w:hAnsi="Times New Roman"/>
          <w:sz w:val="24"/>
          <w:szCs w:val="24"/>
        </w:rPr>
        <w:t>ne</w:t>
      </w:r>
      <w:proofErr w:type="spellEnd"/>
      <w:r w:rsidR="004E0BED" w:rsidRPr="00C835AB">
        <w:rPr>
          <w:rFonts w:ascii="Times New Roman" w:hAnsi="Times New Roman"/>
          <w:sz w:val="24"/>
          <w:szCs w:val="24"/>
        </w:rPr>
        <w:t xml:space="preserve"> bis in </w:t>
      </w:r>
      <w:proofErr w:type="spellStart"/>
      <w:r w:rsidR="004E0BED" w:rsidRPr="00C835AB">
        <w:rPr>
          <w:rFonts w:ascii="Times New Roman" w:hAnsi="Times New Roman"/>
          <w:sz w:val="24"/>
          <w:szCs w:val="24"/>
        </w:rPr>
        <w:t>idem</w:t>
      </w:r>
      <w:proofErr w:type="spellEnd"/>
      <w:r w:rsidR="004E0BED" w:rsidRPr="00C835AB">
        <w:rPr>
          <w:rFonts w:ascii="Times New Roman" w:hAnsi="Times New Roman"/>
          <w:sz w:val="24"/>
          <w:szCs w:val="24"/>
        </w:rPr>
        <w:t>, jak</w:t>
      </w:r>
      <w:r w:rsidR="0097228F">
        <w:rPr>
          <w:rFonts w:ascii="Times New Roman" w:hAnsi="Times New Roman"/>
          <w:sz w:val="24"/>
          <w:szCs w:val="24"/>
        </w:rPr>
        <w:t> </w:t>
      </w:r>
      <w:r w:rsidR="004E0BED" w:rsidRPr="00C835AB">
        <w:rPr>
          <w:rFonts w:ascii="Times New Roman" w:hAnsi="Times New Roman"/>
          <w:sz w:val="24"/>
          <w:szCs w:val="24"/>
        </w:rPr>
        <w:t>jest</w:t>
      </w:r>
      <w:r w:rsidR="0097228F">
        <w:rPr>
          <w:rFonts w:ascii="Times New Roman" w:hAnsi="Times New Roman"/>
          <w:sz w:val="24"/>
          <w:szCs w:val="24"/>
        </w:rPr>
        <w:t> </w:t>
      </w:r>
      <w:r w:rsidR="004E0BED" w:rsidRPr="00C835AB">
        <w:rPr>
          <w:rFonts w:ascii="Times New Roman" w:hAnsi="Times New Roman"/>
          <w:sz w:val="24"/>
          <w:szCs w:val="24"/>
        </w:rPr>
        <w:t>to obecnie.</w:t>
      </w:r>
      <w:r w:rsidR="00A201C7" w:rsidRPr="00C835AB">
        <w:rPr>
          <w:rFonts w:ascii="Times New Roman" w:hAnsi="Times New Roman"/>
          <w:sz w:val="24"/>
          <w:szCs w:val="24"/>
        </w:rPr>
        <w:t xml:space="preserve"> </w:t>
      </w:r>
      <w:r w:rsidR="004E0BED" w:rsidRPr="00C835AB">
        <w:rPr>
          <w:rFonts w:ascii="Times New Roman" w:hAnsi="Times New Roman"/>
          <w:sz w:val="24"/>
          <w:szCs w:val="24"/>
        </w:rPr>
        <w:t>Powyższe propozycje spowodują również utrzymanie aktualnie obowiązujących reguł dotyczących konsekwencji przedstawienia zarzutów dla statusu zawodowego niektórych osób (np. funkcjonariuszy Policji).</w:t>
      </w:r>
    </w:p>
    <w:p w14:paraId="4B2A2E38" w14:textId="010C06A9" w:rsidR="00647D88" w:rsidRPr="00C835AB" w:rsidRDefault="0042422E"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Projektowana z</w:t>
      </w:r>
      <w:r w:rsidR="38EE72F7" w:rsidRPr="00C835AB">
        <w:rPr>
          <w:rFonts w:ascii="Times New Roman" w:hAnsi="Times New Roman"/>
          <w:sz w:val="24"/>
          <w:szCs w:val="24"/>
        </w:rPr>
        <w:t xml:space="preserve">miana art. </w:t>
      </w:r>
      <w:r w:rsidR="4D62CC90" w:rsidRPr="00C835AB">
        <w:rPr>
          <w:rFonts w:ascii="Times New Roman" w:hAnsi="Times New Roman"/>
          <w:sz w:val="24"/>
          <w:szCs w:val="24"/>
        </w:rPr>
        <w:t>171</w:t>
      </w:r>
      <w:r w:rsidR="003600D8" w:rsidRPr="00C835AB">
        <w:rPr>
          <w:rFonts w:ascii="Times New Roman" w:hAnsi="Times New Roman"/>
          <w:sz w:val="24"/>
          <w:szCs w:val="24"/>
        </w:rPr>
        <w:t xml:space="preserve"> k.p.k.</w:t>
      </w:r>
      <w:r w:rsidR="38EE72F7" w:rsidRPr="00C835AB">
        <w:rPr>
          <w:rFonts w:ascii="Times New Roman" w:hAnsi="Times New Roman"/>
          <w:sz w:val="24"/>
          <w:szCs w:val="24"/>
        </w:rPr>
        <w:t xml:space="preserve"> (polegająca na dodaniu § </w:t>
      </w:r>
      <w:r w:rsidR="255446EE" w:rsidRPr="00C835AB">
        <w:rPr>
          <w:rFonts w:ascii="Times New Roman" w:hAnsi="Times New Roman"/>
          <w:sz w:val="24"/>
          <w:szCs w:val="24"/>
        </w:rPr>
        <w:t>7a</w:t>
      </w:r>
      <w:r w:rsidR="38EE72F7" w:rsidRPr="00C835AB">
        <w:rPr>
          <w:rFonts w:ascii="Times New Roman" w:hAnsi="Times New Roman"/>
          <w:sz w:val="24"/>
          <w:szCs w:val="24"/>
        </w:rPr>
        <w:t xml:space="preserve">) </w:t>
      </w:r>
      <w:r w:rsidR="00704D92" w:rsidRPr="00C835AB">
        <w:rPr>
          <w:rFonts w:ascii="Times New Roman" w:hAnsi="Times New Roman"/>
          <w:sz w:val="24"/>
          <w:szCs w:val="24"/>
        </w:rPr>
        <w:t>pozostaje w zgodzie z</w:t>
      </w:r>
      <w:r w:rsidR="38EE72F7" w:rsidRPr="00C835AB">
        <w:rPr>
          <w:rFonts w:ascii="Times New Roman" w:hAnsi="Times New Roman"/>
          <w:sz w:val="24"/>
          <w:szCs w:val="24"/>
        </w:rPr>
        <w:t xml:space="preserve"> art. 8 ust. 2 i 3 dyrektywy 2013/48/UE, doprecyzowanych w punkcie 38 jej preambuły. Zgodnie z tymi przepisami, jeżeli decyzja o odstępstwie od zapewnienia podejrzanemu dostępu do obrońcy (dopuszczalna jedynie na etapie postępowania przygotowawczego) nie jest podjęta przez „organ sądowy”, musi być zapewniona możliwość poddania tej decyzji kontroli sądowej. W preambule doprecyzowano, że kontrola sądowa może być sprawowana przez sąd na etapie postępowania sądowego. Z tego względu uznano, że najwłaściwszym i najbardziej gwarancyjnym sposobem realizacji tej kontroli będzie wprowadzenie do </w:t>
      </w:r>
      <w:r w:rsidR="00D16556" w:rsidRPr="00C835AB">
        <w:rPr>
          <w:rFonts w:ascii="Times New Roman" w:hAnsi="Times New Roman"/>
          <w:sz w:val="24"/>
          <w:szCs w:val="24"/>
        </w:rPr>
        <w:t>Kodeksu postępowania karnego</w:t>
      </w:r>
      <w:r w:rsidR="38EE72F7" w:rsidRPr="00C835AB">
        <w:rPr>
          <w:rFonts w:ascii="Times New Roman" w:hAnsi="Times New Roman"/>
          <w:sz w:val="24"/>
          <w:szCs w:val="24"/>
        </w:rPr>
        <w:t xml:space="preserve"> zakazu dowodowego, sformułowanego w projektowanym art. </w:t>
      </w:r>
      <w:r w:rsidR="0A6EE3DB" w:rsidRPr="00C835AB">
        <w:rPr>
          <w:rFonts w:ascii="Times New Roman" w:hAnsi="Times New Roman"/>
          <w:sz w:val="24"/>
          <w:szCs w:val="24"/>
        </w:rPr>
        <w:t>171</w:t>
      </w:r>
      <w:r w:rsidR="38EE72F7" w:rsidRPr="00C835AB">
        <w:rPr>
          <w:rFonts w:ascii="Times New Roman" w:hAnsi="Times New Roman"/>
          <w:sz w:val="24"/>
          <w:szCs w:val="24"/>
        </w:rPr>
        <w:t xml:space="preserve"> § </w:t>
      </w:r>
      <w:r w:rsidR="1E6D3B4A" w:rsidRPr="00C835AB">
        <w:rPr>
          <w:rFonts w:ascii="Times New Roman" w:hAnsi="Times New Roman"/>
          <w:sz w:val="24"/>
          <w:szCs w:val="24"/>
        </w:rPr>
        <w:t>7a</w:t>
      </w:r>
      <w:r w:rsidR="002A2AAF" w:rsidRPr="00C835AB">
        <w:rPr>
          <w:rFonts w:ascii="Times New Roman" w:hAnsi="Times New Roman"/>
          <w:sz w:val="24"/>
          <w:szCs w:val="24"/>
        </w:rPr>
        <w:t xml:space="preserve"> k.p.k</w:t>
      </w:r>
      <w:r w:rsidR="38EE72F7" w:rsidRPr="00C835AB">
        <w:rPr>
          <w:rFonts w:ascii="Times New Roman" w:hAnsi="Times New Roman"/>
          <w:sz w:val="24"/>
          <w:szCs w:val="24"/>
        </w:rPr>
        <w:t xml:space="preserve">. </w:t>
      </w:r>
      <w:r w:rsidR="5DF9C680" w:rsidRPr="00C835AB">
        <w:rPr>
          <w:rFonts w:ascii="Times New Roman" w:hAnsi="Times New Roman"/>
          <w:sz w:val="24"/>
          <w:szCs w:val="24"/>
        </w:rPr>
        <w:t>Dowodowe wykorzystanie p</w:t>
      </w:r>
      <w:r w:rsidR="38EE72F7" w:rsidRPr="00C835AB">
        <w:rPr>
          <w:rFonts w:ascii="Times New Roman" w:hAnsi="Times New Roman"/>
          <w:sz w:val="24"/>
          <w:szCs w:val="24"/>
        </w:rPr>
        <w:t>rotok</w:t>
      </w:r>
      <w:r w:rsidR="102B974E" w:rsidRPr="00C835AB">
        <w:rPr>
          <w:rFonts w:ascii="Times New Roman" w:hAnsi="Times New Roman"/>
          <w:sz w:val="24"/>
          <w:szCs w:val="24"/>
        </w:rPr>
        <w:t>ołów</w:t>
      </w:r>
      <w:r w:rsidR="38EE72F7" w:rsidRPr="00C835AB">
        <w:rPr>
          <w:rFonts w:ascii="Times New Roman" w:hAnsi="Times New Roman"/>
          <w:sz w:val="24"/>
          <w:szCs w:val="24"/>
        </w:rPr>
        <w:t xml:space="preserve"> wyjaśnień, uzyskanych z naruszeniem art. 301 §</w:t>
      </w:r>
      <w:r w:rsidR="0097228F">
        <w:rPr>
          <w:rFonts w:ascii="Times New Roman" w:hAnsi="Times New Roman"/>
          <w:sz w:val="24"/>
          <w:szCs w:val="24"/>
        </w:rPr>
        <w:t> </w:t>
      </w:r>
      <w:r w:rsidR="38EE72F7" w:rsidRPr="00C835AB">
        <w:rPr>
          <w:rFonts w:ascii="Times New Roman" w:hAnsi="Times New Roman"/>
          <w:sz w:val="24"/>
          <w:szCs w:val="24"/>
        </w:rPr>
        <w:t>1</w:t>
      </w:r>
      <w:r w:rsidR="00796D23">
        <w:rPr>
          <w:rFonts w:ascii="Times New Roman" w:hAnsi="Times New Roman"/>
          <w:sz w:val="24"/>
          <w:szCs w:val="24"/>
        </w:rPr>
        <w:t>–</w:t>
      </w:r>
      <w:r w:rsidR="006614A5" w:rsidRPr="00C835AB">
        <w:rPr>
          <w:rFonts w:ascii="Times New Roman" w:hAnsi="Times New Roman"/>
          <w:sz w:val="24"/>
          <w:szCs w:val="24"/>
        </w:rPr>
        <w:t xml:space="preserve">9 </w:t>
      </w:r>
      <w:r w:rsidR="002A2AAF" w:rsidRPr="00C835AB">
        <w:rPr>
          <w:rFonts w:ascii="Times New Roman" w:hAnsi="Times New Roman"/>
          <w:sz w:val="24"/>
          <w:szCs w:val="24"/>
        </w:rPr>
        <w:t>k.p.k.</w:t>
      </w:r>
      <w:r w:rsidR="00931E5E" w:rsidRPr="00C835AB">
        <w:rPr>
          <w:rFonts w:ascii="Times New Roman" w:hAnsi="Times New Roman"/>
          <w:sz w:val="24"/>
          <w:szCs w:val="24"/>
        </w:rPr>
        <w:t xml:space="preserve"> i 301a k.p.k.</w:t>
      </w:r>
      <w:r w:rsidR="38EE72F7" w:rsidRPr="00C835AB">
        <w:rPr>
          <w:rFonts w:ascii="Times New Roman" w:hAnsi="Times New Roman"/>
          <w:sz w:val="24"/>
          <w:szCs w:val="24"/>
        </w:rPr>
        <w:t xml:space="preserve"> będzie dopuszczalne jedynie wówczas, gdy oskarżony </w:t>
      </w:r>
      <w:r w:rsidR="217F16C9" w:rsidRPr="00C835AB">
        <w:rPr>
          <w:rFonts w:ascii="Times New Roman" w:hAnsi="Times New Roman"/>
          <w:sz w:val="24"/>
          <w:szCs w:val="24"/>
        </w:rPr>
        <w:t>o to wniesie</w:t>
      </w:r>
      <w:r w:rsidR="38EE72F7" w:rsidRPr="00C835AB">
        <w:rPr>
          <w:rFonts w:ascii="Times New Roman" w:hAnsi="Times New Roman"/>
          <w:sz w:val="24"/>
          <w:szCs w:val="24"/>
        </w:rPr>
        <w:t xml:space="preserve">. </w:t>
      </w:r>
      <w:r w:rsidR="054CBC94" w:rsidRPr="00C835AB">
        <w:rPr>
          <w:rFonts w:ascii="Times New Roman" w:hAnsi="Times New Roman"/>
          <w:sz w:val="24"/>
          <w:szCs w:val="24"/>
        </w:rPr>
        <w:t>W</w:t>
      </w:r>
      <w:r w:rsidR="00E865A6" w:rsidRPr="00C835AB">
        <w:rPr>
          <w:rFonts w:ascii="Times New Roman" w:hAnsi="Times New Roman"/>
          <w:sz w:val="24"/>
          <w:szCs w:val="24"/>
        </w:rPr>
        <w:t> </w:t>
      </w:r>
      <w:r w:rsidR="054CBC94" w:rsidRPr="00C835AB">
        <w:rPr>
          <w:rFonts w:ascii="Times New Roman" w:hAnsi="Times New Roman"/>
          <w:sz w:val="24"/>
          <w:szCs w:val="24"/>
        </w:rPr>
        <w:t xml:space="preserve">ten sposób wyjaśnienia uzyskane z naruszeniem </w:t>
      </w:r>
      <w:r w:rsidR="00931E5E" w:rsidRPr="00C835AB">
        <w:rPr>
          <w:rFonts w:ascii="Times New Roman" w:hAnsi="Times New Roman"/>
          <w:sz w:val="24"/>
          <w:szCs w:val="24"/>
        </w:rPr>
        <w:t>zawartych we wskazanych przepisach gw</w:t>
      </w:r>
      <w:r w:rsidR="04CE9C7B" w:rsidRPr="00C835AB">
        <w:rPr>
          <w:rFonts w:ascii="Times New Roman" w:hAnsi="Times New Roman"/>
          <w:sz w:val="24"/>
          <w:szCs w:val="24"/>
        </w:rPr>
        <w:t xml:space="preserve">arancji </w:t>
      </w:r>
      <w:r w:rsidR="054CBC94" w:rsidRPr="00C835AB">
        <w:rPr>
          <w:rFonts w:ascii="Times New Roman" w:hAnsi="Times New Roman"/>
          <w:sz w:val="24"/>
          <w:szCs w:val="24"/>
        </w:rPr>
        <w:t xml:space="preserve">prawa podejrzanego do pomocy </w:t>
      </w:r>
      <w:r w:rsidR="3F0181A3" w:rsidRPr="00C835AB">
        <w:rPr>
          <w:rFonts w:ascii="Times New Roman" w:hAnsi="Times New Roman"/>
          <w:sz w:val="24"/>
          <w:szCs w:val="24"/>
        </w:rPr>
        <w:t>obrońcy</w:t>
      </w:r>
      <w:r w:rsidR="054CBC94" w:rsidRPr="00C835AB">
        <w:rPr>
          <w:rFonts w:ascii="Times New Roman" w:hAnsi="Times New Roman"/>
          <w:sz w:val="24"/>
          <w:szCs w:val="24"/>
        </w:rPr>
        <w:t xml:space="preserve"> </w:t>
      </w:r>
      <w:r w:rsidR="56883F2A" w:rsidRPr="00C835AB">
        <w:rPr>
          <w:rFonts w:ascii="Times New Roman" w:hAnsi="Times New Roman"/>
          <w:sz w:val="24"/>
          <w:szCs w:val="24"/>
        </w:rPr>
        <w:t>nie będą mogły zostać wykorzystane (zarówno w zakresie dowodzenia winy, jak i co do innych decyzji procesowych, np.</w:t>
      </w:r>
      <w:r w:rsidR="0097228F">
        <w:rPr>
          <w:rFonts w:ascii="Times New Roman" w:hAnsi="Times New Roman"/>
          <w:sz w:val="24"/>
          <w:szCs w:val="24"/>
        </w:rPr>
        <w:t> </w:t>
      </w:r>
      <w:r w:rsidR="1DAEF6E9" w:rsidRPr="00C835AB">
        <w:rPr>
          <w:rFonts w:ascii="Times New Roman" w:hAnsi="Times New Roman"/>
          <w:sz w:val="24"/>
          <w:szCs w:val="24"/>
        </w:rPr>
        <w:t>o</w:t>
      </w:r>
      <w:r w:rsidR="00E865A6" w:rsidRPr="00C835AB">
        <w:rPr>
          <w:rFonts w:ascii="Times New Roman" w:hAnsi="Times New Roman"/>
          <w:sz w:val="24"/>
          <w:szCs w:val="24"/>
        </w:rPr>
        <w:t> </w:t>
      </w:r>
      <w:r w:rsidR="56883F2A" w:rsidRPr="00C835AB">
        <w:rPr>
          <w:rFonts w:ascii="Times New Roman" w:hAnsi="Times New Roman"/>
          <w:sz w:val="24"/>
          <w:szCs w:val="24"/>
        </w:rPr>
        <w:t>stosowaniu środków zapobiegawczych) w sytuacji, gdyby było to niekorzystne dla</w:t>
      </w:r>
      <w:r w:rsidR="0097228F">
        <w:rPr>
          <w:rFonts w:ascii="Times New Roman" w:hAnsi="Times New Roman"/>
          <w:sz w:val="24"/>
          <w:szCs w:val="24"/>
        </w:rPr>
        <w:t> </w:t>
      </w:r>
      <w:r w:rsidR="56883F2A" w:rsidRPr="00C835AB">
        <w:rPr>
          <w:rFonts w:ascii="Times New Roman" w:hAnsi="Times New Roman"/>
          <w:sz w:val="24"/>
          <w:szCs w:val="24"/>
        </w:rPr>
        <w:t xml:space="preserve">oskarżonego. </w:t>
      </w:r>
      <w:r w:rsidR="38EE72F7" w:rsidRPr="00C835AB">
        <w:rPr>
          <w:rFonts w:ascii="Times New Roman" w:hAnsi="Times New Roman"/>
          <w:sz w:val="24"/>
          <w:szCs w:val="24"/>
        </w:rPr>
        <w:t>Trzeba podkreślić, że projektowany zakaz dowodowy czyni zadość standardom wyznaczonym w orzecznictwie Europejskiego Trybunału Praw Człowieka, w</w:t>
      </w:r>
      <w:r w:rsidR="0097228F">
        <w:rPr>
          <w:rFonts w:ascii="Times New Roman" w:hAnsi="Times New Roman"/>
          <w:sz w:val="24"/>
          <w:szCs w:val="24"/>
        </w:rPr>
        <w:t> </w:t>
      </w:r>
      <w:r w:rsidR="38EE72F7" w:rsidRPr="00C835AB">
        <w:rPr>
          <w:rFonts w:ascii="Times New Roman" w:hAnsi="Times New Roman"/>
          <w:sz w:val="24"/>
          <w:szCs w:val="24"/>
        </w:rPr>
        <w:t xml:space="preserve">szczególności w sprawie </w:t>
      </w:r>
      <w:proofErr w:type="spellStart"/>
      <w:r w:rsidR="38EE72F7" w:rsidRPr="00C835AB">
        <w:rPr>
          <w:rFonts w:ascii="Times New Roman" w:hAnsi="Times New Roman"/>
          <w:i/>
          <w:iCs/>
          <w:sz w:val="24"/>
          <w:szCs w:val="24"/>
        </w:rPr>
        <w:t>Salduz</w:t>
      </w:r>
      <w:proofErr w:type="spellEnd"/>
      <w:r w:rsidR="38EE72F7" w:rsidRPr="00C835AB">
        <w:rPr>
          <w:rFonts w:ascii="Times New Roman" w:hAnsi="Times New Roman"/>
          <w:i/>
          <w:iCs/>
          <w:sz w:val="24"/>
          <w:szCs w:val="24"/>
        </w:rPr>
        <w:t xml:space="preserve"> przeciwko Turcji</w:t>
      </w:r>
      <w:r w:rsidR="38EE72F7" w:rsidRPr="00C835AB">
        <w:rPr>
          <w:rFonts w:ascii="Times New Roman" w:hAnsi="Times New Roman"/>
          <w:sz w:val="24"/>
          <w:szCs w:val="24"/>
        </w:rPr>
        <w:t xml:space="preserve"> (wyrok z dnia 27 listopada 2008 r., skarga nr 36391) i </w:t>
      </w:r>
      <w:r w:rsidR="38EE72F7" w:rsidRPr="00C835AB">
        <w:rPr>
          <w:rFonts w:ascii="Times New Roman" w:hAnsi="Times New Roman"/>
          <w:i/>
          <w:iCs/>
          <w:sz w:val="24"/>
          <w:szCs w:val="24"/>
        </w:rPr>
        <w:t>Płonka przeciwko Polsce</w:t>
      </w:r>
      <w:r w:rsidR="38EE72F7" w:rsidRPr="00C835AB">
        <w:rPr>
          <w:rFonts w:ascii="Times New Roman" w:hAnsi="Times New Roman"/>
          <w:sz w:val="24"/>
          <w:szCs w:val="24"/>
        </w:rPr>
        <w:t xml:space="preserve"> (wyrok z dnia 31 marca 2009 r., skarga nr 20310/02). </w:t>
      </w:r>
    </w:p>
    <w:p w14:paraId="2C3BF30F" w14:textId="7A13A86B" w:rsidR="00647D88" w:rsidRPr="00C835AB" w:rsidRDefault="00647D88"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Kolejny pakiet zmian dotyczy prawa podejrzanego do poinformowania osoby trzeciej o</w:t>
      </w:r>
      <w:r w:rsidR="00E865A6" w:rsidRPr="00C835AB">
        <w:rPr>
          <w:rFonts w:ascii="Times New Roman" w:hAnsi="Times New Roman"/>
          <w:sz w:val="24"/>
          <w:szCs w:val="24"/>
        </w:rPr>
        <w:t> </w:t>
      </w:r>
      <w:r w:rsidRPr="00C835AB">
        <w:rPr>
          <w:rFonts w:ascii="Times New Roman" w:hAnsi="Times New Roman"/>
          <w:sz w:val="24"/>
          <w:szCs w:val="24"/>
        </w:rPr>
        <w:t xml:space="preserve">pozbawieniu wolności (art. 5 dyrektywy) oraz jego prawa do porozumiewania się z osobami </w:t>
      </w:r>
      <w:r w:rsidRPr="00C835AB">
        <w:rPr>
          <w:rFonts w:ascii="Times New Roman" w:hAnsi="Times New Roman"/>
          <w:sz w:val="24"/>
          <w:szCs w:val="24"/>
        </w:rPr>
        <w:lastRenderedPageBreak/>
        <w:t xml:space="preserve">trzecimi w czasie pozbawienia wolności (art. 6 dyrektywy). </w:t>
      </w:r>
      <w:r w:rsidR="00A556CB" w:rsidRPr="00C835AB">
        <w:rPr>
          <w:rFonts w:ascii="Times New Roman" w:hAnsi="Times New Roman"/>
          <w:sz w:val="24"/>
          <w:szCs w:val="24"/>
        </w:rPr>
        <w:t xml:space="preserve">W zgodzie z </w:t>
      </w:r>
      <w:r w:rsidRPr="00C835AB">
        <w:rPr>
          <w:rFonts w:ascii="Times New Roman" w:hAnsi="Times New Roman"/>
          <w:sz w:val="24"/>
          <w:szCs w:val="24"/>
        </w:rPr>
        <w:t xml:space="preserve">art. 5 dyrektywy </w:t>
      </w:r>
      <w:r w:rsidR="00A556CB" w:rsidRPr="00C835AB">
        <w:rPr>
          <w:rFonts w:ascii="Times New Roman" w:hAnsi="Times New Roman"/>
          <w:sz w:val="24"/>
          <w:szCs w:val="24"/>
        </w:rPr>
        <w:t>zaproponowano</w:t>
      </w:r>
      <w:r w:rsidRPr="00C835AB">
        <w:rPr>
          <w:rFonts w:ascii="Times New Roman" w:hAnsi="Times New Roman"/>
          <w:sz w:val="24"/>
          <w:szCs w:val="24"/>
        </w:rPr>
        <w:t xml:space="preserve"> zmianę art. 245 § 3 i art. 261</w:t>
      </w:r>
      <w:r w:rsidR="002A2AAF" w:rsidRPr="00C835AB">
        <w:rPr>
          <w:rFonts w:ascii="Times New Roman" w:hAnsi="Times New Roman"/>
          <w:sz w:val="24"/>
          <w:szCs w:val="24"/>
        </w:rPr>
        <w:t xml:space="preserve"> § 1a k.p.k</w:t>
      </w:r>
      <w:r w:rsidRPr="00C835AB">
        <w:rPr>
          <w:rFonts w:ascii="Times New Roman" w:hAnsi="Times New Roman"/>
          <w:sz w:val="24"/>
          <w:szCs w:val="24"/>
        </w:rPr>
        <w:t xml:space="preserve">. Z kolei w art. 245 § 4 </w:t>
      </w:r>
      <w:r w:rsidR="002A2AAF" w:rsidRPr="00C835AB">
        <w:rPr>
          <w:rFonts w:ascii="Times New Roman" w:hAnsi="Times New Roman"/>
          <w:sz w:val="24"/>
          <w:szCs w:val="24"/>
        </w:rPr>
        <w:t xml:space="preserve">k.p.k. </w:t>
      </w:r>
      <w:r w:rsidRPr="00C835AB">
        <w:rPr>
          <w:rFonts w:ascii="Times New Roman" w:hAnsi="Times New Roman"/>
          <w:sz w:val="24"/>
          <w:szCs w:val="24"/>
        </w:rPr>
        <w:t>wprowadzono treść normatywną odpowiadającą wymogom art. 6 dyrektywy. Uznano, że</w:t>
      </w:r>
      <w:r w:rsidR="0004458F">
        <w:rPr>
          <w:rFonts w:ascii="Times New Roman" w:hAnsi="Times New Roman"/>
          <w:sz w:val="24"/>
          <w:szCs w:val="24"/>
        </w:rPr>
        <w:t> </w:t>
      </w:r>
      <w:r w:rsidRPr="00C835AB">
        <w:rPr>
          <w:rFonts w:ascii="Times New Roman" w:hAnsi="Times New Roman"/>
          <w:sz w:val="24"/>
          <w:szCs w:val="24"/>
        </w:rPr>
        <w:t>nie</w:t>
      </w:r>
      <w:r w:rsidR="0004458F">
        <w:rPr>
          <w:rFonts w:ascii="Times New Roman" w:hAnsi="Times New Roman"/>
          <w:sz w:val="24"/>
          <w:szCs w:val="24"/>
        </w:rPr>
        <w:t> </w:t>
      </w:r>
      <w:r w:rsidRPr="00C835AB">
        <w:rPr>
          <w:rFonts w:ascii="Times New Roman" w:hAnsi="Times New Roman"/>
          <w:sz w:val="24"/>
          <w:szCs w:val="24"/>
        </w:rPr>
        <w:t xml:space="preserve">jest konieczne wprowadzenie w art. 261 § 1 </w:t>
      </w:r>
      <w:r w:rsidR="002A2AAF" w:rsidRPr="00C835AB">
        <w:rPr>
          <w:rFonts w:ascii="Times New Roman" w:hAnsi="Times New Roman"/>
          <w:sz w:val="24"/>
          <w:szCs w:val="24"/>
        </w:rPr>
        <w:t xml:space="preserve">k.p.k. </w:t>
      </w:r>
      <w:r w:rsidRPr="00C835AB">
        <w:rPr>
          <w:rFonts w:ascii="Times New Roman" w:hAnsi="Times New Roman"/>
          <w:sz w:val="24"/>
          <w:szCs w:val="24"/>
        </w:rPr>
        <w:t>możliwości odmowy poinformowania osoby wskazanej przez podejrzanego innej niż osoba najbliższa, np. w zw</w:t>
      </w:r>
      <w:r w:rsidR="00EF0170" w:rsidRPr="00C835AB">
        <w:rPr>
          <w:rFonts w:ascii="Times New Roman" w:hAnsi="Times New Roman"/>
          <w:sz w:val="24"/>
          <w:szCs w:val="24"/>
        </w:rPr>
        <w:t>iązku</w:t>
      </w:r>
      <w:r w:rsidRPr="00C835AB">
        <w:rPr>
          <w:rFonts w:ascii="Times New Roman" w:hAnsi="Times New Roman"/>
          <w:sz w:val="24"/>
          <w:szCs w:val="24"/>
        </w:rPr>
        <w:t xml:space="preserve"> z</w:t>
      </w:r>
      <w:r w:rsidR="0004458F">
        <w:rPr>
          <w:rFonts w:ascii="Times New Roman" w:hAnsi="Times New Roman"/>
          <w:sz w:val="24"/>
          <w:szCs w:val="24"/>
        </w:rPr>
        <w:t> </w:t>
      </w:r>
      <w:r w:rsidRPr="00C835AB">
        <w:rPr>
          <w:rFonts w:ascii="Times New Roman" w:hAnsi="Times New Roman"/>
          <w:sz w:val="24"/>
          <w:szCs w:val="24"/>
        </w:rPr>
        <w:t xml:space="preserve">niebezpieczeństwem matactwa, którą to możliwość przewiduje dyrektywa. Rozwiązania takiego nie zawiera bowiem art. 261 § 1 </w:t>
      </w:r>
      <w:r w:rsidR="002A2AAF" w:rsidRPr="00C835AB">
        <w:rPr>
          <w:rFonts w:ascii="Times New Roman" w:hAnsi="Times New Roman"/>
          <w:sz w:val="24"/>
          <w:szCs w:val="24"/>
        </w:rPr>
        <w:t xml:space="preserve">k.p.k. </w:t>
      </w:r>
      <w:r w:rsidRPr="00C835AB">
        <w:rPr>
          <w:rFonts w:ascii="Times New Roman" w:hAnsi="Times New Roman"/>
          <w:sz w:val="24"/>
          <w:szCs w:val="24"/>
        </w:rPr>
        <w:t>w obecnie obowiązującym kształcie.</w:t>
      </w:r>
    </w:p>
    <w:p w14:paraId="12E862B0" w14:textId="50953AAA" w:rsidR="00647D88" w:rsidRPr="00C835AB" w:rsidRDefault="0042422E"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Projektowane z</w:t>
      </w:r>
      <w:r w:rsidR="00647D88" w:rsidRPr="00C835AB">
        <w:rPr>
          <w:rFonts w:ascii="Times New Roman" w:hAnsi="Times New Roman"/>
          <w:sz w:val="24"/>
          <w:szCs w:val="24"/>
        </w:rPr>
        <w:t>miany w przepisach regulujących europejski nakaz aresztowania opracowano przy założeniu, że do osoby ściganej nakazem europejskim będą miały zastosowanie zarówno przepisy o dostępie do obrońcy przy zatrzymaniu, jak i projektowany art. 301</w:t>
      </w:r>
      <w:r w:rsidR="002A2AAF" w:rsidRPr="00C835AB">
        <w:rPr>
          <w:rFonts w:ascii="Times New Roman" w:hAnsi="Times New Roman"/>
          <w:sz w:val="24"/>
          <w:szCs w:val="24"/>
        </w:rPr>
        <w:t xml:space="preserve"> k.p.k.</w:t>
      </w:r>
      <w:r w:rsidR="00647D88" w:rsidRPr="00C835AB">
        <w:rPr>
          <w:rFonts w:ascii="Times New Roman" w:hAnsi="Times New Roman"/>
          <w:sz w:val="24"/>
          <w:szCs w:val="24"/>
        </w:rPr>
        <w:t>, dotyczący dostępu do obrońcy przy pierwszym przesłuchaniu. Zastosowanie mają również ogólne przepisy dotyczące pomocy obrońcy z urzędu (m.in. art. 78 k.p.k.). W</w:t>
      </w:r>
      <w:r w:rsidR="00E865A6" w:rsidRPr="00C835AB">
        <w:rPr>
          <w:rFonts w:ascii="Times New Roman" w:hAnsi="Times New Roman"/>
          <w:sz w:val="24"/>
          <w:szCs w:val="24"/>
        </w:rPr>
        <w:t> </w:t>
      </w:r>
      <w:r w:rsidR="00647D88" w:rsidRPr="00C835AB">
        <w:rPr>
          <w:rFonts w:ascii="Times New Roman" w:hAnsi="Times New Roman"/>
          <w:sz w:val="24"/>
          <w:szCs w:val="24"/>
        </w:rPr>
        <w:t xml:space="preserve">dyrektywach wprowadza się również obowiązek zapewnienia osobie ściganej możliwości dostępu do obrońcy w państwie wydania nakazu europejskiego (art. 10 ust. 4 i 4 dyrektywy 2013/48/UE i art. 5 ust. 2 dyrektywy 2016/1919/UE). W </w:t>
      </w:r>
      <w:r w:rsidR="00A556CB" w:rsidRPr="00C835AB">
        <w:rPr>
          <w:rFonts w:ascii="Times New Roman" w:hAnsi="Times New Roman"/>
          <w:sz w:val="24"/>
          <w:szCs w:val="24"/>
        </w:rPr>
        <w:t xml:space="preserve">zgodzie z tymi regulacjami </w:t>
      </w:r>
      <w:r w:rsidR="00647D88" w:rsidRPr="00C835AB">
        <w:rPr>
          <w:rFonts w:ascii="Times New Roman" w:hAnsi="Times New Roman"/>
          <w:sz w:val="24"/>
          <w:szCs w:val="24"/>
        </w:rPr>
        <w:t>w projekcie proponuje się dodanie art. 607da i art. 607z § 3</w:t>
      </w:r>
      <w:r w:rsidR="002A2AAF" w:rsidRPr="00C835AB">
        <w:rPr>
          <w:rFonts w:ascii="Times New Roman" w:hAnsi="Times New Roman"/>
          <w:sz w:val="24"/>
          <w:szCs w:val="24"/>
        </w:rPr>
        <w:t xml:space="preserve"> </w:t>
      </w:r>
      <w:r w:rsidR="00647D88" w:rsidRPr="00C835AB">
        <w:rPr>
          <w:rFonts w:ascii="Times New Roman" w:hAnsi="Times New Roman"/>
          <w:sz w:val="24"/>
          <w:szCs w:val="24"/>
        </w:rPr>
        <w:t>oraz zmianę art. 607l § 3a</w:t>
      </w:r>
      <w:r w:rsidR="002A2AAF" w:rsidRPr="00C835AB">
        <w:rPr>
          <w:rFonts w:ascii="Times New Roman" w:hAnsi="Times New Roman"/>
          <w:sz w:val="24"/>
          <w:szCs w:val="24"/>
        </w:rPr>
        <w:t xml:space="preserve"> k.p.k</w:t>
      </w:r>
      <w:r w:rsidR="00647D88" w:rsidRPr="00C835AB">
        <w:rPr>
          <w:rFonts w:ascii="Times New Roman" w:hAnsi="Times New Roman"/>
          <w:sz w:val="24"/>
          <w:szCs w:val="24"/>
        </w:rPr>
        <w:t xml:space="preserve">. </w:t>
      </w:r>
    </w:p>
    <w:p w14:paraId="781EC46A" w14:textId="10502FFD" w:rsidR="00647D88" w:rsidRPr="00C835AB" w:rsidRDefault="38EE72F7"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Ze względu na to, że w odniesieniu do osoby ściganej europejskim nakazem aresztowania w dyrektywie 2013/48/UE nie przewiduje się dopuszczalności ograniczenia lub</w:t>
      </w:r>
      <w:r w:rsidR="0097228F">
        <w:rPr>
          <w:rFonts w:ascii="Times New Roman" w:hAnsi="Times New Roman"/>
          <w:sz w:val="24"/>
          <w:szCs w:val="24"/>
        </w:rPr>
        <w:t> </w:t>
      </w:r>
      <w:r w:rsidRPr="00C835AB">
        <w:rPr>
          <w:rFonts w:ascii="Times New Roman" w:hAnsi="Times New Roman"/>
          <w:sz w:val="24"/>
          <w:szCs w:val="24"/>
        </w:rPr>
        <w:t xml:space="preserve">wyłączenia prawa do dostępu do obrońcy (a contrario z art. 10 ust. 3 dyrektywy), </w:t>
      </w:r>
      <w:r w:rsidR="00573323" w:rsidRPr="00C835AB">
        <w:rPr>
          <w:rFonts w:ascii="Times New Roman" w:hAnsi="Times New Roman"/>
          <w:sz w:val="24"/>
          <w:szCs w:val="24"/>
        </w:rPr>
        <w:t xml:space="preserve">proponuje się </w:t>
      </w:r>
      <w:r w:rsidRPr="00C835AB">
        <w:rPr>
          <w:rFonts w:ascii="Times New Roman" w:hAnsi="Times New Roman"/>
          <w:sz w:val="24"/>
          <w:szCs w:val="24"/>
        </w:rPr>
        <w:t xml:space="preserve">dodanie </w:t>
      </w:r>
      <w:r w:rsidR="00DD05B4" w:rsidRPr="00C835AB">
        <w:rPr>
          <w:rFonts w:ascii="Times New Roman" w:hAnsi="Times New Roman"/>
          <w:sz w:val="24"/>
          <w:szCs w:val="24"/>
        </w:rPr>
        <w:t>art. 607</w:t>
      </w:r>
      <w:r w:rsidR="00733622" w:rsidRPr="00C835AB">
        <w:rPr>
          <w:rFonts w:ascii="Times New Roman" w:hAnsi="Times New Roman"/>
          <w:sz w:val="24"/>
          <w:szCs w:val="24"/>
        </w:rPr>
        <w:t>k</w:t>
      </w:r>
      <w:r w:rsidR="00DD05B4" w:rsidRPr="00C835AB">
        <w:rPr>
          <w:rFonts w:ascii="Times New Roman" w:hAnsi="Times New Roman"/>
          <w:sz w:val="24"/>
          <w:szCs w:val="24"/>
        </w:rPr>
        <w:t xml:space="preserve"> </w:t>
      </w:r>
      <w:r w:rsidRPr="00C835AB">
        <w:rPr>
          <w:rFonts w:ascii="Times New Roman" w:hAnsi="Times New Roman"/>
          <w:sz w:val="24"/>
          <w:szCs w:val="24"/>
        </w:rPr>
        <w:t xml:space="preserve">§ 3b </w:t>
      </w:r>
      <w:r w:rsidR="00DD05B4" w:rsidRPr="00C835AB">
        <w:rPr>
          <w:rFonts w:ascii="Times New Roman" w:hAnsi="Times New Roman"/>
          <w:sz w:val="24"/>
          <w:szCs w:val="24"/>
        </w:rPr>
        <w:t xml:space="preserve">k.p.k. </w:t>
      </w:r>
    </w:p>
    <w:p w14:paraId="292CC098" w14:textId="6474BA74" w:rsidR="004C33B8" w:rsidRPr="00C835AB" w:rsidRDefault="004C33B8"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 xml:space="preserve">Konsekwencją dodania art. 607da k.p.k. jest </w:t>
      </w:r>
      <w:r w:rsidR="0042422E" w:rsidRPr="00C835AB">
        <w:rPr>
          <w:rFonts w:ascii="Times New Roman" w:hAnsi="Times New Roman"/>
          <w:sz w:val="24"/>
          <w:szCs w:val="24"/>
        </w:rPr>
        <w:t xml:space="preserve">projektowana </w:t>
      </w:r>
      <w:r w:rsidRPr="00C835AB">
        <w:rPr>
          <w:rFonts w:ascii="Times New Roman" w:hAnsi="Times New Roman"/>
          <w:sz w:val="24"/>
          <w:szCs w:val="24"/>
        </w:rPr>
        <w:t>zmiana art. 81 § 1 k.p.k.</w:t>
      </w:r>
    </w:p>
    <w:p w14:paraId="4F62057A" w14:textId="77777777" w:rsidR="00647D88" w:rsidRPr="00C835AB" w:rsidRDefault="00647D88" w:rsidP="00D823D0">
      <w:pPr>
        <w:pStyle w:val="Akapitzlist1"/>
        <w:spacing w:after="0" w:line="360" w:lineRule="auto"/>
        <w:ind w:left="0"/>
        <w:jc w:val="both"/>
        <w:rPr>
          <w:rFonts w:ascii="Times New Roman" w:hAnsi="Times New Roman"/>
          <w:sz w:val="24"/>
          <w:szCs w:val="24"/>
        </w:rPr>
      </w:pPr>
    </w:p>
    <w:p w14:paraId="65213628" w14:textId="77777777" w:rsidR="003A63F3" w:rsidRPr="00C835AB" w:rsidRDefault="00647D88" w:rsidP="00D823D0">
      <w:pPr>
        <w:ind w:left="708"/>
        <w:rPr>
          <w:rFonts w:ascii="Times New Roman" w:hAnsi="Times New Roman" w:cs="Times New Roman"/>
          <w:b/>
          <w:color w:val="auto"/>
          <w:sz w:val="24"/>
        </w:rPr>
      </w:pPr>
      <w:r w:rsidRPr="00C835AB">
        <w:rPr>
          <w:rFonts w:ascii="Times New Roman" w:hAnsi="Times New Roman" w:cs="Times New Roman"/>
          <w:b/>
          <w:color w:val="auto"/>
          <w:sz w:val="24"/>
        </w:rPr>
        <w:t>Gwarancje procesowe dzieci będących oskarżonymi (dyrektywa 2016/800/UE)</w:t>
      </w:r>
      <w:r w:rsidR="003A63F3" w:rsidRPr="00C835AB">
        <w:rPr>
          <w:rFonts w:ascii="Times New Roman" w:hAnsi="Times New Roman" w:cs="Times New Roman"/>
          <w:b/>
          <w:color w:val="auto"/>
          <w:sz w:val="24"/>
        </w:rPr>
        <w:t xml:space="preserve"> </w:t>
      </w:r>
    </w:p>
    <w:p w14:paraId="7E78F39B" w14:textId="0186DC1E" w:rsidR="00647D88" w:rsidRPr="00C835AB" w:rsidRDefault="003A63F3" w:rsidP="00D823D0">
      <w:pPr>
        <w:rPr>
          <w:rFonts w:ascii="Times New Roman" w:hAnsi="Times New Roman" w:cs="Times New Roman"/>
          <w:b/>
          <w:color w:val="auto"/>
          <w:sz w:val="24"/>
        </w:rPr>
      </w:pPr>
      <w:r w:rsidRPr="00C835AB">
        <w:rPr>
          <w:rFonts w:ascii="Times New Roman" w:hAnsi="Times New Roman" w:cs="Times New Roman"/>
          <w:b/>
          <w:color w:val="auto"/>
          <w:sz w:val="24"/>
        </w:rPr>
        <w:t>art. 249 § 3</w:t>
      </w:r>
      <w:r w:rsidR="00147148">
        <w:rPr>
          <w:rFonts w:ascii="Times New Roman" w:hAnsi="Times New Roman" w:cs="Times New Roman"/>
          <w:b/>
          <w:color w:val="auto"/>
          <w:sz w:val="24"/>
        </w:rPr>
        <w:t>b</w:t>
      </w:r>
      <w:r w:rsidRPr="00C835AB">
        <w:rPr>
          <w:rFonts w:ascii="Times New Roman" w:hAnsi="Times New Roman" w:cs="Times New Roman"/>
          <w:b/>
          <w:color w:val="auto"/>
          <w:sz w:val="24"/>
        </w:rPr>
        <w:t xml:space="preserve"> k.p.k., art. 301a k.p.k., art. 79 § 3a k.p.k., art. 147 § 2a k.p.k. </w:t>
      </w:r>
    </w:p>
    <w:p w14:paraId="01267CCB" w14:textId="2DB72651" w:rsidR="00647D88" w:rsidRPr="00C835AB" w:rsidRDefault="38EE72F7"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Za konieczne uznano wprowadzenie szeregu zmian dotyczących korzystania z pomocy obrońcy przez oskarżonych, którzy nie ukończyli 18 lat</w:t>
      </w:r>
      <w:r w:rsidR="00573323" w:rsidRPr="00C835AB">
        <w:rPr>
          <w:rFonts w:ascii="Times New Roman" w:hAnsi="Times New Roman"/>
          <w:sz w:val="24"/>
          <w:szCs w:val="24"/>
        </w:rPr>
        <w:t xml:space="preserve">. Przedstawione propozycje pozostają w zgodzie z zapisami </w:t>
      </w:r>
      <w:r w:rsidRPr="00C835AB">
        <w:rPr>
          <w:rFonts w:ascii="Times New Roman" w:hAnsi="Times New Roman"/>
          <w:sz w:val="24"/>
          <w:szCs w:val="24"/>
        </w:rPr>
        <w:t>dyrektywy 2016/800/UE. Z art. 6 ust. 3, 4 i 7 tej dyrektywy wynika, ż</w:t>
      </w:r>
      <w:r w:rsidR="00797790" w:rsidRPr="00C835AB">
        <w:rPr>
          <w:rFonts w:ascii="Times New Roman" w:hAnsi="Times New Roman"/>
          <w:sz w:val="24"/>
          <w:szCs w:val="24"/>
        </w:rPr>
        <w:t>e</w:t>
      </w:r>
      <w:r w:rsidR="0097228F">
        <w:rPr>
          <w:rFonts w:ascii="Times New Roman" w:hAnsi="Times New Roman"/>
          <w:sz w:val="24"/>
          <w:szCs w:val="24"/>
        </w:rPr>
        <w:t> </w:t>
      </w:r>
      <w:r w:rsidRPr="00C835AB">
        <w:rPr>
          <w:rFonts w:ascii="Times New Roman" w:hAnsi="Times New Roman"/>
          <w:sz w:val="24"/>
          <w:szCs w:val="24"/>
        </w:rPr>
        <w:t>jedynie w wyjątkowych sytuacjach wskazanych w ust. 8 możliwe jest przeprowadzenie przesłuchania oskarżonego, który nie ukończył 18 lat, bez udziału obrońcy. To samo dotyczy czynności okazania takiego podejrzanego. W związku z tym w proponowanych art. 249 § 3</w:t>
      </w:r>
      <w:r w:rsidR="00147148">
        <w:rPr>
          <w:rFonts w:ascii="Times New Roman" w:hAnsi="Times New Roman"/>
          <w:sz w:val="24"/>
          <w:szCs w:val="24"/>
        </w:rPr>
        <w:t>b</w:t>
      </w:r>
      <w:r w:rsidR="00797790" w:rsidRPr="00C835AB">
        <w:rPr>
          <w:rFonts w:ascii="Times New Roman" w:hAnsi="Times New Roman"/>
          <w:sz w:val="24"/>
          <w:szCs w:val="24"/>
        </w:rPr>
        <w:t xml:space="preserve"> k.p.k.</w:t>
      </w:r>
      <w:r w:rsidR="00D23B2F" w:rsidRPr="00C835AB">
        <w:rPr>
          <w:rFonts w:ascii="Times New Roman" w:hAnsi="Times New Roman"/>
          <w:sz w:val="24"/>
          <w:szCs w:val="24"/>
        </w:rPr>
        <w:t xml:space="preserve"> </w:t>
      </w:r>
      <w:r w:rsidRPr="00C835AB">
        <w:rPr>
          <w:rFonts w:ascii="Times New Roman" w:hAnsi="Times New Roman"/>
          <w:sz w:val="24"/>
          <w:szCs w:val="24"/>
        </w:rPr>
        <w:t xml:space="preserve">i art. 301a </w:t>
      </w:r>
      <w:r w:rsidR="00D23B2F" w:rsidRPr="00C835AB">
        <w:rPr>
          <w:rFonts w:ascii="Times New Roman" w:hAnsi="Times New Roman"/>
          <w:sz w:val="24"/>
          <w:szCs w:val="24"/>
        </w:rPr>
        <w:t xml:space="preserve">k.p.k. </w:t>
      </w:r>
      <w:r w:rsidRPr="00C835AB">
        <w:rPr>
          <w:rFonts w:ascii="Times New Roman" w:hAnsi="Times New Roman"/>
          <w:sz w:val="24"/>
          <w:szCs w:val="24"/>
        </w:rPr>
        <w:t>wprowadza się zasadę, że obowiązkowy jest udział obrońcy w</w:t>
      </w:r>
      <w:r w:rsidR="00E865A6" w:rsidRPr="00C835AB">
        <w:rPr>
          <w:rFonts w:ascii="Times New Roman" w:hAnsi="Times New Roman"/>
          <w:sz w:val="24"/>
          <w:szCs w:val="24"/>
        </w:rPr>
        <w:t> </w:t>
      </w:r>
      <w:r w:rsidRPr="00C835AB">
        <w:rPr>
          <w:rFonts w:ascii="Times New Roman" w:hAnsi="Times New Roman"/>
          <w:sz w:val="24"/>
          <w:szCs w:val="24"/>
        </w:rPr>
        <w:t>przesłuchaniu podejrzanego, który nie ukończył 18 lat (zarówno, gdy jest to przesłuchanie dokonywane przez organ postępowania przygotowawczego, jak i przez sąd w związku z</w:t>
      </w:r>
      <w:r w:rsidR="00E865A6" w:rsidRPr="00C835AB">
        <w:rPr>
          <w:rFonts w:ascii="Times New Roman" w:hAnsi="Times New Roman"/>
          <w:sz w:val="24"/>
          <w:szCs w:val="24"/>
        </w:rPr>
        <w:t> </w:t>
      </w:r>
      <w:r w:rsidRPr="00C835AB">
        <w:rPr>
          <w:rFonts w:ascii="Times New Roman" w:hAnsi="Times New Roman"/>
          <w:sz w:val="24"/>
          <w:szCs w:val="24"/>
        </w:rPr>
        <w:t xml:space="preserve">rozpoznawaniem wniosku o zastosowanie tymczasowego aresztowania wobec takiego </w:t>
      </w:r>
      <w:r w:rsidRPr="00C835AB">
        <w:rPr>
          <w:rFonts w:ascii="Times New Roman" w:hAnsi="Times New Roman"/>
          <w:sz w:val="24"/>
          <w:szCs w:val="24"/>
        </w:rPr>
        <w:lastRenderedPageBreak/>
        <w:t>podejrzanego) oraz w jego okazaniu. W konsekwencji do kwestii udziału obrońcy w</w:t>
      </w:r>
      <w:r w:rsidR="00E865A6" w:rsidRPr="00C835AB">
        <w:rPr>
          <w:rFonts w:ascii="Times New Roman" w:hAnsi="Times New Roman"/>
          <w:sz w:val="24"/>
          <w:szCs w:val="24"/>
        </w:rPr>
        <w:t> </w:t>
      </w:r>
      <w:r w:rsidRPr="00C835AB">
        <w:rPr>
          <w:rFonts w:ascii="Times New Roman" w:hAnsi="Times New Roman"/>
          <w:sz w:val="24"/>
          <w:szCs w:val="24"/>
        </w:rPr>
        <w:t xml:space="preserve">przesłuchaniu takiego podejrzanego przez organ postępowania przygotowawczego stosuje się odpowiednio wskazane unormowania zawarte w </w:t>
      </w:r>
      <w:r w:rsidR="00797790" w:rsidRPr="00C835AB">
        <w:rPr>
          <w:rFonts w:ascii="Times New Roman" w:hAnsi="Times New Roman"/>
          <w:sz w:val="24"/>
          <w:szCs w:val="24"/>
        </w:rPr>
        <w:t xml:space="preserve">projektowanym </w:t>
      </w:r>
      <w:r w:rsidRPr="00C835AB">
        <w:rPr>
          <w:rFonts w:ascii="Times New Roman" w:hAnsi="Times New Roman"/>
          <w:sz w:val="24"/>
          <w:szCs w:val="24"/>
        </w:rPr>
        <w:t>art. 301</w:t>
      </w:r>
      <w:r w:rsidR="00D23B2F" w:rsidRPr="00C835AB">
        <w:rPr>
          <w:rFonts w:ascii="Times New Roman" w:hAnsi="Times New Roman"/>
          <w:sz w:val="24"/>
          <w:szCs w:val="24"/>
        </w:rPr>
        <w:t xml:space="preserve"> k.p.k.</w:t>
      </w:r>
      <w:r w:rsidRPr="00C835AB">
        <w:rPr>
          <w:rFonts w:ascii="Times New Roman" w:hAnsi="Times New Roman"/>
          <w:sz w:val="24"/>
          <w:szCs w:val="24"/>
        </w:rPr>
        <w:t>, z</w:t>
      </w:r>
      <w:r w:rsidR="00E865A6" w:rsidRPr="00C835AB">
        <w:rPr>
          <w:rFonts w:ascii="Times New Roman" w:hAnsi="Times New Roman"/>
          <w:sz w:val="24"/>
          <w:szCs w:val="24"/>
        </w:rPr>
        <w:t> </w:t>
      </w:r>
      <w:r w:rsidRPr="00C835AB">
        <w:rPr>
          <w:rFonts w:ascii="Times New Roman" w:hAnsi="Times New Roman"/>
          <w:sz w:val="24"/>
          <w:szCs w:val="24"/>
        </w:rPr>
        <w:t>wyjątkiem przepisów</w:t>
      </w:r>
      <w:r w:rsidR="00210ECE" w:rsidRPr="00C835AB">
        <w:rPr>
          <w:rFonts w:ascii="Times New Roman" w:hAnsi="Times New Roman"/>
          <w:sz w:val="24"/>
          <w:szCs w:val="24"/>
        </w:rPr>
        <w:t>,</w:t>
      </w:r>
      <w:r w:rsidRPr="00C835AB">
        <w:rPr>
          <w:rFonts w:ascii="Times New Roman" w:hAnsi="Times New Roman"/>
          <w:sz w:val="24"/>
          <w:szCs w:val="24"/>
        </w:rPr>
        <w:t xml:space="preserve"> które w tej sytuacji nie mogą mieć zastosowania z uwagi na</w:t>
      </w:r>
      <w:r w:rsidR="0097228F">
        <w:rPr>
          <w:rFonts w:ascii="Times New Roman" w:hAnsi="Times New Roman"/>
          <w:sz w:val="24"/>
          <w:szCs w:val="24"/>
        </w:rPr>
        <w:t> </w:t>
      </w:r>
      <w:r w:rsidRPr="00C835AB">
        <w:rPr>
          <w:rFonts w:ascii="Times New Roman" w:hAnsi="Times New Roman"/>
          <w:sz w:val="24"/>
          <w:szCs w:val="24"/>
        </w:rPr>
        <w:t xml:space="preserve">obowiązkowy charakter udziału obrońcy w czynności. Dotyczy to również przepisów odnoszących się do zrzeczenia się prawa do obecności obrońcy podczas przesłuchania, bowiem z uwagi na wiek podejrzanego trudno zakładać, aby mógł on skutecznie z tego prawa zrezygnować. </w:t>
      </w:r>
      <w:r w:rsidR="0CC7D467" w:rsidRPr="00C835AB">
        <w:rPr>
          <w:rFonts w:ascii="Times New Roman" w:hAnsi="Times New Roman"/>
          <w:sz w:val="24"/>
          <w:szCs w:val="24"/>
        </w:rPr>
        <w:t>Jedynie w wyjątkowych sytuacjach przesłuchanie oskarżonego, który</w:t>
      </w:r>
      <w:r w:rsidR="0004458F">
        <w:rPr>
          <w:rFonts w:ascii="Times New Roman" w:hAnsi="Times New Roman"/>
          <w:sz w:val="24"/>
          <w:szCs w:val="24"/>
        </w:rPr>
        <w:t> </w:t>
      </w:r>
      <w:r w:rsidR="0CC7D467" w:rsidRPr="00C835AB">
        <w:rPr>
          <w:rFonts w:ascii="Times New Roman" w:hAnsi="Times New Roman"/>
          <w:sz w:val="24"/>
          <w:szCs w:val="24"/>
        </w:rPr>
        <w:t>nie</w:t>
      </w:r>
      <w:r w:rsidR="0004458F">
        <w:rPr>
          <w:rFonts w:ascii="Times New Roman" w:hAnsi="Times New Roman"/>
          <w:sz w:val="24"/>
          <w:szCs w:val="24"/>
        </w:rPr>
        <w:t> </w:t>
      </w:r>
      <w:r w:rsidR="0CC7D467" w:rsidRPr="00C835AB">
        <w:rPr>
          <w:rFonts w:ascii="Times New Roman" w:hAnsi="Times New Roman"/>
          <w:sz w:val="24"/>
          <w:szCs w:val="24"/>
        </w:rPr>
        <w:t xml:space="preserve">ukończył 18 lat, </w:t>
      </w:r>
      <w:r w:rsidR="622CD650" w:rsidRPr="00C835AB">
        <w:rPr>
          <w:rFonts w:ascii="Times New Roman" w:hAnsi="Times New Roman"/>
          <w:sz w:val="24"/>
          <w:szCs w:val="24"/>
        </w:rPr>
        <w:t xml:space="preserve">przez sąd rozpoznający wniosek o zastosowanie tymczasowego aresztowania </w:t>
      </w:r>
      <w:r w:rsidR="0CC7D467" w:rsidRPr="00C835AB">
        <w:rPr>
          <w:rFonts w:ascii="Times New Roman" w:hAnsi="Times New Roman"/>
          <w:sz w:val="24"/>
          <w:szCs w:val="24"/>
        </w:rPr>
        <w:t>będzie możliwe bez udziału obrońcy</w:t>
      </w:r>
      <w:r w:rsidR="5595D355" w:rsidRPr="00C835AB">
        <w:rPr>
          <w:rFonts w:ascii="Times New Roman" w:hAnsi="Times New Roman"/>
          <w:sz w:val="24"/>
          <w:szCs w:val="24"/>
        </w:rPr>
        <w:t>, jeżeli niestawiennictwo obrońcy jest</w:t>
      </w:r>
      <w:r w:rsidR="0004458F">
        <w:rPr>
          <w:rFonts w:ascii="Times New Roman" w:hAnsi="Times New Roman"/>
          <w:sz w:val="24"/>
          <w:szCs w:val="24"/>
        </w:rPr>
        <w:t> </w:t>
      </w:r>
      <w:r w:rsidR="5595D355" w:rsidRPr="00C835AB">
        <w:rPr>
          <w:rFonts w:ascii="Times New Roman" w:hAnsi="Times New Roman"/>
          <w:sz w:val="24"/>
          <w:szCs w:val="24"/>
        </w:rPr>
        <w:t>wynikiem przyczyny niezależnej od sądu (wykluczone będzie zatem procedowanie bez</w:t>
      </w:r>
      <w:r w:rsidR="0004458F">
        <w:rPr>
          <w:rFonts w:ascii="Times New Roman" w:hAnsi="Times New Roman"/>
          <w:sz w:val="24"/>
          <w:szCs w:val="24"/>
        </w:rPr>
        <w:t> </w:t>
      </w:r>
      <w:r w:rsidR="5595D355" w:rsidRPr="00C835AB">
        <w:rPr>
          <w:rFonts w:ascii="Times New Roman" w:hAnsi="Times New Roman"/>
          <w:sz w:val="24"/>
          <w:szCs w:val="24"/>
        </w:rPr>
        <w:t>obrońcy</w:t>
      </w:r>
      <w:r w:rsidR="04592B73" w:rsidRPr="00C835AB">
        <w:rPr>
          <w:rFonts w:ascii="Times New Roman" w:hAnsi="Times New Roman"/>
          <w:sz w:val="24"/>
          <w:szCs w:val="24"/>
        </w:rPr>
        <w:t xml:space="preserve">, jeśli </w:t>
      </w:r>
      <w:r w:rsidR="2D9351B8" w:rsidRPr="00C835AB">
        <w:rPr>
          <w:rFonts w:ascii="Times New Roman" w:hAnsi="Times New Roman"/>
          <w:sz w:val="24"/>
          <w:szCs w:val="24"/>
        </w:rPr>
        <w:t xml:space="preserve">sąd w ogóle nie </w:t>
      </w:r>
      <w:r w:rsidR="10CFB9F7" w:rsidRPr="00C835AB">
        <w:rPr>
          <w:rFonts w:ascii="Times New Roman" w:hAnsi="Times New Roman"/>
          <w:sz w:val="24"/>
          <w:szCs w:val="24"/>
        </w:rPr>
        <w:t>po</w:t>
      </w:r>
      <w:r w:rsidR="04592B73" w:rsidRPr="00C835AB">
        <w:rPr>
          <w:rFonts w:ascii="Times New Roman" w:hAnsi="Times New Roman"/>
          <w:sz w:val="24"/>
          <w:szCs w:val="24"/>
        </w:rPr>
        <w:t>wiadomi</w:t>
      </w:r>
      <w:r w:rsidR="041EB86A" w:rsidRPr="00C835AB">
        <w:rPr>
          <w:rFonts w:ascii="Times New Roman" w:hAnsi="Times New Roman"/>
          <w:sz w:val="24"/>
          <w:szCs w:val="24"/>
        </w:rPr>
        <w:t xml:space="preserve"> go</w:t>
      </w:r>
      <w:r w:rsidR="04592B73" w:rsidRPr="00C835AB">
        <w:rPr>
          <w:rFonts w:ascii="Times New Roman" w:hAnsi="Times New Roman"/>
          <w:sz w:val="24"/>
          <w:szCs w:val="24"/>
        </w:rPr>
        <w:t xml:space="preserve"> o terminie posiedzenia)</w:t>
      </w:r>
      <w:r w:rsidR="5595D355" w:rsidRPr="00C835AB">
        <w:rPr>
          <w:rFonts w:ascii="Times New Roman" w:hAnsi="Times New Roman"/>
          <w:sz w:val="24"/>
          <w:szCs w:val="24"/>
        </w:rPr>
        <w:t>, a nie jest możliwe zapewnienie udziału obrońcy w</w:t>
      </w:r>
      <w:r w:rsidR="00E865A6" w:rsidRPr="00C835AB">
        <w:rPr>
          <w:rFonts w:ascii="Times New Roman" w:hAnsi="Times New Roman"/>
          <w:sz w:val="24"/>
          <w:szCs w:val="24"/>
        </w:rPr>
        <w:t> </w:t>
      </w:r>
      <w:r w:rsidR="5595D355" w:rsidRPr="00C835AB">
        <w:rPr>
          <w:rFonts w:ascii="Times New Roman" w:hAnsi="Times New Roman"/>
          <w:sz w:val="24"/>
          <w:szCs w:val="24"/>
        </w:rPr>
        <w:t>przesłuchaniu przed upływem terminu, o którym mowa w</w:t>
      </w:r>
      <w:r w:rsidR="0004458F">
        <w:rPr>
          <w:rFonts w:ascii="Times New Roman" w:hAnsi="Times New Roman"/>
          <w:sz w:val="24"/>
          <w:szCs w:val="24"/>
        </w:rPr>
        <w:t> </w:t>
      </w:r>
      <w:r w:rsidR="5595D355" w:rsidRPr="00C835AB">
        <w:rPr>
          <w:rFonts w:ascii="Times New Roman" w:hAnsi="Times New Roman"/>
          <w:sz w:val="24"/>
          <w:szCs w:val="24"/>
        </w:rPr>
        <w:t>art.</w:t>
      </w:r>
      <w:r w:rsidR="0004458F">
        <w:rPr>
          <w:rFonts w:ascii="Times New Roman" w:hAnsi="Times New Roman"/>
          <w:sz w:val="24"/>
          <w:szCs w:val="24"/>
        </w:rPr>
        <w:t> </w:t>
      </w:r>
      <w:r w:rsidR="5595D355" w:rsidRPr="00C835AB">
        <w:rPr>
          <w:rFonts w:ascii="Times New Roman" w:hAnsi="Times New Roman"/>
          <w:sz w:val="24"/>
          <w:szCs w:val="24"/>
        </w:rPr>
        <w:t>248 § 2</w:t>
      </w:r>
      <w:r w:rsidR="00D23B2F" w:rsidRPr="00C835AB">
        <w:rPr>
          <w:rFonts w:ascii="Times New Roman" w:hAnsi="Times New Roman"/>
          <w:sz w:val="24"/>
          <w:szCs w:val="24"/>
        </w:rPr>
        <w:t xml:space="preserve"> k.p.k</w:t>
      </w:r>
      <w:r w:rsidR="5595D355" w:rsidRPr="00C835AB">
        <w:rPr>
          <w:rFonts w:ascii="Times New Roman" w:hAnsi="Times New Roman"/>
          <w:sz w:val="24"/>
          <w:szCs w:val="24"/>
        </w:rPr>
        <w:t>. Chodzi o</w:t>
      </w:r>
      <w:r w:rsidR="00E865A6" w:rsidRPr="00C835AB">
        <w:rPr>
          <w:rFonts w:ascii="Times New Roman" w:hAnsi="Times New Roman"/>
          <w:sz w:val="24"/>
          <w:szCs w:val="24"/>
        </w:rPr>
        <w:t> </w:t>
      </w:r>
      <w:r w:rsidR="5595D355" w:rsidRPr="00C835AB">
        <w:rPr>
          <w:rFonts w:ascii="Times New Roman" w:hAnsi="Times New Roman"/>
          <w:sz w:val="24"/>
          <w:szCs w:val="24"/>
        </w:rPr>
        <w:t xml:space="preserve">uniknięcie sytuacji, gdy z uwagi na </w:t>
      </w:r>
      <w:r w:rsidR="47CECA44" w:rsidRPr="00C835AB">
        <w:rPr>
          <w:rFonts w:ascii="Times New Roman" w:hAnsi="Times New Roman"/>
          <w:sz w:val="24"/>
          <w:szCs w:val="24"/>
        </w:rPr>
        <w:t>obstrukcję ze strony obrońcy lub zdarzenie</w:t>
      </w:r>
      <w:r w:rsidR="3B7F08FA" w:rsidRPr="00C835AB">
        <w:rPr>
          <w:rFonts w:ascii="Times New Roman" w:hAnsi="Times New Roman"/>
          <w:sz w:val="24"/>
          <w:szCs w:val="24"/>
        </w:rPr>
        <w:t>, którego nie można było przewidzieć</w:t>
      </w:r>
      <w:r w:rsidR="47CECA44" w:rsidRPr="00C835AB">
        <w:rPr>
          <w:rFonts w:ascii="Times New Roman" w:hAnsi="Times New Roman"/>
          <w:sz w:val="24"/>
          <w:szCs w:val="24"/>
        </w:rPr>
        <w:t xml:space="preserve"> </w:t>
      </w:r>
      <w:r w:rsidR="00448CB9" w:rsidRPr="00C835AB">
        <w:rPr>
          <w:rFonts w:ascii="Times New Roman" w:hAnsi="Times New Roman"/>
          <w:sz w:val="24"/>
          <w:szCs w:val="24"/>
        </w:rPr>
        <w:t xml:space="preserve">(np. wypadek) </w:t>
      </w:r>
      <w:r w:rsidR="47CECA44" w:rsidRPr="00C835AB">
        <w:rPr>
          <w:rFonts w:ascii="Times New Roman" w:hAnsi="Times New Roman"/>
          <w:sz w:val="24"/>
          <w:szCs w:val="24"/>
        </w:rPr>
        <w:t>mogłoby dojść do</w:t>
      </w:r>
      <w:r w:rsidR="0004458F">
        <w:rPr>
          <w:rFonts w:ascii="Times New Roman" w:hAnsi="Times New Roman"/>
          <w:sz w:val="24"/>
          <w:szCs w:val="24"/>
        </w:rPr>
        <w:t> </w:t>
      </w:r>
      <w:r w:rsidR="47CECA44" w:rsidRPr="00C835AB">
        <w:rPr>
          <w:rFonts w:ascii="Times New Roman" w:hAnsi="Times New Roman"/>
          <w:sz w:val="24"/>
          <w:szCs w:val="24"/>
        </w:rPr>
        <w:t xml:space="preserve">niemożności rozpoznania </w:t>
      </w:r>
      <w:r w:rsidR="5E95348A" w:rsidRPr="00C835AB">
        <w:rPr>
          <w:rFonts w:ascii="Times New Roman" w:hAnsi="Times New Roman"/>
          <w:sz w:val="24"/>
          <w:szCs w:val="24"/>
        </w:rPr>
        <w:t>i</w:t>
      </w:r>
      <w:r w:rsidR="00E865A6" w:rsidRPr="00C835AB">
        <w:rPr>
          <w:rFonts w:ascii="Times New Roman" w:hAnsi="Times New Roman"/>
          <w:sz w:val="24"/>
          <w:szCs w:val="24"/>
        </w:rPr>
        <w:t> </w:t>
      </w:r>
      <w:r w:rsidR="5E95348A" w:rsidRPr="00C835AB">
        <w:rPr>
          <w:rFonts w:ascii="Times New Roman" w:hAnsi="Times New Roman"/>
          <w:sz w:val="24"/>
          <w:szCs w:val="24"/>
        </w:rPr>
        <w:t xml:space="preserve">rozstrzygnięcia </w:t>
      </w:r>
      <w:r w:rsidR="47CECA44" w:rsidRPr="00C835AB">
        <w:rPr>
          <w:rFonts w:ascii="Times New Roman" w:hAnsi="Times New Roman"/>
          <w:sz w:val="24"/>
          <w:szCs w:val="24"/>
        </w:rPr>
        <w:t>wniosku o zastosowanie tymczasowego a</w:t>
      </w:r>
      <w:r w:rsidR="5F08CBCD" w:rsidRPr="00C835AB">
        <w:rPr>
          <w:rFonts w:ascii="Times New Roman" w:hAnsi="Times New Roman"/>
          <w:sz w:val="24"/>
          <w:szCs w:val="24"/>
        </w:rPr>
        <w:t xml:space="preserve">resztowania </w:t>
      </w:r>
      <w:r w:rsidR="5D79B574" w:rsidRPr="00C835AB">
        <w:rPr>
          <w:rFonts w:ascii="Times New Roman" w:hAnsi="Times New Roman"/>
          <w:sz w:val="24"/>
          <w:szCs w:val="24"/>
        </w:rPr>
        <w:t>przed upływem 24</w:t>
      </w:r>
      <w:r w:rsidR="00E865A6" w:rsidRPr="00C835AB">
        <w:rPr>
          <w:rFonts w:ascii="Times New Roman" w:hAnsi="Times New Roman"/>
          <w:sz w:val="24"/>
          <w:szCs w:val="24"/>
        </w:rPr>
        <w:t> </w:t>
      </w:r>
      <w:r w:rsidR="5D79B574" w:rsidRPr="00C835AB">
        <w:rPr>
          <w:rFonts w:ascii="Times New Roman" w:hAnsi="Times New Roman"/>
          <w:sz w:val="24"/>
          <w:szCs w:val="24"/>
        </w:rPr>
        <w:t>godzin, o których mowa w art</w:t>
      </w:r>
      <w:r w:rsidR="5D214B98" w:rsidRPr="00C835AB">
        <w:rPr>
          <w:rFonts w:ascii="Times New Roman" w:hAnsi="Times New Roman"/>
          <w:sz w:val="24"/>
          <w:szCs w:val="24"/>
        </w:rPr>
        <w:t>.</w:t>
      </w:r>
      <w:r w:rsidR="5D79B574" w:rsidRPr="00C835AB">
        <w:rPr>
          <w:rFonts w:ascii="Times New Roman" w:hAnsi="Times New Roman"/>
          <w:sz w:val="24"/>
          <w:szCs w:val="24"/>
        </w:rPr>
        <w:t xml:space="preserve"> 248 §</w:t>
      </w:r>
      <w:r w:rsidR="00D23B2F" w:rsidRPr="00C835AB">
        <w:rPr>
          <w:rFonts w:ascii="Times New Roman" w:hAnsi="Times New Roman"/>
          <w:sz w:val="24"/>
          <w:szCs w:val="24"/>
        </w:rPr>
        <w:t xml:space="preserve"> </w:t>
      </w:r>
      <w:r w:rsidR="5D79B574" w:rsidRPr="00C835AB">
        <w:rPr>
          <w:rFonts w:ascii="Times New Roman" w:hAnsi="Times New Roman"/>
          <w:sz w:val="24"/>
          <w:szCs w:val="24"/>
        </w:rPr>
        <w:t>2</w:t>
      </w:r>
      <w:r w:rsidR="00D23B2F" w:rsidRPr="00C835AB">
        <w:rPr>
          <w:rFonts w:ascii="Times New Roman" w:hAnsi="Times New Roman"/>
          <w:sz w:val="24"/>
          <w:szCs w:val="24"/>
        </w:rPr>
        <w:t xml:space="preserve"> k.p.k</w:t>
      </w:r>
      <w:r w:rsidR="5D79B574" w:rsidRPr="00C835AB">
        <w:rPr>
          <w:rFonts w:ascii="Times New Roman" w:hAnsi="Times New Roman"/>
          <w:sz w:val="24"/>
          <w:szCs w:val="24"/>
        </w:rPr>
        <w:t>.</w:t>
      </w:r>
    </w:p>
    <w:p w14:paraId="3C8E3869" w14:textId="7FE686D8" w:rsidR="00647D88" w:rsidRPr="00C835AB" w:rsidRDefault="00647D88"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 xml:space="preserve">Zawarte w proponowanym art. 301a </w:t>
      </w:r>
      <w:r w:rsidR="00CC2058" w:rsidRPr="00C835AB">
        <w:rPr>
          <w:rFonts w:ascii="Times New Roman" w:hAnsi="Times New Roman"/>
          <w:sz w:val="24"/>
          <w:szCs w:val="24"/>
        </w:rPr>
        <w:t xml:space="preserve">k.p.k. </w:t>
      </w:r>
      <w:r w:rsidRPr="00C835AB">
        <w:rPr>
          <w:rFonts w:ascii="Times New Roman" w:hAnsi="Times New Roman"/>
          <w:sz w:val="24"/>
          <w:szCs w:val="24"/>
        </w:rPr>
        <w:t xml:space="preserve">odesłanie do stosowania art. 301 § 6 </w:t>
      </w:r>
      <w:r w:rsidR="00CC2058" w:rsidRPr="00C835AB">
        <w:rPr>
          <w:rFonts w:ascii="Times New Roman" w:hAnsi="Times New Roman"/>
          <w:sz w:val="24"/>
          <w:szCs w:val="24"/>
        </w:rPr>
        <w:t xml:space="preserve">k.p.k. </w:t>
      </w:r>
      <w:r w:rsidRPr="00C835AB">
        <w:rPr>
          <w:rFonts w:ascii="Times New Roman" w:hAnsi="Times New Roman"/>
          <w:sz w:val="24"/>
          <w:szCs w:val="24"/>
        </w:rPr>
        <w:t>oznacza, że przed przesłuchaniem podejrzanego, który nie ukończył 18 lat, konieczne będzie wyznaczenie mu „tymczasowego” obrońcy z urzędu, jeżeli nie korzysta on z już obrońcy z</w:t>
      </w:r>
      <w:r w:rsidR="00E865A6" w:rsidRPr="00C835AB">
        <w:rPr>
          <w:rFonts w:ascii="Times New Roman" w:hAnsi="Times New Roman"/>
          <w:sz w:val="24"/>
          <w:szCs w:val="24"/>
        </w:rPr>
        <w:t> </w:t>
      </w:r>
      <w:r w:rsidRPr="00C835AB">
        <w:rPr>
          <w:rFonts w:ascii="Times New Roman" w:hAnsi="Times New Roman"/>
          <w:sz w:val="24"/>
          <w:szCs w:val="24"/>
        </w:rPr>
        <w:t xml:space="preserve">wyboru. </w:t>
      </w:r>
      <w:r w:rsidR="00573323" w:rsidRPr="00C835AB">
        <w:rPr>
          <w:rFonts w:ascii="Times New Roman" w:hAnsi="Times New Roman"/>
          <w:sz w:val="24"/>
          <w:szCs w:val="24"/>
        </w:rPr>
        <w:t xml:space="preserve">Takie rozwiązanie pozostaje w zgodzie z </w:t>
      </w:r>
      <w:r w:rsidRPr="00C835AB">
        <w:rPr>
          <w:rFonts w:ascii="Times New Roman" w:hAnsi="Times New Roman"/>
          <w:sz w:val="24"/>
          <w:szCs w:val="24"/>
        </w:rPr>
        <w:t>art. 18 dyrektywy 2016/800/UE.</w:t>
      </w:r>
    </w:p>
    <w:p w14:paraId="3716E49F" w14:textId="7E474D2A" w:rsidR="00647D88" w:rsidRPr="00C835AB" w:rsidRDefault="064249E4"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 xml:space="preserve">Przepis art. 2 ust. 3 dyrektywy 2016/800/UE zakłada, że prawa gwarantowane przez dyrektywę powinny zostać zapewnione w sytuacji, gdy oskarżony i podejrzany w toku postępowania ukończy 18 lat i jest to „właściwe w świetle wszelkich okoliczności danej sprawy, w tym ze względu na stopień dojrzałości oraz konieczność szczególnego traktowania danej osoby” – przynajmniej do chwili ukończenia przez daną osobę 21 lat. W </w:t>
      </w:r>
      <w:r w:rsidR="00573323" w:rsidRPr="00C835AB">
        <w:rPr>
          <w:rFonts w:ascii="Times New Roman" w:hAnsi="Times New Roman"/>
          <w:sz w:val="24"/>
          <w:szCs w:val="24"/>
        </w:rPr>
        <w:t>zgodzie z</w:t>
      </w:r>
      <w:r w:rsidR="0097228F">
        <w:rPr>
          <w:rFonts w:ascii="Times New Roman" w:hAnsi="Times New Roman"/>
          <w:sz w:val="24"/>
          <w:szCs w:val="24"/>
        </w:rPr>
        <w:t> </w:t>
      </w:r>
      <w:r w:rsidR="00573323" w:rsidRPr="00C835AB">
        <w:rPr>
          <w:rFonts w:ascii="Times New Roman" w:hAnsi="Times New Roman"/>
          <w:sz w:val="24"/>
          <w:szCs w:val="24"/>
        </w:rPr>
        <w:t>tą</w:t>
      </w:r>
      <w:r w:rsidR="0097228F">
        <w:rPr>
          <w:rFonts w:ascii="Times New Roman" w:hAnsi="Times New Roman"/>
          <w:sz w:val="24"/>
          <w:szCs w:val="24"/>
        </w:rPr>
        <w:t> </w:t>
      </w:r>
      <w:r w:rsidR="00573323" w:rsidRPr="00C835AB">
        <w:rPr>
          <w:rFonts w:ascii="Times New Roman" w:hAnsi="Times New Roman"/>
          <w:sz w:val="24"/>
          <w:szCs w:val="24"/>
        </w:rPr>
        <w:t xml:space="preserve">regulacją </w:t>
      </w:r>
      <w:r w:rsidRPr="00C835AB">
        <w:rPr>
          <w:rFonts w:ascii="Times New Roman" w:hAnsi="Times New Roman"/>
          <w:sz w:val="24"/>
          <w:szCs w:val="24"/>
        </w:rPr>
        <w:t xml:space="preserve">w proponowanym art. 79 § 3a </w:t>
      </w:r>
      <w:r w:rsidR="007E6D94" w:rsidRPr="00C835AB">
        <w:rPr>
          <w:rFonts w:ascii="Times New Roman" w:hAnsi="Times New Roman"/>
          <w:sz w:val="24"/>
          <w:szCs w:val="24"/>
        </w:rPr>
        <w:t xml:space="preserve">k.p.k. </w:t>
      </w:r>
      <w:r w:rsidRPr="00C835AB">
        <w:rPr>
          <w:rFonts w:ascii="Times New Roman" w:hAnsi="Times New Roman"/>
          <w:sz w:val="24"/>
          <w:szCs w:val="24"/>
        </w:rPr>
        <w:t>przewiduje się, że obrona obligatoryjna w</w:t>
      </w:r>
      <w:r w:rsidR="00E865A6" w:rsidRPr="00C835AB">
        <w:rPr>
          <w:rFonts w:ascii="Times New Roman" w:hAnsi="Times New Roman"/>
          <w:sz w:val="24"/>
          <w:szCs w:val="24"/>
        </w:rPr>
        <w:t> </w:t>
      </w:r>
      <w:r w:rsidRPr="00C835AB">
        <w:rPr>
          <w:rFonts w:ascii="Times New Roman" w:hAnsi="Times New Roman"/>
          <w:sz w:val="24"/>
          <w:szCs w:val="24"/>
        </w:rPr>
        <w:t>sytuacji, o której mowa w art. 79 § 1 pkt 1 k.p.k., trwa do momentu prawomocnego zakończenia postępowania, chyba że sąd orzeknie, że udział obrońcy po ukończeniu przez oskarżonego 21 lat nie jest obowiązkowy.</w:t>
      </w:r>
    </w:p>
    <w:p w14:paraId="2E6498CB" w14:textId="0CD7A071" w:rsidR="00647D88" w:rsidRPr="00C835AB" w:rsidRDefault="7EB188ED" w:rsidP="00D823D0">
      <w:pPr>
        <w:pStyle w:val="ZLITARTzmartliter"/>
        <w:ind w:left="0" w:firstLine="720"/>
        <w:rPr>
          <w:rFonts w:cs="Times New Roman"/>
          <w:szCs w:val="24"/>
        </w:rPr>
      </w:pPr>
      <w:r w:rsidRPr="00C835AB">
        <w:rPr>
          <w:rFonts w:cs="Times New Roman"/>
          <w:szCs w:val="24"/>
        </w:rPr>
        <w:t xml:space="preserve">Uzupełnienie w art. 147 § 2a </w:t>
      </w:r>
      <w:r w:rsidR="007E6D94" w:rsidRPr="00C835AB">
        <w:rPr>
          <w:rFonts w:cs="Times New Roman"/>
          <w:szCs w:val="24"/>
        </w:rPr>
        <w:t xml:space="preserve">k.p.k. </w:t>
      </w:r>
      <w:r w:rsidRPr="00C835AB">
        <w:rPr>
          <w:rFonts w:cs="Times New Roman"/>
          <w:szCs w:val="24"/>
        </w:rPr>
        <w:t>katalogu sytuacji, w których obligatoryjne jest</w:t>
      </w:r>
      <w:r w:rsidR="0097228F">
        <w:rPr>
          <w:rFonts w:cs="Times New Roman"/>
          <w:szCs w:val="24"/>
        </w:rPr>
        <w:t> </w:t>
      </w:r>
      <w:r w:rsidRPr="00C835AB">
        <w:rPr>
          <w:rFonts w:cs="Times New Roman"/>
          <w:szCs w:val="24"/>
        </w:rPr>
        <w:t>utrwalenie przesłuchania osoby za pomocą urządzenia rejestrującego obraz i dźwięk o</w:t>
      </w:r>
      <w:r w:rsidR="00E865A6" w:rsidRPr="00C835AB">
        <w:rPr>
          <w:rFonts w:cs="Times New Roman"/>
          <w:szCs w:val="24"/>
        </w:rPr>
        <w:t> </w:t>
      </w:r>
      <w:r w:rsidRPr="00C835AB">
        <w:rPr>
          <w:rFonts w:cs="Times New Roman"/>
          <w:szCs w:val="24"/>
        </w:rPr>
        <w:t xml:space="preserve">przesłuchanie podejrzanego, który nie ukończył 18 lat, </w:t>
      </w:r>
      <w:r w:rsidR="00E239A2" w:rsidRPr="00C835AB">
        <w:rPr>
          <w:rFonts w:cs="Times New Roman"/>
          <w:szCs w:val="24"/>
        </w:rPr>
        <w:t>pozostaje w zgodzie z</w:t>
      </w:r>
      <w:r w:rsidRPr="00C835AB">
        <w:rPr>
          <w:rFonts w:cs="Times New Roman"/>
          <w:szCs w:val="24"/>
        </w:rPr>
        <w:t xml:space="preserve"> art. 9 ust. 1 dyrektywy 2016/800/UE.</w:t>
      </w:r>
    </w:p>
    <w:p w14:paraId="044D69DA" w14:textId="3D2720F2" w:rsidR="00647D88" w:rsidRPr="00C835AB" w:rsidRDefault="00647D88" w:rsidP="00D823D0">
      <w:pPr>
        <w:pStyle w:val="Akapitzlist1"/>
        <w:spacing w:after="0" w:line="360" w:lineRule="auto"/>
        <w:ind w:left="0" w:firstLine="708"/>
        <w:jc w:val="both"/>
        <w:rPr>
          <w:rFonts w:ascii="Times New Roman" w:hAnsi="Times New Roman"/>
          <w:sz w:val="24"/>
          <w:szCs w:val="24"/>
        </w:rPr>
      </w:pPr>
    </w:p>
    <w:p w14:paraId="5D8F2375" w14:textId="6B73174C" w:rsidR="0037634E" w:rsidRPr="00C835AB" w:rsidRDefault="0037634E" w:rsidP="00603A64">
      <w:pPr>
        <w:ind w:firstLine="720"/>
        <w:rPr>
          <w:rFonts w:ascii="Times New Roman" w:hAnsi="Times New Roman" w:cs="Times New Roman"/>
          <w:b/>
          <w:bCs/>
          <w:color w:val="auto"/>
          <w:sz w:val="24"/>
        </w:rPr>
      </w:pPr>
      <w:r w:rsidRPr="00C835AB">
        <w:rPr>
          <w:rFonts w:ascii="Times New Roman" w:hAnsi="Times New Roman" w:cs="Times New Roman"/>
          <w:b/>
          <w:bCs/>
          <w:color w:val="auto"/>
          <w:sz w:val="24"/>
        </w:rPr>
        <w:t>Art. 12</w:t>
      </w:r>
      <w:r w:rsidR="00114A60" w:rsidRPr="00C835AB">
        <w:rPr>
          <w:rFonts w:ascii="Times New Roman" w:hAnsi="Times New Roman" w:cs="Times New Roman"/>
          <w:b/>
          <w:bCs/>
          <w:color w:val="auto"/>
          <w:sz w:val="24"/>
        </w:rPr>
        <w:t xml:space="preserve"> </w:t>
      </w:r>
      <w:r w:rsidR="004B1197" w:rsidRPr="00C835AB">
        <w:rPr>
          <w:rFonts w:ascii="Times New Roman" w:hAnsi="Times New Roman" w:cs="Times New Roman"/>
          <w:b/>
          <w:bCs/>
          <w:color w:val="auto"/>
          <w:sz w:val="24"/>
        </w:rPr>
        <w:t xml:space="preserve">§ 3 i 4 </w:t>
      </w:r>
      <w:r w:rsidR="00114A60" w:rsidRPr="00C835AB">
        <w:rPr>
          <w:rFonts w:ascii="Times New Roman" w:hAnsi="Times New Roman" w:cs="Times New Roman"/>
          <w:b/>
          <w:bCs/>
          <w:color w:val="auto"/>
          <w:sz w:val="24"/>
        </w:rPr>
        <w:t>k.p.k.</w:t>
      </w:r>
    </w:p>
    <w:p w14:paraId="52D75166" w14:textId="434F9B05" w:rsidR="00E6297C" w:rsidRPr="00C835AB" w:rsidRDefault="00E6297C" w:rsidP="00D823D0">
      <w:pPr>
        <w:ind w:firstLine="709"/>
        <w:rPr>
          <w:rFonts w:ascii="Times New Roman" w:hAnsi="Times New Roman" w:cs="Times New Roman"/>
          <w:color w:val="auto"/>
          <w:sz w:val="24"/>
        </w:rPr>
      </w:pPr>
      <w:r w:rsidRPr="00C835AB">
        <w:rPr>
          <w:rFonts w:ascii="Times New Roman" w:hAnsi="Times New Roman" w:cs="Times New Roman"/>
          <w:color w:val="auto"/>
          <w:sz w:val="24"/>
        </w:rPr>
        <w:t xml:space="preserve">Projekt przywraca brzmienie </w:t>
      </w:r>
      <w:r w:rsidR="004B1197" w:rsidRPr="00C835AB">
        <w:rPr>
          <w:rFonts w:ascii="Times New Roman" w:hAnsi="Times New Roman" w:cs="Times New Roman"/>
          <w:color w:val="auto"/>
          <w:sz w:val="24"/>
        </w:rPr>
        <w:t xml:space="preserve">art. 12 </w:t>
      </w:r>
      <w:r w:rsidRPr="00C835AB">
        <w:rPr>
          <w:rFonts w:ascii="Times New Roman" w:hAnsi="Times New Roman" w:cs="Times New Roman"/>
          <w:color w:val="auto"/>
          <w:sz w:val="24"/>
        </w:rPr>
        <w:t>§ 3</w:t>
      </w:r>
      <w:r w:rsidR="004B1197" w:rsidRPr="00C835AB">
        <w:rPr>
          <w:rFonts w:ascii="Times New Roman" w:hAnsi="Times New Roman" w:cs="Times New Roman"/>
          <w:color w:val="auto"/>
          <w:sz w:val="24"/>
        </w:rPr>
        <w:t xml:space="preserve"> k.p.k.</w:t>
      </w:r>
      <w:r w:rsidRPr="00C835AB">
        <w:rPr>
          <w:rFonts w:ascii="Times New Roman" w:hAnsi="Times New Roman" w:cs="Times New Roman"/>
          <w:color w:val="auto"/>
          <w:sz w:val="24"/>
        </w:rPr>
        <w:t xml:space="preserve"> ustalone na mocy ustawy z dnia 13</w:t>
      </w:r>
      <w:r w:rsidR="0097228F">
        <w:rPr>
          <w:rFonts w:ascii="Times New Roman" w:hAnsi="Times New Roman" w:cs="Times New Roman"/>
          <w:color w:val="auto"/>
          <w:sz w:val="24"/>
        </w:rPr>
        <w:t> </w:t>
      </w:r>
      <w:r w:rsidRPr="00C835AB">
        <w:rPr>
          <w:rFonts w:ascii="Times New Roman" w:hAnsi="Times New Roman" w:cs="Times New Roman"/>
          <w:color w:val="auto"/>
          <w:sz w:val="24"/>
        </w:rPr>
        <w:t>czerwca 2013 r. o zmianie ustawy – Kodeks karny oraz Kodeks postępowania karnego (Dz.</w:t>
      </w:r>
      <w:r w:rsidR="0097228F">
        <w:rPr>
          <w:rFonts w:ascii="Times New Roman" w:hAnsi="Times New Roman" w:cs="Times New Roman"/>
          <w:color w:val="auto"/>
          <w:sz w:val="24"/>
        </w:rPr>
        <w:t> </w:t>
      </w:r>
      <w:r w:rsidRPr="00C835AB">
        <w:rPr>
          <w:rFonts w:ascii="Times New Roman" w:hAnsi="Times New Roman" w:cs="Times New Roman"/>
          <w:color w:val="auto"/>
          <w:sz w:val="24"/>
        </w:rPr>
        <w:t xml:space="preserve">U. poz. 849). </w:t>
      </w:r>
      <w:r w:rsidR="006069C3" w:rsidRPr="00C835AB">
        <w:rPr>
          <w:rFonts w:ascii="Times New Roman" w:hAnsi="Times New Roman" w:cs="Times New Roman"/>
          <w:color w:val="auto"/>
          <w:sz w:val="24"/>
        </w:rPr>
        <w:t xml:space="preserve">W </w:t>
      </w:r>
      <w:r w:rsidRPr="00C835AB">
        <w:rPr>
          <w:rFonts w:ascii="Times New Roman" w:hAnsi="Times New Roman" w:cs="Times New Roman"/>
          <w:color w:val="auto"/>
          <w:sz w:val="24"/>
        </w:rPr>
        <w:t>ten sposób</w:t>
      </w:r>
      <w:r w:rsidR="006069C3" w:rsidRPr="00C835AB">
        <w:rPr>
          <w:rFonts w:ascii="Times New Roman" w:hAnsi="Times New Roman" w:cs="Times New Roman"/>
          <w:color w:val="auto"/>
          <w:sz w:val="24"/>
        </w:rPr>
        <w:t xml:space="preserve"> eliminuje się</w:t>
      </w:r>
      <w:r w:rsidRPr="00C835AB">
        <w:rPr>
          <w:rFonts w:ascii="Times New Roman" w:hAnsi="Times New Roman" w:cs="Times New Roman"/>
          <w:color w:val="auto"/>
          <w:sz w:val="24"/>
        </w:rPr>
        <w:t xml:space="preserve"> wadliwą systemowo</w:t>
      </w:r>
      <w:r w:rsidR="006069C3" w:rsidRPr="00C835AB">
        <w:rPr>
          <w:rFonts w:ascii="Times New Roman" w:hAnsi="Times New Roman" w:cs="Times New Roman"/>
          <w:color w:val="auto"/>
          <w:sz w:val="24"/>
        </w:rPr>
        <w:t xml:space="preserve"> regulację uzależniającą skuteczność cofnięcia wniosku o ściganie, dokonanego po rozpoczęciu przewodu sądowego, od zgody prokuratora. </w:t>
      </w:r>
      <w:r w:rsidRPr="00C835AB">
        <w:rPr>
          <w:rFonts w:ascii="Times New Roman" w:hAnsi="Times New Roman" w:cs="Times New Roman"/>
          <w:color w:val="auto"/>
          <w:sz w:val="24"/>
        </w:rPr>
        <w:t>Taka</w:t>
      </w:r>
      <w:r w:rsidR="006069C3" w:rsidRPr="00C835AB">
        <w:rPr>
          <w:rFonts w:ascii="Times New Roman" w:hAnsi="Times New Roman" w:cs="Times New Roman"/>
          <w:color w:val="auto"/>
          <w:sz w:val="24"/>
        </w:rPr>
        <w:t xml:space="preserve"> regulacja narusza zasadę, zgodnie z którą arbitrem w postępowaniu sądowym jest sąd</w:t>
      </w:r>
      <w:r w:rsidR="00EF0170" w:rsidRPr="00C835AB">
        <w:rPr>
          <w:rFonts w:ascii="Times New Roman" w:hAnsi="Times New Roman" w:cs="Times New Roman"/>
          <w:color w:val="auto"/>
          <w:sz w:val="24"/>
        </w:rPr>
        <w:t>,</w:t>
      </w:r>
      <w:r w:rsidR="006069C3" w:rsidRPr="00C835AB">
        <w:rPr>
          <w:rFonts w:ascii="Times New Roman" w:hAnsi="Times New Roman" w:cs="Times New Roman"/>
          <w:color w:val="auto"/>
          <w:sz w:val="24"/>
        </w:rPr>
        <w:t xml:space="preserve"> a nie prokurator.</w:t>
      </w:r>
      <w:r w:rsidRPr="00C835AB">
        <w:rPr>
          <w:rFonts w:ascii="Times New Roman" w:hAnsi="Times New Roman" w:cs="Times New Roman"/>
          <w:color w:val="auto"/>
          <w:sz w:val="24"/>
        </w:rPr>
        <w:t xml:space="preserve"> </w:t>
      </w:r>
    </w:p>
    <w:p w14:paraId="3549E59B" w14:textId="1C01C1F1" w:rsidR="0037634E" w:rsidRPr="00C835AB" w:rsidRDefault="00B54FD2" w:rsidP="00603A64">
      <w:pPr>
        <w:ind w:firstLine="709"/>
        <w:rPr>
          <w:rFonts w:ascii="Times New Roman" w:hAnsi="Times New Roman" w:cs="Times New Roman"/>
          <w:color w:val="auto"/>
          <w:sz w:val="24"/>
        </w:rPr>
      </w:pPr>
      <w:r w:rsidRPr="00C835AB">
        <w:rPr>
          <w:rFonts w:ascii="Times New Roman" w:hAnsi="Times New Roman" w:cs="Times New Roman"/>
          <w:color w:val="auto"/>
          <w:sz w:val="24"/>
        </w:rPr>
        <w:t xml:space="preserve">Proponuje się </w:t>
      </w:r>
      <w:r w:rsidR="006069C3" w:rsidRPr="00C835AB">
        <w:rPr>
          <w:rFonts w:ascii="Times New Roman" w:hAnsi="Times New Roman" w:cs="Times New Roman"/>
          <w:color w:val="auto"/>
          <w:sz w:val="24"/>
        </w:rPr>
        <w:t xml:space="preserve">również </w:t>
      </w:r>
      <w:r w:rsidRPr="00C835AB">
        <w:rPr>
          <w:rFonts w:ascii="Times New Roman" w:hAnsi="Times New Roman" w:cs="Times New Roman"/>
          <w:color w:val="auto"/>
          <w:sz w:val="24"/>
        </w:rPr>
        <w:t>uchylenie</w:t>
      </w:r>
      <w:r w:rsidR="0037634E" w:rsidRPr="00C835AB">
        <w:rPr>
          <w:rFonts w:ascii="Times New Roman" w:hAnsi="Times New Roman" w:cs="Times New Roman"/>
          <w:color w:val="auto"/>
          <w:sz w:val="24"/>
        </w:rPr>
        <w:t xml:space="preserve"> art. 12 </w:t>
      </w:r>
      <w:r w:rsidR="00763023" w:rsidRPr="00C835AB">
        <w:rPr>
          <w:rFonts w:ascii="Times New Roman" w:hAnsi="Times New Roman" w:cs="Times New Roman"/>
          <w:color w:val="auto"/>
          <w:sz w:val="24"/>
        </w:rPr>
        <w:t xml:space="preserve">§ 4 </w:t>
      </w:r>
      <w:r w:rsidR="0037634E" w:rsidRPr="00C835AB">
        <w:rPr>
          <w:rFonts w:ascii="Times New Roman" w:hAnsi="Times New Roman" w:cs="Times New Roman"/>
          <w:color w:val="auto"/>
          <w:sz w:val="24"/>
        </w:rPr>
        <w:t>k.p.k.</w:t>
      </w:r>
      <w:r w:rsidRPr="00C835AB">
        <w:rPr>
          <w:rFonts w:ascii="Times New Roman" w:hAnsi="Times New Roman" w:cs="Times New Roman"/>
          <w:color w:val="auto"/>
          <w:sz w:val="24"/>
        </w:rPr>
        <w:t>, który</w:t>
      </w:r>
      <w:r w:rsidR="0037634E" w:rsidRPr="00C835AB">
        <w:rPr>
          <w:rFonts w:ascii="Times New Roman" w:hAnsi="Times New Roman" w:cs="Times New Roman"/>
          <w:color w:val="auto"/>
          <w:sz w:val="24"/>
        </w:rPr>
        <w:t xml:space="preserve"> wprowadz</w:t>
      </w:r>
      <w:r w:rsidRPr="00C835AB">
        <w:rPr>
          <w:rFonts w:ascii="Times New Roman" w:hAnsi="Times New Roman" w:cs="Times New Roman"/>
          <w:color w:val="auto"/>
          <w:sz w:val="24"/>
        </w:rPr>
        <w:t>ił</w:t>
      </w:r>
      <w:r w:rsidR="0037634E" w:rsidRPr="00C835AB">
        <w:rPr>
          <w:rFonts w:ascii="Times New Roman" w:hAnsi="Times New Roman" w:cs="Times New Roman"/>
          <w:color w:val="auto"/>
          <w:sz w:val="24"/>
        </w:rPr>
        <w:t xml:space="preserve"> do </w:t>
      </w:r>
      <w:r w:rsidR="00763023" w:rsidRPr="00C835AB">
        <w:rPr>
          <w:rFonts w:ascii="Times New Roman" w:hAnsi="Times New Roman" w:cs="Times New Roman"/>
          <w:color w:val="auto"/>
          <w:sz w:val="24"/>
        </w:rPr>
        <w:t>Kodeksu postępowania karnego</w:t>
      </w:r>
      <w:r w:rsidR="0037634E" w:rsidRPr="00C835AB">
        <w:rPr>
          <w:rFonts w:ascii="Times New Roman" w:hAnsi="Times New Roman" w:cs="Times New Roman"/>
          <w:color w:val="auto"/>
          <w:sz w:val="24"/>
        </w:rPr>
        <w:t xml:space="preserve"> z dniem 1 października 2023 r. szczególny, nowy tryb ścigania przestępstwa groźby karalnej z art. 190 § 1 k.k. Po pierwsze, ustawodawca wprowadzając ten</w:t>
      </w:r>
      <w:r w:rsidR="0097228F">
        <w:rPr>
          <w:rFonts w:ascii="Times New Roman" w:hAnsi="Times New Roman" w:cs="Times New Roman"/>
          <w:color w:val="auto"/>
          <w:sz w:val="24"/>
        </w:rPr>
        <w:t> </w:t>
      </w:r>
      <w:r w:rsidR="0037634E" w:rsidRPr="00C835AB">
        <w:rPr>
          <w:rFonts w:ascii="Times New Roman" w:hAnsi="Times New Roman" w:cs="Times New Roman"/>
          <w:color w:val="auto"/>
          <w:sz w:val="24"/>
        </w:rPr>
        <w:t>przepis do systemu prawa nie wyjaśnił powodów uzasadniających tak istotną zmianę ścigania przestępstwa groźby karalnej. Po drugie, wprowadzony tryb ścigania groźby karalnej jest niespójny z dotychczasowym modelem trybów ścigania przestępstw, bowiem w przepisach obowiązujących do czasu wprowadzenia</w:t>
      </w:r>
      <w:r w:rsidR="00797790" w:rsidRPr="00C835AB">
        <w:rPr>
          <w:rFonts w:ascii="Times New Roman" w:hAnsi="Times New Roman" w:cs="Times New Roman"/>
          <w:color w:val="auto"/>
          <w:sz w:val="24"/>
        </w:rPr>
        <w:t xml:space="preserve"> tej</w:t>
      </w:r>
      <w:r w:rsidR="0037634E" w:rsidRPr="00C835AB">
        <w:rPr>
          <w:rFonts w:ascii="Times New Roman" w:hAnsi="Times New Roman" w:cs="Times New Roman"/>
          <w:color w:val="auto"/>
          <w:sz w:val="24"/>
        </w:rPr>
        <w:t xml:space="preserve"> zmiany jedynie w części wojskowej </w:t>
      </w:r>
      <w:r w:rsidR="00EB6B8C" w:rsidRPr="00C835AB">
        <w:rPr>
          <w:rFonts w:ascii="Times New Roman" w:hAnsi="Times New Roman" w:cs="Times New Roman"/>
          <w:color w:val="auto"/>
          <w:sz w:val="24"/>
        </w:rPr>
        <w:t>K</w:t>
      </w:r>
      <w:r w:rsidR="0037634E" w:rsidRPr="00C835AB">
        <w:rPr>
          <w:rFonts w:ascii="Times New Roman" w:hAnsi="Times New Roman" w:cs="Times New Roman"/>
          <w:color w:val="auto"/>
          <w:sz w:val="24"/>
        </w:rPr>
        <w:t>odeksu postępowania karnego przewidziano „przełamanie” wnioskowego trybu ścigania przez</w:t>
      </w:r>
      <w:r w:rsidR="0097228F">
        <w:rPr>
          <w:rFonts w:ascii="Times New Roman" w:hAnsi="Times New Roman" w:cs="Times New Roman"/>
          <w:color w:val="auto"/>
          <w:sz w:val="24"/>
        </w:rPr>
        <w:t> </w:t>
      </w:r>
      <w:r w:rsidR="0037634E" w:rsidRPr="00C835AB">
        <w:rPr>
          <w:rFonts w:ascii="Times New Roman" w:hAnsi="Times New Roman" w:cs="Times New Roman"/>
          <w:color w:val="auto"/>
          <w:sz w:val="24"/>
        </w:rPr>
        <w:t xml:space="preserve">możliwość prowadzenia postępowania pomimo niezłożenia wniosku przez osobę uprawnioną, co należy jednak usprawiedliwiać specyfiką części wojskowej </w:t>
      </w:r>
      <w:r w:rsidR="00763023" w:rsidRPr="00C835AB">
        <w:rPr>
          <w:rFonts w:ascii="Times New Roman" w:hAnsi="Times New Roman" w:cs="Times New Roman"/>
          <w:color w:val="auto"/>
          <w:sz w:val="24"/>
        </w:rPr>
        <w:t>Kodeksu postępowania karnego</w:t>
      </w:r>
      <w:r w:rsidR="0037634E" w:rsidRPr="00C835AB">
        <w:rPr>
          <w:rFonts w:ascii="Times New Roman" w:hAnsi="Times New Roman" w:cs="Times New Roman"/>
          <w:color w:val="auto"/>
          <w:sz w:val="24"/>
        </w:rPr>
        <w:t xml:space="preserve"> (art. 660 § 1 k.p.k.). Z jednej strony ustawodawca nie zmienił tego, że</w:t>
      </w:r>
      <w:r w:rsidR="0097228F">
        <w:rPr>
          <w:rFonts w:ascii="Times New Roman" w:hAnsi="Times New Roman" w:cs="Times New Roman"/>
          <w:color w:val="auto"/>
          <w:sz w:val="24"/>
        </w:rPr>
        <w:t> </w:t>
      </w:r>
      <w:r w:rsidR="0037634E" w:rsidRPr="00C835AB">
        <w:rPr>
          <w:rFonts w:ascii="Times New Roman" w:hAnsi="Times New Roman" w:cs="Times New Roman"/>
          <w:color w:val="auto"/>
          <w:sz w:val="24"/>
        </w:rPr>
        <w:t>groźba karalna jest ścigana na wniosek pokrzywdzonego (art. 190 § 2 k.k.), z drugiej zaś</w:t>
      </w:r>
      <w:r w:rsidR="0004458F">
        <w:rPr>
          <w:rFonts w:ascii="Times New Roman" w:hAnsi="Times New Roman" w:cs="Times New Roman"/>
          <w:color w:val="auto"/>
          <w:sz w:val="24"/>
        </w:rPr>
        <w:t> </w:t>
      </w:r>
      <w:r w:rsidR="0037634E" w:rsidRPr="00C835AB">
        <w:rPr>
          <w:rFonts w:ascii="Times New Roman" w:hAnsi="Times New Roman" w:cs="Times New Roman"/>
          <w:color w:val="auto"/>
          <w:sz w:val="24"/>
        </w:rPr>
        <w:t>wprowadzając</w:t>
      </w:r>
      <w:r w:rsidR="00763023" w:rsidRPr="00C835AB">
        <w:rPr>
          <w:rFonts w:ascii="Times New Roman" w:hAnsi="Times New Roman" w:cs="Times New Roman"/>
          <w:color w:val="auto"/>
          <w:sz w:val="24"/>
        </w:rPr>
        <w:t xml:space="preserve"> </w:t>
      </w:r>
      <w:r w:rsidR="0037634E" w:rsidRPr="00C835AB">
        <w:rPr>
          <w:rFonts w:ascii="Times New Roman" w:hAnsi="Times New Roman" w:cs="Times New Roman"/>
          <w:color w:val="auto"/>
          <w:sz w:val="24"/>
        </w:rPr>
        <w:t xml:space="preserve">art. 12 </w:t>
      </w:r>
      <w:r w:rsidR="00763023" w:rsidRPr="00C835AB">
        <w:rPr>
          <w:rFonts w:ascii="Times New Roman" w:hAnsi="Times New Roman" w:cs="Times New Roman"/>
          <w:color w:val="auto"/>
          <w:sz w:val="24"/>
        </w:rPr>
        <w:t xml:space="preserve">§ 4 </w:t>
      </w:r>
      <w:r w:rsidR="0037634E" w:rsidRPr="00C835AB">
        <w:rPr>
          <w:rFonts w:ascii="Times New Roman" w:hAnsi="Times New Roman" w:cs="Times New Roman"/>
          <w:color w:val="auto"/>
          <w:sz w:val="24"/>
        </w:rPr>
        <w:t>k.p.k. pozbawił pokrzywdzonego możliwości decydowania o</w:t>
      </w:r>
      <w:r w:rsidR="0004458F">
        <w:rPr>
          <w:rFonts w:ascii="Times New Roman" w:hAnsi="Times New Roman" w:cs="Times New Roman"/>
          <w:color w:val="auto"/>
          <w:sz w:val="24"/>
        </w:rPr>
        <w:t> </w:t>
      </w:r>
      <w:r w:rsidR="0037634E" w:rsidRPr="00C835AB">
        <w:rPr>
          <w:rFonts w:ascii="Times New Roman" w:hAnsi="Times New Roman" w:cs="Times New Roman"/>
          <w:color w:val="auto"/>
          <w:sz w:val="24"/>
        </w:rPr>
        <w:t xml:space="preserve">ściganiu tego przestępstwa, skoro niezłożenie wniosku nie stoi na przeszkodzie prowadzeniu postępowania, jeżeli wymaga </w:t>
      </w:r>
      <w:r w:rsidR="00EB6B8C" w:rsidRPr="00C835AB">
        <w:rPr>
          <w:rFonts w:ascii="Times New Roman" w:hAnsi="Times New Roman" w:cs="Times New Roman"/>
          <w:color w:val="auto"/>
          <w:sz w:val="24"/>
        </w:rPr>
        <w:t xml:space="preserve">tego </w:t>
      </w:r>
      <w:r w:rsidR="0037634E" w:rsidRPr="00C835AB">
        <w:rPr>
          <w:rFonts w:ascii="Times New Roman" w:hAnsi="Times New Roman" w:cs="Times New Roman"/>
          <w:color w:val="auto"/>
          <w:sz w:val="24"/>
        </w:rPr>
        <w:t>„interes społeczny”. Jeżeli chodzi o sytuację niezłożenia wniosku z obawy przed odwetem, to istnieją inne instrumenty prawne, które powinny być wykorzystane do zabezpieczenia przez organy procesowe swobodnego, wolnego od przymusu składania oświadczeń woli w tym zakresie. Po trzecie, przepis ten od jego wprowadzenia budzi istotne wątpliwości interpretacyjne, dotyczące m.in. kompetencji sądu do weryfikowania decyzji prokuratora o</w:t>
      </w:r>
      <w:r w:rsidR="00E865A6" w:rsidRPr="00C835AB">
        <w:rPr>
          <w:rFonts w:ascii="Times New Roman" w:hAnsi="Times New Roman" w:cs="Times New Roman"/>
          <w:color w:val="auto"/>
          <w:sz w:val="24"/>
        </w:rPr>
        <w:t> </w:t>
      </w:r>
      <w:r w:rsidR="0037634E" w:rsidRPr="00C835AB">
        <w:rPr>
          <w:rFonts w:ascii="Times New Roman" w:hAnsi="Times New Roman" w:cs="Times New Roman"/>
          <w:color w:val="auto"/>
          <w:sz w:val="24"/>
        </w:rPr>
        <w:t>prowadzeniu postępowania pomimo braku wniosku (por. J. Kasiński, O</w:t>
      </w:r>
      <w:r w:rsidR="0097228F">
        <w:rPr>
          <w:rFonts w:ascii="Times New Roman" w:hAnsi="Times New Roman" w:cs="Times New Roman"/>
          <w:color w:val="auto"/>
          <w:sz w:val="24"/>
        </w:rPr>
        <w:t> </w:t>
      </w:r>
      <w:r w:rsidR="0037634E" w:rsidRPr="00C835AB">
        <w:rPr>
          <w:rFonts w:ascii="Times New Roman" w:hAnsi="Times New Roman" w:cs="Times New Roman"/>
          <w:color w:val="auto"/>
          <w:sz w:val="24"/>
        </w:rPr>
        <w:t>ściganiu przestępstwa groźby karalnej – nowy art. 12 § 4 k.p.k. i jego konsekwencje procesowe, Przegląd Sądowy 2024, z. 2). Podsumowując, wprowadzenie tej zmiany do</w:t>
      </w:r>
      <w:r w:rsidR="0097228F">
        <w:rPr>
          <w:rFonts w:ascii="Times New Roman" w:hAnsi="Times New Roman" w:cs="Times New Roman"/>
          <w:color w:val="auto"/>
          <w:sz w:val="24"/>
        </w:rPr>
        <w:t> </w:t>
      </w:r>
      <w:r w:rsidR="00EB6B8C" w:rsidRPr="00C835AB">
        <w:rPr>
          <w:rFonts w:ascii="Times New Roman" w:hAnsi="Times New Roman" w:cs="Times New Roman"/>
          <w:color w:val="auto"/>
          <w:sz w:val="24"/>
        </w:rPr>
        <w:t>K</w:t>
      </w:r>
      <w:r w:rsidR="0037634E" w:rsidRPr="00C835AB">
        <w:rPr>
          <w:rFonts w:ascii="Times New Roman" w:hAnsi="Times New Roman" w:cs="Times New Roman"/>
          <w:color w:val="auto"/>
          <w:sz w:val="24"/>
        </w:rPr>
        <w:t xml:space="preserve">odeksu postępowania karnego nie było poprzedzone wykazaniem realnej potrzeby ingerencji w obowiązujący od uchwalenia tego kodeksu wnioskowy tryb ścigania przestępstwa groźby karalnej. </w:t>
      </w:r>
    </w:p>
    <w:p w14:paraId="66943290" w14:textId="77777777" w:rsidR="00CC7E89" w:rsidRPr="00C835AB" w:rsidRDefault="00CC7E89" w:rsidP="00D823D0">
      <w:pPr>
        <w:pStyle w:val="Akapitzlist1"/>
        <w:spacing w:after="0" w:line="360" w:lineRule="auto"/>
        <w:ind w:left="0" w:firstLine="708"/>
        <w:jc w:val="both"/>
        <w:rPr>
          <w:rFonts w:ascii="Times New Roman" w:hAnsi="Times New Roman"/>
          <w:b/>
          <w:bCs/>
          <w:sz w:val="24"/>
          <w:szCs w:val="24"/>
        </w:rPr>
      </w:pPr>
    </w:p>
    <w:p w14:paraId="3CFDB3FD" w14:textId="386DC7BB" w:rsidR="44357A46" w:rsidRPr="00C835AB" w:rsidRDefault="32802A29" w:rsidP="00D823D0">
      <w:pPr>
        <w:pStyle w:val="Akapitzlist1"/>
        <w:spacing w:after="0" w:line="360" w:lineRule="auto"/>
        <w:ind w:left="0" w:firstLine="708"/>
        <w:jc w:val="both"/>
        <w:rPr>
          <w:rFonts w:ascii="Times New Roman" w:hAnsi="Times New Roman"/>
          <w:b/>
          <w:bCs/>
          <w:sz w:val="24"/>
          <w:szCs w:val="24"/>
        </w:rPr>
      </w:pPr>
      <w:r w:rsidRPr="00C835AB">
        <w:rPr>
          <w:rFonts w:ascii="Times New Roman" w:hAnsi="Times New Roman"/>
          <w:b/>
          <w:bCs/>
          <w:sz w:val="24"/>
          <w:szCs w:val="24"/>
        </w:rPr>
        <w:lastRenderedPageBreak/>
        <w:t>A</w:t>
      </w:r>
      <w:r w:rsidR="424AE047" w:rsidRPr="00C835AB">
        <w:rPr>
          <w:rFonts w:ascii="Times New Roman" w:hAnsi="Times New Roman"/>
          <w:b/>
          <w:bCs/>
          <w:sz w:val="24"/>
          <w:szCs w:val="24"/>
        </w:rPr>
        <w:t>rt. 29</w:t>
      </w:r>
      <w:r w:rsidR="004B1197" w:rsidRPr="00C835AB">
        <w:rPr>
          <w:rFonts w:ascii="Times New Roman" w:hAnsi="Times New Roman"/>
          <w:b/>
          <w:bCs/>
          <w:sz w:val="24"/>
          <w:szCs w:val="24"/>
        </w:rPr>
        <w:t xml:space="preserve"> § 2 k.p.k.</w:t>
      </w:r>
    </w:p>
    <w:p w14:paraId="6F1AFFBC" w14:textId="1DB91204" w:rsidR="63BF1ECE" w:rsidRPr="00C835AB" w:rsidRDefault="00281C3B"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Projektowana z</w:t>
      </w:r>
      <w:r w:rsidR="63BF1ECE" w:rsidRPr="00C835AB">
        <w:rPr>
          <w:rFonts w:ascii="Times New Roman" w:hAnsi="Times New Roman"/>
          <w:sz w:val="24"/>
          <w:szCs w:val="24"/>
        </w:rPr>
        <w:t>miana art. 29</w:t>
      </w:r>
      <w:r w:rsidR="004B1197" w:rsidRPr="00C835AB">
        <w:rPr>
          <w:rFonts w:ascii="Times New Roman" w:hAnsi="Times New Roman"/>
          <w:sz w:val="24"/>
          <w:szCs w:val="24"/>
        </w:rPr>
        <w:t xml:space="preserve"> § 2</w:t>
      </w:r>
      <w:r w:rsidR="63BF1ECE" w:rsidRPr="00C835AB">
        <w:rPr>
          <w:rFonts w:ascii="Times New Roman" w:hAnsi="Times New Roman"/>
          <w:sz w:val="24"/>
          <w:szCs w:val="24"/>
        </w:rPr>
        <w:t xml:space="preserve"> k.p.k. ogranicza obowiązek kształtowania składu 5-osobowego sądu do sytuacji, w której sąd rozpoznaje apelację albo kasację od wyroku orzekającego dożywotnie pozbawienie wolności. Oznacza to powrót do brzmienia tego przepisu sprzed </w:t>
      </w:r>
      <w:r w:rsidR="002A6A21" w:rsidRPr="00C835AB">
        <w:rPr>
          <w:rFonts w:ascii="Times New Roman" w:hAnsi="Times New Roman"/>
          <w:sz w:val="24"/>
          <w:szCs w:val="24"/>
        </w:rPr>
        <w:t xml:space="preserve">dnia </w:t>
      </w:r>
      <w:r w:rsidR="63BF1ECE" w:rsidRPr="00C835AB">
        <w:rPr>
          <w:rFonts w:ascii="Times New Roman" w:hAnsi="Times New Roman"/>
          <w:sz w:val="24"/>
          <w:szCs w:val="24"/>
        </w:rPr>
        <w:t>5 października 2019 r.</w:t>
      </w:r>
      <w:r w:rsidR="00EB6B8C" w:rsidRPr="00C835AB">
        <w:rPr>
          <w:rFonts w:ascii="Times New Roman" w:hAnsi="Times New Roman"/>
          <w:sz w:val="24"/>
          <w:szCs w:val="24"/>
        </w:rPr>
        <w:t>,</w:t>
      </w:r>
      <w:r w:rsidR="63BF1ECE" w:rsidRPr="00C835AB">
        <w:rPr>
          <w:rFonts w:ascii="Times New Roman" w:hAnsi="Times New Roman"/>
          <w:sz w:val="24"/>
          <w:szCs w:val="24"/>
        </w:rPr>
        <w:t xml:space="preserve"> w wersji obowiązującej od </w:t>
      </w:r>
      <w:r w:rsidR="00DF3729" w:rsidRPr="00C835AB">
        <w:rPr>
          <w:rFonts w:ascii="Times New Roman" w:hAnsi="Times New Roman"/>
          <w:sz w:val="24"/>
          <w:szCs w:val="24"/>
        </w:rPr>
        <w:t xml:space="preserve">dnia </w:t>
      </w:r>
      <w:r w:rsidR="63BF1ECE" w:rsidRPr="00C835AB">
        <w:rPr>
          <w:rFonts w:ascii="Times New Roman" w:hAnsi="Times New Roman"/>
          <w:sz w:val="24"/>
          <w:szCs w:val="24"/>
        </w:rPr>
        <w:t xml:space="preserve">1 lipca 2003 r. Związana jest przede wszystkim z </w:t>
      </w:r>
      <w:r w:rsidR="00797790" w:rsidRPr="00C835AB">
        <w:rPr>
          <w:rFonts w:ascii="Times New Roman" w:hAnsi="Times New Roman"/>
          <w:sz w:val="24"/>
          <w:szCs w:val="24"/>
        </w:rPr>
        <w:t xml:space="preserve">projektowanym </w:t>
      </w:r>
      <w:r w:rsidR="63BF1ECE" w:rsidRPr="00C835AB">
        <w:rPr>
          <w:rFonts w:ascii="Times New Roman" w:hAnsi="Times New Roman"/>
          <w:sz w:val="24"/>
          <w:szCs w:val="24"/>
        </w:rPr>
        <w:t xml:space="preserve">przywróceniem w art. 454 § 1a </w:t>
      </w:r>
      <w:r w:rsidR="00AF50C9" w:rsidRPr="00C835AB">
        <w:rPr>
          <w:rFonts w:ascii="Times New Roman" w:hAnsi="Times New Roman"/>
          <w:sz w:val="24"/>
          <w:szCs w:val="24"/>
        </w:rPr>
        <w:t xml:space="preserve">k.p.k. </w:t>
      </w:r>
      <w:r w:rsidR="63BF1ECE" w:rsidRPr="00C835AB">
        <w:rPr>
          <w:rFonts w:ascii="Times New Roman" w:hAnsi="Times New Roman"/>
          <w:sz w:val="24"/>
          <w:szCs w:val="24"/>
        </w:rPr>
        <w:t xml:space="preserve">reguły </w:t>
      </w:r>
      <w:proofErr w:type="spellStart"/>
      <w:r w:rsidR="63BF1ECE" w:rsidRPr="00C835AB">
        <w:rPr>
          <w:rFonts w:ascii="Times New Roman" w:hAnsi="Times New Roman"/>
          <w:sz w:val="24"/>
          <w:szCs w:val="24"/>
        </w:rPr>
        <w:t>ne</w:t>
      </w:r>
      <w:proofErr w:type="spellEnd"/>
      <w:r w:rsidR="63BF1ECE" w:rsidRPr="00C835AB">
        <w:rPr>
          <w:rFonts w:ascii="Times New Roman" w:hAnsi="Times New Roman"/>
          <w:sz w:val="24"/>
          <w:szCs w:val="24"/>
        </w:rPr>
        <w:t xml:space="preserve"> </w:t>
      </w:r>
      <w:proofErr w:type="spellStart"/>
      <w:r w:rsidR="63BF1ECE" w:rsidRPr="00C835AB">
        <w:rPr>
          <w:rFonts w:ascii="Times New Roman" w:hAnsi="Times New Roman"/>
          <w:sz w:val="24"/>
          <w:szCs w:val="24"/>
        </w:rPr>
        <w:t>peius</w:t>
      </w:r>
      <w:proofErr w:type="spellEnd"/>
      <w:r w:rsidR="63BF1ECE" w:rsidRPr="00C835AB">
        <w:rPr>
          <w:rFonts w:ascii="Times New Roman" w:hAnsi="Times New Roman"/>
          <w:sz w:val="24"/>
          <w:szCs w:val="24"/>
        </w:rPr>
        <w:t xml:space="preserve">, zgodnie z którą sąd odwoławczy nie może zaostrzyć kary przez wymierzenie kary dożywotniego pozbawienia wolności oraz z </w:t>
      </w:r>
      <w:r w:rsidR="00797790" w:rsidRPr="00C835AB">
        <w:rPr>
          <w:rFonts w:ascii="Times New Roman" w:hAnsi="Times New Roman"/>
          <w:sz w:val="24"/>
          <w:szCs w:val="24"/>
        </w:rPr>
        <w:t xml:space="preserve">projektowaną </w:t>
      </w:r>
      <w:r w:rsidR="63BF1ECE" w:rsidRPr="00C835AB">
        <w:rPr>
          <w:rFonts w:ascii="Times New Roman" w:hAnsi="Times New Roman"/>
          <w:sz w:val="24"/>
          <w:szCs w:val="24"/>
        </w:rPr>
        <w:t xml:space="preserve">eliminacją kasacji nadzwyczajnej Prokuratora Generalnego </w:t>
      </w:r>
      <w:r w:rsidR="00EB6B8C" w:rsidRPr="00C835AB">
        <w:rPr>
          <w:rFonts w:ascii="Times New Roman" w:hAnsi="Times New Roman"/>
          <w:sz w:val="24"/>
          <w:szCs w:val="24"/>
        </w:rPr>
        <w:t>(</w:t>
      </w:r>
      <w:r w:rsidR="63BF1ECE" w:rsidRPr="00C835AB">
        <w:rPr>
          <w:rFonts w:ascii="Times New Roman" w:hAnsi="Times New Roman"/>
          <w:sz w:val="24"/>
          <w:szCs w:val="24"/>
        </w:rPr>
        <w:t>art. 523 § 1a</w:t>
      </w:r>
      <w:r w:rsidR="00AF50C9" w:rsidRPr="00C835AB">
        <w:rPr>
          <w:rFonts w:ascii="Times New Roman" w:hAnsi="Times New Roman"/>
          <w:sz w:val="24"/>
          <w:szCs w:val="24"/>
        </w:rPr>
        <w:t xml:space="preserve"> k.p.k</w:t>
      </w:r>
      <w:r w:rsidR="63BF1ECE" w:rsidRPr="00C835AB">
        <w:rPr>
          <w:rFonts w:ascii="Times New Roman" w:hAnsi="Times New Roman"/>
          <w:sz w:val="24"/>
          <w:szCs w:val="24"/>
        </w:rPr>
        <w:t>.</w:t>
      </w:r>
      <w:r w:rsidR="00EB6B8C" w:rsidRPr="00C835AB">
        <w:rPr>
          <w:rFonts w:ascii="Times New Roman" w:hAnsi="Times New Roman"/>
          <w:sz w:val="24"/>
          <w:szCs w:val="24"/>
        </w:rPr>
        <w:t>).</w:t>
      </w:r>
    </w:p>
    <w:p w14:paraId="12443417" w14:textId="77777777" w:rsidR="0037634E" w:rsidRPr="00C835AB" w:rsidRDefault="0037634E" w:rsidP="00D823D0">
      <w:pPr>
        <w:pStyle w:val="Akapitzlist1"/>
        <w:spacing w:after="0" w:line="360" w:lineRule="auto"/>
        <w:ind w:left="0"/>
        <w:jc w:val="both"/>
        <w:rPr>
          <w:rFonts w:ascii="Times New Roman" w:hAnsi="Times New Roman"/>
          <w:sz w:val="24"/>
          <w:szCs w:val="24"/>
        </w:rPr>
      </w:pPr>
    </w:p>
    <w:p w14:paraId="36297799" w14:textId="0CB00BF6" w:rsidR="44357A46" w:rsidRPr="00C835AB" w:rsidRDefault="34BA633D" w:rsidP="00D823D0">
      <w:pPr>
        <w:pStyle w:val="Akapitzlist1"/>
        <w:spacing w:after="0" w:line="360" w:lineRule="auto"/>
        <w:ind w:left="0" w:firstLine="708"/>
        <w:jc w:val="both"/>
        <w:rPr>
          <w:rFonts w:ascii="Times New Roman" w:hAnsi="Times New Roman"/>
          <w:b/>
          <w:bCs/>
          <w:sz w:val="24"/>
          <w:szCs w:val="24"/>
        </w:rPr>
      </w:pPr>
      <w:r w:rsidRPr="00C835AB">
        <w:rPr>
          <w:rFonts w:ascii="Times New Roman" w:hAnsi="Times New Roman"/>
          <w:b/>
          <w:bCs/>
          <w:sz w:val="24"/>
          <w:szCs w:val="24"/>
        </w:rPr>
        <w:t>Art. 34</w:t>
      </w:r>
      <w:r w:rsidR="004B1197" w:rsidRPr="00C835AB">
        <w:rPr>
          <w:rFonts w:ascii="Times New Roman" w:hAnsi="Times New Roman"/>
          <w:b/>
          <w:bCs/>
          <w:sz w:val="24"/>
          <w:szCs w:val="24"/>
        </w:rPr>
        <w:t xml:space="preserve"> § 3, § 4, § 5 i § 6 k.p.k.</w:t>
      </w:r>
    </w:p>
    <w:p w14:paraId="0C458F00" w14:textId="0945FB56" w:rsidR="002431CF" w:rsidRPr="00C835AB" w:rsidRDefault="00647D88"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Zmiany w art. 34 k.p.k., które zostały wprowadzone przez ustawę z dnia 7 lipca 2023 r.</w:t>
      </w:r>
      <w:r w:rsidR="004B1197" w:rsidRPr="00C835AB">
        <w:rPr>
          <w:rFonts w:ascii="Times New Roman" w:hAnsi="Times New Roman"/>
          <w:sz w:val="24"/>
          <w:szCs w:val="24"/>
        </w:rPr>
        <w:t xml:space="preserve"> o zmianie ustawy – Kodeks postępowania cywilnego, ustawy – Prawo o ustroju sądów powszechnych, ustawy – Kodeks postępowania karnego oraz niektórych innych ustaw (Dz. U.</w:t>
      </w:r>
      <w:r w:rsidR="00FE6043" w:rsidRPr="00C835AB">
        <w:rPr>
          <w:rFonts w:ascii="Times New Roman" w:hAnsi="Times New Roman"/>
          <w:sz w:val="24"/>
          <w:szCs w:val="24"/>
        </w:rPr>
        <w:t xml:space="preserve"> poz. 1860), dalej „ustawa z dnia 7 lipca 2023 r.”</w:t>
      </w:r>
      <w:r w:rsidRPr="00C835AB">
        <w:rPr>
          <w:rFonts w:ascii="Times New Roman" w:hAnsi="Times New Roman"/>
          <w:sz w:val="24"/>
          <w:szCs w:val="24"/>
        </w:rPr>
        <w:t xml:space="preserve">, w dużej mierze nie przyniosły istotnej wartości dodanej (zwłaszcza, jeśli idzie o określenie w § 3 okoliczności uzasadniających wyłączenie sprawy do odrębnego rozpoznania, będące po części </w:t>
      </w:r>
      <w:proofErr w:type="spellStart"/>
      <w:r w:rsidRPr="00C835AB">
        <w:rPr>
          <w:rFonts w:ascii="Times New Roman" w:hAnsi="Times New Roman"/>
          <w:sz w:val="24"/>
          <w:szCs w:val="24"/>
        </w:rPr>
        <w:t>superfluum</w:t>
      </w:r>
      <w:proofErr w:type="spellEnd"/>
      <w:r w:rsidRPr="00C835AB">
        <w:rPr>
          <w:rFonts w:ascii="Times New Roman" w:hAnsi="Times New Roman"/>
          <w:sz w:val="24"/>
          <w:szCs w:val="24"/>
        </w:rPr>
        <w:t xml:space="preserve"> w stosunku do innych uregulowań, m.in. art. 376 § 3 k.p.k.), a przy tym wprowadzały nieuzasadnione zróżnicowanie kwestii zaskarżalności postanowienia w postępowaniu przygotowawczym i sądowym, oznaczające w istocie kolejny przypadek uprzywilejowania prokuratora w postępowaniu sądowym. Z tego względu celowy </w:t>
      </w:r>
      <w:r w:rsidR="00652A8A" w:rsidRPr="00C835AB">
        <w:rPr>
          <w:rFonts w:ascii="Times New Roman" w:hAnsi="Times New Roman"/>
          <w:sz w:val="24"/>
          <w:szCs w:val="24"/>
        </w:rPr>
        <w:t>jest</w:t>
      </w:r>
      <w:r w:rsidRPr="00C835AB">
        <w:rPr>
          <w:rFonts w:ascii="Times New Roman" w:hAnsi="Times New Roman"/>
          <w:sz w:val="24"/>
          <w:szCs w:val="24"/>
        </w:rPr>
        <w:t xml:space="preserve"> powrót do bardziej syntetycznego brzmienia art. 34 § 3 k.p.k. oraz reguły, ż</w:t>
      </w:r>
      <w:r w:rsidR="006A72E0" w:rsidRPr="00C835AB">
        <w:rPr>
          <w:rFonts w:ascii="Times New Roman" w:hAnsi="Times New Roman"/>
          <w:sz w:val="24"/>
          <w:szCs w:val="24"/>
        </w:rPr>
        <w:t>e</w:t>
      </w:r>
      <w:r w:rsidRPr="00C835AB">
        <w:rPr>
          <w:rFonts w:ascii="Times New Roman" w:hAnsi="Times New Roman"/>
          <w:sz w:val="24"/>
          <w:szCs w:val="24"/>
        </w:rPr>
        <w:t xml:space="preserve"> postanowienie o wyłączeniu sprawy do odrębnego rozpoznania nie jest zaskarżalne. Brak jest bowiem przekonujących argumentów, aby taka możliwość istniała, skoro wskazane postanowienie samo w sobie zasadniczo nie wpływa negatywnie na sytuację procesową stron. Jednocześnie w proponowanym </w:t>
      </w:r>
      <w:r w:rsidR="00FE6043" w:rsidRPr="00C835AB">
        <w:rPr>
          <w:rFonts w:ascii="Times New Roman" w:hAnsi="Times New Roman"/>
          <w:sz w:val="24"/>
          <w:szCs w:val="24"/>
        </w:rPr>
        <w:t xml:space="preserve">art. 34 </w:t>
      </w:r>
      <w:r w:rsidRPr="00C835AB">
        <w:rPr>
          <w:rFonts w:ascii="Times New Roman" w:hAnsi="Times New Roman"/>
          <w:sz w:val="24"/>
          <w:szCs w:val="24"/>
        </w:rPr>
        <w:t>§ 4</w:t>
      </w:r>
      <w:r w:rsidR="00FE6043" w:rsidRPr="00C835AB">
        <w:rPr>
          <w:rFonts w:ascii="Times New Roman" w:hAnsi="Times New Roman"/>
          <w:sz w:val="24"/>
          <w:szCs w:val="24"/>
        </w:rPr>
        <w:t xml:space="preserve"> k.p.k.</w:t>
      </w:r>
      <w:r w:rsidRPr="00C835AB">
        <w:rPr>
          <w:rFonts w:ascii="Times New Roman" w:hAnsi="Times New Roman"/>
          <w:sz w:val="24"/>
          <w:szCs w:val="24"/>
        </w:rPr>
        <w:t xml:space="preserve"> syntetycznie ujęto reguły dotychczas zawarte w </w:t>
      </w:r>
      <w:r w:rsidR="00FE6043" w:rsidRPr="00C835AB">
        <w:rPr>
          <w:rFonts w:ascii="Times New Roman" w:hAnsi="Times New Roman"/>
          <w:sz w:val="24"/>
          <w:szCs w:val="24"/>
        </w:rPr>
        <w:t xml:space="preserve">art. 34 </w:t>
      </w:r>
      <w:r w:rsidRPr="00C835AB">
        <w:rPr>
          <w:rFonts w:ascii="Times New Roman" w:hAnsi="Times New Roman"/>
          <w:sz w:val="24"/>
          <w:szCs w:val="24"/>
        </w:rPr>
        <w:t>§ 4 i 5</w:t>
      </w:r>
      <w:r w:rsidR="00FE6043" w:rsidRPr="00C835AB">
        <w:rPr>
          <w:rFonts w:ascii="Times New Roman" w:hAnsi="Times New Roman"/>
          <w:sz w:val="24"/>
          <w:szCs w:val="24"/>
        </w:rPr>
        <w:t xml:space="preserve"> k.p.k.</w:t>
      </w:r>
      <w:r w:rsidRPr="00C835AB">
        <w:rPr>
          <w:rFonts w:ascii="Times New Roman" w:hAnsi="Times New Roman"/>
          <w:sz w:val="24"/>
          <w:szCs w:val="24"/>
        </w:rPr>
        <w:t>, dotyczące sytuacji, gdy do wyłączenia sprawy dochodzi po otwarciu przewodu sądowego. Wówczas ze względu na ekonomikę procesową sprawa podlegać powinna rozpoznaniu przez sąd, który dokonał wyłączenia, a jedyny wyjątek stanowić ma sytuacja, gdy właściwy jest sąd wyższego rzędu, a nie jak dotychczas również sąd niższego rządu. W sytuacji, gdy wyłączenie sprawy nie skutkuje koniecznością rozpoznania jej</w:t>
      </w:r>
      <w:r w:rsidR="0097228F">
        <w:rPr>
          <w:rFonts w:ascii="Times New Roman" w:hAnsi="Times New Roman"/>
          <w:sz w:val="24"/>
          <w:szCs w:val="24"/>
        </w:rPr>
        <w:t> </w:t>
      </w:r>
      <w:r w:rsidRPr="00C835AB">
        <w:rPr>
          <w:rFonts w:ascii="Times New Roman" w:hAnsi="Times New Roman"/>
          <w:sz w:val="24"/>
          <w:szCs w:val="24"/>
        </w:rPr>
        <w:t>przez inny skład sądu, rozprawa prowadzona ma być w dalszym ciągu. Za rozpoznawaniem takiej wyłączonej sprawy przez dotychczas właściwy sąd, jak i za kontynuowaniem jej</w:t>
      </w:r>
      <w:r w:rsidR="0097228F">
        <w:rPr>
          <w:rFonts w:ascii="Times New Roman" w:hAnsi="Times New Roman"/>
          <w:sz w:val="24"/>
          <w:szCs w:val="24"/>
        </w:rPr>
        <w:t> </w:t>
      </w:r>
      <w:r w:rsidRPr="00C835AB">
        <w:rPr>
          <w:rFonts w:ascii="Times New Roman" w:hAnsi="Times New Roman"/>
          <w:sz w:val="24"/>
          <w:szCs w:val="24"/>
        </w:rPr>
        <w:t>rozpoznania w tym samym składzie, przemawiają względy sprawności postępowania oraz</w:t>
      </w:r>
      <w:r w:rsidR="0097228F">
        <w:rPr>
          <w:rFonts w:ascii="Times New Roman" w:hAnsi="Times New Roman"/>
          <w:sz w:val="24"/>
          <w:szCs w:val="24"/>
        </w:rPr>
        <w:t> </w:t>
      </w:r>
      <w:r w:rsidRPr="00C835AB">
        <w:rPr>
          <w:rFonts w:ascii="Times New Roman" w:hAnsi="Times New Roman"/>
          <w:sz w:val="24"/>
          <w:szCs w:val="24"/>
        </w:rPr>
        <w:t>ekonomii procesowej.</w:t>
      </w:r>
    </w:p>
    <w:p w14:paraId="5156469E" w14:textId="77777777" w:rsidR="00CA7E1D" w:rsidRPr="00C835AB" w:rsidRDefault="00CA7E1D" w:rsidP="00D823D0">
      <w:pPr>
        <w:pStyle w:val="Akapitzlist1"/>
        <w:spacing w:after="0" w:line="360" w:lineRule="auto"/>
        <w:ind w:left="0" w:firstLine="709"/>
        <w:jc w:val="both"/>
        <w:rPr>
          <w:rFonts w:ascii="Times New Roman" w:hAnsi="Times New Roman"/>
          <w:sz w:val="24"/>
          <w:szCs w:val="24"/>
        </w:rPr>
      </w:pPr>
    </w:p>
    <w:p w14:paraId="2F4B0EBE" w14:textId="3453022D" w:rsidR="00CA7E1D" w:rsidRPr="00C835AB" w:rsidRDefault="1C011DB1" w:rsidP="00D823D0">
      <w:pPr>
        <w:pStyle w:val="Akapitzlist1"/>
        <w:spacing w:after="0" w:line="360" w:lineRule="auto"/>
        <w:ind w:left="0" w:firstLine="709"/>
        <w:jc w:val="both"/>
        <w:rPr>
          <w:rFonts w:ascii="Times New Roman" w:hAnsi="Times New Roman"/>
          <w:b/>
          <w:bCs/>
          <w:sz w:val="24"/>
          <w:szCs w:val="24"/>
        </w:rPr>
      </w:pPr>
      <w:r w:rsidRPr="00C835AB">
        <w:rPr>
          <w:rFonts w:ascii="Times New Roman" w:hAnsi="Times New Roman"/>
          <w:b/>
          <w:bCs/>
          <w:sz w:val="24"/>
          <w:szCs w:val="24"/>
        </w:rPr>
        <w:t>A</w:t>
      </w:r>
      <w:r w:rsidR="6E0D7B64" w:rsidRPr="00C835AB">
        <w:rPr>
          <w:rFonts w:ascii="Times New Roman" w:hAnsi="Times New Roman"/>
          <w:b/>
          <w:bCs/>
          <w:sz w:val="24"/>
          <w:szCs w:val="24"/>
        </w:rPr>
        <w:t>rt. 37</w:t>
      </w:r>
      <w:r w:rsidR="00FE6043" w:rsidRPr="00C835AB">
        <w:rPr>
          <w:rFonts w:ascii="Times New Roman" w:hAnsi="Times New Roman"/>
          <w:b/>
          <w:bCs/>
          <w:sz w:val="24"/>
          <w:szCs w:val="24"/>
        </w:rPr>
        <w:t xml:space="preserve"> k.p.k.</w:t>
      </w:r>
    </w:p>
    <w:p w14:paraId="04171E02" w14:textId="785D657A" w:rsidR="00CF1842" w:rsidRPr="00C835AB" w:rsidRDefault="00CF1842" w:rsidP="00D823D0">
      <w:pPr>
        <w:ind w:firstLine="709"/>
        <w:rPr>
          <w:rFonts w:ascii="Times New Roman" w:hAnsi="Times New Roman" w:cs="Times New Roman"/>
          <w:color w:val="auto"/>
          <w:sz w:val="24"/>
        </w:rPr>
      </w:pPr>
      <w:r w:rsidRPr="00C835AB">
        <w:rPr>
          <w:rFonts w:ascii="Times New Roman" w:hAnsi="Times New Roman" w:cs="Times New Roman"/>
          <w:color w:val="auto"/>
          <w:sz w:val="24"/>
        </w:rPr>
        <w:t xml:space="preserve">Proponowana zmiana art. 37 k.p.k. ma na celu przywrócenie właściwej równowagi między pozycją sądu i prokuratora w postępowaniu sądowym. W postępowaniu karnym zasadą jest, że </w:t>
      </w:r>
      <w:r w:rsidRPr="00C835AB">
        <w:rPr>
          <w:rFonts w:ascii="Times New Roman" w:hAnsi="Times New Roman" w:cs="Times New Roman"/>
          <w:color w:val="auto"/>
          <w:sz w:val="24"/>
          <w:shd w:val="clear" w:color="auto" w:fill="FFFFFF"/>
        </w:rPr>
        <w:t xml:space="preserve">strony i inne osoby bezpośrednio zainteresowane mogą składać wnioski o dokonanie również tych czynności, które organ może lub ma obowiązek podejmować z urzędu (art. 9 </w:t>
      </w:r>
      <w:r w:rsidRPr="00C835AB">
        <w:rPr>
          <w:rFonts w:ascii="Times New Roman" w:hAnsi="Times New Roman" w:cs="Times New Roman"/>
          <w:color w:val="auto"/>
          <w:sz w:val="24"/>
        </w:rPr>
        <w:t>§ 2 k.p.k.).</w:t>
      </w:r>
      <w:r w:rsidRPr="00C835AB">
        <w:rPr>
          <w:rFonts w:ascii="Times New Roman" w:hAnsi="Times New Roman" w:cs="Times New Roman"/>
          <w:color w:val="auto"/>
          <w:sz w:val="24"/>
          <w:shd w:val="clear" w:color="auto" w:fill="FFFFFF"/>
        </w:rPr>
        <w:t xml:space="preserve"> Powyższa regulacja w dalszym ciągu zapewniać będzie prokuratorowi możliwość przedstawienia swojego stanowiska odnośnie zasadności wystąpienia do Sądu Najwyższego z</w:t>
      </w:r>
      <w:r w:rsidR="00E865A6"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wnioskiem</w:t>
      </w:r>
      <w:r w:rsidR="00AA5040" w:rsidRPr="00C835AB">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 xml:space="preserve"> o którym mowa w art. 37 k.p.k. Nie ma zatem potrzeby uprzywilejowanego traktowania jednej ze stron (prokuratora) w możliwości inicjowania postępowania o</w:t>
      </w:r>
      <w:r w:rsidR="00E865A6"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przekazanie sprawy w trybie tego przepisu. W konsekwencji proponuje się powrót do</w:t>
      </w:r>
      <w:r w:rsidR="0097228F">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 xml:space="preserve">poprzedniego brzmienia wskazanego przepisu, obowiązującego do </w:t>
      </w:r>
      <w:r w:rsidR="00AA5040" w:rsidRPr="00C835AB">
        <w:rPr>
          <w:rFonts w:ascii="Times New Roman" w:hAnsi="Times New Roman" w:cs="Times New Roman"/>
          <w:color w:val="auto"/>
          <w:sz w:val="24"/>
          <w:shd w:val="clear" w:color="auto" w:fill="FFFFFF"/>
        </w:rPr>
        <w:t xml:space="preserve">dnia </w:t>
      </w:r>
      <w:r w:rsidRPr="00C835AB">
        <w:rPr>
          <w:rFonts w:ascii="Times New Roman" w:hAnsi="Times New Roman" w:cs="Times New Roman"/>
          <w:color w:val="auto"/>
          <w:sz w:val="24"/>
          <w:shd w:val="clear" w:color="auto" w:fill="FFFFFF"/>
        </w:rPr>
        <w:t>30 września 2023</w:t>
      </w:r>
      <w:r w:rsidR="00674F53" w:rsidRPr="00C835AB">
        <w:rPr>
          <w:rFonts w:ascii="Times New Roman" w:hAnsi="Times New Roman" w:cs="Times New Roman"/>
          <w:color w:val="auto"/>
          <w:sz w:val="24"/>
          <w:shd w:val="clear" w:color="auto" w:fill="FFFFFF"/>
        </w:rPr>
        <w:t xml:space="preserve"> </w:t>
      </w:r>
      <w:r w:rsidRPr="00C835AB">
        <w:rPr>
          <w:rFonts w:ascii="Times New Roman" w:hAnsi="Times New Roman" w:cs="Times New Roman"/>
          <w:color w:val="auto"/>
          <w:sz w:val="24"/>
          <w:shd w:val="clear" w:color="auto" w:fill="FFFFFF"/>
        </w:rPr>
        <w:t>r.</w:t>
      </w:r>
    </w:p>
    <w:p w14:paraId="0996B07C" w14:textId="77777777" w:rsidR="00011D7D" w:rsidRPr="00C835AB" w:rsidRDefault="00011D7D" w:rsidP="00D823D0">
      <w:pPr>
        <w:pStyle w:val="Akapitzlist1"/>
        <w:spacing w:after="0" w:line="360" w:lineRule="auto"/>
        <w:ind w:left="0" w:firstLine="709"/>
        <w:jc w:val="both"/>
        <w:rPr>
          <w:rFonts w:ascii="Times New Roman" w:hAnsi="Times New Roman"/>
          <w:b/>
          <w:bCs/>
          <w:sz w:val="24"/>
          <w:szCs w:val="24"/>
        </w:rPr>
      </w:pPr>
    </w:p>
    <w:p w14:paraId="2403C545" w14:textId="4FCCFC90" w:rsidR="44357A46" w:rsidRPr="00C835AB" w:rsidRDefault="001F5146" w:rsidP="00D823D0">
      <w:pPr>
        <w:pStyle w:val="Akapitzlist1"/>
        <w:spacing w:after="0" w:line="360" w:lineRule="auto"/>
        <w:ind w:left="0" w:firstLine="709"/>
        <w:jc w:val="both"/>
        <w:rPr>
          <w:rFonts w:ascii="Times New Roman" w:hAnsi="Times New Roman"/>
          <w:b/>
          <w:bCs/>
          <w:sz w:val="24"/>
          <w:szCs w:val="24"/>
        </w:rPr>
      </w:pPr>
      <w:r w:rsidRPr="00C835AB">
        <w:rPr>
          <w:rFonts w:ascii="Times New Roman" w:hAnsi="Times New Roman"/>
          <w:b/>
          <w:bCs/>
          <w:sz w:val="24"/>
          <w:szCs w:val="24"/>
        </w:rPr>
        <w:t>A</w:t>
      </w:r>
      <w:r w:rsidR="5B790CC4" w:rsidRPr="00C835AB">
        <w:rPr>
          <w:rFonts w:ascii="Times New Roman" w:hAnsi="Times New Roman"/>
          <w:b/>
          <w:bCs/>
          <w:sz w:val="24"/>
          <w:szCs w:val="24"/>
        </w:rPr>
        <w:t xml:space="preserve">rt. 55 </w:t>
      </w:r>
      <w:r w:rsidR="00FE6043" w:rsidRPr="00C835AB">
        <w:rPr>
          <w:rFonts w:ascii="Times New Roman" w:hAnsi="Times New Roman"/>
          <w:b/>
          <w:bCs/>
          <w:sz w:val="24"/>
          <w:szCs w:val="24"/>
        </w:rPr>
        <w:t xml:space="preserve">§ 1, § 2, § 2b, § 4 i § 5 k.p.k. </w:t>
      </w:r>
      <w:r w:rsidR="5F55D86D" w:rsidRPr="00C835AB">
        <w:rPr>
          <w:rFonts w:ascii="Times New Roman" w:hAnsi="Times New Roman"/>
          <w:b/>
          <w:bCs/>
          <w:sz w:val="24"/>
          <w:szCs w:val="24"/>
        </w:rPr>
        <w:t>oraz art. 330</w:t>
      </w:r>
      <w:r w:rsidR="00FE6043" w:rsidRPr="00C835AB">
        <w:rPr>
          <w:rFonts w:ascii="Times New Roman" w:hAnsi="Times New Roman"/>
          <w:b/>
          <w:bCs/>
          <w:sz w:val="24"/>
          <w:szCs w:val="24"/>
        </w:rPr>
        <w:t xml:space="preserve"> </w:t>
      </w:r>
      <w:r w:rsidR="002672EC" w:rsidRPr="00C835AB">
        <w:rPr>
          <w:rFonts w:ascii="Times New Roman" w:hAnsi="Times New Roman"/>
          <w:b/>
          <w:bCs/>
          <w:sz w:val="24"/>
          <w:szCs w:val="24"/>
        </w:rPr>
        <w:t xml:space="preserve">§ 2, </w:t>
      </w:r>
      <w:r w:rsidR="00FE6043" w:rsidRPr="00C835AB">
        <w:rPr>
          <w:rFonts w:ascii="Times New Roman" w:hAnsi="Times New Roman"/>
          <w:b/>
          <w:bCs/>
          <w:sz w:val="24"/>
          <w:szCs w:val="24"/>
        </w:rPr>
        <w:t>§ 2a i § 4 k.p.k.</w:t>
      </w:r>
    </w:p>
    <w:p w14:paraId="02EA370E" w14:textId="661D4BCB" w:rsidR="44357A46" w:rsidRPr="00C835AB" w:rsidRDefault="5F55D86D" w:rsidP="00D823D0">
      <w:pPr>
        <w:pStyle w:val="Akapitzlist1"/>
        <w:spacing w:after="0" w:line="360" w:lineRule="auto"/>
        <w:ind w:left="0" w:firstLine="709"/>
        <w:jc w:val="both"/>
        <w:rPr>
          <w:rFonts w:ascii="Times New Roman" w:hAnsi="Times New Roman"/>
          <w:sz w:val="24"/>
          <w:szCs w:val="24"/>
        </w:rPr>
      </w:pPr>
      <w:r w:rsidRPr="00C835AB">
        <w:rPr>
          <w:rFonts w:ascii="Times New Roman" w:hAnsi="Times New Roman"/>
          <w:sz w:val="24"/>
          <w:szCs w:val="24"/>
        </w:rPr>
        <w:t>Celem zmiany art. 55 k.p.k. jest ułatwieni</w:t>
      </w:r>
      <w:r w:rsidR="2F2DAA53" w:rsidRPr="00C835AB">
        <w:rPr>
          <w:rFonts w:ascii="Times New Roman" w:hAnsi="Times New Roman"/>
          <w:sz w:val="24"/>
          <w:szCs w:val="24"/>
        </w:rPr>
        <w:t>e</w:t>
      </w:r>
      <w:r w:rsidRPr="00C835AB">
        <w:rPr>
          <w:rFonts w:ascii="Times New Roman" w:hAnsi="Times New Roman"/>
          <w:sz w:val="24"/>
          <w:szCs w:val="24"/>
        </w:rPr>
        <w:t xml:space="preserve"> pokrzywdzonemu wniesienia subsydiarnego aktu oskarżenia. Tymczasem art. 55 § 1 k.p.k. w związku z art. 330 § 2 k.p.k. w brzmieniu nadanym</w:t>
      </w:r>
      <w:r w:rsidR="00DA5DEC" w:rsidRPr="00C835AB">
        <w:rPr>
          <w:rFonts w:ascii="Times New Roman" w:hAnsi="Times New Roman"/>
          <w:sz w:val="24"/>
          <w:szCs w:val="24"/>
        </w:rPr>
        <w:t xml:space="preserve"> ustawą z dnia 19 lipca 2019 r. o zmianie ustawy – Kodeks postępowania karnego oraz</w:t>
      </w:r>
      <w:r w:rsidR="0097228F">
        <w:rPr>
          <w:rFonts w:ascii="Times New Roman" w:hAnsi="Times New Roman"/>
          <w:sz w:val="24"/>
          <w:szCs w:val="24"/>
        </w:rPr>
        <w:t> </w:t>
      </w:r>
      <w:r w:rsidR="00DA5DEC" w:rsidRPr="00C835AB">
        <w:rPr>
          <w:rFonts w:ascii="Times New Roman" w:hAnsi="Times New Roman"/>
          <w:sz w:val="24"/>
          <w:szCs w:val="24"/>
        </w:rPr>
        <w:t xml:space="preserve">niektórych innych ustaw (Dz. U. poz. 1694), dalej „ustawa z dnia 19 lipca 2019 r.”, </w:t>
      </w:r>
      <w:r w:rsidRPr="00C835AB">
        <w:rPr>
          <w:rFonts w:ascii="Times New Roman" w:hAnsi="Times New Roman"/>
          <w:sz w:val="24"/>
          <w:szCs w:val="24"/>
        </w:rPr>
        <w:t>uzależnia uzyskanie przez pokrzywdzonego statusu oskarżyciela posiłkowego subsydiarnego od długotrwałej procedury, a w szczególności: 1) wniesienia do sądu właściwego do</w:t>
      </w:r>
      <w:r w:rsidR="0097228F">
        <w:rPr>
          <w:rFonts w:ascii="Times New Roman" w:hAnsi="Times New Roman"/>
          <w:sz w:val="24"/>
          <w:szCs w:val="24"/>
        </w:rPr>
        <w:t> </w:t>
      </w:r>
      <w:r w:rsidRPr="00C835AB">
        <w:rPr>
          <w:rFonts w:ascii="Times New Roman" w:hAnsi="Times New Roman"/>
          <w:sz w:val="24"/>
          <w:szCs w:val="24"/>
        </w:rPr>
        <w:t>rozpoznania sprawy zażalenia na postanowienie prokuratora o odmowie wszczęcia lub</w:t>
      </w:r>
      <w:r w:rsidR="0097228F">
        <w:rPr>
          <w:rFonts w:ascii="Times New Roman" w:hAnsi="Times New Roman"/>
          <w:sz w:val="24"/>
          <w:szCs w:val="24"/>
        </w:rPr>
        <w:t> </w:t>
      </w:r>
      <w:r w:rsidRPr="00C835AB">
        <w:rPr>
          <w:rFonts w:ascii="Times New Roman" w:hAnsi="Times New Roman"/>
          <w:sz w:val="24"/>
          <w:szCs w:val="24"/>
        </w:rPr>
        <w:t>umorzeniu postępowania przygotowawczego; 2) uchylenia zaskarżonego postanowienia przez sąd, wskazujący tym samym na zasadność wszczęcia lub kontynuacji postępowania; 3)</w:t>
      </w:r>
      <w:r w:rsidR="0097228F">
        <w:rPr>
          <w:rFonts w:ascii="Times New Roman" w:hAnsi="Times New Roman"/>
          <w:sz w:val="24"/>
          <w:szCs w:val="24"/>
        </w:rPr>
        <w:t> </w:t>
      </w:r>
      <w:r w:rsidRPr="00C835AB">
        <w:rPr>
          <w:rFonts w:ascii="Times New Roman" w:hAnsi="Times New Roman"/>
          <w:sz w:val="24"/>
          <w:szCs w:val="24"/>
        </w:rPr>
        <w:t xml:space="preserve">wydania przez prokuratora kolejnego postanowienia o odmowie wszczęcia lub o umorzeniu postępowania przygotowawczego; 4) złożenia na to postanowienie zażalenia do prokuratora nadrzędnego; 5) wydania przez prokuratora nadrzędnego postanowienia o utrzymaniu w mocy zaskarżonego postanowienia. Obowiązujące rozwiązanie budzi </w:t>
      </w:r>
      <w:r w:rsidR="2235A0C9" w:rsidRPr="00C835AB">
        <w:rPr>
          <w:rFonts w:ascii="Times New Roman" w:hAnsi="Times New Roman"/>
          <w:sz w:val="24"/>
          <w:szCs w:val="24"/>
        </w:rPr>
        <w:t xml:space="preserve">wątpliwości </w:t>
      </w:r>
      <w:r w:rsidRPr="00C835AB">
        <w:rPr>
          <w:rFonts w:ascii="Times New Roman" w:hAnsi="Times New Roman"/>
          <w:sz w:val="24"/>
          <w:szCs w:val="24"/>
        </w:rPr>
        <w:t>co do sposobu realizacji konstytucyjnych gwarancji praw pokrzywdzonego. Przyznanie prokuratorowi nadrzędnemu, a nie sądowi</w:t>
      </w:r>
      <w:r w:rsidR="70829DD1" w:rsidRPr="00C835AB">
        <w:rPr>
          <w:rFonts w:ascii="Times New Roman" w:hAnsi="Times New Roman"/>
          <w:sz w:val="24"/>
          <w:szCs w:val="24"/>
        </w:rPr>
        <w:t>,</w:t>
      </w:r>
      <w:r w:rsidRPr="00C835AB">
        <w:rPr>
          <w:rFonts w:ascii="Times New Roman" w:hAnsi="Times New Roman"/>
          <w:sz w:val="24"/>
          <w:szCs w:val="24"/>
        </w:rPr>
        <w:t xml:space="preserve"> prawa do rozpoznania zażalenia, może w istotny sposób utrudnić osobie wnoszącej subsydiarny akt oskarżenia realizację prawa do rozpoznania jego sprawy przez niezawisły i bezstronny organ, jakim jest sąd. Ze względu na gwarancje określone w</w:t>
      </w:r>
      <w:r w:rsidR="0097228F">
        <w:rPr>
          <w:rFonts w:ascii="Times New Roman" w:hAnsi="Times New Roman"/>
          <w:sz w:val="24"/>
          <w:szCs w:val="24"/>
        </w:rPr>
        <w:t> </w:t>
      </w:r>
      <w:r w:rsidRPr="00C835AB">
        <w:rPr>
          <w:rFonts w:ascii="Times New Roman" w:hAnsi="Times New Roman"/>
          <w:sz w:val="24"/>
          <w:szCs w:val="24"/>
        </w:rPr>
        <w:t>art.</w:t>
      </w:r>
      <w:r w:rsidR="0097228F">
        <w:rPr>
          <w:rFonts w:ascii="Times New Roman" w:hAnsi="Times New Roman"/>
          <w:sz w:val="24"/>
          <w:szCs w:val="24"/>
        </w:rPr>
        <w:t> </w:t>
      </w:r>
      <w:r w:rsidRPr="00C835AB">
        <w:rPr>
          <w:rFonts w:ascii="Times New Roman" w:hAnsi="Times New Roman"/>
          <w:sz w:val="24"/>
          <w:szCs w:val="24"/>
        </w:rPr>
        <w:t xml:space="preserve">45 ust. 1 w zw. z art. 2 Konstytucji RP oraz z art. 77 ust. 2 Konstytucji RP to sąd, badając zażalenie na postanowienie prokuratora o odmowie wszczęcia postępowania przygotowawczego lub o jego umorzeniu, powinien ocenić, czy istnieją podstawy do wszczęcie </w:t>
      </w:r>
      <w:r w:rsidRPr="00C835AB">
        <w:rPr>
          <w:rFonts w:ascii="Times New Roman" w:hAnsi="Times New Roman"/>
          <w:sz w:val="24"/>
          <w:szCs w:val="24"/>
        </w:rPr>
        <w:lastRenderedPageBreak/>
        <w:t>postępowania jurysdykcyjnego. Stąd też należy odstąpić od konieczności zaskarżenia do</w:t>
      </w:r>
      <w:r w:rsidR="0097228F">
        <w:rPr>
          <w:rFonts w:ascii="Times New Roman" w:hAnsi="Times New Roman"/>
          <w:sz w:val="24"/>
          <w:szCs w:val="24"/>
        </w:rPr>
        <w:t> </w:t>
      </w:r>
      <w:r w:rsidRPr="00C835AB">
        <w:rPr>
          <w:rFonts w:ascii="Times New Roman" w:hAnsi="Times New Roman"/>
          <w:sz w:val="24"/>
          <w:szCs w:val="24"/>
        </w:rPr>
        <w:t>prokuratora nadrzędnego postanowienia o zaniechaniu ścigania oraz wydania postanowieni</w:t>
      </w:r>
      <w:r w:rsidR="4AB1D031" w:rsidRPr="00C835AB">
        <w:rPr>
          <w:rFonts w:ascii="Times New Roman" w:hAnsi="Times New Roman"/>
          <w:sz w:val="24"/>
          <w:szCs w:val="24"/>
        </w:rPr>
        <w:t>a</w:t>
      </w:r>
      <w:r w:rsidRPr="00C835AB">
        <w:rPr>
          <w:rFonts w:ascii="Times New Roman" w:hAnsi="Times New Roman"/>
          <w:sz w:val="24"/>
          <w:szCs w:val="24"/>
        </w:rPr>
        <w:t xml:space="preserve"> prokuratora nadrzędnego o utrzymaniu w mocy zaskarżonego w</w:t>
      </w:r>
      <w:r w:rsidR="00405C45" w:rsidRPr="00C835AB">
        <w:rPr>
          <w:rFonts w:ascii="Times New Roman" w:hAnsi="Times New Roman"/>
          <w:sz w:val="24"/>
          <w:szCs w:val="24"/>
        </w:rPr>
        <w:t>skazanego wyżej</w:t>
      </w:r>
      <w:r w:rsidRPr="00C835AB">
        <w:rPr>
          <w:rFonts w:ascii="Times New Roman" w:hAnsi="Times New Roman"/>
          <w:sz w:val="24"/>
          <w:szCs w:val="24"/>
        </w:rPr>
        <w:t xml:space="preserve"> postanowienia, jako przesłanek warunkujących wniesienie subsydiarnego aktu oskarżenia.</w:t>
      </w:r>
    </w:p>
    <w:p w14:paraId="64A3C623" w14:textId="5055BE4D" w:rsidR="44357A46" w:rsidRPr="00C835AB" w:rsidRDefault="5F55D86D"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 xml:space="preserve">Odstąpienie prokuratora nadrzędnego od udziału w procedurze wniesienia subsydiarnego aktu oskarżenia wiąże się z </w:t>
      </w:r>
      <w:r w:rsidR="00652A8A" w:rsidRPr="00C835AB">
        <w:rPr>
          <w:rFonts w:ascii="Times New Roman" w:hAnsi="Times New Roman"/>
          <w:sz w:val="24"/>
          <w:szCs w:val="24"/>
        </w:rPr>
        <w:t xml:space="preserve">projektowanym </w:t>
      </w:r>
      <w:r w:rsidRPr="00C835AB">
        <w:rPr>
          <w:rFonts w:ascii="Times New Roman" w:hAnsi="Times New Roman"/>
          <w:sz w:val="24"/>
          <w:szCs w:val="24"/>
        </w:rPr>
        <w:t xml:space="preserve">uchyleniem </w:t>
      </w:r>
      <w:r w:rsidR="00652A8A" w:rsidRPr="00C835AB">
        <w:rPr>
          <w:rFonts w:ascii="Times New Roman" w:hAnsi="Times New Roman"/>
          <w:sz w:val="24"/>
          <w:szCs w:val="24"/>
        </w:rPr>
        <w:t xml:space="preserve">art. 55 </w:t>
      </w:r>
      <w:r w:rsidRPr="00C835AB">
        <w:rPr>
          <w:rFonts w:ascii="Times New Roman" w:hAnsi="Times New Roman"/>
          <w:sz w:val="24"/>
          <w:szCs w:val="24"/>
        </w:rPr>
        <w:t>§ 2b</w:t>
      </w:r>
      <w:r w:rsidR="00652A8A" w:rsidRPr="00C835AB">
        <w:rPr>
          <w:rFonts w:ascii="Times New Roman" w:hAnsi="Times New Roman"/>
          <w:sz w:val="24"/>
          <w:szCs w:val="24"/>
        </w:rPr>
        <w:t xml:space="preserve"> k.p.k</w:t>
      </w:r>
      <w:r w:rsidRPr="00C835AB">
        <w:rPr>
          <w:rFonts w:ascii="Times New Roman" w:hAnsi="Times New Roman"/>
          <w:sz w:val="24"/>
          <w:szCs w:val="24"/>
        </w:rPr>
        <w:t>.</w:t>
      </w:r>
    </w:p>
    <w:p w14:paraId="131EBB04" w14:textId="06EDD378" w:rsidR="44357A46" w:rsidRPr="00C835AB" w:rsidRDefault="5F55D86D"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Uchyleni</w:t>
      </w:r>
      <w:r w:rsidR="18A80BBE" w:rsidRPr="00C835AB">
        <w:rPr>
          <w:rFonts w:ascii="Times New Roman" w:hAnsi="Times New Roman"/>
          <w:sz w:val="24"/>
          <w:szCs w:val="24"/>
        </w:rPr>
        <w:t>a</w:t>
      </w:r>
      <w:r w:rsidRPr="00C835AB">
        <w:rPr>
          <w:rFonts w:ascii="Times New Roman" w:hAnsi="Times New Roman"/>
          <w:sz w:val="24"/>
          <w:szCs w:val="24"/>
        </w:rPr>
        <w:t xml:space="preserve"> wymaga </w:t>
      </w:r>
      <w:r w:rsidR="00652A8A" w:rsidRPr="00C835AB">
        <w:rPr>
          <w:rFonts w:ascii="Times New Roman" w:hAnsi="Times New Roman"/>
          <w:sz w:val="24"/>
          <w:szCs w:val="24"/>
        </w:rPr>
        <w:t xml:space="preserve">art. 55 </w:t>
      </w:r>
      <w:r w:rsidRPr="00C835AB">
        <w:rPr>
          <w:rFonts w:ascii="Times New Roman" w:hAnsi="Times New Roman"/>
          <w:sz w:val="24"/>
          <w:szCs w:val="24"/>
        </w:rPr>
        <w:t>§ 5</w:t>
      </w:r>
      <w:r w:rsidR="00652A8A" w:rsidRPr="00C835AB">
        <w:rPr>
          <w:rFonts w:ascii="Times New Roman" w:hAnsi="Times New Roman"/>
          <w:sz w:val="24"/>
          <w:szCs w:val="24"/>
        </w:rPr>
        <w:t xml:space="preserve"> k.p.k.</w:t>
      </w:r>
      <w:r w:rsidRPr="00C835AB">
        <w:rPr>
          <w:rFonts w:ascii="Times New Roman" w:hAnsi="Times New Roman"/>
          <w:sz w:val="24"/>
          <w:szCs w:val="24"/>
        </w:rPr>
        <w:t>, który przewiduje nieznaną ustawodawstwu polskiemu formę udziału prokuratora w postępowaniu wszczętym na skutek wniesienia subsydiarnego aktu oskarżenia</w:t>
      </w:r>
      <w:r w:rsidR="48DD2D69" w:rsidRPr="00C835AB">
        <w:rPr>
          <w:rFonts w:ascii="Times New Roman" w:hAnsi="Times New Roman"/>
          <w:sz w:val="24"/>
          <w:szCs w:val="24"/>
        </w:rPr>
        <w:t>.</w:t>
      </w:r>
      <w:r w:rsidRPr="00C835AB">
        <w:rPr>
          <w:rFonts w:ascii="Times New Roman" w:hAnsi="Times New Roman"/>
          <w:sz w:val="24"/>
          <w:szCs w:val="24"/>
        </w:rPr>
        <w:t xml:space="preserve"> </w:t>
      </w:r>
      <w:r w:rsidR="4380D283" w:rsidRPr="00C835AB">
        <w:rPr>
          <w:rFonts w:ascii="Times New Roman" w:hAnsi="Times New Roman"/>
          <w:sz w:val="24"/>
          <w:szCs w:val="24"/>
        </w:rPr>
        <w:t>P</w:t>
      </w:r>
      <w:r w:rsidRPr="00C835AB">
        <w:rPr>
          <w:rFonts w:ascii="Times New Roman" w:hAnsi="Times New Roman"/>
          <w:sz w:val="24"/>
          <w:szCs w:val="24"/>
        </w:rPr>
        <w:t>rokurator nie tylko może przystąpić do sprawy wszczętej przez oskarżyciela subsydiarnego, stając się jednocześnie oskarżycielem publicznym, ale może także, w sytuacji</w:t>
      </w:r>
      <w:r w:rsidR="6C88EC10" w:rsidRPr="00C835AB">
        <w:rPr>
          <w:rFonts w:ascii="Times New Roman" w:hAnsi="Times New Roman"/>
          <w:sz w:val="24"/>
          <w:szCs w:val="24"/>
        </w:rPr>
        <w:t>,</w:t>
      </w:r>
      <w:r w:rsidRPr="00C835AB">
        <w:rPr>
          <w:rFonts w:ascii="Times New Roman" w:hAnsi="Times New Roman"/>
          <w:sz w:val="24"/>
          <w:szCs w:val="24"/>
        </w:rPr>
        <w:t xml:space="preserve"> gdy nie wstąpił do sprawy jako oskarżyciel publiczny, wstąpić do niej jako</w:t>
      </w:r>
      <w:r w:rsidR="00741E58" w:rsidRPr="00C835AB">
        <w:rPr>
          <w:rFonts w:ascii="Times New Roman" w:hAnsi="Times New Roman"/>
          <w:sz w:val="24"/>
          <w:szCs w:val="24"/>
        </w:rPr>
        <w:t xml:space="preserve"> </w:t>
      </w:r>
      <w:r w:rsidRPr="00C835AB">
        <w:rPr>
          <w:rFonts w:ascii="Times New Roman" w:hAnsi="Times New Roman"/>
          <w:sz w:val="24"/>
          <w:szCs w:val="24"/>
        </w:rPr>
        <w:t xml:space="preserve">uczestnik postępowania, jeżeli uzna, że wymaga tego ochrona praworządności lub interes społeczny. Co więcej, prawo dokonania wyboru roli, w jakiej ewentualnie wystąpi w sprawie z oskarżenia subsydiarnego prokurator, należy wyłącznie do prokuratora i nie podlega ocenie procesowej. Przyjęte w </w:t>
      </w:r>
      <w:r w:rsidR="00652A8A" w:rsidRPr="00C835AB">
        <w:rPr>
          <w:rFonts w:ascii="Times New Roman" w:hAnsi="Times New Roman"/>
          <w:sz w:val="24"/>
          <w:szCs w:val="24"/>
        </w:rPr>
        <w:t xml:space="preserve">art. 55 </w:t>
      </w:r>
      <w:r w:rsidRPr="00C835AB">
        <w:rPr>
          <w:rFonts w:ascii="Times New Roman" w:hAnsi="Times New Roman"/>
          <w:sz w:val="24"/>
          <w:szCs w:val="24"/>
        </w:rPr>
        <w:t xml:space="preserve">§ 5 </w:t>
      </w:r>
      <w:r w:rsidR="00652A8A" w:rsidRPr="00C835AB">
        <w:rPr>
          <w:rFonts w:ascii="Times New Roman" w:hAnsi="Times New Roman"/>
          <w:sz w:val="24"/>
          <w:szCs w:val="24"/>
        </w:rPr>
        <w:t xml:space="preserve">k.p.k. </w:t>
      </w:r>
      <w:r w:rsidRPr="00C835AB">
        <w:rPr>
          <w:rFonts w:ascii="Times New Roman" w:hAnsi="Times New Roman"/>
          <w:sz w:val="24"/>
          <w:szCs w:val="24"/>
        </w:rPr>
        <w:t>rozwiązanie, z niezrozumiałych względów</w:t>
      </w:r>
      <w:r w:rsidR="00C06F87" w:rsidRPr="00C835AB">
        <w:rPr>
          <w:rFonts w:ascii="Times New Roman" w:hAnsi="Times New Roman"/>
          <w:sz w:val="24"/>
          <w:szCs w:val="24"/>
        </w:rPr>
        <w:t>,</w:t>
      </w:r>
      <w:r w:rsidRPr="00C835AB">
        <w:rPr>
          <w:rFonts w:ascii="Times New Roman" w:hAnsi="Times New Roman"/>
          <w:sz w:val="24"/>
          <w:szCs w:val="24"/>
        </w:rPr>
        <w:t xml:space="preserve"> daje prokuratorowi inną możliwość uczestniczenia w postępowaniu sądowym niż w roli oskarżyciela publicznego. Jest ono zbędne, skoro do każdej sprawy wszczętej na podstawie aktu oskarżenia wniesionego przez oskarżyciela posiłkowego może w każdym czasie wstąpić prokurator, stając się oskarżycielem publicznym.</w:t>
      </w:r>
    </w:p>
    <w:p w14:paraId="3F16D1F0" w14:textId="48471BA0" w:rsidR="44357A46" w:rsidRPr="00C835AB" w:rsidRDefault="5F55D86D" w:rsidP="00D823D0">
      <w:pPr>
        <w:pStyle w:val="Akapitzlist1"/>
        <w:spacing w:after="0" w:line="360" w:lineRule="auto"/>
        <w:ind w:left="0" w:firstLine="708"/>
        <w:jc w:val="both"/>
        <w:rPr>
          <w:rFonts w:ascii="Times New Roman" w:hAnsi="Times New Roman"/>
          <w:sz w:val="24"/>
          <w:szCs w:val="24"/>
        </w:rPr>
      </w:pPr>
      <w:r w:rsidRPr="00C835AB">
        <w:rPr>
          <w:rFonts w:ascii="Times New Roman" w:hAnsi="Times New Roman"/>
          <w:sz w:val="24"/>
          <w:szCs w:val="24"/>
        </w:rPr>
        <w:t xml:space="preserve">Konsekwencją </w:t>
      </w:r>
      <w:r w:rsidR="00405C45" w:rsidRPr="00C835AB">
        <w:rPr>
          <w:rFonts w:ascii="Times New Roman" w:hAnsi="Times New Roman"/>
          <w:sz w:val="24"/>
          <w:szCs w:val="24"/>
        </w:rPr>
        <w:t xml:space="preserve">projektowanej </w:t>
      </w:r>
      <w:r w:rsidRPr="00C835AB">
        <w:rPr>
          <w:rFonts w:ascii="Times New Roman" w:hAnsi="Times New Roman"/>
          <w:sz w:val="24"/>
          <w:szCs w:val="24"/>
        </w:rPr>
        <w:t xml:space="preserve">zmiany art. 55 </w:t>
      </w:r>
      <w:r w:rsidR="00741E58" w:rsidRPr="00C835AB">
        <w:rPr>
          <w:rFonts w:ascii="Times New Roman" w:hAnsi="Times New Roman"/>
          <w:sz w:val="24"/>
          <w:szCs w:val="24"/>
        </w:rPr>
        <w:t xml:space="preserve">k.p.k. </w:t>
      </w:r>
      <w:r w:rsidRPr="00C835AB">
        <w:rPr>
          <w:rFonts w:ascii="Times New Roman" w:hAnsi="Times New Roman"/>
          <w:sz w:val="24"/>
          <w:szCs w:val="24"/>
        </w:rPr>
        <w:t xml:space="preserve">jest </w:t>
      </w:r>
      <w:r w:rsidR="00405C45" w:rsidRPr="00C835AB">
        <w:rPr>
          <w:rFonts w:ascii="Times New Roman" w:hAnsi="Times New Roman"/>
          <w:sz w:val="24"/>
          <w:szCs w:val="24"/>
        </w:rPr>
        <w:t xml:space="preserve">konieczność </w:t>
      </w:r>
      <w:r w:rsidRPr="00C835AB">
        <w:rPr>
          <w:rFonts w:ascii="Times New Roman" w:hAnsi="Times New Roman"/>
          <w:sz w:val="24"/>
          <w:szCs w:val="24"/>
        </w:rPr>
        <w:t>modyfikacj</w:t>
      </w:r>
      <w:r w:rsidR="00405C45" w:rsidRPr="00C835AB">
        <w:rPr>
          <w:rFonts w:ascii="Times New Roman" w:hAnsi="Times New Roman"/>
          <w:sz w:val="24"/>
          <w:szCs w:val="24"/>
        </w:rPr>
        <w:t>i</w:t>
      </w:r>
      <w:r w:rsidRPr="00C835AB">
        <w:rPr>
          <w:rFonts w:ascii="Times New Roman" w:hAnsi="Times New Roman"/>
          <w:sz w:val="24"/>
          <w:szCs w:val="24"/>
        </w:rPr>
        <w:t xml:space="preserve"> art.</w:t>
      </w:r>
      <w:r w:rsidR="00A76A6B" w:rsidRPr="00C835AB">
        <w:rPr>
          <w:rFonts w:ascii="Times New Roman" w:hAnsi="Times New Roman"/>
          <w:sz w:val="24"/>
          <w:szCs w:val="24"/>
        </w:rPr>
        <w:t> </w:t>
      </w:r>
      <w:r w:rsidRPr="00C835AB">
        <w:rPr>
          <w:rFonts w:ascii="Times New Roman" w:hAnsi="Times New Roman"/>
          <w:sz w:val="24"/>
          <w:szCs w:val="24"/>
        </w:rPr>
        <w:t>330 § 2</w:t>
      </w:r>
      <w:r w:rsidR="00741E58" w:rsidRPr="00C835AB">
        <w:rPr>
          <w:rFonts w:ascii="Times New Roman" w:hAnsi="Times New Roman"/>
          <w:sz w:val="24"/>
          <w:szCs w:val="24"/>
        </w:rPr>
        <w:t xml:space="preserve"> k.p.k</w:t>
      </w:r>
      <w:r w:rsidRPr="00C835AB">
        <w:rPr>
          <w:rFonts w:ascii="Times New Roman" w:hAnsi="Times New Roman"/>
          <w:sz w:val="24"/>
          <w:szCs w:val="24"/>
        </w:rPr>
        <w:t>. Jednocześnie proponuje się uchylenie art. 330</w:t>
      </w:r>
      <w:r w:rsidR="00741E58" w:rsidRPr="00C835AB">
        <w:rPr>
          <w:rFonts w:ascii="Times New Roman" w:hAnsi="Times New Roman"/>
          <w:sz w:val="24"/>
          <w:szCs w:val="24"/>
        </w:rPr>
        <w:t xml:space="preserve"> § 4 k.p.k.</w:t>
      </w:r>
      <w:r w:rsidRPr="00C835AB">
        <w:rPr>
          <w:rFonts w:ascii="Times New Roman" w:hAnsi="Times New Roman"/>
          <w:sz w:val="24"/>
          <w:szCs w:val="24"/>
        </w:rPr>
        <w:t>, który stanowi, że</w:t>
      </w:r>
      <w:r w:rsidR="0097228F">
        <w:rPr>
          <w:rFonts w:ascii="Times New Roman" w:hAnsi="Times New Roman"/>
          <w:sz w:val="24"/>
          <w:szCs w:val="24"/>
        </w:rPr>
        <w:t> </w:t>
      </w:r>
      <w:r w:rsidRPr="00C835AB">
        <w:rPr>
          <w:rFonts w:ascii="Times New Roman" w:hAnsi="Times New Roman"/>
          <w:sz w:val="24"/>
          <w:szCs w:val="24"/>
        </w:rPr>
        <w:t>„jeżeli akt oskarżenia, którego odpis został przesłany prokuratorowi na podstawie art. 330 §</w:t>
      </w:r>
      <w:r w:rsidR="0097228F">
        <w:rPr>
          <w:rFonts w:ascii="Times New Roman" w:hAnsi="Times New Roman"/>
          <w:sz w:val="24"/>
          <w:szCs w:val="24"/>
        </w:rPr>
        <w:t> </w:t>
      </w:r>
      <w:r w:rsidRPr="00C835AB">
        <w:rPr>
          <w:rFonts w:ascii="Times New Roman" w:hAnsi="Times New Roman"/>
          <w:sz w:val="24"/>
          <w:szCs w:val="24"/>
        </w:rPr>
        <w:t>3, nie został wniesiony przez pokrzywdzonego, prokurator odmawia przesłania akt postępowania przygotowawczego, zawiadamiając o tym prezesa sądu. Podmiotowi, który</w:t>
      </w:r>
      <w:r w:rsidR="0097228F">
        <w:rPr>
          <w:rFonts w:ascii="Times New Roman" w:hAnsi="Times New Roman"/>
          <w:sz w:val="24"/>
          <w:szCs w:val="24"/>
        </w:rPr>
        <w:t> </w:t>
      </w:r>
      <w:r w:rsidRPr="00C835AB">
        <w:rPr>
          <w:rFonts w:ascii="Times New Roman" w:hAnsi="Times New Roman"/>
          <w:sz w:val="24"/>
          <w:szCs w:val="24"/>
        </w:rPr>
        <w:t>wniósł akt oskarżenia, przysługuje zażalenie na zarządzenie prokuratora o odmowie przesłania akt postępowania przygotowawczego; właściwy do rozpoznania zażalenia jest</w:t>
      </w:r>
      <w:r w:rsidR="0097228F">
        <w:rPr>
          <w:rFonts w:ascii="Times New Roman" w:hAnsi="Times New Roman"/>
          <w:sz w:val="24"/>
          <w:szCs w:val="24"/>
        </w:rPr>
        <w:t> </w:t>
      </w:r>
      <w:r w:rsidRPr="00C835AB">
        <w:rPr>
          <w:rFonts w:ascii="Times New Roman" w:hAnsi="Times New Roman"/>
          <w:sz w:val="24"/>
          <w:szCs w:val="24"/>
        </w:rPr>
        <w:t>prokurator nadrzędny”. Stworzenie możliwości kwestionowania przez prokuratora statusu wnoszącego subsydiarny akt oskarżenia należy uznać za nieuzasadniony przejaw dążenia do</w:t>
      </w:r>
      <w:r w:rsidR="0097228F">
        <w:rPr>
          <w:rFonts w:ascii="Times New Roman" w:hAnsi="Times New Roman"/>
          <w:sz w:val="24"/>
          <w:szCs w:val="24"/>
        </w:rPr>
        <w:t> </w:t>
      </w:r>
      <w:r w:rsidRPr="00C835AB">
        <w:rPr>
          <w:rFonts w:ascii="Times New Roman" w:hAnsi="Times New Roman"/>
          <w:sz w:val="24"/>
          <w:szCs w:val="24"/>
        </w:rPr>
        <w:t>rozszerzenia kompetencji organu prokuratorskiego i umożliwienia temu organowi prawa do</w:t>
      </w:r>
      <w:r w:rsidR="0097228F">
        <w:rPr>
          <w:rFonts w:ascii="Times New Roman" w:hAnsi="Times New Roman"/>
          <w:sz w:val="24"/>
          <w:szCs w:val="24"/>
        </w:rPr>
        <w:t> </w:t>
      </w:r>
      <w:r w:rsidRPr="00C835AB">
        <w:rPr>
          <w:rFonts w:ascii="Times New Roman" w:hAnsi="Times New Roman"/>
          <w:sz w:val="24"/>
          <w:szCs w:val="24"/>
        </w:rPr>
        <w:t>udziału w</w:t>
      </w:r>
      <w:r w:rsidR="00E865A6" w:rsidRPr="00C835AB">
        <w:rPr>
          <w:rFonts w:ascii="Times New Roman" w:hAnsi="Times New Roman"/>
          <w:sz w:val="24"/>
          <w:szCs w:val="24"/>
        </w:rPr>
        <w:t> </w:t>
      </w:r>
      <w:r w:rsidRPr="00C835AB">
        <w:rPr>
          <w:rFonts w:ascii="Times New Roman" w:hAnsi="Times New Roman"/>
          <w:sz w:val="24"/>
          <w:szCs w:val="24"/>
        </w:rPr>
        <w:t xml:space="preserve">każdym postępowaniu sądowym, także zainaugurowanym przez innego uprawnionego oskarżyciela, z kolei powierzenie kontroli zarządzenia prokuratora kontestującego decyzję organu sądu w przedmiocie przekazania akt prokuratorowi nadrzędnemu stanowi ograniczenie uprawnień sądu oraz podważa zasadę równości stron. </w:t>
      </w:r>
      <w:r w:rsidRPr="00C835AB">
        <w:rPr>
          <w:rFonts w:ascii="Times New Roman" w:hAnsi="Times New Roman"/>
          <w:sz w:val="24"/>
          <w:szCs w:val="24"/>
        </w:rPr>
        <w:lastRenderedPageBreak/>
        <w:t>Niezbędnym jest zatem przywrócenie właściwej równowagi między pozycją sądu i prokuratora w postępowaniu sądowym przez uchylenie art. 330 § 4</w:t>
      </w:r>
      <w:r w:rsidR="00741E58" w:rsidRPr="00C835AB">
        <w:rPr>
          <w:rFonts w:ascii="Times New Roman" w:hAnsi="Times New Roman"/>
          <w:sz w:val="24"/>
          <w:szCs w:val="24"/>
        </w:rPr>
        <w:t xml:space="preserve"> k.p.k</w:t>
      </w:r>
      <w:r w:rsidRPr="00C835AB">
        <w:rPr>
          <w:rFonts w:ascii="Times New Roman" w:hAnsi="Times New Roman"/>
          <w:sz w:val="24"/>
          <w:szCs w:val="24"/>
        </w:rPr>
        <w:t>.</w:t>
      </w:r>
    </w:p>
    <w:p w14:paraId="7CAB0B43" w14:textId="47F77801" w:rsidR="44357A46" w:rsidRPr="00C835AB" w:rsidRDefault="44357A46" w:rsidP="00D823D0">
      <w:pPr>
        <w:pStyle w:val="Akapitzlist1"/>
        <w:spacing w:after="0" w:line="360" w:lineRule="auto"/>
        <w:ind w:left="0" w:firstLine="708"/>
        <w:jc w:val="both"/>
        <w:rPr>
          <w:rFonts w:ascii="Times New Roman" w:hAnsi="Times New Roman"/>
          <w:b/>
          <w:bCs/>
          <w:sz w:val="24"/>
          <w:szCs w:val="24"/>
        </w:rPr>
      </w:pPr>
    </w:p>
    <w:p w14:paraId="1ABA5B0D" w14:textId="3D668D57" w:rsidR="00CA7E1D" w:rsidRPr="00C835AB" w:rsidRDefault="4D5BFBFD" w:rsidP="00D823D0">
      <w:pPr>
        <w:pStyle w:val="Akapitzlist1"/>
        <w:spacing w:after="0" w:line="360" w:lineRule="auto"/>
        <w:ind w:left="0" w:firstLine="708"/>
        <w:jc w:val="both"/>
        <w:rPr>
          <w:rFonts w:ascii="Times New Roman" w:hAnsi="Times New Roman"/>
          <w:b/>
          <w:bCs/>
          <w:sz w:val="24"/>
          <w:szCs w:val="24"/>
        </w:rPr>
      </w:pPr>
      <w:r w:rsidRPr="00C835AB">
        <w:rPr>
          <w:rFonts w:ascii="Times New Roman" w:hAnsi="Times New Roman"/>
          <w:b/>
          <w:bCs/>
          <w:sz w:val="24"/>
          <w:szCs w:val="24"/>
        </w:rPr>
        <w:t>A</w:t>
      </w:r>
      <w:r w:rsidR="424AE047" w:rsidRPr="00C835AB">
        <w:rPr>
          <w:rFonts w:ascii="Times New Roman" w:hAnsi="Times New Roman"/>
          <w:b/>
          <w:bCs/>
          <w:sz w:val="24"/>
          <w:szCs w:val="24"/>
        </w:rPr>
        <w:t xml:space="preserve">rt. 60 </w:t>
      </w:r>
      <w:r w:rsidR="006010D2" w:rsidRPr="00C835AB">
        <w:rPr>
          <w:rFonts w:ascii="Times New Roman" w:hAnsi="Times New Roman"/>
          <w:b/>
          <w:bCs/>
          <w:sz w:val="24"/>
          <w:szCs w:val="24"/>
        </w:rPr>
        <w:t>§ 1 i § 5 k.p.k.</w:t>
      </w:r>
    </w:p>
    <w:p w14:paraId="2F2B2DDA" w14:textId="77777777" w:rsidR="00B54FD2" w:rsidRPr="00C835AB" w:rsidRDefault="4F186B21" w:rsidP="00603A64">
      <w:pPr>
        <w:pStyle w:val="NormalnyWeb"/>
        <w:spacing w:before="0" w:beforeAutospacing="0" w:after="0" w:afterAutospacing="0" w:line="360" w:lineRule="auto"/>
        <w:ind w:firstLine="708"/>
        <w:jc w:val="both"/>
      </w:pPr>
      <w:r w:rsidRPr="00C835AB">
        <w:t xml:space="preserve">Zmiana zaproponowana w art. 60 § 1 </w:t>
      </w:r>
      <w:r w:rsidR="00395C39" w:rsidRPr="00C835AB">
        <w:t xml:space="preserve">k.p.k. </w:t>
      </w:r>
      <w:r w:rsidRPr="00C835AB">
        <w:t xml:space="preserve">oznacza powrót do pierwotnego brzmienia tego przepisu sprzed </w:t>
      </w:r>
      <w:r w:rsidR="00AA5040" w:rsidRPr="00C835AB">
        <w:t>dni</w:t>
      </w:r>
      <w:r w:rsidR="00B54FD2" w:rsidRPr="00C835AB">
        <w:t>a</w:t>
      </w:r>
      <w:r w:rsidR="00AA5040" w:rsidRPr="00C835AB">
        <w:t xml:space="preserve"> </w:t>
      </w:r>
      <w:r w:rsidRPr="00C835AB">
        <w:t>28 września 2023 r.</w:t>
      </w:r>
      <w:r w:rsidR="00FF27AC" w:rsidRPr="00C835AB">
        <w:t>,</w:t>
      </w:r>
      <w:r w:rsidRPr="00C835AB">
        <w:t xml:space="preserve"> </w:t>
      </w:r>
      <w:r w:rsidR="00FF27AC" w:rsidRPr="00C835AB">
        <w:t xml:space="preserve">wprowadzonego </w:t>
      </w:r>
      <w:r w:rsidRPr="00C835AB">
        <w:t xml:space="preserve">ustawą z </w:t>
      </w:r>
      <w:r w:rsidR="00DF3729" w:rsidRPr="00C835AB">
        <w:t xml:space="preserve">dnia </w:t>
      </w:r>
      <w:r w:rsidRPr="00C835AB">
        <w:t>7 lipca 2023 r. Uwzględnia utrwalone stosowanie tego przepisu odpowiadające charakterowi i zakresowi postępowania prywatnoskargowego oraz roli prokuratora mającego w sprawach innych niż ścigane z oskarżenia p</w:t>
      </w:r>
      <w:r w:rsidR="0438EFA4" w:rsidRPr="00C835AB">
        <w:t xml:space="preserve">ublicznego </w:t>
      </w:r>
      <w:r w:rsidRPr="00C835AB">
        <w:t xml:space="preserve">wstępować do postępowania w </w:t>
      </w:r>
      <w:r w:rsidR="291233CF" w:rsidRPr="00C835AB">
        <w:t xml:space="preserve">celu </w:t>
      </w:r>
      <w:r w:rsidRPr="00C835AB">
        <w:t>ochron</w:t>
      </w:r>
      <w:r w:rsidR="2E7E5324" w:rsidRPr="00C835AB">
        <w:t>y</w:t>
      </w:r>
      <w:r w:rsidRPr="00C835AB">
        <w:t xml:space="preserve"> interesu społecznego.</w:t>
      </w:r>
      <w:r w:rsidR="6FC489C5" w:rsidRPr="00C835AB">
        <w:t xml:space="preserve"> </w:t>
      </w:r>
    </w:p>
    <w:p w14:paraId="5A4DD1E2" w14:textId="639C982B" w:rsidR="4F186B21" w:rsidRPr="00C835AB" w:rsidRDefault="33FB838D" w:rsidP="00603A64">
      <w:pPr>
        <w:pStyle w:val="NormalnyWeb"/>
        <w:spacing w:before="0" w:beforeAutospacing="0" w:after="0" w:afterAutospacing="0" w:line="360" w:lineRule="auto"/>
        <w:ind w:firstLine="708"/>
        <w:jc w:val="both"/>
      </w:pPr>
      <w:r w:rsidRPr="00C835AB">
        <w:t xml:space="preserve">Proponuje się </w:t>
      </w:r>
      <w:r w:rsidR="00B54FD2" w:rsidRPr="00C835AB">
        <w:t>uchylenie</w:t>
      </w:r>
      <w:r w:rsidRPr="00C835AB">
        <w:t xml:space="preserve"> art. 60 § 5</w:t>
      </w:r>
      <w:r w:rsidR="00395C39" w:rsidRPr="00C835AB">
        <w:t xml:space="preserve"> k.p.k.</w:t>
      </w:r>
      <w:r w:rsidRPr="00C835AB">
        <w:t>, któr</w:t>
      </w:r>
      <w:r w:rsidR="00E97E89" w:rsidRPr="00C835AB">
        <w:t>y</w:t>
      </w:r>
      <w:r w:rsidRPr="00C835AB">
        <w:t xml:space="preserve"> zakłada odpowiednie stosowanie art. 55 § 5 </w:t>
      </w:r>
      <w:r w:rsidR="00395C39" w:rsidRPr="00C835AB">
        <w:t xml:space="preserve">k.p.k. </w:t>
      </w:r>
      <w:r w:rsidRPr="00C835AB">
        <w:t xml:space="preserve">w sprawach o przestępstwa ścigane z oskarżenia prywatnego polegającego na tym, że prokurator może wstąpić do sprawy jako uczestnik postępowania, jeżeli uzna, że wymaga tego ochrona praworządności. Uchylenie art. 60 § 5 </w:t>
      </w:r>
      <w:r w:rsidR="00395C39" w:rsidRPr="00C835AB">
        <w:t xml:space="preserve">k.p.k. </w:t>
      </w:r>
      <w:r w:rsidRPr="00C835AB">
        <w:t>jest konsekwencj</w:t>
      </w:r>
      <w:r w:rsidR="007C46DE" w:rsidRPr="00C835AB">
        <w:t>ą</w:t>
      </w:r>
      <w:r w:rsidRPr="00C835AB">
        <w:t xml:space="preserve"> </w:t>
      </w:r>
      <w:r w:rsidR="00405C45" w:rsidRPr="00C835AB">
        <w:t xml:space="preserve">projektowanych </w:t>
      </w:r>
      <w:r w:rsidRPr="00C835AB">
        <w:t>zmian w art. 55</w:t>
      </w:r>
      <w:r w:rsidR="00395C39" w:rsidRPr="00C835AB">
        <w:t xml:space="preserve"> k.p.k</w:t>
      </w:r>
      <w:r w:rsidRPr="00C835AB">
        <w:t>.</w:t>
      </w:r>
    </w:p>
    <w:p w14:paraId="5640149C" w14:textId="77777777" w:rsidR="006878EB" w:rsidRPr="00C835AB" w:rsidRDefault="006878EB" w:rsidP="00603A64">
      <w:pPr>
        <w:pStyle w:val="NormalnyWeb"/>
        <w:spacing w:before="0" w:beforeAutospacing="0" w:after="0" w:afterAutospacing="0" w:line="360" w:lineRule="auto"/>
        <w:ind w:firstLine="708"/>
        <w:jc w:val="both"/>
      </w:pPr>
    </w:p>
    <w:p w14:paraId="4E351404" w14:textId="456837CB" w:rsidR="006878EB" w:rsidRPr="00C835AB" w:rsidRDefault="006878EB" w:rsidP="00603A64">
      <w:pPr>
        <w:pStyle w:val="NormalnyWeb"/>
        <w:spacing w:before="0" w:beforeAutospacing="0" w:after="0" w:afterAutospacing="0" w:line="360" w:lineRule="auto"/>
        <w:ind w:firstLine="708"/>
        <w:jc w:val="both"/>
        <w:rPr>
          <w:b/>
          <w:bCs/>
        </w:rPr>
      </w:pPr>
      <w:r w:rsidRPr="00C835AB">
        <w:rPr>
          <w:b/>
          <w:bCs/>
        </w:rPr>
        <w:t>Art. 73</w:t>
      </w:r>
      <w:r w:rsidR="006010D2" w:rsidRPr="00C835AB">
        <w:rPr>
          <w:b/>
          <w:bCs/>
        </w:rPr>
        <w:t xml:space="preserve"> § 2</w:t>
      </w:r>
      <w:r w:rsidR="00796D23">
        <w:rPr>
          <w:b/>
          <w:bCs/>
        </w:rPr>
        <w:t>–</w:t>
      </w:r>
      <w:r w:rsidR="006010D2" w:rsidRPr="00C835AB">
        <w:rPr>
          <w:b/>
          <w:bCs/>
        </w:rPr>
        <w:t>4 k.p.k.</w:t>
      </w:r>
    </w:p>
    <w:p w14:paraId="6FF3185C" w14:textId="4BC31BF0" w:rsidR="006878EB" w:rsidRPr="00C835AB" w:rsidRDefault="00BE4DA2" w:rsidP="00D823D0">
      <w:pPr>
        <w:pStyle w:val="pf0"/>
        <w:spacing w:before="0" w:beforeAutospacing="0" w:after="0" w:afterAutospacing="0" w:line="360" w:lineRule="auto"/>
        <w:ind w:firstLine="708"/>
        <w:jc w:val="both"/>
      </w:pPr>
      <w:r w:rsidRPr="00C835AB">
        <w:t>Projektowana z</w:t>
      </w:r>
      <w:r w:rsidR="006878EB" w:rsidRPr="00C835AB">
        <w:t xml:space="preserve">miana art. 73 k.p.k. zmierza do wyeliminowania aktualnie obowiązujących ograniczeń w zakresie poufności kontaktów podejrzanego i jego obrońcy. </w:t>
      </w:r>
      <w:r w:rsidR="006878EB" w:rsidRPr="00C835AB">
        <w:rPr>
          <w:rFonts w:eastAsia="Calibri"/>
        </w:rPr>
        <w:t xml:space="preserve">Wychodząc z założenia, że adwokat i radca prawny są przedstawicielami zawodu zaufania publicznego nie można apriorycznie zakładać, że osoby te będą podejmowały pozaprawne działania ze szkodą dla prowadzonych postępowań. Jak wskazano w </w:t>
      </w:r>
      <w:r w:rsidR="006878EB" w:rsidRPr="00C835AB">
        <w:rPr>
          <w:bCs/>
        </w:rPr>
        <w:t>Komentarzu ONZ do</w:t>
      </w:r>
      <w:r w:rsidR="0097228F">
        <w:rPr>
          <w:bCs/>
        </w:rPr>
        <w:t> </w:t>
      </w:r>
      <w:r w:rsidR="006878EB" w:rsidRPr="00C835AB">
        <w:rPr>
          <w:bCs/>
        </w:rPr>
        <w:t>art.</w:t>
      </w:r>
      <w:r w:rsidR="0097228F">
        <w:rPr>
          <w:bCs/>
        </w:rPr>
        <w:t> </w:t>
      </w:r>
      <w:r w:rsidR="006878EB" w:rsidRPr="00C835AB">
        <w:rPr>
          <w:bCs/>
        </w:rPr>
        <w:t>14 Międzynarodowego Paktu Praw Obywatelskich i Politycznych</w:t>
      </w:r>
      <w:r w:rsidR="006878EB" w:rsidRPr="00C835AB">
        <w:rPr>
          <w:rFonts w:eastAsia="Calibri"/>
        </w:rPr>
        <w:t xml:space="preserve"> „p</w:t>
      </w:r>
      <w:r w:rsidR="006878EB" w:rsidRPr="00C835AB">
        <w:t>rawo do</w:t>
      </w:r>
      <w:r w:rsidR="0097228F">
        <w:t> </w:t>
      </w:r>
      <w:r w:rsidR="006878EB" w:rsidRPr="00C835AB">
        <w:t>porozumiewania się z obrońcą wymaga, aby oskarżony miał szybki dostęp do</w:t>
      </w:r>
      <w:r w:rsidR="0097228F">
        <w:t> </w:t>
      </w:r>
      <w:r w:rsidR="006878EB" w:rsidRPr="00C835AB">
        <w:t>obrońcy. Adwokat powinien móc spotykać się z klientami na osobności i komunikować się</w:t>
      </w:r>
      <w:r w:rsidR="0097228F">
        <w:t> </w:t>
      </w:r>
      <w:r w:rsidR="006878EB" w:rsidRPr="00C835AB">
        <w:t>z</w:t>
      </w:r>
      <w:r w:rsidR="0097228F">
        <w:t> </w:t>
      </w:r>
      <w:r w:rsidR="006878EB" w:rsidRPr="00C835AB">
        <w:t>oskarżonym w warunkach, które w</w:t>
      </w:r>
      <w:r w:rsidR="00A76A6B" w:rsidRPr="00C835AB">
        <w:t> </w:t>
      </w:r>
      <w:r w:rsidR="006878EB" w:rsidRPr="00C835AB">
        <w:t>pełni respektują poufność ich komunikacji”</w:t>
      </w:r>
      <w:r w:rsidR="006878EB" w:rsidRPr="00C835AB">
        <w:rPr>
          <w:rFonts w:eastAsia="Calibri"/>
        </w:rPr>
        <w:t xml:space="preserve"> (</w:t>
      </w:r>
      <w:r w:rsidR="006878EB" w:rsidRPr="00C835AB">
        <w:rPr>
          <w:bCs/>
        </w:rPr>
        <w:t>Komentarz ONZ do art. 14 Międzynarodowego Paktu Praw Obywatelskich i Politycznych 2007</w:t>
      </w:r>
      <w:r w:rsidR="006010D2" w:rsidRPr="00C835AB">
        <w:rPr>
          <w:bCs/>
        </w:rPr>
        <w:t xml:space="preserve">, </w:t>
      </w:r>
      <w:hyperlink r:id="rId8" w:history="1">
        <w:r w:rsidR="006010D2" w:rsidRPr="00C835AB">
          <w:rPr>
            <w:rStyle w:val="Hipercze"/>
            <w:color w:val="auto"/>
            <w:u w:val="none"/>
          </w:rPr>
          <w:t>https://tbinternet.ohchr.org/_layouts/15/treatybodyexternal/Download.aspx?symbolno=CCPR%2fC%2fGC%2f32&amp;Lang=en</w:t>
        </w:r>
      </w:hyperlink>
      <w:r w:rsidR="006878EB" w:rsidRPr="00C835AB">
        <w:rPr>
          <w:bCs/>
        </w:rPr>
        <w:t>)</w:t>
      </w:r>
    </w:p>
    <w:p w14:paraId="5BFA873E" w14:textId="2CB25734" w:rsidR="006878EB" w:rsidRPr="00C835AB" w:rsidRDefault="00E239A2" w:rsidP="00D823D0">
      <w:pPr>
        <w:widowControl w:val="0"/>
        <w:autoSpaceDE w:val="0"/>
        <w:autoSpaceDN w:val="0"/>
        <w:adjustRightInd w:val="0"/>
        <w:ind w:firstLine="708"/>
        <w:rPr>
          <w:rFonts w:ascii="Times New Roman" w:eastAsia="Times New Roman" w:hAnsi="Times New Roman" w:cs="Times New Roman"/>
          <w:color w:val="auto"/>
          <w:kern w:val="0"/>
          <w:sz w:val="24"/>
          <w:lang w:eastAsia="pl-PL"/>
          <w14:ligatures w14:val="none"/>
        </w:rPr>
      </w:pPr>
      <w:r w:rsidRPr="00C835AB">
        <w:rPr>
          <w:rFonts w:ascii="Times New Roman" w:eastAsia="Times New Roman" w:hAnsi="Times New Roman" w:cs="Times New Roman"/>
          <w:color w:val="auto"/>
          <w:kern w:val="0"/>
          <w:sz w:val="24"/>
          <w:lang w:eastAsia="pl-PL"/>
          <w14:ligatures w14:val="none"/>
        </w:rPr>
        <w:t>Z</w:t>
      </w:r>
      <w:r w:rsidR="006878EB" w:rsidRPr="00C835AB">
        <w:rPr>
          <w:rFonts w:ascii="Times New Roman" w:eastAsia="Times New Roman" w:hAnsi="Times New Roman" w:cs="Times New Roman"/>
          <w:color w:val="auto"/>
          <w:kern w:val="0"/>
          <w:sz w:val="24"/>
          <w:lang w:eastAsia="pl-PL"/>
          <w14:ligatures w14:val="none"/>
        </w:rPr>
        <w:t>mian</w:t>
      </w:r>
      <w:r w:rsidRPr="00C835AB">
        <w:rPr>
          <w:rFonts w:ascii="Times New Roman" w:eastAsia="Times New Roman" w:hAnsi="Times New Roman" w:cs="Times New Roman"/>
          <w:color w:val="auto"/>
          <w:kern w:val="0"/>
          <w:sz w:val="24"/>
          <w:lang w:eastAsia="pl-PL"/>
          <w14:ligatures w14:val="none"/>
        </w:rPr>
        <w:t>y</w:t>
      </w:r>
      <w:r w:rsidR="006878EB" w:rsidRPr="00C835AB">
        <w:rPr>
          <w:rFonts w:ascii="Times New Roman" w:eastAsia="Times New Roman" w:hAnsi="Times New Roman" w:cs="Times New Roman"/>
          <w:color w:val="auto"/>
          <w:kern w:val="0"/>
          <w:sz w:val="24"/>
          <w:lang w:eastAsia="pl-PL"/>
          <w14:ligatures w14:val="none"/>
        </w:rPr>
        <w:t xml:space="preserve"> w obszarze art. 73 k.p.k. </w:t>
      </w:r>
      <w:r w:rsidRPr="00C835AB">
        <w:rPr>
          <w:rFonts w:ascii="Times New Roman" w:eastAsia="Times New Roman" w:hAnsi="Times New Roman" w:cs="Times New Roman"/>
          <w:color w:val="auto"/>
          <w:kern w:val="0"/>
          <w:sz w:val="24"/>
          <w:lang w:eastAsia="pl-PL"/>
          <w14:ligatures w14:val="none"/>
        </w:rPr>
        <w:t>pozosta</w:t>
      </w:r>
      <w:r w:rsidR="007A78D3" w:rsidRPr="00C835AB">
        <w:rPr>
          <w:rFonts w:ascii="Times New Roman" w:eastAsia="Times New Roman" w:hAnsi="Times New Roman" w:cs="Times New Roman"/>
          <w:color w:val="auto"/>
          <w:kern w:val="0"/>
          <w:sz w:val="24"/>
          <w:lang w:eastAsia="pl-PL"/>
          <w14:ligatures w14:val="none"/>
        </w:rPr>
        <w:t>ją</w:t>
      </w:r>
      <w:r w:rsidRPr="00C835AB">
        <w:rPr>
          <w:rFonts w:ascii="Times New Roman" w:eastAsia="Times New Roman" w:hAnsi="Times New Roman" w:cs="Times New Roman"/>
          <w:color w:val="auto"/>
          <w:kern w:val="0"/>
          <w:sz w:val="24"/>
          <w:lang w:eastAsia="pl-PL"/>
          <w14:ligatures w14:val="none"/>
        </w:rPr>
        <w:t xml:space="preserve"> w zgodzie z zapisami </w:t>
      </w:r>
      <w:r w:rsidR="006878EB" w:rsidRPr="00C835AB">
        <w:rPr>
          <w:rFonts w:ascii="Times New Roman" w:eastAsia="Times New Roman" w:hAnsi="Times New Roman" w:cs="Times New Roman"/>
          <w:color w:val="auto"/>
          <w:kern w:val="0"/>
          <w:sz w:val="24"/>
          <w:lang w:eastAsia="pl-PL"/>
          <w14:ligatures w14:val="none"/>
        </w:rPr>
        <w:t>dyrektywy</w:t>
      </w:r>
      <w:r w:rsidR="00405C45" w:rsidRPr="00C835AB">
        <w:rPr>
          <w:rFonts w:ascii="Times New Roman" w:eastAsia="Times New Roman" w:hAnsi="Times New Roman" w:cs="Times New Roman"/>
          <w:color w:val="auto"/>
          <w:kern w:val="0"/>
          <w:sz w:val="24"/>
          <w:lang w:eastAsia="pl-PL"/>
          <w14:ligatures w14:val="none"/>
        </w:rPr>
        <w:t xml:space="preserve"> 2013/48/UE. Dyrektywa ta</w:t>
      </w:r>
      <w:r w:rsidR="006878EB" w:rsidRPr="00C835AB">
        <w:rPr>
          <w:rFonts w:ascii="Times New Roman" w:hAnsi="Times New Roman" w:cs="Times New Roman"/>
          <w:color w:val="auto"/>
          <w:sz w:val="24"/>
          <w:shd w:val="clear" w:color="auto" w:fill="F9F9F9"/>
        </w:rPr>
        <w:t xml:space="preserve"> </w:t>
      </w:r>
      <w:r w:rsidR="006878EB" w:rsidRPr="00C835AB">
        <w:rPr>
          <w:rFonts w:ascii="Times New Roman" w:eastAsia="Times New Roman" w:hAnsi="Times New Roman" w:cs="Times New Roman"/>
          <w:color w:val="auto"/>
          <w:kern w:val="0"/>
          <w:sz w:val="24"/>
          <w:lang w:eastAsia="pl-PL"/>
          <w14:ligatures w14:val="none"/>
        </w:rPr>
        <w:t>w odniesieniu do poufności kontaktu z obrońcą</w:t>
      </w:r>
      <w:r w:rsidR="006878EB" w:rsidRPr="00C835AB">
        <w:rPr>
          <w:rFonts w:ascii="Times New Roman" w:hAnsi="Times New Roman" w:cs="Times New Roman"/>
          <w:color w:val="auto"/>
          <w:sz w:val="24"/>
        </w:rPr>
        <w:t xml:space="preserve"> nie pozwala na</w:t>
      </w:r>
      <w:r w:rsidR="0097228F">
        <w:rPr>
          <w:rFonts w:ascii="Times New Roman" w:hAnsi="Times New Roman" w:cs="Times New Roman"/>
          <w:color w:val="auto"/>
          <w:sz w:val="24"/>
        </w:rPr>
        <w:t> </w:t>
      </w:r>
      <w:r w:rsidR="006878EB" w:rsidRPr="00C835AB">
        <w:rPr>
          <w:rFonts w:ascii="Times New Roman" w:hAnsi="Times New Roman" w:cs="Times New Roman"/>
          <w:color w:val="auto"/>
          <w:sz w:val="24"/>
        </w:rPr>
        <w:t xml:space="preserve">wprowadzenie ograniczeń w kontaktach podejrzanego z obrońcą, które obecny Kodeks postępowania karnego przewiduje. </w:t>
      </w:r>
      <w:r w:rsidR="006878EB" w:rsidRPr="00C835AB">
        <w:rPr>
          <w:rFonts w:ascii="Times New Roman" w:eastAsia="Times New Roman" w:hAnsi="Times New Roman" w:cs="Times New Roman"/>
          <w:color w:val="auto"/>
          <w:kern w:val="0"/>
          <w:sz w:val="24"/>
          <w:lang w:eastAsia="pl-PL"/>
          <w14:ligatures w14:val="none"/>
        </w:rPr>
        <w:t>Zgodnie z </w:t>
      </w:r>
      <w:hyperlink r:id="rId9" w:history="1">
        <w:r w:rsidR="006878EB" w:rsidRPr="00C835AB">
          <w:rPr>
            <w:rFonts w:ascii="Times New Roman" w:eastAsia="Times New Roman" w:hAnsi="Times New Roman" w:cs="Times New Roman"/>
            <w:color w:val="auto"/>
            <w:kern w:val="0"/>
            <w:sz w:val="24"/>
            <w:lang w:eastAsia="pl-PL"/>
            <w14:ligatures w14:val="none"/>
          </w:rPr>
          <w:t>art. 4</w:t>
        </w:r>
      </w:hyperlink>
      <w:r w:rsidR="00405C45" w:rsidRPr="00C835AB">
        <w:rPr>
          <w:rFonts w:ascii="Times New Roman" w:eastAsia="Times New Roman" w:hAnsi="Times New Roman" w:cs="Times New Roman"/>
          <w:color w:val="auto"/>
          <w:kern w:val="0"/>
          <w:sz w:val="24"/>
          <w:lang w:eastAsia="pl-PL"/>
          <w14:ligatures w14:val="none"/>
        </w:rPr>
        <w:t xml:space="preserve"> dyrektywy 2013/48/UE</w:t>
      </w:r>
      <w:r w:rsidR="006878EB" w:rsidRPr="00C835AB">
        <w:rPr>
          <w:rFonts w:ascii="Times New Roman" w:hAnsi="Times New Roman" w:cs="Times New Roman"/>
          <w:color w:val="auto"/>
          <w:sz w:val="24"/>
        </w:rPr>
        <w:t xml:space="preserve"> </w:t>
      </w:r>
      <w:r w:rsidR="006010D2" w:rsidRPr="00C835AB">
        <w:rPr>
          <w:rFonts w:ascii="Times New Roman" w:eastAsia="Times New Roman" w:hAnsi="Times New Roman" w:cs="Times New Roman"/>
          <w:color w:val="auto"/>
          <w:kern w:val="0"/>
          <w:sz w:val="24"/>
          <w:lang w:eastAsia="pl-PL"/>
          <w14:ligatures w14:val="none"/>
        </w:rPr>
        <w:t>„</w:t>
      </w:r>
      <w:r w:rsidR="006878EB" w:rsidRPr="00C835AB">
        <w:rPr>
          <w:rFonts w:ascii="Times New Roman" w:eastAsia="Times New Roman" w:hAnsi="Times New Roman" w:cs="Times New Roman"/>
          <w:color w:val="auto"/>
          <w:kern w:val="0"/>
          <w:sz w:val="24"/>
          <w:lang w:eastAsia="pl-PL"/>
          <w14:ligatures w14:val="none"/>
        </w:rPr>
        <w:t xml:space="preserve">Państwa </w:t>
      </w:r>
      <w:r w:rsidR="006878EB" w:rsidRPr="00C835AB">
        <w:rPr>
          <w:rFonts w:ascii="Times New Roman" w:eastAsia="Times New Roman" w:hAnsi="Times New Roman" w:cs="Times New Roman"/>
          <w:color w:val="auto"/>
          <w:kern w:val="0"/>
          <w:sz w:val="24"/>
          <w:lang w:eastAsia="pl-PL"/>
          <w14:ligatures w14:val="none"/>
        </w:rPr>
        <w:lastRenderedPageBreak/>
        <w:t>członkowskie respektują zasadę poufności porozumiewania się pomiędzy podejrzanymi lub</w:t>
      </w:r>
      <w:r w:rsidR="0097228F">
        <w:rPr>
          <w:rFonts w:ascii="Times New Roman" w:eastAsia="Times New Roman" w:hAnsi="Times New Roman" w:cs="Times New Roman"/>
          <w:color w:val="auto"/>
          <w:kern w:val="0"/>
          <w:sz w:val="24"/>
          <w:lang w:eastAsia="pl-PL"/>
          <w14:ligatures w14:val="none"/>
        </w:rPr>
        <w:t> </w:t>
      </w:r>
      <w:r w:rsidR="006878EB" w:rsidRPr="00C835AB">
        <w:rPr>
          <w:rFonts w:ascii="Times New Roman" w:eastAsia="Times New Roman" w:hAnsi="Times New Roman" w:cs="Times New Roman"/>
          <w:color w:val="auto"/>
          <w:kern w:val="0"/>
          <w:sz w:val="24"/>
          <w:lang w:eastAsia="pl-PL"/>
          <w14:ligatures w14:val="none"/>
        </w:rPr>
        <w:t>oskarżonymi a ich adwokatem przy korzystaniu z prawa dostępu do adwokata przewidzianego w niniejszej dyrektywie. Takie porozumiewanie obejmuje spotkania, korespondencję, rozmowy telefoniczne oraz inne formy porozumiewania się, dozwolone na</w:t>
      </w:r>
      <w:r w:rsidR="0097228F">
        <w:rPr>
          <w:rFonts w:ascii="Times New Roman" w:eastAsia="Times New Roman" w:hAnsi="Times New Roman" w:cs="Times New Roman"/>
          <w:color w:val="auto"/>
          <w:kern w:val="0"/>
          <w:sz w:val="24"/>
          <w:lang w:eastAsia="pl-PL"/>
          <w14:ligatures w14:val="none"/>
        </w:rPr>
        <w:t> </w:t>
      </w:r>
      <w:r w:rsidR="006878EB" w:rsidRPr="00C835AB">
        <w:rPr>
          <w:rFonts w:ascii="Times New Roman" w:eastAsia="Times New Roman" w:hAnsi="Times New Roman" w:cs="Times New Roman"/>
          <w:color w:val="auto"/>
          <w:kern w:val="0"/>
          <w:sz w:val="24"/>
          <w:lang w:eastAsia="pl-PL"/>
          <w14:ligatures w14:val="none"/>
        </w:rPr>
        <w:t>mocy prawa krajowego</w:t>
      </w:r>
      <w:r w:rsidR="006010D2" w:rsidRPr="00C835AB">
        <w:rPr>
          <w:rFonts w:ascii="Times New Roman" w:eastAsia="Times New Roman" w:hAnsi="Times New Roman" w:cs="Times New Roman"/>
          <w:color w:val="auto"/>
          <w:kern w:val="0"/>
          <w:sz w:val="24"/>
          <w:lang w:eastAsia="pl-PL"/>
          <w14:ligatures w14:val="none"/>
        </w:rPr>
        <w:t>”.</w:t>
      </w:r>
    </w:p>
    <w:p w14:paraId="35233F40" w14:textId="5DC9E029" w:rsidR="006878EB" w:rsidRPr="00C835AB" w:rsidRDefault="006878EB" w:rsidP="00D823D0">
      <w:pPr>
        <w:widowControl w:val="0"/>
        <w:autoSpaceDE w:val="0"/>
        <w:autoSpaceDN w:val="0"/>
        <w:adjustRightInd w:val="0"/>
        <w:ind w:firstLine="708"/>
        <w:rPr>
          <w:rFonts w:ascii="Times New Roman" w:eastAsia="Times New Roman" w:hAnsi="Times New Roman" w:cs="Times New Roman"/>
          <w:color w:val="auto"/>
          <w:kern w:val="0"/>
          <w:sz w:val="24"/>
          <w:lang w:eastAsia="pl-PL"/>
          <w14:ligatures w14:val="none"/>
        </w:rPr>
      </w:pPr>
      <w:r w:rsidRPr="00C835AB">
        <w:rPr>
          <w:rFonts w:ascii="Times New Roman" w:eastAsia="Times New Roman" w:hAnsi="Times New Roman" w:cs="Times New Roman"/>
          <w:color w:val="auto"/>
          <w:kern w:val="0"/>
          <w:sz w:val="24"/>
          <w:lang w:eastAsia="pl-PL"/>
          <w14:ligatures w14:val="none"/>
        </w:rPr>
        <w:t>Jak wskazano w motywie 33 dyrektywy</w:t>
      </w:r>
      <w:r w:rsidR="00405C45" w:rsidRPr="00C835AB">
        <w:rPr>
          <w:rFonts w:ascii="Times New Roman" w:eastAsia="Times New Roman" w:hAnsi="Times New Roman" w:cs="Times New Roman"/>
          <w:color w:val="auto"/>
          <w:kern w:val="0"/>
          <w:sz w:val="24"/>
          <w:lang w:eastAsia="pl-PL"/>
          <w14:ligatures w14:val="none"/>
        </w:rPr>
        <w:t xml:space="preserve"> 2013/48/UE</w:t>
      </w:r>
      <w:r w:rsidR="00405C45" w:rsidRPr="00C835AB">
        <w:rPr>
          <w:rFonts w:ascii="Times New Roman" w:hAnsi="Times New Roman" w:cs="Times New Roman"/>
          <w:color w:val="auto"/>
          <w:sz w:val="24"/>
        </w:rPr>
        <w:t xml:space="preserve"> „</w:t>
      </w:r>
      <w:r w:rsidRPr="00C835AB">
        <w:rPr>
          <w:rFonts w:ascii="Times New Roman" w:hAnsi="Times New Roman" w:cs="Times New Roman"/>
          <w:color w:val="auto"/>
          <w:sz w:val="24"/>
          <w:shd w:val="clear" w:color="auto" w:fill="FFFFFF"/>
        </w:rPr>
        <w:t>Poufność porozumiewania się</w:t>
      </w:r>
      <w:r w:rsidR="0097228F">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między podejrzanymi lub oskarżonymi a ich adwokatem ma kluczowe znaczenie dla</w:t>
      </w:r>
      <w:r w:rsidR="0097228F">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zapewnienia skutecznego korzystania z prawa do obrony i jest istotną częścią prawa do</w:t>
      </w:r>
      <w:r w:rsidR="0097228F">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 xml:space="preserve">rzetelnego procesu. Państwa członkowskie powinny zatem respektować </w:t>
      </w:r>
      <w:r w:rsidR="00796D23">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 xml:space="preserve"> bez jakichkolwiek odstępstw </w:t>
      </w:r>
      <w:r w:rsidR="00796D23">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 xml:space="preserve"> zasadę poufności spotkań i innych form porozumiewania się pomiędzy adwokatem a podejrzanym lub oskarżonym przy korzystaniu z prawa dostępu do adwokata, przewidzianego w niniejszej dyrektywie. Niniejsza dyrektywa pozostaje bez uszczerbku dla procedur odnoszących się do sytuacji, gdy istnieją obiektywne i poparte faktami przesłanki wskazujące na to, że adwokat jest podejrzany o udział, wraz z podejrzanym lub oskarżonym, w</w:t>
      </w:r>
      <w:r w:rsidR="00E865A6"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przestępstwie. Wszelka działalności adwokata o charakterze przestępczym nie powinna być uznawana za zgodną z prawem pomoc świadczoną podejrzanemu lub oskarżonemu w ramach niniejszej dyrektywy”</w:t>
      </w:r>
      <w:r w:rsidR="006010D2" w:rsidRPr="00C835AB">
        <w:rPr>
          <w:rFonts w:ascii="Times New Roman" w:hAnsi="Times New Roman" w:cs="Times New Roman"/>
          <w:color w:val="auto"/>
          <w:sz w:val="24"/>
          <w:shd w:val="clear" w:color="auto" w:fill="FFFFFF"/>
        </w:rPr>
        <w:t>.</w:t>
      </w:r>
    </w:p>
    <w:p w14:paraId="243E390B" w14:textId="79C69620" w:rsidR="006878EB" w:rsidRPr="00C835AB" w:rsidRDefault="006878EB" w:rsidP="00D823D0">
      <w:pPr>
        <w:widowControl w:val="0"/>
        <w:autoSpaceDE w:val="0"/>
        <w:autoSpaceDN w:val="0"/>
        <w:adjustRightInd w:val="0"/>
        <w:ind w:firstLine="708"/>
        <w:rPr>
          <w:rFonts w:ascii="Times New Roman" w:hAnsi="Times New Roman" w:cs="Times New Roman"/>
          <w:color w:val="auto"/>
          <w:sz w:val="24"/>
          <w:shd w:val="clear" w:color="auto" w:fill="FFFFFF"/>
        </w:rPr>
      </w:pPr>
      <w:r w:rsidRPr="00C835AB">
        <w:rPr>
          <w:rFonts w:ascii="Times New Roman" w:eastAsia="Times New Roman" w:hAnsi="Times New Roman" w:cs="Times New Roman"/>
          <w:color w:val="auto"/>
          <w:kern w:val="0"/>
          <w:sz w:val="24"/>
          <w:lang w:eastAsia="pl-PL"/>
          <w14:ligatures w14:val="none"/>
        </w:rPr>
        <w:t xml:space="preserve">W związku z treścią dyrektywy </w:t>
      </w:r>
      <w:r w:rsidRPr="00C835AB">
        <w:rPr>
          <w:rFonts w:ascii="Times New Roman" w:hAnsi="Times New Roman" w:cs="Times New Roman"/>
          <w:color w:val="auto"/>
          <w:sz w:val="24"/>
        </w:rPr>
        <w:t>2013/48</w:t>
      </w:r>
      <w:r w:rsidR="00405C45" w:rsidRPr="00C835AB">
        <w:rPr>
          <w:rFonts w:ascii="Times New Roman" w:hAnsi="Times New Roman" w:cs="Times New Roman"/>
          <w:color w:val="auto"/>
          <w:sz w:val="24"/>
        </w:rPr>
        <w:t>/UE</w:t>
      </w:r>
      <w:r w:rsidRPr="00C835AB">
        <w:rPr>
          <w:rFonts w:ascii="Times New Roman" w:hAnsi="Times New Roman" w:cs="Times New Roman"/>
          <w:color w:val="auto"/>
          <w:sz w:val="24"/>
        </w:rPr>
        <w:t xml:space="preserve"> w doktrynie wskazuje się, że „</w:t>
      </w:r>
      <w:r w:rsidRPr="00C835AB">
        <w:rPr>
          <w:rFonts w:ascii="Times New Roman" w:eastAsia="Times New Roman" w:hAnsi="Times New Roman" w:cs="Times New Roman"/>
          <w:color w:val="auto"/>
          <w:kern w:val="0"/>
          <w:sz w:val="24"/>
          <w:lang w:eastAsia="pl-PL"/>
          <w14:ligatures w14:val="none"/>
        </w:rPr>
        <w:t>jakiekolwiek</w:t>
      </w:r>
      <w:r w:rsidRPr="00C835AB">
        <w:rPr>
          <w:rFonts w:ascii="Times New Roman" w:eastAsia="Times New Roman" w:hAnsi="Times New Roman" w:cs="Times New Roman"/>
          <w:i/>
          <w:iCs/>
          <w:color w:val="auto"/>
          <w:kern w:val="0"/>
          <w:sz w:val="24"/>
          <w:lang w:eastAsia="pl-PL"/>
          <w14:ligatures w14:val="none"/>
        </w:rPr>
        <w:t xml:space="preserve"> </w:t>
      </w:r>
      <w:r w:rsidRPr="00C835AB">
        <w:rPr>
          <w:rFonts w:ascii="Times New Roman" w:eastAsia="Times New Roman" w:hAnsi="Times New Roman" w:cs="Times New Roman"/>
          <w:color w:val="auto"/>
          <w:kern w:val="0"/>
          <w:sz w:val="24"/>
          <w:lang w:eastAsia="pl-PL"/>
          <w14:ligatures w14:val="none"/>
        </w:rPr>
        <w:t>zastrzeżenia powodujące, że w praktyce podejrzany nie może swobodnie, w sposób całkowicie poufny, porozumiewać się z obrońcą są niedopuszczalne, poza jednym wyjątkiem: gdy istnieją obiektywne i poparte faktami przesłanki wskazujące na to, że adwokat/radca prawny jest podejrzany o udział, wraz z podejrzanym lub oskarżonym, w przestępstwie” (J.</w:t>
      </w:r>
      <w:r w:rsidR="00E865A6" w:rsidRPr="00C835AB">
        <w:rPr>
          <w:rFonts w:ascii="Times New Roman" w:eastAsia="Times New Roman" w:hAnsi="Times New Roman" w:cs="Times New Roman"/>
          <w:color w:val="auto"/>
          <w:kern w:val="0"/>
          <w:sz w:val="24"/>
          <w:lang w:eastAsia="pl-PL"/>
          <w14:ligatures w14:val="none"/>
        </w:rPr>
        <w:t> </w:t>
      </w:r>
      <w:r w:rsidRPr="00C835AB">
        <w:rPr>
          <w:rFonts w:ascii="Times New Roman" w:eastAsia="Times New Roman" w:hAnsi="Times New Roman" w:cs="Times New Roman"/>
          <w:color w:val="auto"/>
          <w:kern w:val="0"/>
          <w:sz w:val="24"/>
          <w:lang w:eastAsia="pl-PL"/>
          <w14:ligatures w14:val="none"/>
        </w:rPr>
        <w:t xml:space="preserve">Skorupka (red.), Kodeks postępowania karnego Komentarz do art. 73, Wyd. 6, Warszawa 2023, </w:t>
      </w:r>
      <w:proofErr w:type="spellStart"/>
      <w:r w:rsidRPr="00C835AB">
        <w:rPr>
          <w:rFonts w:ascii="Times New Roman" w:eastAsia="Times New Roman" w:hAnsi="Times New Roman" w:cs="Times New Roman"/>
          <w:color w:val="auto"/>
          <w:kern w:val="0"/>
          <w:sz w:val="24"/>
          <w:lang w:eastAsia="pl-PL"/>
          <w14:ligatures w14:val="none"/>
        </w:rPr>
        <w:t>Legalis</w:t>
      </w:r>
      <w:proofErr w:type="spellEnd"/>
      <w:r w:rsidRPr="00C835AB">
        <w:rPr>
          <w:rFonts w:ascii="Times New Roman" w:eastAsia="Times New Roman" w:hAnsi="Times New Roman" w:cs="Times New Roman"/>
          <w:color w:val="auto"/>
          <w:kern w:val="0"/>
          <w:sz w:val="24"/>
          <w:lang w:eastAsia="pl-PL"/>
          <w14:ligatures w14:val="none"/>
        </w:rPr>
        <w:t xml:space="preserve">). </w:t>
      </w:r>
    </w:p>
    <w:p w14:paraId="021F16B8" w14:textId="2E83FBEC" w:rsidR="006878EB" w:rsidRPr="00C835AB" w:rsidRDefault="006878EB" w:rsidP="00D823D0">
      <w:pPr>
        <w:widowControl w:val="0"/>
        <w:autoSpaceDE w:val="0"/>
        <w:autoSpaceDN w:val="0"/>
        <w:adjustRightInd w:val="0"/>
        <w:ind w:firstLine="708"/>
        <w:rPr>
          <w:rFonts w:ascii="Times New Roman" w:eastAsia="Times New Roman" w:hAnsi="Times New Roman" w:cs="Times New Roman"/>
          <w:color w:val="auto"/>
          <w:kern w:val="0"/>
          <w:sz w:val="24"/>
          <w:lang w:eastAsia="pl-PL"/>
          <w14:ligatures w14:val="none"/>
        </w:rPr>
      </w:pPr>
      <w:r w:rsidRPr="00C835AB">
        <w:rPr>
          <w:rFonts w:ascii="Times New Roman" w:hAnsi="Times New Roman" w:cs="Times New Roman"/>
          <w:color w:val="auto"/>
          <w:sz w:val="24"/>
          <w:shd w:val="clear" w:color="auto" w:fill="FFFFFF"/>
        </w:rPr>
        <w:t>W sytuacji, gdy obrońca jest jednocześnie podejrzany o udział, wraz z podejrzanym lub</w:t>
      </w:r>
      <w:r w:rsidR="0097228F">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oskarżonym, w przestępstwie istnieje możliwość zastosowania środka zapobiegawczego w</w:t>
      </w:r>
      <w:r w:rsidR="00E865A6"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postaci zawieszenia adwokata w wykonywaniu zawodu (art. 276 k.p.k.), co pozwoli, w</w:t>
      </w:r>
      <w:r w:rsidR="00A76A6B"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ocenie projektodawcy, skutecznie zabezpieczyć prawidłowy tok postępowania przygotowawczego.</w:t>
      </w:r>
    </w:p>
    <w:p w14:paraId="691E3002" w14:textId="54B58F5A" w:rsidR="44357A46" w:rsidRPr="00C835AB" w:rsidRDefault="44357A46" w:rsidP="00D823D0">
      <w:pPr>
        <w:pStyle w:val="Akapitzlist1"/>
        <w:spacing w:after="0" w:line="360" w:lineRule="auto"/>
        <w:ind w:left="0"/>
        <w:jc w:val="both"/>
        <w:rPr>
          <w:rFonts w:ascii="Times New Roman" w:hAnsi="Times New Roman"/>
          <w:b/>
          <w:bCs/>
          <w:sz w:val="24"/>
          <w:szCs w:val="24"/>
        </w:rPr>
      </w:pPr>
    </w:p>
    <w:p w14:paraId="225B2497" w14:textId="4C3F24B5" w:rsidR="00CA7E1D" w:rsidRPr="00C835AB" w:rsidRDefault="1319C456" w:rsidP="00D823D0">
      <w:pPr>
        <w:pStyle w:val="Akapitzlist1"/>
        <w:spacing w:after="0" w:line="360" w:lineRule="auto"/>
        <w:ind w:left="0" w:firstLine="708"/>
        <w:jc w:val="both"/>
        <w:rPr>
          <w:rFonts w:ascii="Times New Roman" w:hAnsi="Times New Roman"/>
          <w:b/>
          <w:bCs/>
          <w:sz w:val="24"/>
          <w:szCs w:val="24"/>
        </w:rPr>
      </w:pPr>
      <w:r w:rsidRPr="00C835AB">
        <w:rPr>
          <w:rFonts w:ascii="Times New Roman" w:hAnsi="Times New Roman"/>
          <w:b/>
          <w:bCs/>
          <w:sz w:val="24"/>
          <w:szCs w:val="24"/>
        </w:rPr>
        <w:t>A</w:t>
      </w:r>
      <w:r w:rsidR="6E0D7B64" w:rsidRPr="00C835AB">
        <w:rPr>
          <w:rFonts w:ascii="Times New Roman" w:hAnsi="Times New Roman"/>
          <w:b/>
          <w:bCs/>
          <w:sz w:val="24"/>
          <w:szCs w:val="24"/>
        </w:rPr>
        <w:t>rt. 85</w:t>
      </w:r>
      <w:r w:rsidR="285BF265" w:rsidRPr="00C835AB">
        <w:rPr>
          <w:rFonts w:ascii="Times New Roman" w:hAnsi="Times New Roman"/>
          <w:b/>
          <w:bCs/>
          <w:sz w:val="24"/>
          <w:szCs w:val="24"/>
        </w:rPr>
        <w:t xml:space="preserve"> </w:t>
      </w:r>
      <w:r w:rsidR="00686B51" w:rsidRPr="00C835AB">
        <w:rPr>
          <w:rFonts w:ascii="Times New Roman" w:hAnsi="Times New Roman"/>
          <w:b/>
          <w:bCs/>
          <w:sz w:val="24"/>
          <w:szCs w:val="24"/>
        </w:rPr>
        <w:t>§ 2, § 4 i § 5 k.p.k.</w:t>
      </w:r>
    </w:p>
    <w:p w14:paraId="41CBDEE7" w14:textId="3B2A8BC9" w:rsidR="4C518BD5" w:rsidRPr="00C835AB" w:rsidRDefault="694A68A3" w:rsidP="00603A64">
      <w:pPr>
        <w:pStyle w:val="NormalnyWeb"/>
        <w:spacing w:before="0" w:beforeAutospacing="0" w:after="0" w:afterAutospacing="0" w:line="360" w:lineRule="auto"/>
        <w:ind w:firstLine="708"/>
        <w:jc w:val="both"/>
      </w:pPr>
      <w:r w:rsidRPr="00C835AB">
        <w:t>W celu zapewnienia pełnej realizacji prawa do obrony oskarżonego proponuje się</w:t>
      </w:r>
      <w:r w:rsidR="0097228F">
        <w:t> </w:t>
      </w:r>
      <w:r w:rsidRPr="00C835AB">
        <w:t>zmiany art. 85 k.p.k. W myśl proponowane</w:t>
      </w:r>
      <w:r w:rsidR="319E3F2E" w:rsidRPr="00C835AB">
        <w:t xml:space="preserve">go nowego brzmienia </w:t>
      </w:r>
      <w:r w:rsidR="00686B51" w:rsidRPr="00C835AB">
        <w:t xml:space="preserve">art. 85 </w:t>
      </w:r>
      <w:r w:rsidR="319E3F2E" w:rsidRPr="00C835AB">
        <w:t>§ 2</w:t>
      </w:r>
      <w:r w:rsidR="00686B51" w:rsidRPr="00C835AB">
        <w:t xml:space="preserve"> k.p.k.</w:t>
      </w:r>
      <w:r w:rsidR="00E97E89" w:rsidRPr="00C835AB">
        <w:t>,</w:t>
      </w:r>
      <w:r w:rsidR="319E3F2E" w:rsidRPr="00C835AB">
        <w:t xml:space="preserve"> stwierdzając sprzeczność sąd ma wydać postanowienie, zakreślając oskarżonym termin </w:t>
      </w:r>
      <w:r w:rsidR="319E3F2E" w:rsidRPr="00C835AB">
        <w:lastRenderedPageBreak/>
        <w:t>do</w:t>
      </w:r>
      <w:r w:rsidR="0097228F">
        <w:t> </w:t>
      </w:r>
      <w:r w:rsidR="319E3F2E" w:rsidRPr="00C835AB">
        <w:t xml:space="preserve">ustanowienia innych obrońców. W wypadku obrony z urzędu sąd wyznacza innego obrońcę. Jednocześnie </w:t>
      </w:r>
      <w:r w:rsidRPr="00C835AB">
        <w:t xml:space="preserve">projekt </w:t>
      </w:r>
      <w:r w:rsidR="0E155ECB" w:rsidRPr="00C835AB">
        <w:t xml:space="preserve">proponuje </w:t>
      </w:r>
      <w:r w:rsidR="00BF34B6" w:rsidRPr="00C835AB">
        <w:t>dodanie</w:t>
      </w:r>
      <w:r w:rsidR="0E155ECB" w:rsidRPr="00C835AB">
        <w:t xml:space="preserve"> </w:t>
      </w:r>
      <w:r w:rsidR="00C30431">
        <w:t xml:space="preserve">w </w:t>
      </w:r>
      <w:r w:rsidR="00686B51" w:rsidRPr="00C835AB">
        <w:t xml:space="preserve">art. 85 </w:t>
      </w:r>
      <w:r w:rsidR="0E155ECB" w:rsidRPr="00C835AB">
        <w:t xml:space="preserve">§ 4 </w:t>
      </w:r>
      <w:r w:rsidR="00686B51" w:rsidRPr="00C835AB">
        <w:t xml:space="preserve">k.p.k. </w:t>
      </w:r>
      <w:r w:rsidR="0E155ECB" w:rsidRPr="00C835AB">
        <w:t xml:space="preserve">i </w:t>
      </w:r>
      <w:r w:rsidRPr="00C835AB">
        <w:t>wprowadz</w:t>
      </w:r>
      <w:r w:rsidR="13AE7E0B" w:rsidRPr="00C835AB">
        <w:t>enie</w:t>
      </w:r>
      <w:r w:rsidRPr="00C835AB">
        <w:t xml:space="preserve"> </w:t>
      </w:r>
      <w:r w:rsidR="07A4E621" w:rsidRPr="00C835AB">
        <w:t>m</w:t>
      </w:r>
      <w:r w:rsidRPr="00C835AB">
        <w:t>ożliwoś</w:t>
      </w:r>
      <w:r w:rsidR="46568D5A" w:rsidRPr="00C835AB">
        <w:t>ci</w:t>
      </w:r>
      <w:r w:rsidRPr="00C835AB">
        <w:t xml:space="preserve"> złożenia zażalenia na postanowienie </w:t>
      </w:r>
      <w:r w:rsidR="0B74C923" w:rsidRPr="00C835AB">
        <w:t xml:space="preserve">lub zarządzenie w przedmiocie </w:t>
      </w:r>
      <w:r w:rsidRPr="00C835AB">
        <w:t>stwierdz</w:t>
      </w:r>
      <w:r w:rsidR="0087DE14" w:rsidRPr="00C835AB">
        <w:t>enia sprzeczności</w:t>
      </w:r>
      <w:r w:rsidRPr="00C835AB">
        <w:t>. Obecnie zażalenie przysługuje jedynie na postanowienie sądu stwierdzające, że interesy oskarżonych są</w:t>
      </w:r>
      <w:r w:rsidR="0097228F">
        <w:t> </w:t>
      </w:r>
      <w:r w:rsidRPr="00C835AB">
        <w:t>sprzeczne. Aktualny stan prawny poddawał krytyce m.in. Rzecznik Praw Obywatelskich (pismo</w:t>
      </w:r>
      <w:r w:rsidR="00686B51" w:rsidRPr="00C835AB">
        <w:t xml:space="preserve"> </w:t>
      </w:r>
      <w:r w:rsidRPr="00C835AB">
        <w:t xml:space="preserve">z </w:t>
      </w:r>
      <w:r w:rsidR="00D860B2" w:rsidRPr="00C835AB">
        <w:t xml:space="preserve">dnia </w:t>
      </w:r>
      <w:r w:rsidRPr="00C835AB">
        <w:t>30 czerwca 2020 r</w:t>
      </w:r>
      <w:r w:rsidR="00D860B2" w:rsidRPr="00C835AB">
        <w:t>.</w:t>
      </w:r>
      <w:r w:rsidRPr="00C835AB">
        <w:t>, II.5150.3.2020.MM). Zdaniem R</w:t>
      </w:r>
      <w:r w:rsidR="00686B51" w:rsidRPr="00C835AB">
        <w:t>zecznika</w:t>
      </w:r>
      <w:r w:rsidRPr="00C835AB">
        <w:t xml:space="preserve"> „zróżnicowanie sytuacji osób, którym sąd stwierdził istnienie konfliktu interesów i go nie stwierdził, nie jest racjonalnie uzasadnione, zaś interes, któremu ma służyć różnicowanie sytuacji prawnej tych podmiotów nie występuje. Podkreślić należy fakt, że podmioty znajdują się w tej samej sytuacji prawnej, a los dopuszczalności zażalenia zależy od rodzaju rozstrzygnięcia zapadłego w</w:t>
      </w:r>
      <w:r w:rsidR="00E865A6" w:rsidRPr="00C835AB">
        <w:t> </w:t>
      </w:r>
      <w:r w:rsidRPr="00C835AB">
        <w:t>zakresie (nie)sprzeczności interesów podejrzanych (oskarżonych) bronionych przez tego samego obrońcę. Każde z rozstrzygnięć ma niewątpliwie wpływ na prawo do obrony. Z tych powodów nie sposób uznać, by takie kryterium różnicujące mogło stanowić zgodną z</w:t>
      </w:r>
      <w:r w:rsidR="00E865A6" w:rsidRPr="00C835AB">
        <w:t> </w:t>
      </w:r>
      <w:r w:rsidRPr="00C835AB">
        <w:t>Konstytucją podstawę zróżnicowania. Dlatego [przepis ten] jest niezgodny z art. 32 ust. 1 w</w:t>
      </w:r>
      <w:r w:rsidR="00E865A6" w:rsidRPr="00C835AB">
        <w:t> </w:t>
      </w:r>
      <w:r w:rsidRPr="00C835AB">
        <w:t xml:space="preserve">zw. z art. 78 Konstytucji RP”. </w:t>
      </w:r>
      <w:r w:rsidR="22637D73" w:rsidRPr="00C835AB">
        <w:t>Konsekwencją proponowanych zmian będzie wprowadzenie możliwości zaskarżenia decyzji wydawanych w przedmiocie sprzeczności interesów</w:t>
      </w:r>
      <w:r w:rsidR="1EFA219A" w:rsidRPr="00C835AB">
        <w:t>.</w:t>
      </w:r>
      <w:r w:rsidR="56469A29" w:rsidRPr="00C835AB">
        <w:t xml:space="preserve"> </w:t>
      </w:r>
      <w:r w:rsidR="65B5CA7B" w:rsidRPr="00C835AB">
        <w:t xml:space="preserve">Oczywiste jest, że w razie konieczności rozstrzygnięcia tej kwestii </w:t>
      </w:r>
      <w:r w:rsidR="00E97E89" w:rsidRPr="00C835AB">
        <w:t xml:space="preserve">– </w:t>
      </w:r>
      <w:r w:rsidR="65B5CA7B" w:rsidRPr="00C835AB">
        <w:t>niezależnie od kierunku</w:t>
      </w:r>
      <w:r w:rsidR="6361218B" w:rsidRPr="00C835AB">
        <w:t xml:space="preserve"> tego</w:t>
      </w:r>
      <w:r w:rsidR="65B5CA7B" w:rsidRPr="00C835AB">
        <w:t xml:space="preserve"> rozstrzygnięcia </w:t>
      </w:r>
      <w:r w:rsidR="00E97E89" w:rsidRPr="00C835AB">
        <w:t xml:space="preserve">– </w:t>
      </w:r>
      <w:r w:rsidR="68551EEA" w:rsidRPr="00C835AB">
        <w:t xml:space="preserve">w postępowaniu jurysdykcyjnym sąd </w:t>
      </w:r>
      <w:r w:rsidR="0BAECDEE" w:rsidRPr="00C835AB">
        <w:t xml:space="preserve">wydaje </w:t>
      </w:r>
      <w:r w:rsidR="68551EEA" w:rsidRPr="00C835AB">
        <w:t>po</w:t>
      </w:r>
      <w:r w:rsidR="22637D73" w:rsidRPr="00C835AB">
        <w:t>stanowieni</w:t>
      </w:r>
      <w:r w:rsidR="75DF04EB" w:rsidRPr="00C835AB">
        <w:t>e</w:t>
      </w:r>
      <w:r w:rsidR="6343BEF5" w:rsidRPr="00C835AB">
        <w:t xml:space="preserve"> (</w:t>
      </w:r>
      <w:r w:rsidR="009E4A48" w:rsidRPr="00C835AB">
        <w:t xml:space="preserve">art. 85 </w:t>
      </w:r>
      <w:r w:rsidR="6343BEF5" w:rsidRPr="00C835AB">
        <w:t>§ 2</w:t>
      </w:r>
      <w:r w:rsidR="009E4A48" w:rsidRPr="00C835AB">
        <w:t xml:space="preserve"> k.p.k.</w:t>
      </w:r>
      <w:r w:rsidR="6343BEF5" w:rsidRPr="00C835AB">
        <w:t>)</w:t>
      </w:r>
      <w:r w:rsidR="75DF04EB" w:rsidRPr="00C835AB">
        <w:t>, zaś w postępowaniu przygotowawczym</w:t>
      </w:r>
      <w:r w:rsidR="7F0B303A" w:rsidRPr="00C835AB">
        <w:t xml:space="preserve"> prezes sądu wydaje z</w:t>
      </w:r>
      <w:r w:rsidR="1F47E296" w:rsidRPr="00C835AB">
        <w:t>arządzeni</w:t>
      </w:r>
      <w:r w:rsidR="03E107B8" w:rsidRPr="00C835AB">
        <w:t>e</w:t>
      </w:r>
      <w:r w:rsidR="1F47E296" w:rsidRPr="00C835AB">
        <w:t xml:space="preserve"> (</w:t>
      </w:r>
      <w:r w:rsidR="009E4A48" w:rsidRPr="00C835AB">
        <w:t xml:space="preserve">art. 85 </w:t>
      </w:r>
      <w:r w:rsidR="1F47E296" w:rsidRPr="00C835AB">
        <w:t>§ 3</w:t>
      </w:r>
      <w:r w:rsidR="009E4A48" w:rsidRPr="00C835AB">
        <w:t xml:space="preserve"> k.p.k.</w:t>
      </w:r>
      <w:r w:rsidR="1F47E296" w:rsidRPr="00C835AB">
        <w:t>).</w:t>
      </w:r>
      <w:r w:rsidR="79896DF1" w:rsidRPr="00C835AB">
        <w:t xml:space="preserve"> Zaskarżalne będą zarówno rozstrzygnięcia pozytywne (stwierdzające sprzeczność interesów), jak i negatywne </w:t>
      </w:r>
      <w:r w:rsidR="0900F347" w:rsidRPr="00C835AB">
        <w:t>(stwierdzające brak takiej sprzeczności).</w:t>
      </w:r>
    </w:p>
    <w:p w14:paraId="235D1284" w14:textId="4278AF6D" w:rsidR="6E9CECCA" w:rsidRPr="00C835AB" w:rsidRDefault="6E9CECCA" w:rsidP="00603A64">
      <w:pPr>
        <w:pStyle w:val="NormalnyWeb"/>
        <w:spacing w:before="0" w:beforeAutospacing="0" w:after="0" w:afterAutospacing="0" w:line="360" w:lineRule="auto"/>
        <w:ind w:firstLine="708"/>
        <w:jc w:val="both"/>
      </w:pPr>
      <w:r w:rsidRPr="00C835AB">
        <w:t xml:space="preserve">Dodatkowo proponuje się </w:t>
      </w:r>
      <w:r w:rsidR="4C518BD5" w:rsidRPr="00C835AB">
        <w:t>uzupełni</w:t>
      </w:r>
      <w:r w:rsidR="5B4A6810" w:rsidRPr="00C835AB">
        <w:t xml:space="preserve">enie art. 85 k.p.k. </w:t>
      </w:r>
      <w:r w:rsidR="4C518BD5" w:rsidRPr="00C835AB">
        <w:t>o przepis</w:t>
      </w:r>
      <w:r w:rsidR="2625C0A7" w:rsidRPr="00C835AB">
        <w:t xml:space="preserve"> § 5</w:t>
      </w:r>
      <w:r w:rsidR="4C518BD5" w:rsidRPr="00C835AB">
        <w:t>, który ma na celu przeciwdziałaniu nadużyciom w składaniu wniosków o stwierdzenie sprzeczności w obronie w</w:t>
      </w:r>
      <w:r w:rsidR="00E865A6" w:rsidRPr="00C835AB">
        <w:t> </w:t>
      </w:r>
      <w:r w:rsidR="4C518BD5" w:rsidRPr="00C835AB">
        <w:t>celu uniknięcia obstrukcji procesowej</w:t>
      </w:r>
      <w:r w:rsidR="0294E588" w:rsidRPr="00C835AB">
        <w:t xml:space="preserve"> przy wykorzystaniu uprawnienia do zaskarżenia</w:t>
      </w:r>
      <w:r w:rsidR="4C518BD5" w:rsidRPr="00C835AB">
        <w:t>.</w:t>
      </w:r>
      <w:r w:rsidR="755F34F4" w:rsidRPr="00C835AB">
        <w:t xml:space="preserve"> Pozostawienie wniosku bez rozpoznania nie będzie podlegać zaskarżeniu.</w:t>
      </w:r>
    </w:p>
    <w:p w14:paraId="76A07C15" w14:textId="77777777" w:rsidR="00011D7D" w:rsidRPr="00C835AB" w:rsidRDefault="00011D7D" w:rsidP="00D823D0">
      <w:pPr>
        <w:pStyle w:val="Akapitzlist1"/>
        <w:spacing w:after="0" w:line="360" w:lineRule="auto"/>
        <w:ind w:left="0" w:firstLine="708"/>
        <w:jc w:val="both"/>
        <w:rPr>
          <w:rFonts w:ascii="Times New Roman" w:hAnsi="Times New Roman"/>
          <w:b/>
          <w:bCs/>
          <w:sz w:val="24"/>
          <w:szCs w:val="24"/>
        </w:rPr>
      </w:pPr>
    </w:p>
    <w:p w14:paraId="64BC4357" w14:textId="6A202F5E" w:rsidR="00CA7E1D" w:rsidRPr="00C835AB" w:rsidRDefault="00833AF5" w:rsidP="00D823D0">
      <w:pPr>
        <w:pStyle w:val="Akapitzlist1"/>
        <w:spacing w:after="0" w:line="360" w:lineRule="auto"/>
        <w:ind w:left="0" w:firstLine="708"/>
        <w:jc w:val="both"/>
        <w:rPr>
          <w:rFonts w:ascii="Times New Roman" w:hAnsi="Times New Roman"/>
          <w:b/>
          <w:bCs/>
          <w:sz w:val="24"/>
          <w:szCs w:val="24"/>
        </w:rPr>
      </w:pPr>
      <w:r w:rsidRPr="00C835AB">
        <w:rPr>
          <w:rFonts w:ascii="Times New Roman" w:hAnsi="Times New Roman"/>
          <w:b/>
          <w:bCs/>
          <w:sz w:val="24"/>
          <w:szCs w:val="24"/>
        </w:rPr>
        <w:t>A</w:t>
      </w:r>
      <w:r w:rsidR="4DC5CDD9" w:rsidRPr="00C835AB">
        <w:rPr>
          <w:rFonts w:ascii="Times New Roman" w:hAnsi="Times New Roman"/>
          <w:b/>
          <w:bCs/>
          <w:sz w:val="24"/>
          <w:szCs w:val="24"/>
        </w:rPr>
        <w:t>rt. 99a</w:t>
      </w:r>
      <w:r w:rsidR="00686B51" w:rsidRPr="00C835AB">
        <w:rPr>
          <w:rFonts w:ascii="Times New Roman" w:hAnsi="Times New Roman"/>
          <w:b/>
          <w:bCs/>
          <w:sz w:val="24"/>
          <w:szCs w:val="24"/>
        </w:rPr>
        <w:t xml:space="preserve"> § 1 k.p.k.</w:t>
      </w:r>
    </w:p>
    <w:p w14:paraId="0C6F6156" w14:textId="4CA5E9B1" w:rsidR="6EC29E5C" w:rsidRPr="00C835AB" w:rsidRDefault="6EC29E5C" w:rsidP="00603A64">
      <w:pPr>
        <w:pStyle w:val="NormalnyWeb"/>
        <w:spacing w:before="0" w:beforeAutospacing="0" w:after="0" w:afterAutospacing="0" w:line="360" w:lineRule="auto"/>
        <w:ind w:firstLine="708"/>
        <w:jc w:val="both"/>
      </w:pPr>
      <w:r w:rsidRPr="00C835AB">
        <w:t xml:space="preserve">Celem </w:t>
      </w:r>
      <w:r w:rsidR="00BE4DA2" w:rsidRPr="00C835AB">
        <w:t xml:space="preserve">projektowanej </w:t>
      </w:r>
      <w:r w:rsidRPr="00C835AB">
        <w:t xml:space="preserve">zmiany </w:t>
      </w:r>
      <w:r w:rsidR="00BE4DA2" w:rsidRPr="00C835AB">
        <w:t xml:space="preserve">art. 99a § 1 k.p.k. </w:t>
      </w:r>
      <w:r w:rsidRPr="00C835AB">
        <w:t>jest odstąpienie od obowiązku</w:t>
      </w:r>
      <w:r w:rsidR="539B4326" w:rsidRPr="00C835AB">
        <w:t xml:space="preserve"> </w:t>
      </w:r>
      <w:r w:rsidRPr="00C835AB">
        <w:t>sporządzania uzasadnienia wyroku sądu pierwszej instancji, w tym wyroku nakazowego i</w:t>
      </w:r>
      <w:r w:rsidR="00E865A6" w:rsidRPr="00C835AB">
        <w:t> </w:t>
      </w:r>
      <w:r w:rsidRPr="00C835AB">
        <w:t>wyroku łącznego, oraz wyroku sądu odwoławczego i wyroku wydanego w postępowaniu o</w:t>
      </w:r>
      <w:r w:rsidR="00E865A6" w:rsidRPr="00C835AB">
        <w:t> </w:t>
      </w:r>
      <w:r w:rsidRPr="00C835AB">
        <w:t xml:space="preserve">wznowienie postępowania na formularzu według ustalonego wzoru, który został wprowadzony ustawą z </w:t>
      </w:r>
      <w:r w:rsidR="00DF3729" w:rsidRPr="00C835AB">
        <w:t xml:space="preserve">dnia </w:t>
      </w:r>
      <w:r w:rsidRPr="00C835AB">
        <w:t>19 lipca 2019 r. Przyjęty wzór formularzy uzasadnień wyroków nie zawsze daje możliwość zamieszczenia informacji o przebiegu procesu wyrokowania, w</w:t>
      </w:r>
      <w:r w:rsidR="00E865A6" w:rsidRPr="00C835AB">
        <w:t> </w:t>
      </w:r>
      <w:r w:rsidRPr="00C835AB">
        <w:t xml:space="preserve">szczególności argumentach i </w:t>
      </w:r>
      <w:proofErr w:type="spellStart"/>
      <w:r w:rsidRPr="00C835AB">
        <w:t>wnioskowaniach</w:t>
      </w:r>
      <w:proofErr w:type="spellEnd"/>
      <w:r w:rsidRPr="00C835AB">
        <w:t xml:space="preserve">, które doprowadziły sąd do zapadłego </w:t>
      </w:r>
      <w:r w:rsidRPr="00C835AB">
        <w:lastRenderedPageBreak/>
        <w:t>rozstrzygnięcia. Wzory mają charakter hermetyczny, nakazujący pogrupowanie określonych dowodów w ramach poszczególnych sekcji, czy to w zakresie ustaleń faktycznych, czy</w:t>
      </w:r>
      <w:r w:rsidR="0097228F">
        <w:t> </w:t>
      </w:r>
      <w:r w:rsidRPr="00C835AB">
        <w:t>to</w:t>
      </w:r>
      <w:r w:rsidR="0097228F">
        <w:t> </w:t>
      </w:r>
      <w:r w:rsidRPr="00C835AB">
        <w:t>w</w:t>
      </w:r>
      <w:r w:rsidR="00E865A6" w:rsidRPr="00C835AB">
        <w:t> </w:t>
      </w:r>
      <w:r w:rsidRPr="00C835AB">
        <w:t>kwestii oceny dowodów, przez co mogą</w:t>
      </w:r>
      <w:r w:rsidR="6BA800F3" w:rsidRPr="00C835AB">
        <w:t xml:space="preserve"> </w:t>
      </w:r>
      <w:r w:rsidR="00DF588D" w:rsidRPr="00C835AB">
        <w:t xml:space="preserve">– </w:t>
      </w:r>
      <w:r w:rsidRPr="00C835AB">
        <w:t>w niektórych sprawach złożonych przedmiotowo lub podmiotow</w:t>
      </w:r>
      <w:r w:rsidR="5927667C" w:rsidRPr="00C835AB">
        <w:t xml:space="preserve">o </w:t>
      </w:r>
      <w:r w:rsidR="00DF588D" w:rsidRPr="00C835AB">
        <w:t xml:space="preserve">– </w:t>
      </w:r>
      <w:r w:rsidRPr="00C835AB">
        <w:t xml:space="preserve">prowadzić do zawężenia realizacji normy prawnej wysłowionej w art. 424 § 1 i 2 k.p.k. Jak trafnie stwierdził </w:t>
      </w:r>
      <w:r w:rsidR="00FD6A12" w:rsidRPr="00C835AB">
        <w:t xml:space="preserve">Sąd Apelacyjny w Gdańsku </w:t>
      </w:r>
      <w:r w:rsidRPr="00C835AB">
        <w:t>w</w:t>
      </w:r>
      <w:r w:rsidR="0097228F">
        <w:t> </w:t>
      </w:r>
      <w:r w:rsidRPr="00C835AB">
        <w:t>wyroku z dnia 17 czerwca 2020 r</w:t>
      </w:r>
      <w:r w:rsidR="00646966" w:rsidRPr="00C835AB">
        <w:t>. (</w:t>
      </w:r>
      <w:r w:rsidRPr="00C835AB">
        <w:t xml:space="preserve">II </w:t>
      </w:r>
      <w:proofErr w:type="spellStart"/>
      <w:r w:rsidRPr="00C835AB">
        <w:t>AKa</w:t>
      </w:r>
      <w:proofErr w:type="spellEnd"/>
      <w:r w:rsidRPr="00C835AB">
        <w:t xml:space="preserve"> 64/20</w:t>
      </w:r>
      <w:r w:rsidR="00646966" w:rsidRPr="00C835AB">
        <w:t xml:space="preserve">, </w:t>
      </w:r>
      <w:r w:rsidRPr="00C835AB">
        <w:t>LEX nr 3055805) obowiązek sporządzenia uzasadnienia orzeczenia jest nie tylko wymogiem formalnym, ale ma istotne znaczenie merytoryczne. Uzasadnienie, przedstawiając tok rozumowania poprzedzający wydanie orzeczenia, umożliwić ma stronom, a</w:t>
      </w:r>
      <w:r w:rsidR="00E865A6" w:rsidRPr="00C835AB">
        <w:t> </w:t>
      </w:r>
      <w:r w:rsidRPr="00C835AB">
        <w:t>zwłaszcza oskarżonemu, jego kontrolę. Pełni zatem nie</w:t>
      </w:r>
      <w:r w:rsidR="0097228F">
        <w:t> </w:t>
      </w:r>
      <w:r w:rsidRPr="00C835AB">
        <w:t>tylko funkcje procesowe, lecz także buduje autorytet wymiaru sprawiedliwości i kształtuje zewnętrzne przekonanie o</w:t>
      </w:r>
      <w:r w:rsidR="00E865A6" w:rsidRPr="00C835AB">
        <w:t> </w:t>
      </w:r>
      <w:r w:rsidRPr="00C835AB">
        <w:t>sprawiedliwości orzeczenia. Dostrzegając te</w:t>
      </w:r>
      <w:r w:rsidR="402A7E5A" w:rsidRPr="00C835AB">
        <w:t xml:space="preserve"> względy</w:t>
      </w:r>
      <w:r w:rsidRPr="00C835AB">
        <w:t xml:space="preserve"> Sąd</w:t>
      </w:r>
      <w:r w:rsidR="0097228F">
        <w:t> </w:t>
      </w:r>
      <w:r w:rsidRPr="00C835AB">
        <w:t>Apelacyjny w Gdańsku odstąpił od sporządzenia uzasadnienia wyroku na formularzu, o</w:t>
      </w:r>
      <w:r w:rsidR="0097228F">
        <w:t> </w:t>
      </w:r>
      <w:r w:rsidRPr="00C835AB">
        <w:t>którym mowa w art. 99a § 1 k.p.k., gdyż zastosowanie tej formy sporządzenia uzasadnienia wyroku w procedowanej sprawie naruszałoby prawo strony do rzetelnego procesu. Podzielając te argumenty należy przyjąć, że sporządzenie uzasadnienia na formularzu jest prawnie dozwolone tylko wówczas, gdy sąd nie dojdzie do przekonania, że materia sprawy nie pozwala mu na sporządzenie tego dokumentu w</w:t>
      </w:r>
      <w:r w:rsidR="00E865A6" w:rsidRPr="00C835AB">
        <w:t> </w:t>
      </w:r>
      <w:r w:rsidRPr="00C835AB">
        <w:t>tej uproszczonej formie bez naruszenia prawa strony do</w:t>
      </w:r>
      <w:r w:rsidR="0097228F">
        <w:t> </w:t>
      </w:r>
      <w:r w:rsidRPr="00C835AB">
        <w:t>rzetelnego procesu, które to prawo ma absolutny prymat przed uprawnieniem sądu do</w:t>
      </w:r>
      <w:r w:rsidR="0097228F">
        <w:t> </w:t>
      </w:r>
      <w:r w:rsidRPr="00C835AB">
        <w:t>stosowania tych „pomocnych” rozwiązań o</w:t>
      </w:r>
      <w:r w:rsidR="00E865A6" w:rsidRPr="00C835AB">
        <w:t> </w:t>
      </w:r>
      <w:r w:rsidRPr="00C835AB">
        <w:t>charakterze biurowo-technicznym.</w:t>
      </w:r>
    </w:p>
    <w:p w14:paraId="42BE313F" w14:textId="35D0D0D3" w:rsidR="6EC29E5C" w:rsidRPr="00C835AB" w:rsidRDefault="6EC29E5C" w:rsidP="00603A64">
      <w:pPr>
        <w:pStyle w:val="NormalnyWeb"/>
        <w:spacing w:before="0" w:beforeAutospacing="0" w:after="0" w:afterAutospacing="0" w:line="360" w:lineRule="auto"/>
        <w:ind w:firstLine="708"/>
        <w:jc w:val="both"/>
      </w:pPr>
      <w:r w:rsidRPr="00C835AB">
        <w:t>Również Trybunał Konstytucyjny stoi na stanowisku, że „uzasadnianie orzeczeń sądowych jest decydującym komponentem prawa do rzetelnego sądu jako konstytucyjnie chronionego prawa jednostki (...). Uzasadnianie orzeczeń pełni różne funkcje: sprzyjania samokontroli organu orzekającego, wyjaśniająco-interpretacyjną (w tym dokumentacyjną i</w:t>
      </w:r>
      <w:r w:rsidR="00A76A6B" w:rsidRPr="00C835AB">
        <w:t> </w:t>
      </w:r>
      <w:r w:rsidRPr="00C835AB">
        <w:t>ułatwiającą realizację orzeczenia), kontrolną zewnętrzną, umożliwiającą akceptację orzeczenia w skali indywidualnej i jego legitymizację społeczną (funkcja wychowawcza, głos w dyskursie społecznym). Wszystkie te funkcje uzasadnienia są zakotwiczone w</w:t>
      </w:r>
      <w:r w:rsidR="00A76A6B" w:rsidRPr="00C835AB">
        <w:t> </w:t>
      </w:r>
      <w:r w:rsidRPr="00C835AB">
        <w:t>konstytucyjnych zasadach i wartościach</w:t>
      </w:r>
      <w:r w:rsidR="749032BD" w:rsidRPr="00C835AB">
        <w:t xml:space="preserve"> </w:t>
      </w:r>
      <w:r w:rsidR="00E42D64" w:rsidRPr="00C835AB">
        <w:t xml:space="preserve">– </w:t>
      </w:r>
      <w:r w:rsidRPr="00C835AB">
        <w:t>aby wskazać tylko zasadę państwa prawa, godność</w:t>
      </w:r>
      <w:r w:rsidR="6B8E150B" w:rsidRPr="00C835AB">
        <w:t xml:space="preserve"> </w:t>
      </w:r>
      <w:r w:rsidRPr="00C835AB">
        <w:t>ludzką, skuteczne prawo do sądu. Jednak nie w każdym wypadku każda z tych funkcji dochodzi do głosu równie silnie. Zależy to od szczebla postępowania, przedmiotu orzeczenia, formy uzasadnienia (ustne, pisemne). Toteż w wypadku oceny każdego ograniczenia zasady uzasadniania orzeczeń konieczna jest dokładna analiza wszystkich czynników, uwarunkowań i</w:t>
      </w:r>
      <w:r w:rsidR="00A76A6B" w:rsidRPr="00C835AB">
        <w:t> </w:t>
      </w:r>
      <w:r w:rsidRPr="00C835AB">
        <w:t xml:space="preserve">kryteriów” (por. postanowienie TK z dnia 11 kwietnia 2005 r., SK 48/04, Z.U. 2005, nr 4A, poz. 45). Trybunał Konstytucyjny podkreślał, że uzasadnienie orzeczenia jest podstawą kontroli zewnętrznej orzeczenia przez organ wyższej instancji, bowiem dokumentuje argumenty </w:t>
      </w:r>
      <w:r w:rsidRPr="00C835AB">
        <w:lastRenderedPageBreak/>
        <w:t>przemawiające za przyjętym rozstrzygnięciem. Rzetelne, logiczne i zrozumiałe dla strony uzasadnienie wyroku umożliwia skuteczne wywiedzenie apelacji, gdyż stwarza stronie możliwość zapoznania się z argumentami przemawiającymi za przyjętym przez sąd rozstrzygnięciem (por. wyrok TK z dnia 16 stycznia 2006 r., SK 30/05, OTK-A 2006/1, poz. 2, teza 4.3. uzasadnienia). Nie chodzi zatem o jakiekolwiek uzasadnienie wyroku, ale takie, które umożliwia jego społeczną kontrolę, kontrolę wysłuchania stron w danym postępowaniu, zaś</w:t>
      </w:r>
      <w:r w:rsidR="0097228F">
        <w:t> </w:t>
      </w:r>
      <w:r w:rsidRPr="00C835AB">
        <w:t>stronom umożliwia rzeczywiste wykorzystanie przysługujących im środków procesowych, zwłaszcza odwoławczych. Z tego powodu proponuje się zmianę treści art. 99a § 1 k.p.k., z</w:t>
      </w:r>
      <w:r w:rsidR="00A76A6B" w:rsidRPr="00C835AB">
        <w:t> </w:t>
      </w:r>
      <w:r w:rsidRPr="00C835AB">
        <w:t>obowiązku sporządzenia uzasadniania na urzędowym formularzu na możliwość jego</w:t>
      </w:r>
      <w:r w:rsidR="0097228F">
        <w:t> </w:t>
      </w:r>
      <w:r w:rsidRPr="00C835AB">
        <w:t>sporządzenia przez sąd.</w:t>
      </w:r>
      <w:r w:rsidR="00700F0A" w:rsidRPr="00C835AB">
        <w:t xml:space="preserve"> W związku z projektowaną zmianą proponuje się również odstąpienie od egzemplifikacji „w tym wyroku nakazowego i wyroku łącznego”.</w:t>
      </w:r>
    </w:p>
    <w:p w14:paraId="0704461B" w14:textId="04C1D480" w:rsidR="0FF4DE2E" w:rsidRPr="00C835AB" w:rsidRDefault="0FF4DE2E" w:rsidP="00D823D0">
      <w:pPr>
        <w:pStyle w:val="Akapitzlist1"/>
        <w:spacing w:after="0" w:line="360" w:lineRule="auto"/>
        <w:ind w:left="0"/>
        <w:jc w:val="both"/>
        <w:rPr>
          <w:rFonts w:ascii="Times New Roman" w:hAnsi="Times New Roman"/>
          <w:b/>
          <w:bCs/>
          <w:sz w:val="24"/>
          <w:szCs w:val="24"/>
        </w:rPr>
      </w:pPr>
    </w:p>
    <w:p w14:paraId="52A1402D" w14:textId="6320C1CE" w:rsidR="0FF4DE2E" w:rsidRPr="00C835AB" w:rsidRDefault="009321A7" w:rsidP="00D823D0">
      <w:pPr>
        <w:pStyle w:val="Akapitzlist1"/>
        <w:spacing w:after="0" w:line="360" w:lineRule="auto"/>
        <w:ind w:left="0" w:firstLine="708"/>
        <w:jc w:val="both"/>
        <w:rPr>
          <w:rFonts w:ascii="Times New Roman" w:hAnsi="Times New Roman"/>
          <w:b/>
          <w:bCs/>
          <w:sz w:val="24"/>
          <w:szCs w:val="24"/>
        </w:rPr>
      </w:pPr>
      <w:r w:rsidRPr="00C835AB">
        <w:rPr>
          <w:rFonts w:ascii="Times New Roman" w:hAnsi="Times New Roman"/>
          <w:b/>
          <w:bCs/>
          <w:sz w:val="24"/>
          <w:szCs w:val="24"/>
        </w:rPr>
        <w:t>A</w:t>
      </w:r>
      <w:r w:rsidR="4DC5CDD9" w:rsidRPr="00C835AB">
        <w:rPr>
          <w:rFonts w:ascii="Times New Roman" w:hAnsi="Times New Roman"/>
          <w:b/>
          <w:bCs/>
          <w:sz w:val="24"/>
          <w:szCs w:val="24"/>
        </w:rPr>
        <w:t>rt. 100</w:t>
      </w:r>
      <w:r w:rsidR="00FD6A12" w:rsidRPr="00C835AB">
        <w:rPr>
          <w:rFonts w:ascii="Times New Roman" w:hAnsi="Times New Roman"/>
          <w:b/>
          <w:bCs/>
          <w:sz w:val="24"/>
          <w:szCs w:val="24"/>
        </w:rPr>
        <w:t xml:space="preserve"> § 1 i § 1a k.p.k.</w:t>
      </w:r>
    </w:p>
    <w:p w14:paraId="1036CCAB" w14:textId="77777777" w:rsidR="00544C1E" w:rsidRDefault="00BE4DA2" w:rsidP="00544C1E">
      <w:pPr>
        <w:pStyle w:val="NormalnyWeb"/>
        <w:spacing w:before="0" w:beforeAutospacing="0" w:after="0" w:afterAutospacing="0" w:line="360" w:lineRule="auto"/>
        <w:ind w:firstLine="708"/>
        <w:jc w:val="both"/>
      </w:pPr>
      <w:r w:rsidRPr="00C835AB">
        <w:t>Projektowana z</w:t>
      </w:r>
      <w:r w:rsidR="702C51F7" w:rsidRPr="00C835AB">
        <w:t xml:space="preserve">miana art. 100 § 1 </w:t>
      </w:r>
      <w:r w:rsidR="009321A7" w:rsidRPr="00C835AB">
        <w:t xml:space="preserve">k.p.k. </w:t>
      </w:r>
      <w:r w:rsidR="702C51F7" w:rsidRPr="00C835AB">
        <w:t xml:space="preserve">oraz uchylenie § 1a tego przepisu ma charakter doprecyzowujący. W treści </w:t>
      </w:r>
      <w:r w:rsidR="00FD6A12" w:rsidRPr="00C835AB">
        <w:t xml:space="preserve">art. 100 </w:t>
      </w:r>
      <w:r w:rsidR="009321A7" w:rsidRPr="00C835AB">
        <w:t>§</w:t>
      </w:r>
      <w:r w:rsidR="702C51F7" w:rsidRPr="00C835AB">
        <w:t xml:space="preserve"> 1 </w:t>
      </w:r>
      <w:r w:rsidR="00FD6A12" w:rsidRPr="00C835AB">
        <w:t xml:space="preserve">k.p.k. </w:t>
      </w:r>
      <w:r w:rsidR="702C51F7" w:rsidRPr="00C835AB">
        <w:t>utrzymano zasadę ustności w odniesieniu do</w:t>
      </w:r>
      <w:r w:rsidR="0097228F">
        <w:t> </w:t>
      </w:r>
      <w:r w:rsidR="702C51F7" w:rsidRPr="00C835AB">
        <w:t>sposobu uzewnętrzniania orzeczeń (wyroków i postanowień) oraz zarządzeń wydanych na</w:t>
      </w:r>
      <w:r w:rsidR="0097228F">
        <w:t> </w:t>
      </w:r>
      <w:r w:rsidR="702C51F7" w:rsidRPr="00C835AB">
        <w:t>rozprawie, jak również na posiedzeniu jawnym. Poza tym, jednoznacznie przesądzono, że</w:t>
      </w:r>
      <w:r w:rsidR="0097228F">
        <w:t> </w:t>
      </w:r>
      <w:r w:rsidR="702C51F7" w:rsidRPr="00C835AB">
        <w:t>w</w:t>
      </w:r>
      <w:r w:rsidR="00A76A6B" w:rsidRPr="00C835AB">
        <w:t> </w:t>
      </w:r>
      <w:r w:rsidR="702C51F7" w:rsidRPr="00C835AB">
        <w:t>sytuacji, gdy nikt, włącznie z publicznością, na rozprawę lub posiedzenie jawne</w:t>
      </w:r>
      <w:r w:rsidR="03A7F25C" w:rsidRPr="00C835AB">
        <w:t xml:space="preserve"> się</w:t>
      </w:r>
      <w:r w:rsidR="0097228F">
        <w:t> </w:t>
      </w:r>
      <w:r w:rsidR="03A7F25C" w:rsidRPr="00C835AB">
        <w:t>nie</w:t>
      </w:r>
      <w:r w:rsidR="0097228F">
        <w:t> </w:t>
      </w:r>
      <w:r w:rsidR="03A7F25C" w:rsidRPr="00C835AB">
        <w:t>stawił</w:t>
      </w:r>
      <w:r w:rsidR="702C51F7" w:rsidRPr="00C835AB">
        <w:t>, można uznać wydane orzeczenie lub zarządzenie za ogłoszone bez jego promulgacji.</w:t>
      </w:r>
    </w:p>
    <w:p w14:paraId="2DB9F96C" w14:textId="5276214F" w:rsidR="00544C1E" w:rsidRDefault="00544C1E" w:rsidP="00544C1E">
      <w:pPr>
        <w:pStyle w:val="NormalnyWeb"/>
        <w:spacing w:before="0" w:beforeAutospacing="0" w:after="0" w:afterAutospacing="0" w:line="360" w:lineRule="auto"/>
        <w:ind w:firstLine="708"/>
        <w:jc w:val="both"/>
      </w:pPr>
      <w:r>
        <w:t>Przepis art. 45 ust</w:t>
      </w:r>
      <w:r w:rsidR="00796D23">
        <w:t>.</w:t>
      </w:r>
      <w:r>
        <w:t xml:space="preserve"> 2 </w:t>
      </w:r>
      <w:proofErr w:type="spellStart"/>
      <w:r>
        <w:t>zd</w:t>
      </w:r>
      <w:proofErr w:type="spellEnd"/>
      <w:r>
        <w:t xml:space="preserve">. 2 Konstytucji RP stanowi, że „Wyrok ogłaszany jest publicznie”. W doktrynie wskazuje się, że „Podstawową formą upublicznienia tak rozumianego wyroku jest jego ustne ogłoszenie – przez odczytanie jego sentencji i podanie jego zasadniczych motywów – na otwartym dla publiczności (jawnym) posiedzeniu sądowym po zamknięciu rozprawy [zob. P. Sarnecki, Artykuł 45, w: L. Garlicki (red.), Komentarz, </w:t>
      </w:r>
      <w:proofErr w:type="spellStart"/>
      <w:r>
        <w:t>uw</w:t>
      </w:r>
      <w:proofErr w:type="spellEnd"/>
      <w:r>
        <w:t xml:space="preserve">. 13]. Nie jest to jednak jedyna forma upublicznia rozstrzygnięcia, która spełnia standard konstytucyjny. Za wystarczające można też uznać udostępnienie orzeczenia w siedzibie sądu do wglądu osobom postronnym lub umieszczenie pełnej jego treści w rejestrze lub zbiorze orzeczeń” (M. Safjan, L. </w:t>
      </w:r>
      <w:proofErr w:type="spellStart"/>
      <w:r>
        <w:t>Bosek</w:t>
      </w:r>
      <w:proofErr w:type="spellEnd"/>
      <w:r>
        <w:t xml:space="preserve"> (red.), Konstytucja RP. Tom I. Komentarz do art. 1–86, Warszawa 2016).</w:t>
      </w:r>
    </w:p>
    <w:p w14:paraId="4C84D01B" w14:textId="3B568AF7" w:rsidR="00544C1E" w:rsidRPr="00C835AB" w:rsidRDefault="00544C1E" w:rsidP="00544C1E">
      <w:pPr>
        <w:pStyle w:val="NormalnyWeb"/>
        <w:spacing w:before="0" w:beforeAutospacing="0" w:after="0" w:afterAutospacing="0" w:line="360" w:lineRule="auto"/>
        <w:ind w:firstLine="708"/>
        <w:jc w:val="both"/>
      </w:pPr>
      <w:r>
        <w:t xml:space="preserve">Aby uniknąć sporów o zgodność projektowanej regulacji z Konstytucją RP i mając na uwadze, że w orzecznictwie organów strasburskich odchodzi się od dosłownego rozumienia "ogłaszania wyroku" na rzecz przyjęcia, że może ono dojść do skutku również w razie złożenia wyroku w kancelarii sądu (wyrok ETPC z 8 grudnia1983 r., </w:t>
      </w:r>
      <w:proofErr w:type="spellStart"/>
      <w:r>
        <w:t>Pretto</w:t>
      </w:r>
      <w:proofErr w:type="spellEnd"/>
      <w:r>
        <w:t xml:space="preserve"> i inni przeciwko Włochom, skarga Nr 7984/77, HUDOC), proponuje się odesłanie w projektowanym przepisie do art. 418a </w:t>
      </w:r>
      <w:r>
        <w:lastRenderedPageBreak/>
        <w:t>k.p.k., który stanowi: „W wypadku wyrokowania na posiedzeniu odbywającym się z wyłączeniem jawności treść wyroku udostępnia się publicznie przez złożenie jego odpisu na okres 7 dni w sekretariacie sądu, o czym należy uczynić wzmiankę w protokole lub notatce urzędowej z posiedzenia”.</w:t>
      </w:r>
    </w:p>
    <w:p w14:paraId="37F61A97" w14:textId="7ED30039" w:rsidR="0FF4DE2E" w:rsidRPr="00C835AB" w:rsidRDefault="0FF4DE2E" w:rsidP="00603A64">
      <w:pPr>
        <w:pStyle w:val="NormalnyWeb"/>
        <w:spacing w:before="0" w:beforeAutospacing="0" w:after="0" w:afterAutospacing="0" w:line="360" w:lineRule="auto"/>
        <w:ind w:firstLine="708"/>
        <w:jc w:val="both"/>
      </w:pPr>
    </w:p>
    <w:p w14:paraId="4629C6AD" w14:textId="24A98014" w:rsidR="0FF4DE2E" w:rsidRPr="00C835AB" w:rsidRDefault="009321A7" w:rsidP="00D823D0">
      <w:pPr>
        <w:pStyle w:val="Akapitzlist1"/>
        <w:spacing w:after="0" w:line="360" w:lineRule="auto"/>
        <w:ind w:left="0" w:firstLine="708"/>
        <w:jc w:val="both"/>
        <w:rPr>
          <w:rFonts w:ascii="Times New Roman" w:hAnsi="Times New Roman"/>
          <w:b/>
          <w:bCs/>
          <w:sz w:val="24"/>
          <w:szCs w:val="24"/>
        </w:rPr>
      </w:pPr>
      <w:r w:rsidRPr="00C835AB">
        <w:rPr>
          <w:rFonts w:ascii="Times New Roman" w:hAnsi="Times New Roman"/>
          <w:b/>
          <w:bCs/>
          <w:sz w:val="24"/>
          <w:szCs w:val="24"/>
        </w:rPr>
        <w:t>A</w:t>
      </w:r>
      <w:r w:rsidR="490B0ACA" w:rsidRPr="00C835AB">
        <w:rPr>
          <w:rFonts w:ascii="Times New Roman" w:hAnsi="Times New Roman"/>
          <w:b/>
          <w:bCs/>
          <w:sz w:val="24"/>
          <w:szCs w:val="24"/>
        </w:rPr>
        <w:t>rt. 114</w:t>
      </w:r>
      <w:r w:rsidR="00FD6A12" w:rsidRPr="00C835AB">
        <w:rPr>
          <w:rFonts w:ascii="Times New Roman" w:hAnsi="Times New Roman"/>
          <w:b/>
          <w:bCs/>
          <w:sz w:val="24"/>
          <w:szCs w:val="24"/>
        </w:rPr>
        <w:t xml:space="preserve"> </w:t>
      </w:r>
      <w:r w:rsidR="00A006AF" w:rsidRPr="00C835AB">
        <w:rPr>
          <w:rFonts w:ascii="Times New Roman" w:hAnsi="Times New Roman"/>
          <w:b/>
          <w:bCs/>
          <w:sz w:val="24"/>
          <w:szCs w:val="24"/>
        </w:rPr>
        <w:t>§ 1</w:t>
      </w:r>
      <w:r w:rsidR="00796D23">
        <w:rPr>
          <w:rFonts w:ascii="Times New Roman" w:hAnsi="Times New Roman"/>
          <w:b/>
          <w:bCs/>
          <w:sz w:val="24"/>
          <w:szCs w:val="24"/>
        </w:rPr>
        <w:t>–</w:t>
      </w:r>
      <w:r w:rsidR="006A7D00" w:rsidRPr="00C835AB">
        <w:rPr>
          <w:rFonts w:ascii="Times New Roman" w:hAnsi="Times New Roman"/>
          <w:b/>
          <w:bCs/>
          <w:sz w:val="24"/>
          <w:szCs w:val="24"/>
        </w:rPr>
        <w:t xml:space="preserve">3 </w:t>
      </w:r>
      <w:r w:rsidR="00A006AF" w:rsidRPr="00C835AB">
        <w:rPr>
          <w:rFonts w:ascii="Times New Roman" w:hAnsi="Times New Roman"/>
          <w:b/>
          <w:bCs/>
          <w:sz w:val="24"/>
          <w:szCs w:val="24"/>
        </w:rPr>
        <w:t xml:space="preserve">i § 4 </w:t>
      </w:r>
      <w:r w:rsidR="00FD6A12" w:rsidRPr="00C835AB">
        <w:rPr>
          <w:rFonts w:ascii="Times New Roman" w:hAnsi="Times New Roman"/>
          <w:b/>
          <w:bCs/>
          <w:sz w:val="24"/>
          <w:szCs w:val="24"/>
        </w:rPr>
        <w:t xml:space="preserve">k.p.k. </w:t>
      </w:r>
    </w:p>
    <w:p w14:paraId="27C3285E" w14:textId="42F4C028" w:rsidR="3E0C164E" w:rsidRPr="00C835AB" w:rsidRDefault="3E0C164E" w:rsidP="00603A64">
      <w:pPr>
        <w:pStyle w:val="NormalnyWeb"/>
        <w:spacing w:before="0" w:beforeAutospacing="0" w:after="0" w:afterAutospacing="0" w:line="360" w:lineRule="auto"/>
        <w:ind w:firstLine="708"/>
        <w:jc w:val="both"/>
      </w:pPr>
      <w:r w:rsidRPr="00C835AB">
        <w:t>Proponuje się powrót do treści art. 114 k.p.k. w brzmieniu sprzed wejścia w życie ustawy z dnia 7 lipca 2022 r.</w:t>
      </w:r>
      <w:r w:rsidR="009321A7" w:rsidRPr="00C835AB">
        <w:t>,</w:t>
      </w:r>
      <w:r w:rsidRPr="00C835AB">
        <w:t xml:space="preserve"> a w szczególności odstąpienie od wprowadzonej z dniem 1</w:t>
      </w:r>
      <w:r w:rsidR="00A76A6B" w:rsidRPr="00C835AB">
        <w:t> </w:t>
      </w:r>
      <w:r w:rsidRPr="00C835AB">
        <w:t>października 2023 r. zasady, że zgłoszenie zdania odrębnego nie powoduje konieczności sporządzenia uzasadnienia orzeczenia w sytuacji, gdy nie podlega ono uzasadnieniu z urzędu.</w:t>
      </w:r>
    </w:p>
    <w:p w14:paraId="236A10BE" w14:textId="2C50B704" w:rsidR="7C319F99" w:rsidRPr="00C835AB" w:rsidRDefault="3E0C164E" w:rsidP="00603A64">
      <w:pPr>
        <w:pStyle w:val="NormalnyWeb"/>
        <w:spacing w:before="0" w:beforeAutospacing="0" w:after="0" w:afterAutospacing="0" w:line="360" w:lineRule="auto"/>
        <w:ind w:firstLine="708"/>
        <w:jc w:val="both"/>
      </w:pPr>
      <w:r w:rsidRPr="00C835AB">
        <w:t>Przemawiają za tym dwa względy. Po pierwsze, w poprzednim stanie prawnym art. 114 k.p.k. nie rodził wątpliwości interpretacyjnych oraz trudności orzeczniczych. Nie istniały zatem uzasadnione powody przemawiające za zmianą art. 114 k.p.k. normującego instytucję zdania odrębnego. Po drugie, należy przywrócić zasadę, że w sytuacji zgłoszenia zdania odrębnego należy z urzędu sporządzić uzasadnienie orzeczenia. Zamanifestowanie przez członka składu</w:t>
      </w:r>
      <w:r w:rsidR="7661217A" w:rsidRPr="00C835AB">
        <w:t xml:space="preserve"> orzekającego</w:t>
      </w:r>
      <w:r w:rsidRPr="00C835AB">
        <w:t xml:space="preserve">, że w określonej kwestii posiada on inne zdanie niż </w:t>
      </w:r>
      <w:r w:rsidR="66F7F810" w:rsidRPr="00C835AB">
        <w:t xml:space="preserve">jego </w:t>
      </w:r>
      <w:r w:rsidRPr="00C835AB">
        <w:t>większość każdorazowo powinno łączyć się z uzasadnieniem orzeczeni</w:t>
      </w:r>
      <w:r w:rsidR="3057C640" w:rsidRPr="00C835AB">
        <w:t>a</w:t>
      </w:r>
      <w:r w:rsidRPr="00C835AB">
        <w:t>, a tym samym z możliwością poznania przez</w:t>
      </w:r>
      <w:r w:rsidR="0097228F">
        <w:t> </w:t>
      </w:r>
      <w:r w:rsidRPr="00C835AB">
        <w:t>strony zagadnienia faktycznego lub prawnego, które nie zostało rozstrzygnięte jednomyślne. Wpłynie to pozytywnie na ewentualne wniesieni</w:t>
      </w:r>
      <w:r w:rsidR="6BC604D1" w:rsidRPr="00C835AB">
        <w:t>e</w:t>
      </w:r>
      <w:r w:rsidRPr="00C835AB">
        <w:t xml:space="preserve"> środka odwoławczego.</w:t>
      </w:r>
    </w:p>
    <w:p w14:paraId="19BB5C1B" w14:textId="501A8D96" w:rsidR="00CE1409" w:rsidRPr="00C835AB" w:rsidRDefault="00CE1409" w:rsidP="00490A67">
      <w:pPr>
        <w:pStyle w:val="NormalnyWeb"/>
        <w:spacing w:before="0" w:beforeAutospacing="0" w:after="0" w:afterAutospacing="0" w:line="360" w:lineRule="auto"/>
        <w:ind w:firstLine="708"/>
        <w:jc w:val="both"/>
      </w:pPr>
      <w:r w:rsidRPr="00C835AB">
        <w:t>Proponowane w projekcie brzmienie art. 114 § 3 k.p.k. nie budziło w praktyce wątpliwości i zastępuje obecne brzmienie art. 114 § 3 i 4 k.p.k.</w:t>
      </w:r>
      <w:r w:rsidR="00D823D0" w:rsidRPr="00C835AB">
        <w:t xml:space="preserve"> </w:t>
      </w:r>
    </w:p>
    <w:p w14:paraId="16768E2F" w14:textId="77777777" w:rsidR="00CB0CD6" w:rsidRPr="00C835AB" w:rsidRDefault="00CB0CD6" w:rsidP="00D823D0">
      <w:pPr>
        <w:pStyle w:val="ZLITARTzmartliter"/>
        <w:ind w:left="0" w:firstLine="0"/>
        <w:rPr>
          <w:rFonts w:cs="Times New Roman"/>
          <w:szCs w:val="24"/>
        </w:rPr>
      </w:pPr>
    </w:p>
    <w:p w14:paraId="731B1295" w14:textId="1F5A400D" w:rsidR="008B3712" w:rsidRPr="00C835AB" w:rsidRDefault="175AD5BD" w:rsidP="00D823D0">
      <w:pPr>
        <w:pStyle w:val="ZLITARTzmartliter"/>
        <w:ind w:left="0" w:firstLine="720"/>
        <w:rPr>
          <w:rFonts w:cs="Times New Roman"/>
          <w:b/>
          <w:szCs w:val="24"/>
        </w:rPr>
      </w:pPr>
      <w:r w:rsidRPr="00C835AB">
        <w:rPr>
          <w:rFonts w:cs="Times New Roman"/>
          <w:b/>
          <w:szCs w:val="24"/>
        </w:rPr>
        <w:t>A</w:t>
      </w:r>
      <w:r w:rsidR="4587417C" w:rsidRPr="00C835AB">
        <w:rPr>
          <w:rFonts w:cs="Times New Roman"/>
          <w:b/>
          <w:szCs w:val="24"/>
        </w:rPr>
        <w:t>rt. 159</w:t>
      </w:r>
      <w:r w:rsidR="0019099C" w:rsidRPr="00C835AB">
        <w:rPr>
          <w:rFonts w:cs="Times New Roman"/>
          <w:b/>
          <w:szCs w:val="24"/>
        </w:rPr>
        <w:t xml:space="preserve"> k.p.k.</w:t>
      </w:r>
    </w:p>
    <w:p w14:paraId="2A96915E" w14:textId="219B66D0" w:rsidR="00A94FE4" w:rsidRPr="00C835AB" w:rsidRDefault="00B220E3" w:rsidP="00D823D0">
      <w:pPr>
        <w:pStyle w:val="ZLITARTzmartliter"/>
        <w:ind w:left="0" w:firstLine="720"/>
        <w:rPr>
          <w:rFonts w:cs="Times New Roman"/>
          <w:szCs w:val="24"/>
        </w:rPr>
      </w:pPr>
      <w:r w:rsidRPr="00C835AB">
        <w:rPr>
          <w:rFonts w:cs="Times New Roman"/>
          <w:szCs w:val="24"/>
        </w:rPr>
        <w:t>Proponowane n</w:t>
      </w:r>
      <w:r w:rsidR="00A94FE4" w:rsidRPr="00C835AB">
        <w:rPr>
          <w:rFonts w:cs="Times New Roman"/>
          <w:szCs w:val="24"/>
        </w:rPr>
        <w:t xml:space="preserve">owe brzmienie art. 159 k.p.k. poszerza możliwości wniesienia zażalenia na zarządzenie o odmowie udostępnienia akt wydane w toku postępowania przygotowawczego. Poszerzenie to następuje w wymiarze podmiotowym – możliwość wniesienia zażalenia przysługiwać ma, obok stron, także zatrzymanemu. Wprawdzie </w:t>
      </w:r>
      <w:r w:rsidR="006E51ED" w:rsidRPr="00C835AB">
        <w:rPr>
          <w:rFonts w:cs="Times New Roman"/>
          <w:szCs w:val="24"/>
        </w:rPr>
        <w:t xml:space="preserve">zaproponowane </w:t>
      </w:r>
      <w:r w:rsidR="00A94FE4" w:rsidRPr="00C835AB">
        <w:rPr>
          <w:rFonts w:cs="Times New Roman"/>
          <w:szCs w:val="24"/>
        </w:rPr>
        <w:t>zmiany powodują, że osoba zatrzymana będzie uzyskiwać status podejrzanego, a więc strony postępowania przygotowawczego, jednak należy mieć na względzie sytuację, gdy pomimo zatrzymania nie dojdzie do przedstawienia zarzutów i zatrzymany zostanie zwolniony (np.</w:t>
      </w:r>
      <w:r w:rsidR="00A76A6B" w:rsidRPr="00C835AB">
        <w:rPr>
          <w:rFonts w:cs="Times New Roman"/>
          <w:szCs w:val="24"/>
        </w:rPr>
        <w:t> </w:t>
      </w:r>
      <w:r w:rsidR="00A94FE4" w:rsidRPr="00C835AB">
        <w:rPr>
          <w:rFonts w:cs="Times New Roman"/>
          <w:szCs w:val="24"/>
        </w:rPr>
        <w:t>z</w:t>
      </w:r>
      <w:r w:rsidR="00A76A6B" w:rsidRPr="00C835AB">
        <w:rPr>
          <w:rFonts w:cs="Times New Roman"/>
          <w:szCs w:val="24"/>
        </w:rPr>
        <w:t> </w:t>
      </w:r>
      <w:r w:rsidR="00A94FE4" w:rsidRPr="00C835AB">
        <w:rPr>
          <w:rFonts w:cs="Times New Roman"/>
          <w:szCs w:val="24"/>
        </w:rPr>
        <w:t>uwagi na wyjaśnienie sytuacji wskutek czynności przeprowadzonych w czasie, gdy</w:t>
      </w:r>
      <w:r w:rsidR="00B61B0E">
        <w:rPr>
          <w:rFonts w:cs="Times New Roman"/>
          <w:szCs w:val="24"/>
        </w:rPr>
        <w:t> </w:t>
      </w:r>
      <w:r w:rsidR="00A94FE4" w:rsidRPr="00C835AB">
        <w:rPr>
          <w:rFonts w:cs="Times New Roman"/>
          <w:szCs w:val="24"/>
        </w:rPr>
        <w:t>trwało zatrzymanie). Wówczas odpadnięcie przesłanki uzasadnionego podejrzenia popełnienia przestępstwa określonej w projektowanym art. 71 § 1 k.p.k. spowoduje, że</w:t>
      </w:r>
      <w:r w:rsidR="00B61B0E">
        <w:rPr>
          <w:rFonts w:cs="Times New Roman"/>
          <w:szCs w:val="24"/>
        </w:rPr>
        <w:t> </w:t>
      </w:r>
      <w:r w:rsidR="00A94FE4" w:rsidRPr="00C835AB">
        <w:rPr>
          <w:rFonts w:cs="Times New Roman"/>
          <w:szCs w:val="24"/>
        </w:rPr>
        <w:t xml:space="preserve">zatrzymany utraci status podejrzanego. Z drugiej jednak strony nadal celowe jest, </w:t>
      </w:r>
      <w:r w:rsidR="00A94FE4" w:rsidRPr="00C835AB">
        <w:rPr>
          <w:rFonts w:cs="Times New Roman"/>
          <w:szCs w:val="24"/>
        </w:rPr>
        <w:lastRenderedPageBreak/>
        <w:t>aby</w:t>
      </w:r>
      <w:r w:rsidR="00B61B0E">
        <w:rPr>
          <w:rFonts w:cs="Times New Roman"/>
          <w:szCs w:val="24"/>
        </w:rPr>
        <w:t> </w:t>
      </w:r>
      <w:r w:rsidR="00A94FE4" w:rsidRPr="00C835AB">
        <w:rPr>
          <w:rFonts w:cs="Times New Roman"/>
          <w:szCs w:val="24"/>
        </w:rPr>
        <w:t>nie</w:t>
      </w:r>
      <w:r w:rsidR="00B61B0E">
        <w:rPr>
          <w:rFonts w:cs="Times New Roman"/>
          <w:szCs w:val="24"/>
        </w:rPr>
        <w:t> </w:t>
      </w:r>
      <w:r w:rsidR="00A94FE4" w:rsidRPr="00C835AB">
        <w:rPr>
          <w:rFonts w:cs="Times New Roman"/>
          <w:szCs w:val="24"/>
        </w:rPr>
        <w:t>tylko miał dostęp do akt postępowania w zakresie związanym z zatrzymaniem (proponowany art. 246 § 1a k.p.k.), ale również aby mógł zakwestionować niekorzystną dla</w:t>
      </w:r>
      <w:r w:rsidR="00B61B0E">
        <w:rPr>
          <w:rFonts w:cs="Times New Roman"/>
          <w:szCs w:val="24"/>
        </w:rPr>
        <w:t> </w:t>
      </w:r>
      <w:r w:rsidR="00A94FE4" w:rsidRPr="00C835AB">
        <w:rPr>
          <w:rFonts w:cs="Times New Roman"/>
          <w:szCs w:val="24"/>
        </w:rPr>
        <w:t xml:space="preserve">niego decyzję procesową w tym względzie. Uzasadnia to wyraźne wskazanie zatrzymanego w treści art. 159 k.p.k. jako podmiotu uprawnionego do wniesienia zażalenia. Możliwość zapoznania się z aktami przez zatrzymanego ma dla niego istotne znaczenie w kontekście zastosowania wobec niego środka przymusu. </w:t>
      </w:r>
    </w:p>
    <w:p w14:paraId="6D538E4D" w14:textId="38C797FF" w:rsidR="00A94FE4" w:rsidRPr="00C835AB" w:rsidRDefault="00A94FE4" w:rsidP="00D823D0">
      <w:pPr>
        <w:pStyle w:val="ZLITARTzmartliter"/>
        <w:ind w:left="0" w:firstLine="720"/>
        <w:rPr>
          <w:rFonts w:cs="Times New Roman"/>
          <w:szCs w:val="24"/>
        </w:rPr>
      </w:pPr>
      <w:r w:rsidRPr="00C835AB">
        <w:rPr>
          <w:rFonts w:cs="Times New Roman"/>
          <w:szCs w:val="24"/>
        </w:rPr>
        <w:t>Zmieniony art. 159 k.p.k. prowadzi jednocześnie do zwiększenia zakresu kontroli odwoławczej zasadności zarządzenia o odmowie udostępnienia akt, wprowadzając pełną kontrolę sądową tej decyzji. W przypadku zażalenia na zarządzenie wydane przez organ prowadzący postępowanie, który nie jest prokuratorem, zażalenie to rozpoznaje, jak</w:t>
      </w:r>
      <w:r w:rsidR="00B61B0E">
        <w:rPr>
          <w:rFonts w:cs="Times New Roman"/>
          <w:szCs w:val="24"/>
        </w:rPr>
        <w:t> </w:t>
      </w:r>
      <w:r w:rsidRPr="00C835AB">
        <w:rPr>
          <w:rFonts w:cs="Times New Roman"/>
          <w:szCs w:val="24"/>
        </w:rPr>
        <w:t>dotychczas, prokurator sprawujący nadzór nad postępowaniem, ale jego decyzja w tej kwestii może być jeszcze zaskarżona do sądu, co stanowi novum w treści przepisu. Nowością jest także doprecyzowanie, że zażalenie służy nie tylko na odmowę udostępnienia akt, ale także na odmowę umożliwienia sporządzenia odpisów lub kopii akt.</w:t>
      </w:r>
    </w:p>
    <w:p w14:paraId="70C3BA8E" w14:textId="77777777" w:rsidR="0037634E" w:rsidRPr="00C835AB" w:rsidRDefault="0037634E" w:rsidP="00D823D0">
      <w:pPr>
        <w:rPr>
          <w:rFonts w:ascii="Times New Roman" w:hAnsi="Times New Roman" w:cs="Times New Roman"/>
          <w:color w:val="auto"/>
          <w:sz w:val="24"/>
        </w:rPr>
      </w:pPr>
    </w:p>
    <w:p w14:paraId="320D85D0" w14:textId="6F10E89F" w:rsidR="00195026" w:rsidRPr="00C835AB" w:rsidRDefault="00A56282" w:rsidP="00D823D0">
      <w:pPr>
        <w:pStyle w:val="ZARTzmartartykuempunktem"/>
        <w:ind w:left="0" w:firstLine="708"/>
        <w:rPr>
          <w:rFonts w:ascii="Times New Roman" w:hAnsi="Times New Roman" w:cs="Times New Roman"/>
          <w:b/>
          <w:bCs/>
          <w:szCs w:val="24"/>
        </w:rPr>
      </w:pPr>
      <w:r w:rsidRPr="00C835AB">
        <w:rPr>
          <w:rFonts w:ascii="Times New Roman" w:hAnsi="Times New Roman" w:cs="Times New Roman"/>
          <w:b/>
          <w:bCs/>
          <w:szCs w:val="24"/>
        </w:rPr>
        <w:t>Art. 168a</w:t>
      </w:r>
      <w:r w:rsidR="0019099C" w:rsidRPr="00C835AB">
        <w:rPr>
          <w:rFonts w:ascii="Times New Roman" w:hAnsi="Times New Roman" w:cs="Times New Roman"/>
          <w:b/>
          <w:bCs/>
          <w:szCs w:val="24"/>
        </w:rPr>
        <w:t xml:space="preserve"> k.p.k.</w:t>
      </w:r>
    </w:p>
    <w:p w14:paraId="767A7035" w14:textId="2A648BAC" w:rsidR="0019099C" w:rsidRPr="00C835AB" w:rsidRDefault="00195026" w:rsidP="00D823D0">
      <w:pPr>
        <w:pStyle w:val="Akapitzlist"/>
        <w:ind w:left="0" w:firstLine="708"/>
        <w:rPr>
          <w:rFonts w:ascii="Times New Roman" w:hAnsi="Times New Roman" w:cs="Times New Roman"/>
          <w:color w:val="auto"/>
          <w:sz w:val="24"/>
        </w:rPr>
      </w:pPr>
      <w:r w:rsidRPr="00C835AB">
        <w:rPr>
          <w:rFonts w:ascii="Times New Roman" w:hAnsi="Times New Roman" w:cs="Times New Roman"/>
          <w:color w:val="auto"/>
          <w:sz w:val="24"/>
        </w:rPr>
        <w:t>Problematyka możliwości wykorzystywania w toku postępowania karnego dowodów uzyskanych z naruszeniem prawa (dowodów nielegalnych) budzi szereg kontrowersji. Dla</w:t>
      </w:r>
      <w:r w:rsidR="00B61B0E">
        <w:rPr>
          <w:rFonts w:ascii="Times New Roman" w:hAnsi="Times New Roman" w:cs="Times New Roman"/>
          <w:color w:val="auto"/>
          <w:sz w:val="24"/>
        </w:rPr>
        <w:t> </w:t>
      </w:r>
      <w:r w:rsidRPr="00C835AB">
        <w:rPr>
          <w:rFonts w:ascii="Times New Roman" w:hAnsi="Times New Roman" w:cs="Times New Roman"/>
          <w:color w:val="auto"/>
          <w:sz w:val="24"/>
        </w:rPr>
        <w:t xml:space="preserve">uniknięcia ewentualnych nieporozumień należy wskazać na wstępie, że, wbrew potocznie stosowanej terminologii, art. 168a </w:t>
      </w:r>
      <w:r w:rsidR="0019099C" w:rsidRPr="00C835AB">
        <w:rPr>
          <w:rFonts w:ascii="Times New Roman" w:hAnsi="Times New Roman" w:cs="Times New Roman"/>
          <w:color w:val="auto"/>
          <w:sz w:val="24"/>
        </w:rPr>
        <w:t xml:space="preserve">k.p.k. </w:t>
      </w:r>
      <w:r w:rsidRPr="00C835AB">
        <w:rPr>
          <w:rFonts w:ascii="Times New Roman" w:hAnsi="Times New Roman" w:cs="Times New Roman"/>
          <w:color w:val="auto"/>
          <w:sz w:val="24"/>
        </w:rPr>
        <w:t xml:space="preserve">nie odnosi się do problematyki „owoców zatrutego drzewa”. Przepis ten reguluje zasady wykorzystania w procesie karanym dowodów uzyskanych wprost z naruszeniem prawa tj. bezpośrednio nielegalnych. </w:t>
      </w:r>
    </w:p>
    <w:p w14:paraId="359CCB86" w14:textId="346ACBD4" w:rsidR="00964FB5" w:rsidRPr="00C835AB" w:rsidRDefault="00195026" w:rsidP="00D823D0">
      <w:pPr>
        <w:pStyle w:val="Tekstprzypisudolnego"/>
        <w:spacing w:line="360" w:lineRule="auto"/>
        <w:ind w:firstLine="708"/>
        <w:jc w:val="both"/>
        <w:rPr>
          <w:rFonts w:ascii="Times New Roman" w:hAnsi="Times New Roman" w:cs="Times New Roman"/>
          <w:sz w:val="24"/>
          <w:szCs w:val="24"/>
        </w:rPr>
      </w:pPr>
      <w:r w:rsidRPr="00C835AB">
        <w:rPr>
          <w:rFonts w:ascii="Times New Roman" w:hAnsi="Times New Roman" w:cs="Times New Roman"/>
          <w:sz w:val="24"/>
          <w:szCs w:val="24"/>
        </w:rPr>
        <w:t>W wyroku S</w:t>
      </w:r>
      <w:r w:rsidR="00646966" w:rsidRPr="00C835AB">
        <w:rPr>
          <w:rFonts w:ascii="Times New Roman" w:hAnsi="Times New Roman" w:cs="Times New Roman"/>
          <w:sz w:val="24"/>
          <w:szCs w:val="24"/>
        </w:rPr>
        <w:t>ądu Najwyższego</w:t>
      </w:r>
      <w:r w:rsidRPr="00C835AB">
        <w:rPr>
          <w:rFonts w:ascii="Times New Roman" w:hAnsi="Times New Roman" w:cs="Times New Roman"/>
          <w:sz w:val="24"/>
          <w:szCs w:val="24"/>
        </w:rPr>
        <w:t xml:space="preserve"> z dnia 2 lutego 2016 r. </w:t>
      </w:r>
      <w:r w:rsidR="00646966" w:rsidRPr="00C835AB">
        <w:rPr>
          <w:rFonts w:ascii="Times New Roman" w:hAnsi="Times New Roman" w:cs="Times New Roman"/>
          <w:sz w:val="24"/>
          <w:szCs w:val="24"/>
        </w:rPr>
        <w:t>(</w:t>
      </w:r>
      <w:r w:rsidRPr="00C835AB">
        <w:rPr>
          <w:rFonts w:ascii="Times New Roman" w:hAnsi="Times New Roman" w:cs="Times New Roman"/>
          <w:sz w:val="24"/>
          <w:szCs w:val="24"/>
        </w:rPr>
        <w:t>IV KK 346/15</w:t>
      </w:r>
      <w:r w:rsidR="00646966" w:rsidRPr="00C835AB">
        <w:rPr>
          <w:rFonts w:ascii="Times New Roman" w:hAnsi="Times New Roman" w:cs="Times New Roman"/>
          <w:sz w:val="24"/>
          <w:szCs w:val="24"/>
        </w:rPr>
        <w:t>)</w:t>
      </w:r>
      <w:r w:rsidRPr="00C835AB">
        <w:rPr>
          <w:rFonts w:ascii="Times New Roman" w:hAnsi="Times New Roman" w:cs="Times New Roman"/>
          <w:sz w:val="24"/>
          <w:szCs w:val="24"/>
        </w:rPr>
        <w:t xml:space="preserve"> wskazano, że</w:t>
      </w:r>
      <w:r w:rsidR="00B61B0E">
        <w:rPr>
          <w:rFonts w:ascii="Times New Roman" w:hAnsi="Times New Roman" w:cs="Times New Roman"/>
          <w:sz w:val="24"/>
          <w:szCs w:val="24"/>
        </w:rPr>
        <w:t> </w:t>
      </w:r>
      <w:r w:rsidRPr="00C835AB">
        <w:rPr>
          <w:rFonts w:ascii="Times New Roman" w:hAnsi="Times New Roman" w:cs="Times New Roman"/>
          <w:sz w:val="24"/>
          <w:szCs w:val="24"/>
        </w:rPr>
        <w:t xml:space="preserve">„Artykuł 168a KPK w brzmieniu ustalonym ustawą z dnia 27 września 2013 r. o zmianie ustawy </w:t>
      </w:r>
      <w:r w:rsidR="00796D23">
        <w:rPr>
          <w:rFonts w:ascii="Times New Roman" w:hAnsi="Times New Roman" w:cs="Times New Roman"/>
          <w:sz w:val="24"/>
          <w:szCs w:val="24"/>
        </w:rPr>
        <w:t>–</w:t>
      </w:r>
      <w:r w:rsidRPr="00C835AB">
        <w:rPr>
          <w:rFonts w:ascii="Times New Roman" w:hAnsi="Times New Roman" w:cs="Times New Roman"/>
          <w:sz w:val="24"/>
          <w:szCs w:val="24"/>
        </w:rPr>
        <w:t xml:space="preserve"> Kodeks postępowania karnego oraz niektórych innych ustaw, Dz.</w:t>
      </w:r>
      <w:r w:rsidR="00796D23">
        <w:rPr>
          <w:rFonts w:ascii="Times New Roman" w:hAnsi="Times New Roman" w:cs="Times New Roman"/>
          <w:sz w:val="24"/>
          <w:szCs w:val="24"/>
        </w:rPr>
        <w:t xml:space="preserve"> </w:t>
      </w:r>
      <w:r w:rsidRPr="00C835AB">
        <w:rPr>
          <w:rFonts w:ascii="Times New Roman" w:hAnsi="Times New Roman" w:cs="Times New Roman"/>
          <w:sz w:val="24"/>
          <w:szCs w:val="24"/>
        </w:rPr>
        <w:t>U. z 2013 r. poz.</w:t>
      </w:r>
      <w:r w:rsidR="00B61B0E">
        <w:rPr>
          <w:rFonts w:ascii="Times New Roman" w:hAnsi="Times New Roman" w:cs="Times New Roman"/>
          <w:sz w:val="24"/>
          <w:szCs w:val="24"/>
        </w:rPr>
        <w:t> </w:t>
      </w:r>
      <w:r w:rsidRPr="00C835AB">
        <w:rPr>
          <w:rFonts w:ascii="Times New Roman" w:hAnsi="Times New Roman" w:cs="Times New Roman"/>
          <w:sz w:val="24"/>
          <w:szCs w:val="24"/>
        </w:rPr>
        <w:t>1247, nie wprowadził zakazu wykorzystywania "owoców zatrutego drzewa", gdyż</w:t>
      </w:r>
      <w:r w:rsidR="00B61B0E">
        <w:rPr>
          <w:rFonts w:ascii="Times New Roman" w:hAnsi="Times New Roman" w:cs="Times New Roman"/>
          <w:sz w:val="24"/>
          <w:szCs w:val="24"/>
        </w:rPr>
        <w:t> </w:t>
      </w:r>
      <w:r w:rsidRPr="00C835AB">
        <w:rPr>
          <w:rFonts w:ascii="Times New Roman" w:hAnsi="Times New Roman" w:cs="Times New Roman"/>
          <w:sz w:val="24"/>
          <w:szCs w:val="24"/>
        </w:rPr>
        <w:t>dotyczył jedynie zakazu przeprowadzenia i wykorzystania dowodu bezpośrednio nielegalnego”</w:t>
      </w:r>
      <w:r w:rsidR="0019099C" w:rsidRPr="00C835AB">
        <w:rPr>
          <w:rFonts w:ascii="Times New Roman" w:hAnsi="Times New Roman" w:cs="Times New Roman"/>
          <w:sz w:val="24"/>
          <w:szCs w:val="24"/>
        </w:rPr>
        <w:t>.</w:t>
      </w:r>
      <w:r w:rsidRPr="00C835AB">
        <w:rPr>
          <w:rFonts w:ascii="Times New Roman" w:hAnsi="Times New Roman" w:cs="Times New Roman"/>
          <w:sz w:val="24"/>
          <w:szCs w:val="24"/>
        </w:rPr>
        <w:t xml:space="preserve"> W</w:t>
      </w:r>
      <w:r w:rsidR="00A76A6B" w:rsidRPr="00C835AB">
        <w:rPr>
          <w:rFonts w:ascii="Times New Roman" w:hAnsi="Times New Roman" w:cs="Times New Roman"/>
          <w:sz w:val="24"/>
          <w:szCs w:val="24"/>
        </w:rPr>
        <w:t> </w:t>
      </w:r>
      <w:r w:rsidRPr="00C835AB">
        <w:rPr>
          <w:rFonts w:ascii="Times New Roman" w:hAnsi="Times New Roman" w:cs="Times New Roman"/>
          <w:sz w:val="24"/>
          <w:szCs w:val="24"/>
        </w:rPr>
        <w:t>uzasadnieniu tego orzeczenia S</w:t>
      </w:r>
      <w:r w:rsidR="00D643AA" w:rsidRPr="00C835AB">
        <w:rPr>
          <w:rFonts w:ascii="Times New Roman" w:hAnsi="Times New Roman" w:cs="Times New Roman"/>
          <w:sz w:val="24"/>
          <w:szCs w:val="24"/>
        </w:rPr>
        <w:t>ąd Najwyższy</w:t>
      </w:r>
      <w:r w:rsidRPr="00C835AB">
        <w:rPr>
          <w:rFonts w:ascii="Times New Roman" w:hAnsi="Times New Roman" w:cs="Times New Roman"/>
          <w:sz w:val="24"/>
          <w:szCs w:val="24"/>
        </w:rPr>
        <w:t xml:space="preserve"> wyjaśnił, że „Nie budzi wątpliwości, że w polskiej procedurze karnej nie obowiązuje reguła zakazu wykorzystywania w procesie „owoców zatrutego drzewa” (…) Zdecydowana większość polskiej doktryny opowiada się za dopuszczalnością wykorzystania w postępowaniu karnym tzw. „dowodu pośrednio skażonego</w:t>
      </w:r>
      <w:r w:rsidR="0019099C" w:rsidRPr="00C835AB">
        <w:rPr>
          <w:rFonts w:ascii="Times New Roman" w:hAnsi="Times New Roman" w:cs="Times New Roman"/>
          <w:sz w:val="24"/>
          <w:szCs w:val="24"/>
        </w:rPr>
        <w:t>”</w:t>
      </w:r>
      <w:r w:rsidRPr="00C835AB">
        <w:rPr>
          <w:rFonts w:ascii="Times New Roman" w:hAnsi="Times New Roman" w:cs="Times New Roman"/>
          <w:sz w:val="24"/>
          <w:szCs w:val="24"/>
        </w:rPr>
        <w:t xml:space="preserve">, przez który rozumie się dowód uzyskany w wyniku przeprowadzenia innego dowodu </w:t>
      </w:r>
      <w:r w:rsidR="0019099C" w:rsidRPr="00C835AB">
        <w:rPr>
          <w:rFonts w:ascii="Times New Roman" w:hAnsi="Times New Roman" w:cs="Times New Roman"/>
          <w:sz w:val="24"/>
          <w:szCs w:val="24"/>
        </w:rPr>
        <w:t>–</w:t>
      </w:r>
      <w:r w:rsidRPr="00C835AB">
        <w:rPr>
          <w:rFonts w:ascii="Times New Roman" w:hAnsi="Times New Roman" w:cs="Times New Roman"/>
          <w:sz w:val="24"/>
          <w:szCs w:val="24"/>
        </w:rPr>
        <w:t xml:space="preserve"> określanego jako tzw. dowód nielegalny.</w:t>
      </w:r>
      <w:r w:rsidR="00777BF1" w:rsidRPr="00C835AB">
        <w:rPr>
          <w:rFonts w:ascii="Times New Roman" w:hAnsi="Times New Roman" w:cs="Times New Roman"/>
          <w:sz w:val="24"/>
          <w:szCs w:val="24"/>
        </w:rPr>
        <w:t>”</w:t>
      </w:r>
      <w:r w:rsidR="00DC3893" w:rsidRPr="00C835AB" w:rsidDel="00DC3893">
        <w:rPr>
          <w:rStyle w:val="Odwoanieprzypisudolnego"/>
          <w:rFonts w:ascii="Times New Roman" w:hAnsi="Times New Roman" w:cs="Times New Roman"/>
          <w:sz w:val="24"/>
          <w:szCs w:val="24"/>
        </w:rPr>
        <w:t xml:space="preserve"> </w:t>
      </w:r>
      <w:r w:rsidR="00DC3893" w:rsidRPr="00C835AB">
        <w:rPr>
          <w:rFonts w:ascii="Times New Roman" w:hAnsi="Times New Roman" w:cs="Times New Roman"/>
          <w:sz w:val="24"/>
          <w:szCs w:val="24"/>
        </w:rPr>
        <w:t xml:space="preserve">Podobne stanowisko zaprezentował Sąd Najwyższy w wyroku z dnia 2 lutego 2016 r. (IV KK 372/15) wskazując, </w:t>
      </w:r>
      <w:r w:rsidR="00DC3893" w:rsidRPr="00C835AB">
        <w:rPr>
          <w:rFonts w:ascii="Times New Roman" w:hAnsi="Times New Roman" w:cs="Times New Roman"/>
          <w:sz w:val="24"/>
          <w:szCs w:val="24"/>
        </w:rPr>
        <w:lastRenderedPageBreak/>
        <w:t>że „Zdecydowana większość polskiej doktryny opowiada się za dopuszczalnością wykorzystania w postępowaniu karnym tzw. "dowodu pośrednio skażonego", przez który rozumie się dowód uzyskany w</w:t>
      </w:r>
      <w:r w:rsidR="00A76A6B" w:rsidRPr="00C835AB">
        <w:rPr>
          <w:rFonts w:ascii="Times New Roman" w:hAnsi="Times New Roman" w:cs="Times New Roman"/>
          <w:sz w:val="24"/>
          <w:szCs w:val="24"/>
        </w:rPr>
        <w:t> </w:t>
      </w:r>
      <w:r w:rsidR="00DC3893" w:rsidRPr="00C835AB">
        <w:rPr>
          <w:rFonts w:ascii="Times New Roman" w:hAnsi="Times New Roman" w:cs="Times New Roman"/>
          <w:sz w:val="24"/>
          <w:szCs w:val="24"/>
        </w:rPr>
        <w:t xml:space="preserve">wyniku przeprowadzenia innego dowodu </w:t>
      </w:r>
      <w:r w:rsidR="00796D23">
        <w:rPr>
          <w:rFonts w:ascii="Times New Roman" w:hAnsi="Times New Roman" w:cs="Times New Roman"/>
          <w:sz w:val="24"/>
          <w:szCs w:val="24"/>
        </w:rPr>
        <w:t>–</w:t>
      </w:r>
      <w:r w:rsidR="00DC3893" w:rsidRPr="00C835AB">
        <w:rPr>
          <w:rFonts w:ascii="Times New Roman" w:hAnsi="Times New Roman" w:cs="Times New Roman"/>
          <w:sz w:val="24"/>
          <w:szCs w:val="24"/>
        </w:rPr>
        <w:t xml:space="preserve"> określanego jako tzw. dowód nielegalny. Tak zwany dowód nielegalny, niektórzy nazywają go dowodem wadliwym, to dowód obarczony jednym z uchybień proceduralnych powodujących niedopuszczalność jego wykorzystania w</w:t>
      </w:r>
      <w:r w:rsidR="00A76A6B" w:rsidRPr="00C835AB">
        <w:rPr>
          <w:rFonts w:ascii="Times New Roman" w:hAnsi="Times New Roman" w:cs="Times New Roman"/>
          <w:sz w:val="24"/>
          <w:szCs w:val="24"/>
        </w:rPr>
        <w:t> </w:t>
      </w:r>
      <w:r w:rsidR="00DC3893" w:rsidRPr="00C835AB">
        <w:rPr>
          <w:rFonts w:ascii="Times New Roman" w:hAnsi="Times New Roman" w:cs="Times New Roman"/>
          <w:sz w:val="24"/>
          <w:szCs w:val="24"/>
        </w:rPr>
        <w:t>procesie karnym. Wskazane uchybienia proceduralne mogą dotyczyć sytuacji uzyskania dowodu z nielegalnego źródła (gdy dowodzenie było niedopuszczalne), bądź na skutek nielegalnego sposobu pozyskania i przeprowadzenia dowodu. Podkreśla się, że w myśl art. 2 §</w:t>
      </w:r>
      <w:r w:rsidR="00A76A6B" w:rsidRPr="00C835AB">
        <w:rPr>
          <w:rFonts w:ascii="Times New Roman" w:hAnsi="Times New Roman" w:cs="Times New Roman"/>
          <w:sz w:val="24"/>
          <w:szCs w:val="24"/>
        </w:rPr>
        <w:t> </w:t>
      </w:r>
      <w:r w:rsidR="00DC3893" w:rsidRPr="00C835AB">
        <w:rPr>
          <w:rFonts w:ascii="Times New Roman" w:hAnsi="Times New Roman" w:cs="Times New Roman"/>
          <w:sz w:val="24"/>
          <w:szCs w:val="24"/>
        </w:rPr>
        <w:t>1 k.p.k. jednym z podstawowych założeń polskiej procedury karnej jest pociągnięcie sprawcy do odpowiedzialności karnej, co przesądza na rzecz możliwości wykorzystywania w procesie karnym "dowodów pośrednio skażonych", w celu realizacji tego postulatu”.</w:t>
      </w:r>
    </w:p>
    <w:p w14:paraId="0C2B10C3" w14:textId="28AE96CA" w:rsidR="00BE355D" w:rsidRPr="00C835AB" w:rsidRDefault="00964FB5" w:rsidP="00D823D0">
      <w:pPr>
        <w:pStyle w:val="Tekstprzypisudolnego"/>
        <w:spacing w:line="360" w:lineRule="auto"/>
        <w:ind w:firstLine="708"/>
        <w:jc w:val="both"/>
        <w:rPr>
          <w:rFonts w:ascii="Times New Roman" w:hAnsi="Times New Roman" w:cs="Times New Roman"/>
          <w:sz w:val="24"/>
          <w:szCs w:val="24"/>
        </w:rPr>
      </w:pPr>
      <w:r w:rsidRPr="00C835AB">
        <w:rPr>
          <w:rFonts w:ascii="Times New Roman" w:hAnsi="Times New Roman" w:cs="Times New Roman"/>
          <w:sz w:val="24"/>
          <w:szCs w:val="24"/>
        </w:rPr>
        <w:t>Również w toku prac nad nowelizacją pierwotnego brzmienia art. 168a k.p.k., co</w:t>
      </w:r>
      <w:r w:rsidR="00B61B0E">
        <w:rPr>
          <w:rFonts w:ascii="Times New Roman" w:hAnsi="Times New Roman" w:cs="Times New Roman"/>
          <w:sz w:val="24"/>
          <w:szCs w:val="24"/>
        </w:rPr>
        <w:t> </w:t>
      </w:r>
      <w:r w:rsidRPr="00C835AB">
        <w:rPr>
          <w:rFonts w:ascii="Times New Roman" w:hAnsi="Times New Roman" w:cs="Times New Roman"/>
          <w:sz w:val="24"/>
          <w:szCs w:val="24"/>
        </w:rPr>
        <w:t xml:space="preserve">nastąpiło </w:t>
      </w:r>
      <w:r w:rsidR="00AC00D0" w:rsidRPr="00C835AB">
        <w:rPr>
          <w:rFonts w:ascii="Times New Roman" w:hAnsi="Times New Roman" w:cs="Times New Roman"/>
          <w:sz w:val="24"/>
          <w:szCs w:val="24"/>
        </w:rPr>
        <w:t xml:space="preserve">na mocy </w:t>
      </w:r>
      <w:r w:rsidRPr="00C835AB">
        <w:rPr>
          <w:rFonts w:ascii="Times New Roman" w:hAnsi="Times New Roman" w:cs="Times New Roman"/>
          <w:sz w:val="24"/>
          <w:szCs w:val="24"/>
          <w:shd w:val="clear" w:color="auto" w:fill="FFFFFF"/>
        </w:rPr>
        <w:t>ustaw</w:t>
      </w:r>
      <w:r w:rsidR="00AC00D0" w:rsidRPr="00C835AB">
        <w:rPr>
          <w:rFonts w:ascii="Times New Roman" w:hAnsi="Times New Roman" w:cs="Times New Roman"/>
          <w:sz w:val="24"/>
          <w:szCs w:val="24"/>
          <w:shd w:val="clear" w:color="auto" w:fill="FFFFFF"/>
        </w:rPr>
        <w:t>y</w:t>
      </w:r>
      <w:r w:rsidRPr="00C835AB">
        <w:rPr>
          <w:rFonts w:ascii="Times New Roman" w:hAnsi="Times New Roman" w:cs="Times New Roman"/>
          <w:sz w:val="24"/>
          <w:szCs w:val="24"/>
          <w:shd w:val="clear" w:color="auto" w:fill="FFFFFF"/>
        </w:rPr>
        <w:t xml:space="preserve"> z dnia</w:t>
      </w:r>
      <w:r w:rsidR="00AC00D0" w:rsidRPr="00C835AB">
        <w:rPr>
          <w:rFonts w:ascii="Times New Roman" w:hAnsi="Times New Roman" w:cs="Times New Roman"/>
          <w:sz w:val="24"/>
          <w:szCs w:val="24"/>
          <w:shd w:val="clear" w:color="auto" w:fill="FFFFFF"/>
        </w:rPr>
        <w:t xml:space="preserve"> </w:t>
      </w:r>
      <w:r w:rsidRPr="00C835AB">
        <w:rPr>
          <w:rFonts w:ascii="Times New Roman" w:hAnsi="Times New Roman" w:cs="Times New Roman"/>
          <w:sz w:val="24"/>
          <w:szCs w:val="24"/>
          <w:shd w:val="clear" w:color="auto" w:fill="FFFFFF"/>
        </w:rPr>
        <w:t>11 marca 2016 r.,</w:t>
      </w:r>
      <w:r w:rsidRPr="00C835AB">
        <w:rPr>
          <w:rFonts w:ascii="Times New Roman" w:hAnsi="Times New Roman" w:cs="Times New Roman"/>
          <w:sz w:val="24"/>
          <w:szCs w:val="24"/>
        </w:rPr>
        <w:t xml:space="preserve"> Biuro Anali</w:t>
      </w:r>
      <w:r w:rsidR="00AC00D0" w:rsidRPr="00C835AB">
        <w:rPr>
          <w:rFonts w:ascii="Times New Roman" w:hAnsi="Times New Roman" w:cs="Times New Roman"/>
          <w:sz w:val="24"/>
          <w:szCs w:val="24"/>
        </w:rPr>
        <w:t>z</w:t>
      </w:r>
      <w:r w:rsidRPr="00C835AB">
        <w:rPr>
          <w:rFonts w:ascii="Times New Roman" w:hAnsi="Times New Roman" w:cs="Times New Roman"/>
          <w:sz w:val="24"/>
          <w:szCs w:val="24"/>
        </w:rPr>
        <w:t xml:space="preserve"> Sejmowych wskazywało</w:t>
      </w:r>
      <w:r w:rsidR="00FB5874" w:rsidRPr="00C835AB">
        <w:rPr>
          <w:rFonts w:ascii="Times New Roman" w:hAnsi="Times New Roman" w:cs="Times New Roman"/>
          <w:sz w:val="24"/>
          <w:szCs w:val="24"/>
        </w:rPr>
        <w:t xml:space="preserve"> </w:t>
      </w:r>
      <w:r w:rsidRPr="00C835AB">
        <w:rPr>
          <w:rFonts w:ascii="Times New Roman" w:hAnsi="Times New Roman" w:cs="Times New Roman"/>
          <w:sz w:val="24"/>
          <w:szCs w:val="24"/>
        </w:rPr>
        <w:t>„że</w:t>
      </w:r>
      <w:r w:rsidR="00A76A6B" w:rsidRPr="00C835AB">
        <w:rPr>
          <w:rFonts w:ascii="Times New Roman" w:hAnsi="Times New Roman" w:cs="Times New Roman"/>
          <w:sz w:val="24"/>
          <w:szCs w:val="24"/>
        </w:rPr>
        <w:t> </w:t>
      </w:r>
      <w:r w:rsidRPr="00C835AB">
        <w:rPr>
          <w:rFonts w:ascii="Times New Roman" w:hAnsi="Times New Roman" w:cs="Times New Roman"/>
          <w:sz w:val="24"/>
          <w:szCs w:val="24"/>
        </w:rPr>
        <w:t>przepis art. 168a k.p.k. nie dotyczy dowodów pośrednio nielegalnych. Przemawiają za tym co najmniej dwa argumenty, pierwszy, bardzo bliski projektodawcy, czyli wzgląd na aksjologię procesu karnego i szczególne miejsce, które zajmuje w nim zasada prawdy materialnej. Drugi, nie mniej istotny, zakazy dowodowe jako instytucje ograniczające możliwość dowodzenia powinny być interpretowane w sposób możliwie ścisły”</w:t>
      </w:r>
      <w:r w:rsidR="00BE355D" w:rsidRPr="00C835AB">
        <w:rPr>
          <w:rFonts w:ascii="Times New Roman" w:hAnsi="Times New Roman" w:cs="Times New Roman"/>
          <w:sz w:val="24"/>
          <w:szCs w:val="24"/>
        </w:rPr>
        <w:t xml:space="preserve"> (</w:t>
      </w:r>
      <w:r w:rsidR="00586B43" w:rsidRPr="00C835AB">
        <w:rPr>
          <w:rFonts w:ascii="Times New Roman" w:hAnsi="Times New Roman" w:cs="Times New Roman"/>
          <w:sz w:val="24"/>
          <w:szCs w:val="24"/>
        </w:rPr>
        <w:t>druk sejmowy nr 207 Sejm RP</w:t>
      </w:r>
      <w:r w:rsidR="00BE355D" w:rsidRPr="00C835AB">
        <w:rPr>
          <w:rFonts w:ascii="Times New Roman" w:hAnsi="Times New Roman" w:cs="Times New Roman"/>
          <w:sz w:val="24"/>
          <w:szCs w:val="24"/>
        </w:rPr>
        <w:t xml:space="preserve"> VIII kadencji). </w:t>
      </w:r>
    </w:p>
    <w:p w14:paraId="6B6682D1" w14:textId="77777777" w:rsidR="00586B43" w:rsidRPr="00C835AB" w:rsidRDefault="00964FB5" w:rsidP="00D823D0">
      <w:pPr>
        <w:pStyle w:val="footnotedescription"/>
        <w:spacing w:line="360" w:lineRule="auto"/>
        <w:ind w:left="10" w:firstLine="695"/>
        <w:jc w:val="both"/>
        <w:rPr>
          <w:rFonts w:ascii="Times New Roman" w:hAnsi="Times New Roman" w:cs="Times New Roman"/>
          <w:color w:val="auto"/>
          <w:sz w:val="24"/>
          <w:szCs w:val="24"/>
        </w:rPr>
      </w:pPr>
      <w:r w:rsidRPr="00C835AB">
        <w:rPr>
          <w:rFonts w:ascii="Times New Roman" w:hAnsi="Times New Roman" w:cs="Times New Roman"/>
          <w:color w:val="auto"/>
          <w:sz w:val="24"/>
          <w:szCs w:val="24"/>
        </w:rPr>
        <w:t>Przechodząc do meritum zaproponowanej zmiany zaznaczyć należy, że przepis art. 168a k.p.k. w jego aktualnym brzmieniu, ustalonym w 2016 r., spotkał się z szeroką krytyką.</w:t>
      </w:r>
    </w:p>
    <w:p w14:paraId="714C929B" w14:textId="1B5D1CBC" w:rsidR="00964FB5" w:rsidRPr="00C835AB" w:rsidRDefault="00964FB5" w:rsidP="00D823D0">
      <w:pPr>
        <w:pStyle w:val="footnotedescription"/>
        <w:spacing w:line="360" w:lineRule="auto"/>
        <w:ind w:left="10" w:firstLine="695"/>
        <w:jc w:val="both"/>
        <w:rPr>
          <w:rFonts w:ascii="Times New Roman" w:hAnsi="Times New Roman" w:cs="Times New Roman"/>
          <w:color w:val="auto"/>
          <w:sz w:val="24"/>
          <w:szCs w:val="24"/>
        </w:rPr>
      </w:pPr>
      <w:r w:rsidRPr="00C835AB">
        <w:rPr>
          <w:rFonts w:ascii="Times New Roman" w:hAnsi="Times New Roman" w:cs="Times New Roman"/>
          <w:color w:val="auto"/>
          <w:sz w:val="24"/>
          <w:szCs w:val="24"/>
        </w:rPr>
        <w:t xml:space="preserve">Rzecznik Praw Obywatelskich zarzucał, że przepis ten jest niezgodny z art. 42 ust. 2, art. 45 ust. 1, art. 47, art. 51 ust. 2 i 4 Konstytucji RP w związku z art. 31 ust. 3 Konstytucji RP, a także z art. 2, art. 7 i art. 40 Konstytucji RP, w związku z art. 3 i 6 </w:t>
      </w:r>
      <w:proofErr w:type="spellStart"/>
      <w:r w:rsidR="0094179A" w:rsidRPr="00C835AB">
        <w:rPr>
          <w:rFonts w:ascii="Times New Roman" w:hAnsi="Times New Roman" w:cs="Times New Roman"/>
          <w:color w:val="auto"/>
          <w:sz w:val="24"/>
          <w:szCs w:val="24"/>
        </w:rPr>
        <w:t>EKPCz</w:t>
      </w:r>
      <w:proofErr w:type="spellEnd"/>
      <w:r w:rsidR="008E3AB2" w:rsidRPr="00C835AB">
        <w:rPr>
          <w:rFonts w:ascii="Times New Roman" w:hAnsi="Times New Roman" w:cs="Times New Roman"/>
          <w:color w:val="auto"/>
          <w:sz w:val="24"/>
          <w:szCs w:val="24"/>
        </w:rPr>
        <w:t xml:space="preserve"> </w:t>
      </w:r>
      <w:r w:rsidR="00586B43" w:rsidRPr="00C835AB">
        <w:rPr>
          <w:rFonts w:ascii="Times New Roman" w:hAnsi="Times New Roman" w:cs="Times New Roman"/>
          <w:color w:val="auto"/>
          <w:sz w:val="24"/>
          <w:szCs w:val="24"/>
        </w:rPr>
        <w:t>(</w:t>
      </w:r>
      <w:hyperlink r:id="rId10" w:history="1">
        <w:r w:rsidR="00586B43" w:rsidRPr="00C835AB">
          <w:rPr>
            <w:rStyle w:val="Hipercze"/>
            <w:rFonts w:ascii="Times New Roman" w:hAnsi="Times New Roman" w:cs="Times New Roman"/>
            <w:color w:val="auto"/>
            <w:sz w:val="24"/>
            <w:szCs w:val="24"/>
            <w:u w:val="none"/>
          </w:rPr>
          <w:t>https://trybunal.gov.pl/s/k-2716</w:t>
        </w:r>
      </w:hyperlink>
      <w:r w:rsidR="00586B43" w:rsidRPr="00C835AB">
        <w:rPr>
          <w:rFonts w:ascii="Times New Roman" w:hAnsi="Times New Roman" w:cs="Times New Roman"/>
          <w:color w:val="auto"/>
          <w:sz w:val="24"/>
          <w:szCs w:val="24"/>
        </w:rPr>
        <w:t xml:space="preserve">). </w:t>
      </w:r>
      <w:r w:rsidRPr="00C835AB">
        <w:rPr>
          <w:rFonts w:ascii="Times New Roman" w:hAnsi="Times New Roman" w:cs="Times New Roman"/>
          <w:color w:val="auto"/>
          <w:sz w:val="24"/>
          <w:szCs w:val="24"/>
        </w:rPr>
        <w:t>Posługiwanie się w szerokim zakresie dowodami uzyskanymi nielegalnie podważa, w ocenie R</w:t>
      </w:r>
      <w:r w:rsidR="00586B43" w:rsidRPr="00C835AB">
        <w:rPr>
          <w:rFonts w:ascii="Times New Roman" w:hAnsi="Times New Roman" w:cs="Times New Roman"/>
          <w:color w:val="auto"/>
          <w:sz w:val="24"/>
          <w:szCs w:val="24"/>
        </w:rPr>
        <w:t>zecznika</w:t>
      </w:r>
      <w:r w:rsidRPr="00C835AB">
        <w:rPr>
          <w:rFonts w:ascii="Times New Roman" w:hAnsi="Times New Roman" w:cs="Times New Roman"/>
          <w:color w:val="auto"/>
          <w:sz w:val="24"/>
          <w:szCs w:val="24"/>
        </w:rPr>
        <w:t>, prawo do sprawiedliwego procesu. Procedura karna powinna bowiem być skonstruowana w taki sposób, aby gwarantowała sprawiedliwe rozpoznanie sprawy, a więc w poszanowaniu prawa, a także uprawnień stron i</w:t>
      </w:r>
      <w:r w:rsidR="00A76A6B" w:rsidRPr="00C835AB">
        <w:rPr>
          <w:rFonts w:ascii="Times New Roman" w:hAnsi="Times New Roman" w:cs="Times New Roman"/>
          <w:color w:val="auto"/>
          <w:sz w:val="24"/>
          <w:szCs w:val="24"/>
        </w:rPr>
        <w:t> </w:t>
      </w:r>
      <w:r w:rsidRPr="00C835AB">
        <w:rPr>
          <w:rFonts w:ascii="Times New Roman" w:hAnsi="Times New Roman" w:cs="Times New Roman"/>
          <w:color w:val="auto"/>
          <w:sz w:val="24"/>
          <w:szCs w:val="24"/>
        </w:rPr>
        <w:t xml:space="preserve">uczestników postępowania, a przede wszystkich ich prawa do podmiotowego traktowania. </w:t>
      </w:r>
      <w:r w:rsidR="00B55769" w:rsidRPr="00C835AB">
        <w:rPr>
          <w:rFonts w:ascii="Times New Roman" w:hAnsi="Times New Roman" w:cs="Times New Roman"/>
          <w:color w:val="auto"/>
          <w:sz w:val="24"/>
          <w:szCs w:val="24"/>
        </w:rPr>
        <w:t>Przepis a</w:t>
      </w:r>
      <w:r w:rsidRPr="00C835AB">
        <w:rPr>
          <w:rFonts w:ascii="Times New Roman" w:hAnsi="Times New Roman" w:cs="Times New Roman"/>
          <w:color w:val="auto"/>
          <w:sz w:val="24"/>
          <w:szCs w:val="24"/>
        </w:rPr>
        <w:t>rt. 168a k.p.k. legitymizując działania niezgodne z prawem, jest w ocenie R</w:t>
      </w:r>
      <w:r w:rsidR="00586B43" w:rsidRPr="00C835AB">
        <w:rPr>
          <w:rFonts w:ascii="Times New Roman" w:hAnsi="Times New Roman" w:cs="Times New Roman"/>
          <w:color w:val="auto"/>
          <w:sz w:val="24"/>
          <w:szCs w:val="24"/>
        </w:rPr>
        <w:t>zecznika</w:t>
      </w:r>
      <w:r w:rsidRPr="00C835AB">
        <w:rPr>
          <w:rFonts w:ascii="Times New Roman" w:hAnsi="Times New Roman" w:cs="Times New Roman"/>
          <w:color w:val="auto"/>
          <w:sz w:val="24"/>
          <w:szCs w:val="24"/>
        </w:rPr>
        <w:t xml:space="preserve"> niezgodny również z art. 42 ust. 2 Konstytucji RP, statuującym prawo do obrony we wszystkich stadiach postępowania. Jako skutek pośredni akceptacji bezprawnego pozyskiwania dowodów R</w:t>
      </w:r>
      <w:r w:rsidR="00586B43" w:rsidRPr="00C835AB">
        <w:rPr>
          <w:rFonts w:ascii="Times New Roman" w:hAnsi="Times New Roman" w:cs="Times New Roman"/>
          <w:color w:val="auto"/>
          <w:sz w:val="24"/>
          <w:szCs w:val="24"/>
        </w:rPr>
        <w:t>zecznika</w:t>
      </w:r>
      <w:r w:rsidRPr="00C835AB">
        <w:rPr>
          <w:rFonts w:ascii="Times New Roman" w:hAnsi="Times New Roman" w:cs="Times New Roman"/>
          <w:color w:val="auto"/>
          <w:sz w:val="24"/>
          <w:szCs w:val="24"/>
        </w:rPr>
        <w:t xml:space="preserve"> wskazuje naruszenie art. 47, art. 51 ust. 2 i 4 Konstytucji RP w związku z art. 31 ust. </w:t>
      </w:r>
      <w:r w:rsidRPr="00C835AB">
        <w:rPr>
          <w:rFonts w:ascii="Times New Roman" w:hAnsi="Times New Roman" w:cs="Times New Roman"/>
          <w:color w:val="auto"/>
          <w:sz w:val="24"/>
          <w:szCs w:val="24"/>
        </w:rPr>
        <w:lastRenderedPageBreak/>
        <w:t xml:space="preserve">3 Konstytucji RP i przepisów </w:t>
      </w:r>
      <w:proofErr w:type="spellStart"/>
      <w:r w:rsidRPr="00C835AB">
        <w:rPr>
          <w:rFonts w:ascii="Times New Roman" w:hAnsi="Times New Roman" w:cs="Times New Roman"/>
          <w:color w:val="auto"/>
          <w:sz w:val="24"/>
          <w:szCs w:val="24"/>
        </w:rPr>
        <w:t>EKPCz</w:t>
      </w:r>
      <w:proofErr w:type="spellEnd"/>
      <w:r w:rsidRPr="00C835AB">
        <w:rPr>
          <w:rFonts w:ascii="Times New Roman" w:hAnsi="Times New Roman" w:cs="Times New Roman"/>
          <w:color w:val="auto"/>
          <w:sz w:val="24"/>
          <w:szCs w:val="24"/>
        </w:rPr>
        <w:t>. Na koniec swoich rozważań RPO wskazywał, że</w:t>
      </w:r>
      <w:r w:rsidR="00B61B0E">
        <w:rPr>
          <w:rFonts w:ascii="Times New Roman" w:hAnsi="Times New Roman" w:cs="Times New Roman"/>
          <w:color w:val="auto"/>
          <w:sz w:val="24"/>
          <w:szCs w:val="24"/>
        </w:rPr>
        <w:t> </w:t>
      </w:r>
      <w:r w:rsidRPr="00C835AB">
        <w:rPr>
          <w:rFonts w:ascii="Times New Roman" w:hAnsi="Times New Roman" w:cs="Times New Roman"/>
          <w:color w:val="auto"/>
          <w:sz w:val="24"/>
          <w:szCs w:val="24"/>
        </w:rPr>
        <w:t>istniejący stan rzeczy pozwala twierdzić, że art. 168a k.p.k. jest niezgodny także z art. 2 Konstytucji RP, w tym zwłaszcza z zasadą zaufania obywateli do państwa i stanowionego przez nie prawa.</w:t>
      </w:r>
    </w:p>
    <w:p w14:paraId="708B5696" w14:textId="27B0BEEE" w:rsidR="00586B43" w:rsidRPr="00C835AB" w:rsidRDefault="00964FB5" w:rsidP="00D823D0">
      <w:pPr>
        <w:pStyle w:val="footnotedescription"/>
        <w:spacing w:line="360" w:lineRule="auto"/>
        <w:ind w:firstLine="705"/>
        <w:jc w:val="both"/>
        <w:rPr>
          <w:rFonts w:ascii="Times New Roman" w:hAnsi="Times New Roman" w:cs="Times New Roman"/>
          <w:color w:val="auto"/>
          <w:sz w:val="24"/>
          <w:szCs w:val="24"/>
        </w:rPr>
      </w:pPr>
      <w:r w:rsidRPr="00C835AB">
        <w:rPr>
          <w:rFonts w:ascii="Times New Roman" w:hAnsi="Times New Roman" w:cs="Times New Roman"/>
          <w:color w:val="auto"/>
          <w:sz w:val="24"/>
          <w:szCs w:val="24"/>
        </w:rPr>
        <w:t>Podobnie Krajowa Rada Sądownictwa stała na stanowisku, że art. 168a k.p.k. w</w:t>
      </w:r>
      <w:r w:rsidR="00A76A6B" w:rsidRPr="00C835AB">
        <w:rPr>
          <w:rFonts w:ascii="Times New Roman" w:hAnsi="Times New Roman" w:cs="Times New Roman"/>
          <w:color w:val="auto"/>
          <w:sz w:val="24"/>
          <w:szCs w:val="24"/>
        </w:rPr>
        <w:t> </w:t>
      </w:r>
      <w:r w:rsidRPr="00C835AB">
        <w:rPr>
          <w:rFonts w:ascii="Times New Roman" w:hAnsi="Times New Roman" w:cs="Times New Roman"/>
          <w:color w:val="auto"/>
          <w:sz w:val="24"/>
          <w:szCs w:val="24"/>
        </w:rPr>
        <w:t>brzmieniu nadanym przez ustawę z dnia 11 marca 2016 r. jest niezgodny z art. 2, art. 7, art.</w:t>
      </w:r>
      <w:r w:rsidR="00B61B0E">
        <w:rPr>
          <w:rFonts w:ascii="Times New Roman" w:hAnsi="Times New Roman" w:cs="Times New Roman"/>
          <w:color w:val="auto"/>
          <w:sz w:val="24"/>
          <w:szCs w:val="24"/>
        </w:rPr>
        <w:t> </w:t>
      </w:r>
      <w:r w:rsidRPr="00C835AB">
        <w:rPr>
          <w:rFonts w:ascii="Times New Roman" w:hAnsi="Times New Roman" w:cs="Times New Roman"/>
          <w:color w:val="auto"/>
          <w:sz w:val="24"/>
          <w:szCs w:val="24"/>
        </w:rPr>
        <w:t xml:space="preserve">31 ust. 3, art. 32 ust. 1, art. 45 ust. 1, art. 51 ust. 2, art. 174 i 178 ust. 1 i 2 Konstytucji w związku z art. 3 i art. 6 ust. 1 </w:t>
      </w:r>
      <w:proofErr w:type="spellStart"/>
      <w:r w:rsidR="0094179A" w:rsidRPr="00C835AB">
        <w:rPr>
          <w:rFonts w:ascii="Times New Roman" w:hAnsi="Times New Roman" w:cs="Times New Roman"/>
          <w:color w:val="auto"/>
          <w:sz w:val="24"/>
          <w:szCs w:val="24"/>
        </w:rPr>
        <w:t>EKPCz</w:t>
      </w:r>
      <w:proofErr w:type="spellEnd"/>
      <w:r w:rsidRPr="00C835AB">
        <w:rPr>
          <w:rFonts w:ascii="Times New Roman" w:hAnsi="Times New Roman" w:cs="Times New Roman"/>
          <w:color w:val="auto"/>
          <w:sz w:val="24"/>
          <w:szCs w:val="24"/>
        </w:rPr>
        <w:t>, z uwagi na to, że wprowadzone przez tę ustawę rozwiązania prawne pozwolą na przyznanie waloru dowodu obciążającego strony procesu i czynienie w tym zakresie ustaleń faktycznych niekorzystnych dla stron na podstawie materiałów uzyskanych z</w:t>
      </w:r>
      <w:r w:rsidR="00A76A6B" w:rsidRPr="00C835AB">
        <w:rPr>
          <w:rFonts w:ascii="Times New Roman" w:hAnsi="Times New Roman" w:cs="Times New Roman"/>
          <w:color w:val="auto"/>
          <w:sz w:val="24"/>
          <w:szCs w:val="24"/>
        </w:rPr>
        <w:t> </w:t>
      </w:r>
      <w:r w:rsidRPr="00C835AB">
        <w:rPr>
          <w:rFonts w:ascii="Times New Roman" w:hAnsi="Times New Roman" w:cs="Times New Roman"/>
          <w:color w:val="auto"/>
          <w:sz w:val="24"/>
          <w:szCs w:val="24"/>
        </w:rPr>
        <w:t>naruszeniem przepisów postępowania lub za pomocą czynu zabronionego, o którym mowa w</w:t>
      </w:r>
      <w:r w:rsidR="00A76A6B" w:rsidRPr="00C835AB">
        <w:rPr>
          <w:rFonts w:ascii="Times New Roman" w:hAnsi="Times New Roman" w:cs="Times New Roman"/>
          <w:color w:val="auto"/>
          <w:sz w:val="24"/>
          <w:szCs w:val="24"/>
        </w:rPr>
        <w:t> </w:t>
      </w:r>
      <w:r w:rsidRPr="00C835AB">
        <w:rPr>
          <w:rFonts w:ascii="Times New Roman" w:hAnsi="Times New Roman" w:cs="Times New Roman"/>
          <w:color w:val="auto"/>
          <w:sz w:val="24"/>
          <w:szCs w:val="24"/>
        </w:rPr>
        <w:t>art. 1 § 1 ustawy z dnia 6 czerwca 1997 r. Kodeks karny (Dz. U. z 2015 r. poz. 1855 ze zm.)</w:t>
      </w:r>
      <w:r w:rsidR="00586B43" w:rsidRPr="00C835AB">
        <w:rPr>
          <w:rFonts w:ascii="Times New Roman" w:hAnsi="Times New Roman" w:cs="Times New Roman"/>
          <w:color w:val="auto"/>
          <w:sz w:val="24"/>
          <w:szCs w:val="24"/>
        </w:rPr>
        <w:t xml:space="preserve"> (</w:t>
      </w:r>
      <w:r w:rsidR="00586B43" w:rsidRPr="00C835AB" w:rsidDel="00586B43">
        <w:rPr>
          <w:rFonts w:ascii="Times New Roman" w:hAnsi="Times New Roman" w:cs="Times New Roman"/>
          <w:color w:val="auto"/>
          <w:sz w:val="24"/>
          <w:szCs w:val="24"/>
          <w:vertAlign w:val="superscript"/>
        </w:rPr>
        <w:t xml:space="preserve"> </w:t>
      </w:r>
      <w:r w:rsidR="00586B43" w:rsidRPr="00C835AB">
        <w:rPr>
          <w:rFonts w:ascii="Times New Roman" w:hAnsi="Times New Roman" w:cs="Times New Roman"/>
          <w:color w:val="auto"/>
          <w:sz w:val="24"/>
          <w:szCs w:val="24"/>
        </w:rPr>
        <w:t>https://trybunal.gov.pl/s/k-3016).</w:t>
      </w:r>
    </w:p>
    <w:p w14:paraId="432A2333" w14:textId="3086BF83" w:rsidR="00964FB5" w:rsidRPr="00C835AB" w:rsidRDefault="00586B43" w:rsidP="00D823D0">
      <w:pPr>
        <w:rPr>
          <w:rFonts w:ascii="Times New Roman" w:hAnsi="Times New Roman" w:cs="Times New Roman"/>
          <w:color w:val="auto"/>
          <w:sz w:val="24"/>
        </w:rPr>
      </w:pPr>
      <w:r w:rsidRPr="00C835AB">
        <w:rPr>
          <w:rFonts w:ascii="Times New Roman" w:hAnsi="Times New Roman" w:cs="Times New Roman"/>
          <w:color w:val="auto"/>
          <w:sz w:val="24"/>
        </w:rPr>
        <w:tab/>
      </w:r>
      <w:r w:rsidR="00964FB5" w:rsidRPr="00C835AB">
        <w:rPr>
          <w:rFonts w:ascii="Times New Roman" w:hAnsi="Times New Roman" w:cs="Times New Roman"/>
          <w:color w:val="auto"/>
          <w:sz w:val="24"/>
        </w:rPr>
        <w:t>Dodać można, że Trybunał Konstytucyjny nie rozpoznał merytorycznie zarzutów R</w:t>
      </w:r>
      <w:r w:rsidR="001320A6" w:rsidRPr="00C835AB">
        <w:rPr>
          <w:rFonts w:ascii="Times New Roman" w:hAnsi="Times New Roman" w:cs="Times New Roman"/>
          <w:color w:val="auto"/>
          <w:sz w:val="24"/>
        </w:rPr>
        <w:t>zecznika Praw Obywatelskich</w:t>
      </w:r>
      <w:r w:rsidR="00964FB5" w:rsidRPr="00C835AB">
        <w:rPr>
          <w:rFonts w:ascii="Times New Roman" w:hAnsi="Times New Roman" w:cs="Times New Roman"/>
          <w:color w:val="auto"/>
          <w:sz w:val="24"/>
        </w:rPr>
        <w:t xml:space="preserve"> i K</w:t>
      </w:r>
      <w:r w:rsidR="001320A6" w:rsidRPr="00C835AB">
        <w:rPr>
          <w:rFonts w:ascii="Times New Roman" w:hAnsi="Times New Roman" w:cs="Times New Roman"/>
          <w:color w:val="auto"/>
          <w:sz w:val="24"/>
        </w:rPr>
        <w:t>rajowej rady Sądownictwa</w:t>
      </w:r>
      <w:r w:rsidR="00964FB5" w:rsidRPr="00C835AB">
        <w:rPr>
          <w:rFonts w:ascii="Times New Roman" w:hAnsi="Times New Roman" w:cs="Times New Roman"/>
          <w:color w:val="auto"/>
          <w:sz w:val="24"/>
        </w:rPr>
        <w:t xml:space="preserve"> (sprawy K 27/16 oraz K 30/16, rozpoznawane łącznie </w:t>
      </w:r>
      <w:r w:rsidR="00B55769" w:rsidRPr="00C835AB">
        <w:rPr>
          <w:rFonts w:ascii="Times New Roman" w:hAnsi="Times New Roman" w:cs="Times New Roman"/>
          <w:color w:val="auto"/>
          <w:sz w:val="24"/>
        </w:rPr>
        <w:t xml:space="preserve">w sprawie </w:t>
      </w:r>
      <w:r w:rsidR="00964FB5" w:rsidRPr="00C835AB">
        <w:rPr>
          <w:rFonts w:ascii="Times New Roman" w:hAnsi="Times New Roman" w:cs="Times New Roman"/>
          <w:color w:val="auto"/>
          <w:sz w:val="24"/>
        </w:rPr>
        <w:t>K 27/16).</w:t>
      </w:r>
    </w:p>
    <w:p w14:paraId="42952B1A" w14:textId="001A5F82" w:rsidR="00964FB5" w:rsidRPr="00C835AB" w:rsidRDefault="00964FB5" w:rsidP="00D823D0">
      <w:pPr>
        <w:ind w:left="10" w:firstLine="699"/>
        <w:rPr>
          <w:rFonts w:ascii="Times New Roman" w:hAnsi="Times New Roman" w:cs="Times New Roman"/>
          <w:color w:val="auto"/>
          <w:sz w:val="24"/>
        </w:rPr>
      </w:pPr>
      <w:r w:rsidRPr="00C835AB">
        <w:rPr>
          <w:rFonts w:ascii="Times New Roman" w:hAnsi="Times New Roman" w:cs="Times New Roman"/>
          <w:color w:val="auto"/>
          <w:sz w:val="24"/>
        </w:rPr>
        <w:t>Z dużą rezerwą do art. 168a k.p.k. podchodzi również Sąd Najwyższy. Przykładowo w</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postanowieniu z dnia 9 lutego 2023 r.</w:t>
      </w:r>
      <w:r w:rsidR="00D643AA"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III KK 496/22</w:t>
      </w:r>
      <w:r w:rsidR="00D643AA"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znalazło się stwierdzenie, że</w:t>
      </w:r>
      <w:r w:rsidR="00B61B0E">
        <w:rPr>
          <w:rFonts w:ascii="Times New Roman" w:hAnsi="Times New Roman" w:cs="Times New Roman"/>
          <w:color w:val="auto"/>
          <w:sz w:val="24"/>
        </w:rPr>
        <w:t> </w:t>
      </w:r>
      <w:r w:rsidRPr="00C835AB">
        <w:rPr>
          <w:rFonts w:ascii="Times New Roman" w:hAnsi="Times New Roman" w:cs="Times New Roman"/>
          <w:color w:val="auto"/>
          <w:sz w:val="24"/>
        </w:rPr>
        <w:t xml:space="preserve">„Prokuratorowi powinno być wiadomym, że w procesie karnym nie działa zasada legalnej teorii dowodów i dowodem może być każde oświadczenie lub dokument, (obecnie uzyskany niestety nawet z naruszeniem prawa </w:t>
      </w:r>
      <w:r w:rsidR="00796D23">
        <w:rPr>
          <w:rFonts w:ascii="Times New Roman" w:hAnsi="Times New Roman" w:cs="Times New Roman"/>
          <w:color w:val="auto"/>
          <w:sz w:val="24"/>
        </w:rPr>
        <w:t>–</w:t>
      </w:r>
      <w:r w:rsidRPr="00C835AB">
        <w:rPr>
          <w:rFonts w:ascii="Times New Roman" w:hAnsi="Times New Roman" w:cs="Times New Roman"/>
          <w:color w:val="auto"/>
          <w:sz w:val="24"/>
        </w:rPr>
        <w:t xml:space="preserve"> por. art. 168a i b KPK), pod warunkiem, że nie został on</w:t>
      </w:r>
      <w:r w:rsidR="00B61B0E">
        <w:rPr>
          <w:rFonts w:ascii="Times New Roman" w:hAnsi="Times New Roman" w:cs="Times New Roman"/>
          <w:color w:val="auto"/>
          <w:sz w:val="24"/>
        </w:rPr>
        <w:t> </w:t>
      </w:r>
      <w:r w:rsidRPr="00C835AB">
        <w:rPr>
          <w:rFonts w:ascii="Times New Roman" w:hAnsi="Times New Roman" w:cs="Times New Roman"/>
          <w:color w:val="auto"/>
          <w:sz w:val="24"/>
        </w:rPr>
        <w:t xml:space="preserve">pozyskany wbrew regułom określonym w innych przepisach KPK, np. z naruszeniem tajemnicy adwokackiej czy przy użyciu hipnozy.” </w:t>
      </w:r>
    </w:p>
    <w:p w14:paraId="6FA35A89" w14:textId="195C19F0" w:rsidR="00964FB5" w:rsidRPr="00C835AB" w:rsidRDefault="00964FB5" w:rsidP="00D823D0">
      <w:pPr>
        <w:pStyle w:val="Tekstprzypisudolnego"/>
        <w:spacing w:line="360" w:lineRule="auto"/>
        <w:ind w:firstLine="708"/>
        <w:jc w:val="both"/>
        <w:rPr>
          <w:rFonts w:ascii="Times New Roman" w:hAnsi="Times New Roman" w:cs="Times New Roman"/>
          <w:sz w:val="24"/>
          <w:szCs w:val="24"/>
        </w:rPr>
      </w:pPr>
      <w:r w:rsidRPr="00C835AB">
        <w:rPr>
          <w:rFonts w:ascii="Times New Roman" w:hAnsi="Times New Roman" w:cs="Times New Roman"/>
          <w:sz w:val="24"/>
          <w:szCs w:val="24"/>
        </w:rPr>
        <w:t>Wcześniej w toku prac nad nowelizacją art. 168a k.p.k. S</w:t>
      </w:r>
      <w:r w:rsidR="00D643AA" w:rsidRPr="00C835AB">
        <w:rPr>
          <w:rFonts w:ascii="Times New Roman" w:hAnsi="Times New Roman" w:cs="Times New Roman"/>
          <w:sz w:val="24"/>
          <w:szCs w:val="24"/>
        </w:rPr>
        <w:t>ąd Najwyższy</w:t>
      </w:r>
      <w:r w:rsidRPr="00C835AB">
        <w:rPr>
          <w:rFonts w:ascii="Times New Roman" w:hAnsi="Times New Roman" w:cs="Times New Roman"/>
          <w:sz w:val="24"/>
          <w:szCs w:val="24"/>
        </w:rPr>
        <w:t xml:space="preserve"> opiniując projekt zmiany tego przepisu wskazywał, że „art. 168a k.p.k. został wprowadzony do kodeksu głównie z powodu zmiany art. 393 § 3 k.p.k. i dopuszczenia do procesu karnego wspomnianych dowodów prywatnych. Warto w tym miejscu przytoczyć fragment uzasadnienia nowelizacji, która wprowadziła art. 168a do k.p.k. (uzasadnienie do druku sejmowego nr 870, s. 9), albowiem zachowuje on aktualność. W uzasadnieniu podnoszono, że "Mając na uwadze świadomość ryzyka, jakie wiąże się z dopuszczeniem w proponowany sposób "dowodów prywatnych", Komisja proponuje w sposób jasny ograniczyć możliwość wprowadzania do</w:t>
      </w:r>
      <w:r w:rsidR="00B61B0E">
        <w:rPr>
          <w:rFonts w:ascii="Times New Roman" w:hAnsi="Times New Roman" w:cs="Times New Roman"/>
          <w:sz w:val="24"/>
          <w:szCs w:val="24"/>
        </w:rPr>
        <w:t> </w:t>
      </w:r>
      <w:r w:rsidRPr="00C835AB">
        <w:rPr>
          <w:rFonts w:ascii="Times New Roman" w:hAnsi="Times New Roman" w:cs="Times New Roman"/>
          <w:sz w:val="24"/>
          <w:szCs w:val="24"/>
        </w:rPr>
        <w:t xml:space="preserve">procesu dowodów, które zostały uzyskane z naruszeniem prawa, z tym że niedopuszczalność ich wykorzystania proponuje się ukonstytuować jedynie do tych spośród nich, które pozyskano dla celów postępowania karnego, za pomocą czynu zabronionego (nowy proj. art. 168a k.p.k.). </w:t>
      </w:r>
      <w:r w:rsidRPr="00C835AB">
        <w:rPr>
          <w:rFonts w:ascii="Times New Roman" w:hAnsi="Times New Roman" w:cs="Times New Roman"/>
          <w:sz w:val="24"/>
          <w:szCs w:val="24"/>
        </w:rPr>
        <w:lastRenderedPageBreak/>
        <w:t>Wykluczyć to musi możliwość instalowania na zlecenie strony procesowej podsłuchów, czy</w:t>
      </w:r>
      <w:r w:rsidR="00B61B0E">
        <w:rPr>
          <w:rFonts w:ascii="Times New Roman" w:hAnsi="Times New Roman" w:cs="Times New Roman"/>
          <w:sz w:val="24"/>
          <w:szCs w:val="24"/>
        </w:rPr>
        <w:t> </w:t>
      </w:r>
      <w:r w:rsidRPr="00C835AB">
        <w:rPr>
          <w:rFonts w:ascii="Times New Roman" w:hAnsi="Times New Roman" w:cs="Times New Roman"/>
          <w:sz w:val="24"/>
          <w:szCs w:val="24"/>
        </w:rPr>
        <w:t>dokonywania przeszukania. Proponowany art. 168a k.p.k. będzie miał także i ten walor, że</w:t>
      </w:r>
      <w:r w:rsidR="00B61B0E">
        <w:rPr>
          <w:rFonts w:ascii="Times New Roman" w:hAnsi="Times New Roman" w:cs="Times New Roman"/>
          <w:sz w:val="24"/>
          <w:szCs w:val="24"/>
        </w:rPr>
        <w:t> </w:t>
      </w:r>
      <w:r w:rsidRPr="00C835AB">
        <w:rPr>
          <w:rFonts w:ascii="Times New Roman" w:hAnsi="Times New Roman" w:cs="Times New Roman"/>
          <w:sz w:val="24"/>
          <w:szCs w:val="24"/>
        </w:rPr>
        <w:t>określi granice dopuszczalności wykorzystania dowodów zaprezentowanych przez</w:t>
      </w:r>
      <w:r w:rsidR="00B61B0E">
        <w:rPr>
          <w:rFonts w:ascii="Times New Roman" w:hAnsi="Times New Roman" w:cs="Times New Roman"/>
          <w:sz w:val="24"/>
          <w:szCs w:val="24"/>
        </w:rPr>
        <w:t> </w:t>
      </w:r>
      <w:r w:rsidRPr="00C835AB">
        <w:rPr>
          <w:rFonts w:ascii="Times New Roman" w:hAnsi="Times New Roman" w:cs="Times New Roman"/>
          <w:sz w:val="24"/>
          <w:szCs w:val="24"/>
        </w:rPr>
        <w:t>oskarżyciela, co obecnie w ogóle nie jest w Kodeksie postępowania karnego uregulowane i co</w:t>
      </w:r>
      <w:r w:rsidR="00B61B0E">
        <w:rPr>
          <w:rFonts w:ascii="Times New Roman" w:hAnsi="Times New Roman" w:cs="Times New Roman"/>
          <w:sz w:val="24"/>
          <w:szCs w:val="24"/>
        </w:rPr>
        <w:t> </w:t>
      </w:r>
      <w:r w:rsidRPr="00C835AB">
        <w:rPr>
          <w:rFonts w:ascii="Times New Roman" w:hAnsi="Times New Roman" w:cs="Times New Roman"/>
          <w:sz w:val="24"/>
          <w:szCs w:val="24"/>
        </w:rPr>
        <w:t>jest źródłem poważnych rozbieżności w piśmiennictwie prawniczym oraz judykaturze."</w:t>
      </w:r>
      <w:r w:rsidR="00B61B0E">
        <w:rPr>
          <w:rFonts w:ascii="Times New Roman" w:hAnsi="Times New Roman" w:cs="Times New Roman"/>
          <w:sz w:val="24"/>
          <w:szCs w:val="24"/>
        </w:rPr>
        <w:t>.</w:t>
      </w:r>
      <w:r w:rsidR="001320A6" w:rsidRPr="00C835AB">
        <w:rPr>
          <w:rFonts w:ascii="Times New Roman" w:hAnsi="Times New Roman" w:cs="Times New Roman"/>
          <w:sz w:val="24"/>
          <w:szCs w:val="24"/>
        </w:rPr>
        <w:t xml:space="preserve"> (druk sejmowy nr 207 Sejm RP VIII kadencji). </w:t>
      </w:r>
    </w:p>
    <w:p w14:paraId="556BCAA8" w14:textId="45169FF2" w:rsidR="00964FB5" w:rsidRPr="00C835AB" w:rsidRDefault="00964FB5"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Z przedstawionych powyżej wypowiedzi rysuje się zasadniczy zarzut, że art. 168a k.p.k. narusza konstytucyjną zasadę działania na podstawie prawa (art. 7), niweczy w znacznym zakresie skuteczność gwarancji proceduralnych stron, narusza zaufanie do państwa (wyprowadzane z art. 2 Konstytucji</w:t>
      </w:r>
      <w:r w:rsidR="001320A6" w:rsidRPr="00C835AB">
        <w:rPr>
          <w:rFonts w:ascii="Times New Roman" w:hAnsi="Times New Roman" w:cs="Times New Roman"/>
          <w:color w:val="auto"/>
          <w:sz w:val="24"/>
        </w:rPr>
        <w:t xml:space="preserve"> RP</w:t>
      </w:r>
      <w:r w:rsidRPr="00C835AB">
        <w:rPr>
          <w:rFonts w:ascii="Times New Roman" w:hAnsi="Times New Roman" w:cs="Times New Roman"/>
          <w:color w:val="auto"/>
          <w:sz w:val="24"/>
        </w:rPr>
        <w:t>), a wręcz może zachęcać do łamania prawa. Nie</w:t>
      </w:r>
      <w:r w:rsidR="00B61B0E">
        <w:rPr>
          <w:rFonts w:ascii="Times New Roman" w:hAnsi="Times New Roman" w:cs="Times New Roman"/>
          <w:color w:val="auto"/>
          <w:sz w:val="24"/>
        </w:rPr>
        <w:t> </w:t>
      </w:r>
      <w:r w:rsidRPr="00C835AB">
        <w:rPr>
          <w:rFonts w:ascii="Times New Roman" w:hAnsi="Times New Roman" w:cs="Times New Roman"/>
          <w:color w:val="auto"/>
          <w:sz w:val="24"/>
        </w:rPr>
        <w:t xml:space="preserve">powinno być tak, że sądy posługują się w swoim orzecznictwie zasadami: </w:t>
      </w:r>
      <w:proofErr w:type="spellStart"/>
      <w:r w:rsidRPr="00C835AB">
        <w:rPr>
          <w:rFonts w:ascii="Times New Roman" w:hAnsi="Times New Roman" w:cs="Times New Roman"/>
          <w:color w:val="auto"/>
          <w:sz w:val="24"/>
        </w:rPr>
        <w:t>nemo</w:t>
      </w:r>
      <w:proofErr w:type="spellEnd"/>
      <w:r w:rsidRPr="00C835AB">
        <w:rPr>
          <w:rFonts w:ascii="Times New Roman" w:hAnsi="Times New Roman" w:cs="Times New Roman"/>
          <w:color w:val="auto"/>
          <w:sz w:val="24"/>
        </w:rPr>
        <w:t xml:space="preserve"> </w:t>
      </w:r>
      <w:proofErr w:type="spellStart"/>
      <w:r w:rsidRPr="00C835AB">
        <w:rPr>
          <w:rFonts w:ascii="Times New Roman" w:hAnsi="Times New Roman" w:cs="Times New Roman"/>
          <w:color w:val="auto"/>
          <w:sz w:val="24"/>
        </w:rPr>
        <w:t>auditur</w:t>
      </w:r>
      <w:proofErr w:type="spellEnd"/>
      <w:r w:rsidRPr="00C835AB">
        <w:rPr>
          <w:rFonts w:ascii="Times New Roman" w:hAnsi="Times New Roman" w:cs="Times New Roman"/>
          <w:color w:val="auto"/>
          <w:sz w:val="24"/>
        </w:rPr>
        <w:t xml:space="preserve"> </w:t>
      </w:r>
      <w:proofErr w:type="spellStart"/>
      <w:r w:rsidRPr="00C835AB">
        <w:rPr>
          <w:rFonts w:ascii="Times New Roman" w:hAnsi="Times New Roman" w:cs="Times New Roman"/>
          <w:color w:val="auto"/>
          <w:sz w:val="24"/>
        </w:rPr>
        <w:t>propriam</w:t>
      </w:r>
      <w:proofErr w:type="spellEnd"/>
      <w:r w:rsidRPr="00C835AB">
        <w:rPr>
          <w:rFonts w:ascii="Times New Roman" w:hAnsi="Times New Roman" w:cs="Times New Roman"/>
          <w:color w:val="auto"/>
          <w:sz w:val="24"/>
        </w:rPr>
        <w:t xml:space="preserve"> </w:t>
      </w:r>
      <w:proofErr w:type="spellStart"/>
      <w:r w:rsidRPr="00C835AB">
        <w:rPr>
          <w:rFonts w:ascii="Times New Roman" w:hAnsi="Times New Roman" w:cs="Times New Roman"/>
          <w:color w:val="auto"/>
          <w:sz w:val="24"/>
        </w:rPr>
        <w:t>turpitudinem</w:t>
      </w:r>
      <w:proofErr w:type="spellEnd"/>
      <w:r w:rsidRPr="00C835AB">
        <w:rPr>
          <w:rFonts w:ascii="Times New Roman" w:hAnsi="Times New Roman" w:cs="Times New Roman"/>
          <w:color w:val="auto"/>
          <w:sz w:val="24"/>
        </w:rPr>
        <w:t xml:space="preserve"> </w:t>
      </w:r>
      <w:proofErr w:type="spellStart"/>
      <w:r w:rsidRPr="00C835AB">
        <w:rPr>
          <w:rFonts w:ascii="Times New Roman" w:hAnsi="Times New Roman" w:cs="Times New Roman"/>
          <w:color w:val="auto"/>
          <w:sz w:val="24"/>
        </w:rPr>
        <w:t>allegans</w:t>
      </w:r>
      <w:proofErr w:type="spellEnd"/>
      <w:r w:rsidRPr="00C835AB">
        <w:rPr>
          <w:rFonts w:ascii="Times New Roman" w:hAnsi="Times New Roman" w:cs="Times New Roman"/>
          <w:color w:val="auto"/>
          <w:sz w:val="24"/>
        </w:rPr>
        <w:t xml:space="preserve"> (powołujący się na własny występek nie będzie wysłuchany), ex </w:t>
      </w:r>
      <w:proofErr w:type="spellStart"/>
      <w:r w:rsidRPr="00C835AB">
        <w:rPr>
          <w:rFonts w:ascii="Times New Roman" w:hAnsi="Times New Roman" w:cs="Times New Roman"/>
          <w:color w:val="auto"/>
          <w:sz w:val="24"/>
        </w:rPr>
        <w:t>iniuria</w:t>
      </w:r>
      <w:proofErr w:type="spellEnd"/>
      <w:r w:rsidRPr="00C835AB">
        <w:rPr>
          <w:rFonts w:ascii="Times New Roman" w:hAnsi="Times New Roman" w:cs="Times New Roman"/>
          <w:color w:val="auto"/>
          <w:sz w:val="24"/>
        </w:rPr>
        <w:t xml:space="preserve"> </w:t>
      </w:r>
      <w:proofErr w:type="spellStart"/>
      <w:r w:rsidRPr="00C835AB">
        <w:rPr>
          <w:rFonts w:ascii="Times New Roman" w:hAnsi="Times New Roman" w:cs="Times New Roman"/>
          <w:color w:val="auto"/>
          <w:sz w:val="24"/>
        </w:rPr>
        <w:t>ius</w:t>
      </w:r>
      <w:proofErr w:type="spellEnd"/>
      <w:r w:rsidRPr="00C835AB">
        <w:rPr>
          <w:rFonts w:ascii="Times New Roman" w:hAnsi="Times New Roman" w:cs="Times New Roman"/>
          <w:color w:val="auto"/>
          <w:sz w:val="24"/>
        </w:rPr>
        <w:t xml:space="preserve"> non </w:t>
      </w:r>
      <w:proofErr w:type="spellStart"/>
      <w:r w:rsidRPr="00C835AB">
        <w:rPr>
          <w:rFonts w:ascii="Times New Roman" w:hAnsi="Times New Roman" w:cs="Times New Roman"/>
          <w:color w:val="auto"/>
          <w:sz w:val="24"/>
        </w:rPr>
        <w:t>oritur</w:t>
      </w:r>
      <w:proofErr w:type="spellEnd"/>
      <w:r w:rsidRPr="00C835AB">
        <w:rPr>
          <w:rFonts w:ascii="Times New Roman" w:hAnsi="Times New Roman" w:cs="Times New Roman"/>
          <w:color w:val="auto"/>
          <w:sz w:val="24"/>
        </w:rPr>
        <w:t xml:space="preserve"> (z bezprawia nie wywodzi się prawo), czy </w:t>
      </w:r>
      <w:proofErr w:type="spellStart"/>
      <w:r w:rsidRPr="00C835AB">
        <w:rPr>
          <w:rFonts w:ascii="Times New Roman" w:hAnsi="Times New Roman" w:cs="Times New Roman"/>
          <w:color w:val="auto"/>
          <w:sz w:val="24"/>
        </w:rPr>
        <w:t>nemo</w:t>
      </w:r>
      <w:proofErr w:type="spellEnd"/>
      <w:r w:rsidRPr="00C835AB">
        <w:rPr>
          <w:rFonts w:ascii="Times New Roman" w:hAnsi="Times New Roman" w:cs="Times New Roman"/>
          <w:color w:val="auto"/>
          <w:sz w:val="24"/>
        </w:rPr>
        <w:t xml:space="preserve"> </w:t>
      </w:r>
      <w:proofErr w:type="spellStart"/>
      <w:r w:rsidRPr="00C835AB">
        <w:rPr>
          <w:rFonts w:ascii="Times New Roman" w:hAnsi="Times New Roman" w:cs="Times New Roman"/>
          <w:color w:val="auto"/>
          <w:sz w:val="24"/>
        </w:rPr>
        <w:t>potest</w:t>
      </w:r>
      <w:proofErr w:type="spellEnd"/>
      <w:r w:rsidRPr="00C835AB">
        <w:rPr>
          <w:rFonts w:ascii="Times New Roman" w:hAnsi="Times New Roman" w:cs="Times New Roman"/>
          <w:color w:val="auto"/>
          <w:sz w:val="24"/>
        </w:rPr>
        <w:t xml:space="preserve"> </w:t>
      </w:r>
      <w:proofErr w:type="spellStart"/>
      <w:r w:rsidRPr="00C835AB">
        <w:rPr>
          <w:rFonts w:ascii="Times New Roman" w:hAnsi="Times New Roman" w:cs="Times New Roman"/>
          <w:color w:val="auto"/>
          <w:sz w:val="24"/>
        </w:rPr>
        <w:t>commodum</w:t>
      </w:r>
      <w:proofErr w:type="spellEnd"/>
      <w:r w:rsidRPr="00C835AB">
        <w:rPr>
          <w:rFonts w:ascii="Times New Roman" w:hAnsi="Times New Roman" w:cs="Times New Roman"/>
          <w:color w:val="auto"/>
          <w:sz w:val="24"/>
        </w:rPr>
        <w:t xml:space="preserve"> </w:t>
      </w:r>
      <w:proofErr w:type="spellStart"/>
      <w:r w:rsidRPr="00C835AB">
        <w:rPr>
          <w:rFonts w:ascii="Times New Roman" w:hAnsi="Times New Roman" w:cs="Times New Roman"/>
          <w:color w:val="auto"/>
          <w:sz w:val="24"/>
        </w:rPr>
        <w:t>capere</w:t>
      </w:r>
      <w:proofErr w:type="spellEnd"/>
      <w:r w:rsidRPr="00C835AB">
        <w:rPr>
          <w:rFonts w:ascii="Times New Roman" w:hAnsi="Times New Roman" w:cs="Times New Roman"/>
          <w:color w:val="auto"/>
          <w:sz w:val="24"/>
        </w:rPr>
        <w:t xml:space="preserve"> de </w:t>
      </w:r>
      <w:proofErr w:type="spellStart"/>
      <w:r w:rsidRPr="00C835AB">
        <w:rPr>
          <w:rFonts w:ascii="Times New Roman" w:hAnsi="Times New Roman" w:cs="Times New Roman"/>
          <w:color w:val="auto"/>
          <w:sz w:val="24"/>
        </w:rPr>
        <w:t>iniuria</w:t>
      </w:r>
      <w:proofErr w:type="spellEnd"/>
      <w:r w:rsidRPr="00C835AB">
        <w:rPr>
          <w:rFonts w:ascii="Times New Roman" w:hAnsi="Times New Roman" w:cs="Times New Roman"/>
          <w:color w:val="auto"/>
          <w:sz w:val="24"/>
        </w:rPr>
        <w:t xml:space="preserve"> </w:t>
      </w:r>
      <w:proofErr w:type="spellStart"/>
      <w:r w:rsidRPr="00C835AB">
        <w:rPr>
          <w:rFonts w:ascii="Times New Roman" w:hAnsi="Times New Roman" w:cs="Times New Roman"/>
          <w:color w:val="auto"/>
          <w:sz w:val="24"/>
        </w:rPr>
        <w:t>sua</w:t>
      </w:r>
      <w:proofErr w:type="spellEnd"/>
      <w:r w:rsidRPr="00C835AB">
        <w:rPr>
          <w:rFonts w:ascii="Times New Roman" w:hAnsi="Times New Roman" w:cs="Times New Roman"/>
          <w:color w:val="auto"/>
          <w:sz w:val="24"/>
        </w:rPr>
        <w:t xml:space="preserve"> </w:t>
      </w:r>
      <w:proofErr w:type="spellStart"/>
      <w:r w:rsidRPr="00C835AB">
        <w:rPr>
          <w:rFonts w:ascii="Times New Roman" w:hAnsi="Times New Roman" w:cs="Times New Roman"/>
          <w:color w:val="auto"/>
          <w:sz w:val="24"/>
        </w:rPr>
        <w:t>propria</w:t>
      </w:r>
      <w:proofErr w:type="spellEnd"/>
      <w:r w:rsidRPr="00C835AB">
        <w:rPr>
          <w:rFonts w:ascii="Times New Roman" w:hAnsi="Times New Roman" w:cs="Times New Roman"/>
          <w:color w:val="auto"/>
          <w:sz w:val="24"/>
        </w:rPr>
        <w:t xml:space="preserve"> (nikt nie może czerpać korzyści z bezprawia, jakie sam popełnił), a jednocześnie wykorzystują dowody uzyskanie z naruszeniem prawa, w zakresie wskazanym w art. 168a k.p.k.</w:t>
      </w:r>
    </w:p>
    <w:p w14:paraId="234A70E4" w14:textId="77777777" w:rsidR="00964FB5" w:rsidRPr="00C835AB" w:rsidRDefault="00964FB5" w:rsidP="00D823D0">
      <w:pPr>
        <w:ind w:left="10" w:firstLine="698"/>
        <w:rPr>
          <w:rFonts w:ascii="Times New Roman" w:hAnsi="Times New Roman" w:cs="Times New Roman"/>
          <w:color w:val="auto"/>
          <w:sz w:val="24"/>
        </w:rPr>
      </w:pPr>
      <w:r w:rsidRPr="00C835AB">
        <w:rPr>
          <w:rFonts w:ascii="Times New Roman" w:hAnsi="Times New Roman" w:cs="Times New Roman"/>
          <w:color w:val="auto"/>
          <w:sz w:val="24"/>
        </w:rPr>
        <w:t>Nadto, zgodnie z art. 51 ust. 4. Konstytucji RP, każdy ma prawo do żądania sprostowania oraz usunięcia informacji nieprawdziwych, niepełnych lub zebranych w sposób sprzeczny z ustawą.</w:t>
      </w:r>
    </w:p>
    <w:p w14:paraId="79D996D8" w14:textId="3B7A402A" w:rsidR="00964FB5" w:rsidRPr="00C835AB" w:rsidRDefault="00964FB5" w:rsidP="00D823D0">
      <w:pPr>
        <w:ind w:left="10" w:firstLine="698"/>
        <w:rPr>
          <w:rFonts w:ascii="Times New Roman" w:hAnsi="Times New Roman" w:cs="Times New Roman"/>
          <w:color w:val="auto"/>
          <w:sz w:val="24"/>
        </w:rPr>
      </w:pPr>
      <w:r w:rsidRPr="00C835AB">
        <w:rPr>
          <w:rFonts w:ascii="Times New Roman" w:hAnsi="Times New Roman" w:cs="Times New Roman"/>
          <w:color w:val="auto"/>
          <w:sz w:val="24"/>
        </w:rPr>
        <w:t>Odwołując się do stanowiska doktryny Sąd Najwyższy wskazywał, że „w polskiej procedurze karnej zakazy dowodowe wynikać muszą z określonych przepisów prawnych. Zakazy dowodowe określają wszelkiego rodzaju ograniczenia co do możliwości dowodzenia oraz wprowadzania i przeprowadzania dowodów, a także ich wykorzystania w procesie karnym (…). Zgodnie z art. 51 ust. 4 Konstytucji RP tylko w razie przeprowadzenia czynności dowodowych w sposób sprzeczny z ustawą informacje, a więc środki dowodowe, uzyskane w</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ich następstwie podlegają usunięciu” (postanowienie SN z dnia 28 marca 2012 r., I KZP 25/11).</w:t>
      </w:r>
    </w:p>
    <w:p w14:paraId="646AB6A1" w14:textId="6EEF2350" w:rsidR="00964FB5" w:rsidRPr="00C835AB" w:rsidRDefault="00964FB5" w:rsidP="00D823D0">
      <w:pPr>
        <w:ind w:left="10" w:firstLine="698"/>
        <w:rPr>
          <w:rFonts w:ascii="Times New Roman" w:hAnsi="Times New Roman" w:cs="Times New Roman"/>
          <w:color w:val="auto"/>
          <w:sz w:val="24"/>
        </w:rPr>
      </w:pPr>
      <w:r w:rsidRPr="00C835AB">
        <w:rPr>
          <w:rFonts w:ascii="Times New Roman" w:hAnsi="Times New Roman" w:cs="Times New Roman"/>
          <w:color w:val="auto"/>
          <w:sz w:val="24"/>
        </w:rPr>
        <w:t>Podobne stanowisko zaprezentował Sąd Apelacyjny we Wrocławiu wskazując w</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 xml:space="preserve">uzasadnieniu wyroku z dnia 11 września 2013 r. </w:t>
      </w:r>
      <w:r w:rsidR="00646966"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II </w:t>
      </w:r>
      <w:proofErr w:type="spellStart"/>
      <w:r w:rsidRPr="00C835AB">
        <w:rPr>
          <w:rFonts w:ascii="Times New Roman" w:hAnsi="Times New Roman" w:cs="Times New Roman"/>
          <w:color w:val="auto"/>
          <w:sz w:val="24"/>
        </w:rPr>
        <w:t>AKa</w:t>
      </w:r>
      <w:proofErr w:type="spellEnd"/>
      <w:r w:rsidRPr="00C835AB">
        <w:rPr>
          <w:rFonts w:ascii="Times New Roman" w:hAnsi="Times New Roman" w:cs="Times New Roman"/>
          <w:color w:val="auto"/>
          <w:sz w:val="24"/>
        </w:rPr>
        <w:t xml:space="preserve"> 249/13</w:t>
      </w:r>
      <w:r w:rsidR="00646966"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że „Organy postępowania karnego nie mają całkowitej swobody w doborze i wykorzystaniu środków, metod i sposobów dowodzenia, gdyż działania te podlegają licznym konstytucyjnym i ustawowym ograniczeniom, a niektóre z nich są bezwzględnie zabronione (zakazane). Konstytucja RP wyraźnie przesądza, że czynności dowodowe ingerujące w wolności i prawa osobiste muszą być konieczne (art. 31 ust. 3) oraz odbywać się w granicach zakreślonych przez przepisy KPK </w:t>
      </w:r>
      <w:r w:rsidRPr="00C835AB">
        <w:rPr>
          <w:rFonts w:ascii="Times New Roman" w:hAnsi="Times New Roman" w:cs="Times New Roman"/>
          <w:color w:val="auto"/>
          <w:sz w:val="24"/>
        </w:rPr>
        <w:lastRenderedPageBreak/>
        <w:t>(art. 41 ust. 1; art. 49; art. 50). Natomiast, w razie przeprowadzenia czynności dowodowych w</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sposób sprzeczny z ustawą, informacje, a więc środki dowodowe, uzyskane w</w:t>
      </w:r>
      <w:r w:rsidR="00B61B0E">
        <w:rPr>
          <w:rFonts w:ascii="Times New Roman" w:hAnsi="Times New Roman" w:cs="Times New Roman"/>
          <w:color w:val="auto"/>
          <w:sz w:val="24"/>
        </w:rPr>
        <w:t> </w:t>
      </w:r>
      <w:r w:rsidRPr="00C835AB">
        <w:rPr>
          <w:rFonts w:ascii="Times New Roman" w:hAnsi="Times New Roman" w:cs="Times New Roman"/>
          <w:color w:val="auto"/>
          <w:sz w:val="24"/>
        </w:rPr>
        <w:t>ich</w:t>
      </w:r>
      <w:r w:rsidR="00B61B0E">
        <w:rPr>
          <w:rFonts w:ascii="Times New Roman" w:hAnsi="Times New Roman" w:cs="Times New Roman"/>
          <w:color w:val="auto"/>
          <w:sz w:val="24"/>
        </w:rPr>
        <w:t> </w:t>
      </w:r>
      <w:r w:rsidRPr="00C835AB">
        <w:rPr>
          <w:rFonts w:ascii="Times New Roman" w:hAnsi="Times New Roman" w:cs="Times New Roman"/>
          <w:color w:val="auto"/>
          <w:sz w:val="24"/>
        </w:rPr>
        <w:t xml:space="preserve">następstwie, podlegają usunięciu (art. 51 ust. 4)”. </w:t>
      </w:r>
    </w:p>
    <w:p w14:paraId="5D4EC299" w14:textId="4CB8C549" w:rsidR="001320A6" w:rsidRPr="00C835AB" w:rsidRDefault="00964FB5" w:rsidP="00D823D0">
      <w:pPr>
        <w:ind w:left="10" w:firstLine="698"/>
        <w:rPr>
          <w:rFonts w:ascii="Times New Roman" w:hAnsi="Times New Roman" w:cs="Times New Roman"/>
          <w:color w:val="auto"/>
          <w:sz w:val="24"/>
        </w:rPr>
      </w:pPr>
      <w:r w:rsidRPr="00C835AB">
        <w:rPr>
          <w:rFonts w:ascii="Times New Roman" w:hAnsi="Times New Roman" w:cs="Times New Roman"/>
          <w:color w:val="auto"/>
          <w:sz w:val="24"/>
        </w:rPr>
        <w:t>W tym miejscu należy wskazać, że doktryna prawa konstytucyjnego nie wyklucza kategorycznie możliwości ograniczenia uprawnienia z art. 51 ust</w:t>
      </w:r>
      <w:r w:rsidR="00796D23">
        <w:rPr>
          <w:rFonts w:ascii="Times New Roman" w:hAnsi="Times New Roman" w:cs="Times New Roman"/>
          <w:color w:val="auto"/>
          <w:sz w:val="24"/>
        </w:rPr>
        <w:t>.</w:t>
      </w:r>
      <w:r w:rsidRPr="00C835AB">
        <w:rPr>
          <w:rFonts w:ascii="Times New Roman" w:hAnsi="Times New Roman" w:cs="Times New Roman"/>
          <w:color w:val="auto"/>
          <w:sz w:val="24"/>
        </w:rPr>
        <w:t xml:space="preserve"> 4 Konstytucji RP w granicach wyznaczonych przez art. 31 ust. 3 Konstytucji RP.</w:t>
      </w:r>
    </w:p>
    <w:p w14:paraId="68AFDCAA" w14:textId="694489A0" w:rsidR="001320A6" w:rsidRPr="00C835AB" w:rsidRDefault="001320A6" w:rsidP="00D823D0">
      <w:pPr>
        <w:ind w:left="10" w:firstLine="698"/>
        <w:rPr>
          <w:rFonts w:ascii="Times New Roman" w:hAnsi="Times New Roman" w:cs="Times New Roman"/>
          <w:color w:val="auto"/>
          <w:sz w:val="24"/>
        </w:rPr>
      </w:pPr>
      <w:r w:rsidRPr="00C835AB">
        <w:rPr>
          <w:rFonts w:ascii="Times New Roman" w:hAnsi="Times New Roman" w:cs="Times New Roman"/>
          <w:color w:val="auto"/>
          <w:sz w:val="24"/>
        </w:rPr>
        <w:t>W Komentarzu do art. 51 Konstytucji RP pod redakcją prof. Marka Safjana wskazano, że „chybione wydaje się również absolutyzowanie wskazanej zasady w odniesieniu do</w:t>
      </w:r>
      <w:r w:rsidR="00B61B0E">
        <w:rPr>
          <w:rFonts w:ascii="Times New Roman" w:hAnsi="Times New Roman" w:cs="Times New Roman"/>
          <w:color w:val="auto"/>
          <w:sz w:val="24"/>
        </w:rPr>
        <w:t> </w:t>
      </w:r>
      <w:r w:rsidRPr="00C835AB">
        <w:rPr>
          <w:rFonts w:ascii="Times New Roman" w:hAnsi="Times New Roman" w:cs="Times New Roman"/>
          <w:color w:val="auto"/>
          <w:sz w:val="24"/>
        </w:rPr>
        <w:t>informacji zebranych w sposób sprzeczny z ustawą. TK uznaje, że o takich informacjach można mówić nie tylko wówczas, gdy uzyskiwanie danego rodzaju informacji jest w ogóle niedopuszczalne, ale również wtedy, gdy informacji nie pozyskano na podstawie i w granicach przewidzianych wyraźnie w ustawie lub gdy ich pozyskanie nastąpiło niezgodnie z określoną procedurą (wyrok z dnia 30 lipca 2014 r., K 23/11, OTK-A 2014, Nr 7, poz. 80). (…) Bardziej przekonujące wydaje się odwołanie się do zasady proporcjonalności (art. 31 ust. 3 Konstytucji). Specyfika omawianej gwarancji, fakt, że jest ona ściśle związana z istotą autonomii informacyjnej jednostki, nakazują bowiem przyjęcie, że "poświęcenie" wartości podlegających ochronie na podstawie art. 51 ust. 4 może nastąpić jedynie w przypadkach wyjątkowych. Z</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 xml:space="preserve">natury rzeczy dopuszczalność posługiwania się przez władze publiczne informacjami zebranymi w sposób sprzeczny z ustawą domaga się zaangażowania szczególnie istotnego interesu publicznego dla uczynienia zadość wymogom zasady proporcjonalności oraz ochrony istoty praw i wolności konstytucyjnych. Odwołanie się do wykładni literalnej art. 51 ust. 4 wydaje się zatem zbyteczne” (M. Safjan, L. </w:t>
      </w:r>
      <w:proofErr w:type="spellStart"/>
      <w:r w:rsidRPr="00C835AB">
        <w:rPr>
          <w:rFonts w:ascii="Times New Roman" w:hAnsi="Times New Roman" w:cs="Times New Roman"/>
          <w:color w:val="auto"/>
          <w:sz w:val="24"/>
        </w:rPr>
        <w:t>Bosek</w:t>
      </w:r>
      <w:proofErr w:type="spellEnd"/>
      <w:r w:rsidRPr="00C835AB">
        <w:rPr>
          <w:rFonts w:ascii="Times New Roman" w:hAnsi="Times New Roman" w:cs="Times New Roman"/>
          <w:color w:val="auto"/>
          <w:sz w:val="24"/>
        </w:rPr>
        <w:t xml:space="preserve"> (red.), Konstytucja RP. Tom I. Komentarz do art. 1–86, Warszawa 2016</w:t>
      </w:r>
      <w:r w:rsidR="00F44367" w:rsidRPr="00C835AB">
        <w:rPr>
          <w:rFonts w:ascii="Times New Roman" w:hAnsi="Times New Roman" w:cs="Times New Roman"/>
          <w:color w:val="auto"/>
          <w:sz w:val="24"/>
        </w:rPr>
        <w:t xml:space="preserve">, </w:t>
      </w:r>
      <w:proofErr w:type="spellStart"/>
      <w:r w:rsidR="00F44367" w:rsidRPr="00C835AB">
        <w:rPr>
          <w:rFonts w:ascii="Times New Roman" w:hAnsi="Times New Roman" w:cs="Times New Roman"/>
          <w:color w:val="auto"/>
          <w:sz w:val="24"/>
        </w:rPr>
        <w:t>Legalis</w:t>
      </w:r>
      <w:proofErr w:type="spellEnd"/>
      <w:r w:rsidR="00F44367" w:rsidRPr="00C835AB">
        <w:rPr>
          <w:rFonts w:ascii="Times New Roman" w:hAnsi="Times New Roman" w:cs="Times New Roman"/>
          <w:color w:val="auto"/>
          <w:sz w:val="24"/>
        </w:rPr>
        <w:t>).</w:t>
      </w:r>
    </w:p>
    <w:p w14:paraId="6D4205A6" w14:textId="681513AA" w:rsidR="00964FB5" w:rsidRPr="00C835AB" w:rsidRDefault="00964FB5" w:rsidP="00D823D0">
      <w:pPr>
        <w:ind w:left="10" w:firstLine="698"/>
        <w:rPr>
          <w:rFonts w:ascii="Times New Roman" w:hAnsi="Times New Roman" w:cs="Times New Roman"/>
          <w:color w:val="auto"/>
          <w:sz w:val="24"/>
        </w:rPr>
      </w:pPr>
      <w:r w:rsidRPr="00C835AB">
        <w:rPr>
          <w:rFonts w:ascii="Times New Roman" w:hAnsi="Times New Roman" w:cs="Times New Roman"/>
          <w:color w:val="auto"/>
          <w:sz w:val="24"/>
        </w:rPr>
        <w:t>Podkreślić jednak należy, że art. 168a k.p.k. nie tyle to uprawnienie ogranicza, co</w:t>
      </w:r>
      <w:r w:rsidR="00B61B0E">
        <w:rPr>
          <w:rFonts w:ascii="Times New Roman" w:hAnsi="Times New Roman" w:cs="Times New Roman"/>
          <w:color w:val="auto"/>
          <w:sz w:val="24"/>
        </w:rPr>
        <w:t> </w:t>
      </w:r>
      <w:r w:rsidRPr="00C835AB">
        <w:rPr>
          <w:rFonts w:ascii="Times New Roman" w:hAnsi="Times New Roman" w:cs="Times New Roman"/>
          <w:color w:val="auto"/>
          <w:sz w:val="24"/>
        </w:rPr>
        <w:t>całkowicie wyłącza.</w:t>
      </w:r>
    </w:p>
    <w:p w14:paraId="18DFAA3E" w14:textId="3AC29DF8" w:rsidR="00964FB5" w:rsidRPr="00C835AB" w:rsidRDefault="00964FB5" w:rsidP="00D823D0">
      <w:pPr>
        <w:ind w:left="10" w:firstLine="698"/>
        <w:rPr>
          <w:rFonts w:ascii="Times New Roman" w:hAnsi="Times New Roman" w:cs="Times New Roman"/>
          <w:color w:val="auto"/>
          <w:sz w:val="24"/>
        </w:rPr>
      </w:pPr>
      <w:r w:rsidRPr="00C835AB">
        <w:rPr>
          <w:rFonts w:ascii="Times New Roman" w:hAnsi="Times New Roman" w:cs="Times New Roman"/>
          <w:color w:val="auto"/>
          <w:sz w:val="24"/>
        </w:rPr>
        <w:t xml:space="preserve">Trybunał Konstytucyjny w wyroku z dnia 12 grudnia 2005 r. </w:t>
      </w:r>
      <w:r w:rsidR="00646966" w:rsidRPr="00C835AB">
        <w:rPr>
          <w:rFonts w:ascii="Times New Roman" w:hAnsi="Times New Roman" w:cs="Times New Roman"/>
          <w:color w:val="auto"/>
          <w:sz w:val="24"/>
        </w:rPr>
        <w:t>(</w:t>
      </w:r>
      <w:r w:rsidRPr="00C835AB">
        <w:rPr>
          <w:rFonts w:ascii="Times New Roman" w:hAnsi="Times New Roman" w:cs="Times New Roman"/>
          <w:color w:val="auto"/>
          <w:sz w:val="24"/>
        </w:rPr>
        <w:t>K 32/04</w:t>
      </w:r>
      <w:r w:rsidR="00646966"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analizując uprawnienie z art. 51 ust. 4 Konstytucji RP wskazał, że „Spod działania tego prawa nie</w:t>
      </w:r>
      <w:r w:rsidR="00B61B0E">
        <w:rPr>
          <w:rFonts w:ascii="Times New Roman" w:hAnsi="Times New Roman" w:cs="Times New Roman"/>
          <w:color w:val="auto"/>
          <w:sz w:val="24"/>
        </w:rPr>
        <w:t> </w:t>
      </w:r>
      <w:r w:rsidRPr="00C835AB">
        <w:rPr>
          <w:rFonts w:ascii="Times New Roman" w:hAnsi="Times New Roman" w:cs="Times New Roman"/>
          <w:color w:val="auto"/>
          <w:sz w:val="24"/>
        </w:rPr>
        <w:t>są</w:t>
      </w:r>
      <w:r w:rsidR="00B61B0E">
        <w:rPr>
          <w:rFonts w:ascii="Times New Roman" w:hAnsi="Times New Roman" w:cs="Times New Roman"/>
          <w:color w:val="auto"/>
          <w:sz w:val="24"/>
        </w:rPr>
        <w:t> </w:t>
      </w:r>
      <w:r w:rsidRPr="00C835AB">
        <w:rPr>
          <w:rFonts w:ascii="Times New Roman" w:hAnsi="Times New Roman" w:cs="Times New Roman"/>
          <w:color w:val="auto"/>
          <w:sz w:val="24"/>
        </w:rPr>
        <w:t>bynajmniej wyłączone informacje zebrane w drodze działalności operacyjnej” oraz</w:t>
      </w:r>
      <w:r w:rsidR="00B61B0E">
        <w:rPr>
          <w:rFonts w:ascii="Times New Roman" w:hAnsi="Times New Roman" w:cs="Times New Roman"/>
          <w:color w:val="auto"/>
          <w:sz w:val="24"/>
        </w:rPr>
        <w:t> </w:t>
      </w:r>
      <w:r w:rsidRPr="00C835AB">
        <w:rPr>
          <w:rFonts w:ascii="Times New Roman" w:hAnsi="Times New Roman" w:cs="Times New Roman"/>
          <w:color w:val="auto"/>
          <w:sz w:val="24"/>
        </w:rPr>
        <w:t>że</w:t>
      </w:r>
      <w:r w:rsidR="00B61B0E">
        <w:rPr>
          <w:rFonts w:ascii="Times New Roman" w:hAnsi="Times New Roman" w:cs="Times New Roman"/>
          <w:color w:val="auto"/>
          <w:sz w:val="24"/>
        </w:rPr>
        <w:t> </w:t>
      </w:r>
      <w:r w:rsidRPr="00C835AB">
        <w:rPr>
          <w:rFonts w:ascii="Times New Roman" w:hAnsi="Times New Roman" w:cs="Times New Roman"/>
          <w:color w:val="auto"/>
          <w:sz w:val="24"/>
        </w:rPr>
        <w:t xml:space="preserve">„na tle unormowań w art. 49 i art. 51 ust. 4 Konstytucji proporcjonalność wkroczenia ustawodawcy zwykłego będzie oceniana wedle kryteriów łagodniejszych </w:t>
      </w:r>
      <w:r w:rsidR="00A76A6B"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w pierwszym i</w:t>
      </w:r>
      <w:r w:rsidR="00B61B0E">
        <w:rPr>
          <w:rFonts w:ascii="Times New Roman" w:hAnsi="Times New Roman" w:cs="Times New Roman"/>
          <w:color w:val="auto"/>
          <w:sz w:val="24"/>
        </w:rPr>
        <w:t> </w:t>
      </w:r>
      <w:r w:rsidRPr="00C835AB">
        <w:rPr>
          <w:rFonts w:ascii="Times New Roman" w:hAnsi="Times New Roman" w:cs="Times New Roman"/>
          <w:color w:val="auto"/>
          <w:sz w:val="24"/>
        </w:rPr>
        <w:t xml:space="preserve">surowszych </w:t>
      </w:r>
      <w:r w:rsidR="00A76A6B"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w</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drugim wypadku”</w:t>
      </w:r>
      <w:r w:rsidR="00F44367" w:rsidRPr="00C835AB">
        <w:rPr>
          <w:rFonts w:ascii="Times New Roman" w:hAnsi="Times New Roman" w:cs="Times New Roman"/>
          <w:color w:val="auto"/>
          <w:sz w:val="24"/>
        </w:rPr>
        <w:t>.</w:t>
      </w:r>
    </w:p>
    <w:p w14:paraId="5792C697" w14:textId="5DE0E09A" w:rsidR="00964FB5" w:rsidRPr="00C835AB" w:rsidRDefault="00964FB5" w:rsidP="00D823D0">
      <w:pPr>
        <w:ind w:left="10" w:firstLine="698"/>
        <w:rPr>
          <w:rFonts w:ascii="Times New Roman" w:hAnsi="Times New Roman" w:cs="Times New Roman"/>
          <w:color w:val="auto"/>
          <w:sz w:val="24"/>
        </w:rPr>
      </w:pPr>
      <w:r w:rsidRPr="00C835AB">
        <w:rPr>
          <w:rFonts w:ascii="Times New Roman" w:hAnsi="Times New Roman" w:cs="Times New Roman"/>
          <w:color w:val="auto"/>
          <w:sz w:val="24"/>
        </w:rPr>
        <w:t>Z powyższych rozważań wynika, że obecna regulacja art. 168a k.p.k. jest</w:t>
      </w:r>
      <w:r w:rsidR="00B61B0E">
        <w:rPr>
          <w:rFonts w:ascii="Times New Roman" w:hAnsi="Times New Roman" w:cs="Times New Roman"/>
          <w:color w:val="auto"/>
          <w:sz w:val="24"/>
        </w:rPr>
        <w:t> </w:t>
      </w:r>
      <w:r w:rsidRPr="00C835AB">
        <w:rPr>
          <w:rFonts w:ascii="Times New Roman" w:hAnsi="Times New Roman" w:cs="Times New Roman"/>
          <w:color w:val="auto"/>
          <w:sz w:val="24"/>
        </w:rPr>
        <w:t>nie</w:t>
      </w:r>
      <w:r w:rsidR="00B61B0E">
        <w:rPr>
          <w:rFonts w:ascii="Times New Roman" w:hAnsi="Times New Roman" w:cs="Times New Roman"/>
          <w:color w:val="auto"/>
          <w:sz w:val="24"/>
        </w:rPr>
        <w:t> </w:t>
      </w:r>
      <w:r w:rsidRPr="00C835AB">
        <w:rPr>
          <w:rFonts w:ascii="Times New Roman" w:hAnsi="Times New Roman" w:cs="Times New Roman"/>
          <w:color w:val="auto"/>
          <w:sz w:val="24"/>
        </w:rPr>
        <w:t>do</w:t>
      </w:r>
      <w:r w:rsidR="00B61B0E">
        <w:rPr>
          <w:rFonts w:ascii="Times New Roman" w:hAnsi="Times New Roman" w:cs="Times New Roman"/>
          <w:color w:val="auto"/>
          <w:sz w:val="24"/>
        </w:rPr>
        <w:t> </w:t>
      </w:r>
      <w:r w:rsidRPr="00C835AB">
        <w:rPr>
          <w:rFonts w:ascii="Times New Roman" w:hAnsi="Times New Roman" w:cs="Times New Roman"/>
          <w:color w:val="auto"/>
          <w:sz w:val="24"/>
        </w:rPr>
        <w:t>pogodzenia także z art. 51 ust</w:t>
      </w:r>
      <w:r w:rsidR="00796D23">
        <w:rPr>
          <w:rFonts w:ascii="Times New Roman" w:hAnsi="Times New Roman" w:cs="Times New Roman"/>
          <w:color w:val="auto"/>
          <w:sz w:val="24"/>
        </w:rPr>
        <w:t>.</w:t>
      </w:r>
      <w:r w:rsidRPr="00C835AB">
        <w:rPr>
          <w:rFonts w:ascii="Times New Roman" w:hAnsi="Times New Roman" w:cs="Times New Roman"/>
          <w:color w:val="auto"/>
          <w:sz w:val="24"/>
        </w:rPr>
        <w:t xml:space="preserve"> 4 Konstytucji RP.</w:t>
      </w:r>
    </w:p>
    <w:p w14:paraId="50B2AE80" w14:textId="0ECEA963" w:rsidR="00F44367" w:rsidRPr="00C835AB" w:rsidRDefault="00777BF1" w:rsidP="00D823D0">
      <w:pPr>
        <w:pStyle w:val="Akapitzlist"/>
        <w:ind w:left="10" w:firstLine="698"/>
        <w:rPr>
          <w:rFonts w:ascii="Times New Roman" w:hAnsi="Times New Roman" w:cs="Times New Roman"/>
          <w:color w:val="auto"/>
          <w:sz w:val="24"/>
        </w:rPr>
      </w:pPr>
      <w:r w:rsidRPr="00C835AB">
        <w:rPr>
          <w:rFonts w:ascii="Times New Roman" w:hAnsi="Times New Roman" w:cs="Times New Roman"/>
          <w:color w:val="auto"/>
          <w:sz w:val="24"/>
        </w:rPr>
        <w:lastRenderedPageBreak/>
        <w:t>Tylko na marginesie można wskazać, że p</w:t>
      </w:r>
      <w:r w:rsidR="00964FB5" w:rsidRPr="00C835AB">
        <w:rPr>
          <w:rFonts w:ascii="Times New Roman" w:hAnsi="Times New Roman" w:cs="Times New Roman"/>
          <w:color w:val="auto"/>
          <w:sz w:val="24"/>
        </w:rPr>
        <w:t>roponowany przepis nie może być traktowany jako tama dla legalnych czynności operacyjnych. Jak wskazuje się w orzecznictwie</w:t>
      </w:r>
      <w:r w:rsidR="00FB5874" w:rsidRPr="00C835AB">
        <w:rPr>
          <w:rFonts w:ascii="Times New Roman" w:hAnsi="Times New Roman" w:cs="Times New Roman"/>
          <w:color w:val="auto"/>
          <w:sz w:val="24"/>
        </w:rPr>
        <w:t>,</w:t>
      </w:r>
      <w:r w:rsidR="00964FB5" w:rsidRPr="00C835AB">
        <w:rPr>
          <w:rFonts w:ascii="Times New Roman" w:hAnsi="Times New Roman" w:cs="Times New Roman"/>
          <w:color w:val="auto"/>
          <w:sz w:val="24"/>
        </w:rPr>
        <w:t xml:space="preserve"> aby dane zachowanie mogło być uznane za czyn zabroniony musi być zachowaniem bezprawnym</w:t>
      </w:r>
      <w:r w:rsidR="00F44367" w:rsidRPr="00C835AB">
        <w:rPr>
          <w:rFonts w:ascii="Times New Roman" w:hAnsi="Times New Roman" w:cs="Times New Roman"/>
          <w:color w:val="auto"/>
          <w:sz w:val="24"/>
        </w:rPr>
        <w:t>. Zachowanie zgodne z regułami, nawet jeśli prowadzi do zagrożenia bądź naruszenia dobra prawnego nie może być uznane za bezprawne (L. Gardocki, Prawo karne, Warszawa 2002, s.</w:t>
      </w:r>
      <w:r w:rsidR="00A76A6B" w:rsidRPr="00C835AB">
        <w:rPr>
          <w:rFonts w:ascii="Times New Roman" w:hAnsi="Times New Roman" w:cs="Times New Roman"/>
          <w:color w:val="auto"/>
          <w:sz w:val="24"/>
        </w:rPr>
        <w:t> </w:t>
      </w:r>
      <w:r w:rsidR="00F44367" w:rsidRPr="00C835AB">
        <w:rPr>
          <w:rFonts w:ascii="Times New Roman" w:hAnsi="Times New Roman" w:cs="Times New Roman"/>
          <w:color w:val="auto"/>
          <w:sz w:val="24"/>
        </w:rPr>
        <w:t>79</w:t>
      </w:r>
      <w:r w:rsidR="00796D23">
        <w:rPr>
          <w:rFonts w:ascii="Times New Roman" w:hAnsi="Times New Roman" w:cs="Times New Roman"/>
          <w:color w:val="auto"/>
          <w:sz w:val="24"/>
        </w:rPr>
        <w:t>–</w:t>
      </w:r>
      <w:r w:rsidR="00F44367" w:rsidRPr="00C835AB">
        <w:rPr>
          <w:rFonts w:ascii="Times New Roman" w:hAnsi="Times New Roman" w:cs="Times New Roman"/>
          <w:color w:val="auto"/>
          <w:sz w:val="24"/>
        </w:rPr>
        <w:t xml:space="preserve">80). </w:t>
      </w:r>
      <w:r w:rsidR="00FC6F9D" w:rsidRPr="00C835AB">
        <w:rPr>
          <w:rFonts w:ascii="Times New Roman" w:hAnsi="Times New Roman" w:cs="Times New Roman"/>
          <w:color w:val="auto"/>
          <w:sz w:val="24"/>
        </w:rPr>
        <w:t>„</w:t>
      </w:r>
      <w:r w:rsidR="00F44367" w:rsidRPr="00C835AB">
        <w:rPr>
          <w:rFonts w:ascii="Times New Roman" w:hAnsi="Times New Roman" w:cs="Times New Roman"/>
          <w:color w:val="auto"/>
          <w:sz w:val="24"/>
        </w:rPr>
        <w:t xml:space="preserve">Jakkolwiek treść </w:t>
      </w:r>
      <w:hyperlink r:id="rId11" w:history="1">
        <w:r w:rsidR="00F44367" w:rsidRPr="00C835AB">
          <w:rPr>
            <w:rStyle w:val="Hipercze"/>
            <w:rFonts w:ascii="Times New Roman" w:eastAsia="Calibri" w:hAnsi="Times New Roman" w:cs="Times New Roman"/>
            <w:color w:val="auto"/>
            <w:sz w:val="24"/>
            <w:u w:val="none"/>
          </w:rPr>
          <w:t>art. 9 § 2</w:t>
        </w:r>
      </w:hyperlink>
      <w:r w:rsidR="00F44367" w:rsidRPr="00C835AB">
        <w:rPr>
          <w:rFonts w:ascii="Times New Roman" w:hAnsi="Times New Roman" w:cs="Times New Roman"/>
          <w:color w:val="auto"/>
          <w:sz w:val="24"/>
        </w:rPr>
        <w:t xml:space="preserve"> KK odnosi się do przestępstw nieumyślnych to jednak bezprawność działania należy do istotnych cech każdego przestępstwa (…), chociaż cecha ta</w:t>
      </w:r>
      <w:r w:rsidR="00B61B0E">
        <w:rPr>
          <w:rFonts w:ascii="Times New Roman" w:hAnsi="Times New Roman" w:cs="Times New Roman"/>
          <w:color w:val="auto"/>
          <w:sz w:val="24"/>
        </w:rPr>
        <w:t> </w:t>
      </w:r>
      <w:r w:rsidR="00F44367" w:rsidRPr="00C835AB">
        <w:rPr>
          <w:rFonts w:ascii="Times New Roman" w:hAnsi="Times New Roman" w:cs="Times New Roman"/>
          <w:color w:val="auto"/>
          <w:sz w:val="24"/>
        </w:rPr>
        <w:t>w</w:t>
      </w:r>
      <w:r w:rsidR="00B61B0E">
        <w:rPr>
          <w:rFonts w:ascii="Times New Roman" w:hAnsi="Times New Roman" w:cs="Times New Roman"/>
          <w:color w:val="auto"/>
          <w:sz w:val="24"/>
        </w:rPr>
        <w:t> </w:t>
      </w:r>
      <w:r w:rsidR="00F44367" w:rsidRPr="00C835AB">
        <w:rPr>
          <w:rFonts w:ascii="Times New Roman" w:hAnsi="Times New Roman" w:cs="Times New Roman"/>
          <w:color w:val="auto"/>
          <w:sz w:val="24"/>
        </w:rPr>
        <w:t>definicji poszczególnych przestępstw nie jest zwykle przytaczana, wynika ona jednak z</w:t>
      </w:r>
      <w:r w:rsidR="00A76A6B" w:rsidRPr="00C835AB">
        <w:rPr>
          <w:rFonts w:ascii="Times New Roman" w:hAnsi="Times New Roman" w:cs="Times New Roman"/>
          <w:color w:val="auto"/>
          <w:sz w:val="24"/>
        </w:rPr>
        <w:t> </w:t>
      </w:r>
      <w:r w:rsidR="00F44367" w:rsidRPr="00C835AB">
        <w:rPr>
          <w:rFonts w:ascii="Times New Roman" w:hAnsi="Times New Roman" w:cs="Times New Roman"/>
          <w:color w:val="auto"/>
          <w:sz w:val="24"/>
        </w:rPr>
        <w:t xml:space="preserve">samego pojęcia przestępnego czynu” (postanowienie SN z dnia 17 października 2002 r., IV KKN 634/99). „Zgodnie z zasadami odpowiedzialności karnej przestępstwem może być tylko takie zachowanie, które jest bezprawne” (postanowienie TK z dnia 27 marca 2007 r., </w:t>
      </w:r>
      <w:proofErr w:type="spellStart"/>
      <w:r w:rsidR="00F44367" w:rsidRPr="00C835AB">
        <w:rPr>
          <w:rFonts w:ascii="Times New Roman" w:hAnsi="Times New Roman" w:cs="Times New Roman"/>
          <w:color w:val="auto"/>
          <w:sz w:val="24"/>
        </w:rPr>
        <w:t>Ts</w:t>
      </w:r>
      <w:proofErr w:type="spellEnd"/>
      <w:r w:rsidR="00F44367" w:rsidRPr="00C835AB">
        <w:rPr>
          <w:rFonts w:ascii="Times New Roman" w:hAnsi="Times New Roman" w:cs="Times New Roman"/>
          <w:color w:val="auto"/>
          <w:sz w:val="24"/>
        </w:rPr>
        <w:t xml:space="preserve"> 3/07).</w:t>
      </w:r>
    </w:p>
    <w:p w14:paraId="1801B341" w14:textId="2945066C" w:rsidR="00964FB5" w:rsidRPr="00C835AB" w:rsidRDefault="00964FB5" w:rsidP="00D823D0">
      <w:pPr>
        <w:pStyle w:val="Akapitzlist"/>
        <w:ind w:left="10" w:firstLine="698"/>
        <w:rPr>
          <w:rFonts w:ascii="Times New Roman" w:hAnsi="Times New Roman" w:cs="Times New Roman"/>
          <w:color w:val="auto"/>
          <w:sz w:val="24"/>
        </w:rPr>
      </w:pPr>
      <w:r w:rsidRPr="00C835AB">
        <w:rPr>
          <w:rFonts w:ascii="Times New Roman" w:hAnsi="Times New Roman" w:cs="Times New Roman"/>
          <w:color w:val="auto"/>
          <w:sz w:val="24"/>
        </w:rPr>
        <w:t>Okoliczności wyłączające bezprawność czynu określa się jako tzw. „kontratypy”. Jak</w:t>
      </w:r>
      <w:r w:rsidR="00B61B0E">
        <w:rPr>
          <w:rFonts w:ascii="Times New Roman" w:hAnsi="Times New Roman" w:cs="Times New Roman"/>
          <w:color w:val="auto"/>
          <w:sz w:val="24"/>
        </w:rPr>
        <w:t> </w:t>
      </w:r>
      <w:r w:rsidRPr="00C835AB">
        <w:rPr>
          <w:rFonts w:ascii="Times New Roman" w:hAnsi="Times New Roman" w:cs="Times New Roman"/>
          <w:color w:val="auto"/>
          <w:sz w:val="24"/>
        </w:rPr>
        <w:t>wskazuje S</w:t>
      </w:r>
      <w:r w:rsidR="00D643AA" w:rsidRPr="00C835AB">
        <w:rPr>
          <w:rFonts w:ascii="Times New Roman" w:hAnsi="Times New Roman" w:cs="Times New Roman"/>
          <w:color w:val="auto"/>
          <w:sz w:val="24"/>
        </w:rPr>
        <w:t>ąd Najwyższy</w:t>
      </w:r>
      <w:r w:rsidR="00777BF1"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 xml:space="preserve">„przepisy przewidujące możliwość przeprowadzenia czynności operacyjno-rozpoznawczych mają charakter </w:t>
      </w:r>
      <w:proofErr w:type="spellStart"/>
      <w:r w:rsidRPr="00C835AB">
        <w:rPr>
          <w:rFonts w:ascii="Times New Roman" w:hAnsi="Times New Roman" w:cs="Times New Roman"/>
          <w:color w:val="auto"/>
          <w:sz w:val="24"/>
        </w:rPr>
        <w:t>kontratypowy</w:t>
      </w:r>
      <w:proofErr w:type="spellEnd"/>
      <w:r w:rsidRPr="00C835AB">
        <w:rPr>
          <w:rFonts w:ascii="Times New Roman" w:hAnsi="Times New Roman" w:cs="Times New Roman"/>
          <w:color w:val="auto"/>
          <w:sz w:val="24"/>
        </w:rPr>
        <w:t xml:space="preserve"> (…). Oznacza to, że w ich braku zachowania funkcjonariuszy poszczególnych służb pozostawałyby bezprawne </w:t>
      </w:r>
      <w:r w:rsidR="00796D23">
        <w:rPr>
          <w:rFonts w:ascii="Times New Roman" w:hAnsi="Times New Roman" w:cs="Times New Roman"/>
          <w:color w:val="auto"/>
          <w:sz w:val="24"/>
        </w:rPr>
        <w:t>–</w:t>
      </w:r>
      <w:r w:rsidRPr="00C835AB">
        <w:rPr>
          <w:rFonts w:ascii="Times New Roman" w:hAnsi="Times New Roman" w:cs="Times New Roman"/>
          <w:color w:val="auto"/>
          <w:sz w:val="24"/>
        </w:rPr>
        <w:t xml:space="preserve"> tak, jak</w:t>
      </w:r>
      <w:r w:rsidR="00B61B0E">
        <w:rPr>
          <w:rFonts w:ascii="Times New Roman" w:hAnsi="Times New Roman" w:cs="Times New Roman"/>
          <w:color w:val="auto"/>
          <w:sz w:val="24"/>
        </w:rPr>
        <w:t> </w:t>
      </w:r>
      <w:r w:rsidRPr="00C835AB">
        <w:rPr>
          <w:rFonts w:ascii="Times New Roman" w:hAnsi="Times New Roman" w:cs="Times New Roman"/>
          <w:color w:val="auto"/>
          <w:sz w:val="24"/>
        </w:rPr>
        <w:t>pozostają bezprawne zachowania detektywa stosującego takie właśnie środki, metody czy czynności”</w:t>
      </w:r>
      <w:r w:rsidRPr="00C835AB">
        <w:rPr>
          <w:rFonts w:ascii="Times New Roman" w:hAnsi="Times New Roman" w:cs="Times New Roman"/>
          <w:b/>
          <w:bCs/>
          <w:color w:val="auto"/>
          <w:sz w:val="24"/>
        </w:rPr>
        <w:t xml:space="preserve"> </w:t>
      </w:r>
      <w:r w:rsidRPr="00C835AB">
        <w:rPr>
          <w:rFonts w:ascii="Times New Roman" w:hAnsi="Times New Roman" w:cs="Times New Roman"/>
          <w:color w:val="auto"/>
          <w:sz w:val="24"/>
        </w:rPr>
        <w:t>(postanowienie SN z dnia 28 listopada 2013 r.</w:t>
      </w:r>
      <w:r w:rsidR="00D643AA"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I KZP 17/13).</w:t>
      </w:r>
    </w:p>
    <w:p w14:paraId="48BFFB67" w14:textId="17078137" w:rsidR="00964FB5" w:rsidRPr="00C835AB" w:rsidRDefault="00777BF1" w:rsidP="00D823D0">
      <w:pPr>
        <w:ind w:left="10" w:firstLine="698"/>
        <w:rPr>
          <w:rFonts w:ascii="Times New Roman" w:hAnsi="Times New Roman" w:cs="Times New Roman"/>
          <w:color w:val="auto"/>
          <w:sz w:val="24"/>
        </w:rPr>
      </w:pPr>
      <w:r w:rsidRPr="00C835AB">
        <w:rPr>
          <w:rFonts w:ascii="Times New Roman" w:hAnsi="Times New Roman" w:cs="Times New Roman"/>
          <w:color w:val="auto"/>
          <w:sz w:val="24"/>
        </w:rPr>
        <w:t>Przyjęte w projekcie brzmienie art. 168a k.p.k. pozwala na uznanie, że</w:t>
      </w:r>
      <w:r w:rsidR="00964FB5" w:rsidRPr="00C835AB">
        <w:rPr>
          <w:rFonts w:ascii="Times New Roman" w:hAnsi="Times New Roman" w:cs="Times New Roman"/>
          <w:color w:val="auto"/>
          <w:sz w:val="24"/>
        </w:rPr>
        <w:t xml:space="preserve"> zachowana zostaje równowaga między z jednej strony normami Konstytucji RP zawartymi w</w:t>
      </w:r>
      <w:r w:rsidR="00A76A6B" w:rsidRPr="00C835AB">
        <w:rPr>
          <w:rFonts w:ascii="Times New Roman" w:hAnsi="Times New Roman" w:cs="Times New Roman"/>
          <w:color w:val="auto"/>
          <w:sz w:val="24"/>
        </w:rPr>
        <w:t> </w:t>
      </w:r>
      <w:r w:rsidR="00964FB5" w:rsidRPr="00C835AB">
        <w:rPr>
          <w:rFonts w:ascii="Times New Roman" w:hAnsi="Times New Roman" w:cs="Times New Roman"/>
          <w:color w:val="auto"/>
          <w:sz w:val="24"/>
        </w:rPr>
        <w:t>szczególności w jej art. 2, 42 ust. 2, 45 ust. 1 oraz 51 ust. 4, a z drugiej strony zasadą prawdy, która musi być realizowana w postępowaniu karnym. Przede wszystkim zaś przywrócenie pierwotnej redakcji tego przepisu usunie istotne wątpliwości konstytucyjne istniejące obecnie.</w:t>
      </w:r>
    </w:p>
    <w:p w14:paraId="709D4748" w14:textId="77777777" w:rsidR="00EE42C4" w:rsidRPr="00C835AB" w:rsidRDefault="00EE42C4" w:rsidP="00D823D0">
      <w:pPr>
        <w:ind w:left="10"/>
        <w:rPr>
          <w:rFonts w:ascii="Times New Roman" w:hAnsi="Times New Roman" w:cs="Times New Roman"/>
          <w:color w:val="auto"/>
          <w:sz w:val="24"/>
        </w:rPr>
      </w:pPr>
    </w:p>
    <w:p w14:paraId="0A1A11DD" w14:textId="65EEF663" w:rsidR="007F11B8" w:rsidRPr="00C835AB" w:rsidRDefault="007F11B8" w:rsidP="00D823D0">
      <w:pPr>
        <w:pStyle w:val="Akapitzlist"/>
        <w:ind w:left="0"/>
        <w:rPr>
          <w:rFonts w:ascii="Times New Roman" w:hAnsi="Times New Roman" w:cs="Times New Roman"/>
          <w:b/>
          <w:bCs/>
          <w:color w:val="auto"/>
          <w:sz w:val="24"/>
        </w:rPr>
      </w:pPr>
      <w:r w:rsidRPr="00C835AB">
        <w:rPr>
          <w:rFonts w:ascii="Times New Roman" w:hAnsi="Times New Roman" w:cs="Times New Roman"/>
          <w:color w:val="auto"/>
          <w:sz w:val="24"/>
        </w:rPr>
        <w:tab/>
      </w:r>
      <w:r w:rsidRPr="00C835AB">
        <w:rPr>
          <w:rFonts w:ascii="Times New Roman" w:hAnsi="Times New Roman" w:cs="Times New Roman"/>
          <w:b/>
          <w:bCs/>
          <w:color w:val="auto"/>
          <w:sz w:val="24"/>
        </w:rPr>
        <w:t>Art. 168b</w:t>
      </w:r>
      <w:r w:rsidR="000711B3" w:rsidRPr="00C835AB">
        <w:rPr>
          <w:rFonts w:ascii="Times New Roman" w:hAnsi="Times New Roman" w:cs="Times New Roman"/>
          <w:b/>
          <w:bCs/>
          <w:color w:val="auto"/>
          <w:sz w:val="24"/>
        </w:rPr>
        <w:t xml:space="preserve"> k.p.k.</w:t>
      </w:r>
    </w:p>
    <w:p w14:paraId="252BF65F" w14:textId="1A43D740" w:rsidR="007F11B8" w:rsidRPr="00C835AB" w:rsidRDefault="007F11B8" w:rsidP="00D823D0">
      <w:pPr>
        <w:ind w:firstLine="708"/>
        <w:rPr>
          <w:rFonts w:ascii="Times New Roman" w:hAnsi="Times New Roman" w:cs="Times New Roman"/>
          <w:color w:val="auto"/>
          <w:sz w:val="24"/>
          <w:shd w:val="clear" w:color="auto" w:fill="FFFFFF"/>
        </w:rPr>
      </w:pPr>
      <w:r w:rsidRPr="00C835AB">
        <w:rPr>
          <w:rFonts w:ascii="Times New Roman" w:hAnsi="Times New Roman" w:cs="Times New Roman"/>
          <w:color w:val="auto"/>
          <w:sz w:val="24"/>
        </w:rPr>
        <w:t xml:space="preserve">Zmiana dotyczy przepisu </w:t>
      </w:r>
      <w:r w:rsidRPr="00C835AB">
        <w:rPr>
          <w:rFonts w:ascii="Times New Roman" w:hAnsi="Times New Roman" w:cs="Times New Roman"/>
          <w:color w:val="auto"/>
          <w:sz w:val="24"/>
          <w:shd w:val="clear" w:color="auto" w:fill="FFFFFF"/>
        </w:rPr>
        <w:t xml:space="preserve">wprowadzonego przez art. 1 pkt 35 ustawy z dnia 11 marca 2016 r. zmieniającej </w:t>
      </w:r>
      <w:r w:rsidR="00740659" w:rsidRPr="00C835AB">
        <w:rPr>
          <w:rFonts w:ascii="Times New Roman" w:hAnsi="Times New Roman" w:cs="Times New Roman"/>
          <w:color w:val="auto"/>
          <w:sz w:val="24"/>
          <w:shd w:val="clear" w:color="auto" w:fill="FFFFFF"/>
        </w:rPr>
        <w:t>Kodeks postępowania karnego</w:t>
      </w:r>
      <w:r w:rsidRPr="00C835AB">
        <w:rPr>
          <w:rFonts w:ascii="Times New Roman" w:hAnsi="Times New Roman" w:cs="Times New Roman"/>
          <w:color w:val="auto"/>
          <w:sz w:val="24"/>
          <w:shd w:val="clear" w:color="auto" w:fill="FFFFFF"/>
        </w:rPr>
        <w:t xml:space="preserve"> z dniem 15 kwietnia 2016 r. Jego wprowadzeniu do porządku prawnego towarzyszyły zmiany w ustawach kompetencyjnych Policji i innych służb, uprawnionych do stosowania kontroli operacyjnej, eliminujące tzw. zgodę następczą sądu na wykorzystanie dowodowe materiałów uzyskanych w toku prowadzenia kontroli operacyjnej, ale poza jej pierwotnym zakresem podmiotowym i</w:t>
      </w:r>
      <w:r w:rsidR="00A76A6B"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przedmiotowym.</w:t>
      </w:r>
      <w:r w:rsidR="00DC6CC1" w:rsidRPr="00C835AB">
        <w:rPr>
          <w:rFonts w:ascii="Times New Roman" w:hAnsi="Times New Roman" w:cs="Times New Roman"/>
          <w:color w:val="auto"/>
          <w:sz w:val="24"/>
          <w:shd w:val="clear" w:color="auto" w:fill="FFFFFF"/>
        </w:rPr>
        <w:t xml:space="preserve"> </w:t>
      </w:r>
      <w:r w:rsidRPr="00C835AB">
        <w:rPr>
          <w:rFonts w:ascii="Times New Roman" w:hAnsi="Times New Roman" w:cs="Times New Roman"/>
          <w:color w:val="auto"/>
          <w:sz w:val="24"/>
          <w:shd w:val="clear" w:color="auto" w:fill="FFFFFF"/>
        </w:rPr>
        <w:t xml:space="preserve">Jego stosowanie budziło od początku kontrowersje, zarówno z uwagi na fakt bezprecedensowego wprowadzenia do </w:t>
      </w:r>
      <w:r w:rsidR="00740659" w:rsidRPr="00C835AB">
        <w:rPr>
          <w:rFonts w:ascii="Times New Roman" w:hAnsi="Times New Roman" w:cs="Times New Roman"/>
          <w:color w:val="auto"/>
          <w:sz w:val="24"/>
          <w:shd w:val="clear" w:color="auto" w:fill="FFFFFF"/>
        </w:rPr>
        <w:t>K</w:t>
      </w:r>
      <w:r w:rsidRPr="00C835AB">
        <w:rPr>
          <w:rFonts w:ascii="Times New Roman" w:hAnsi="Times New Roman" w:cs="Times New Roman"/>
          <w:color w:val="auto"/>
          <w:sz w:val="24"/>
          <w:shd w:val="clear" w:color="auto" w:fill="FFFFFF"/>
        </w:rPr>
        <w:t>odeksu postępowania karnego regulacji odwołującej się wprost do waloryzacji materiałów operacyjnych Policji i służb, celem dowodowego ich</w:t>
      </w:r>
      <w:r w:rsidR="00B61B0E">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 xml:space="preserve">wykorzystania w postępowaniu karnym, jak i z uwagi na istotne niedostatki regulacyjne. </w:t>
      </w:r>
      <w:r w:rsidRPr="00C835AB">
        <w:rPr>
          <w:rFonts w:ascii="Times New Roman" w:hAnsi="Times New Roman" w:cs="Times New Roman"/>
          <w:color w:val="auto"/>
          <w:sz w:val="24"/>
          <w:shd w:val="clear" w:color="auto" w:fill="FFFFFF"/>
        </w:rPr>
        <w:lastRenderedPageBreak/>
        <w:t>Proponowany w nowelizacji kształt przepisu uwzględnia wypracowane stanowisko orzecznicze Sądu Najwyższego, które zaprezentowano najpełniej w uchwale poszerzonego składu z dnia 28</w:t>
      </w:r>
      <w:r w:rsidR="00A76A6B"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czerwca 2018 r</w:t>
      </w:r>
      <w:r w:rsidR="00D643AA"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I KZP 4/18</w:t>
      </w:r>
      <w:r w:rsidR="00D643AA" w:rsidRPr="00C835AB">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 W aktualnie zaprojektowanym kształcie normatywnym główne znaczenie znajdują następujące segmenty:</w:t>
      </w:r>
    </w:p>
    <w:p w14:paraId="22975F00" w14:textId="49D77C83" w:rsidR="007F11B8" w:rsidRPr="00C835AB" w:rsidRDefault="007F11B8" w:rsidP="00D823D0">
      <w:pPr>
        <w:pStyle w:val="Akapitzlist"/>
        <w:numPr>
          <w:ilvl w:val="0"/>
          <w:numId w:val="7"/>
        </w:numPr>
        <w:rPr>
          <w:rFonts w:ascii="Times New Roman" w:hAnsi="Times New Roman" w:cs="Times New Roman"/>
          <w:bCs/>
          <w:i/>
          <w:iCs/>
          <w:color w:val="auto"/>
          <w:sz w:val="24"/>
        </w:rPr>
      </w:pPr>
      <w:r w:rsidRPr="00C835AB">
        <w:rPr>
          <w:rFonts w:ascii="Times New Roman" w:hAnsi="Times New Roman" w:cs="Times New Roman"/>
          <w:color w:val="auto"/>
          <w:sz w:val="24"/>
          <w:shd w:val="clear" w:color="auto" w:fill="FFFFFF"/>
        </w:rPr>
        <w:t xml:space="preserve">wyrażona w </w:t>
      </w:r>
      <w:r w:rsidR="000234C6" w:rsidRPr="00C835AB">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 xml:space="preserve"> 1 zasada dopuszczalności dowodowego wykorzystania z poszanowaniem reguły proporcjonalności</w:t>
      </w:r>
      <w:r w:rsidR="00B62408" w:rsidRPr="00C835AB">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 xml:space="preserve"> </w:t>
      </w:r>
    </w:p>
    <w:p w14:paraId="2424373A" w14:textId="6297DB92" w:rsidR="007F11B8" w:rsidRPr="00C835AB" w:rsidRDefault="007F11B8" w:rsidP="00D823D0">
      <w:pPr>
        <w:pStyle w:val="Akapitzlist"/>
        <w:numPr>
          <w:ilvl w:val="0"/>
          <w:numId w:val="7"/>
        </w:numPr>
        <w:rPr>
          <w:rFonts w:ascii="Times New Roman" w:hAnsi="Times New Roman" w:cs="Times New Roman"/>
          <w:bCs/>
          <w:i/>
          <w:iCs/>
          <w:color w:val="auto"/>
          <w:sz w:val="24"/>
        </w:rPr>
      </w:pPr>
      <w:r w:rsidRPr="00C835AB">
        <w:rPr>
          <w:rFonts w:ascii="Times New Roman" w:hAnsi="Times New Roman" w:cs="Times New Roman"/>
          <w:color w:val="auto"/>
          <w:sz w:val="24"/>
        </w:rPr>
        <w:t>określenie kompetencji prokuratora do wydania decyzji w formie postanowienia</w:t>
      </w:r>
      <w:r w:rsidR="00662587"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na</w:t>
      </w:r>
      <w:r w:rsidR="00B61B0E">
        <w:rPr>
          <w:rFonts w:ascii="Times New Roman" w:hAnsi="Times New Roman" w:cs="Times New Roman"/>
          <w:color w:val="auto"/>
          <w:sz w:val="24"/>
        </w:rPr>
        <w:t> </w:t>
      </w:r>
      <w:r w:rsidRPr="00C835AB">
        <w:rPr>
          <w:rFonts w:ascii="Times New Roman" w:hAnsi="Times New Roman" w:cs="Times New Roman"/>
          <w:color w:val="auto"/>
          <w:sz w:val="24"/>
        </w:rPr>
        <w:t>etapie postępowania przygotowawczego (co pozostaje w związku z regulacjami w</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ustawach kompetencyjnych, nakazującymi przekazanie materiałów operacyjnych w</w:t>
      </w:r>
      <w:r w:rsidR="00A76A6B"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 xml:space="preserve">przypadku uzyskania dowodów pozwalających na wszczęcie postępowania karnego lub mających znaczenie dla toczącego się postępowania karnego </w:t>
      </w:r>
      <w:r w:rsidR="00740659" w:rsidRPr="00C835AB">
        <w:rPr>
          <w:rFonts w:ascii="Times New Roman" w:hAnsi="Times New Roman" w:cs="Times New Roman"/>
          <w:color w:val="auto"/>
          <w:sz w:val="24"/>
          <w:shd w:val="clear" w:color="auto" w:fill="FFFFFF"/>
        </w:rPr>
        <w:t xml:space="preserve">– </w:t>
      </w:r>
      <w:r w:rsidRPr="00C835AB">
        <w:rPr>
          <w:rFonts w:ascii="Times New Roman" w:hAnsi="Times New Roman" w:cs="Times New Roman"/>
          <w:color w:val="auto"/>
          <w:sz w:val="24"/>
          <w:shd w:val="clear" w:color="auto" w:fill="FFFFFF"/>
        </w:rPr>
        <w:t>właśnie prokuratorowi)</w:t>
      </w:r>
      <w:r w:rsidR="00B62408" w:rsidRPr="00C835AB">
        <w:rPr>
          <w:rFonts w:ascii="Times New Roman" w:hAnsi="Times New Roman" w:cs="Times New Roman"/>
          <w:color w:val="auto"/>
          <w:sz w:val="24"/>
          <w:shd w:val="clear" w:color="auto" w:fill="FFFFFF"/>
        </w:rPr>
        <w:t>;</w:t>
      </w:r>
    </w:p>
    <w:p w14:paraId="48418792" w14:textId="21B6D831" w:rsidR="007F11B8" w:rsidRPr="00C835AB" w:rsidRDefault="007F11B8" w:rsidP="00FA5186">
      <w:pPr>
        <w:pStyle w:val="Akapitzlist"/>
        <w:numPr>
          <w:ilvl w:val="0"/>
          <w:numId w:val="7"/>
        </w:numPr>
        <w:rPr>
          <w:rFonts w:ascii="Times New Roman" w:hAnsi="Times New Roman" w:cs="Times New Roman"/>
          <w:bCs/>
          <w:i/>
          <w:iCs/>
          <w:color w:val="auto"/>
          <w:sz w:val="24"/>
        </w:rPr>
      </w:pPr>
      <w:r w:rsidRPr="00C835AB">
        <w:rPr>
          <w:rFonts w:ascii="Times New Roman" w:hAnsi="Times New Roman" w:cs="Times New Roman"/>
          <w:color w:val="auto"/>
          <w:sz w:val="24"/>
        </w:rPr>
        <w:t>konkretyzacja treści decyzji o wykorzystaniu dowodowym z odwołaniem do</w:t>
      </w:r>
      <w:r w:rsidR="00B61B0E">
        <w:rPr>
          <w:rFonts w:ascii="Times New Roman" w:hAnsi="Times New Roman" w:cs="Times New Roman"/>
          <w:color w:val="auto"/>
          <w:sz w:val="24"/>
        </w:rPr>
        <w:t> </w:t>
      </w:r>
      <w:r w:rsidRPr="00C835AB">
        <w:rPr>
          <w:rFonts w:ascii="Times New Roman" w:hAnsi="Times New Roman" w:cs="Times New Roman"/>
          <w:color w:val="auto"/>
          <w:sz w:val="24"/>
        </w:rPr>
        <w:t>gwarancyjnego wskazania jej zakresu podmiotowego i przedmiotowego</w:t>
      </w:r>
      <w:r w:rsidR="00FA5186">
        <w:rPr>
          <w:rFonts w:ascii="Times New Roman" w:hAnsi="Times New Roman" w:cs="Times New Roman"/>
          <w:color w:val="auto"/>
          <w:sz w:val="24"/>
        </w:rPr>
        <w:t>.</w:t>
      </w:r>
    </w:p>
    <w:p w14:paraId="3D40E5D0" w14:textId="2E287A9F" w:rsidR="00C572CA" w:rsidRPr="002B2A48" w:rsidRDefault="007F11B8"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Wykorzystane na etapie postępowania przygotowawczego materiały z czynności operacyjnych będą następnie przedmiotem wniosku dowodowego oskarżyciela, w przypadku wniesienia aktu oskarżenia. O dopuszczeniu dowodu końcowo zdecyduje więc sąd orzekający, </w:t>
      </w:r>
      <w:r w:rsidRPr="002B2A48">
        <w:rPr>
          <w:rFonts w:ascii="Times New Roman" w:hAnsi="Times New Roman" w:cs="Times New Roman"/>
          <w:color w:val="auto"/>
          <w:sz w:val="24"/>
        </w:rPr>
        <w:t xml:space="preserve">a prawidłowość jego decyzji będzie podlegała kontroli w toku instancyjnym. </w:t>
      </w:r>
    </w:p>
    <w:p w14:paraId="38D4E61E" w14:textId="51A1CDDA" w:rsidR="00584AF5" w:rsidRDefault="002B2A48" w:rsidP="00D823D0">
      <w:pPr>
        <w:ind w:firstLine="708"/>
        <w:rPr>
          <w:rFonts w:ascii="Times New Roman" w:hAnsi="Times New Roman" w:cs="Times New Roman"/>
          <w:bCs/>
          <w:sz w:val="24"/>
        </w:rPr>
      </w:pPr>
      <w:r w:rsidRPr="002B2A48">
        <w:rPr>
          <w:rFonts w:ascii="Times New Roman" w:hAnsi="Times New Roman" w:cs="Times New Roman"/>
          <w:bCs/>
          <w:sz w:val="24"/>
        </w:rPr>
        <w:t>Opisane zmiany w zakresie kontroli operacyjnej uznano za najpilniejsze i z tego względu zamieszczone zostały w projektowanej ustawie. O ile zmiany w zakresie podsłuchu procesowego w założeniu mają wyczerpujący charakter, o tyle zmiany w zakresie kontroli operacyjnej nie mają charakteru kompleksowego. Kontrola operacyjna wymaga szerszych zmian, które powinny obejmować także regulacje zawarte w ustawach kompetencyjnych Policji i innych służb uprawnionych do jej stosowania. W związku z powyższym do odrębnego uregulowania pozostawiono m.in. problematykę informowania osoby, której to dotyczy, o stosowanej wobec niej kontroli operacyjnej.</w:t>
      </w:r>
    </w:p>
    <w:p w14:paraId="60F59B64" w14:textId="77777777" w:rsidR="002B2A48" w:rsidRPr="002B2A48" w:rsidRDefault="002B2A48" w:rsidP="00D823D0">
      <w:pPr>
        <w:ind w:firstLine="708"/>
        <w:rPr>
          <w:rFonts w:ascii="Times New Roman" w:hAnsi="Times New Roman" w:cs="Times New Roman"/>
          <w:color w:val="auto"/>
          <w:sz w:val="24"/>
        </w:rPr>
      </w:pPr>
    </w:p>
    <w:p w14:paraId="3DAA0914" w14:textId="55135462" w:rsidR="00584AF5" w:rsidRPr="00C835AB" w:rsidRDefault="00584AF5" w:rsidP="00D823D0">
      <w:pPr>
        <w:ind w:firstLine="708"/>
        <w:rPr>
          <w:rFonts w:ascii="Times New Roman" w:hAnsi="Times New Roman" w:cs="Times New Roman"/>
          <w:b/>
          <w:color w:val="auto"/>
          <w:sz w:val="24"/>
        </w:rPr>
      </w:pPr>
      <w:r w:rsidRPr="00C835AB">
        <w:rPr>
          <w:rFonts w:ascii="Times New Roman" w:hAnsi="Times New Roman" w:cs="Times New Roman"/>
          <w:b/>
          <w:color w:val="auto"/>
          <w:sz w:val="24"/>
        </w:rPr>
        <w:t>Art. 170</w:t>
      </w:r>
      <w:r w:rsidR="000711B3" w:rsidRPr="00C835AB">
        <w:rPr>
          <w:rFonts w:ascii="Times New Roman" w:hAnsi="Times New Roman" w:cs="Times New Roman"/>
          <w:b/>
          <w:color w:val="auto"/>
          <w:sz w:val="24"/>
        </w:rPr>
        <w:t xml:space="preserve"> § 1 pkt 6 i § 1a k.p.k.</w:t>
      </w:r>
    </w:p>
    <w:p w14:paraId="3F2B06CD" w14:textId="4A8133E0" w:rsidR="00584AF5" w:rsidRPr="00C835AB" w:rsidRDefault="00584AF5"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Wprowadzona do polskiego procesu karnego prekluzja dowodowa pozostaje w</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 xml:space="preserve">sprzeczności z zasadą dążenia do ustalenia prawdy materialnej. W obecnie obowiązującym modelu postępowania karnego, który w przeważającym stopniu wycofał się </w:t>
      </w:r>
      <w:r w:rsidR="000711B3" w:rsidRPr="00C835AB">
        <w:rPr>
          <w:rFonts w:ascii="Times New Roman" w:hAnsi="Times New Roman" w:cs="Times New Roman"/>
          <w:color w:val="auto"/>
          <w:sz w:val="24"/>
        </w:rPr>
        <w:t xml:space="preserve">z </w:t>
      </w:r>
      <w:r w:rsidRPr="00C835AB">
        <w:rPr>
          <w:rFonts w:ascii="Times New Roman" w:hAnsi="Times New Roman" w:cs="Times New Roman"/>
          <w:color w:val="auto"/>
          <w:sz w:val="24"/>
        </w:rPr>
        <w:t xml:space="preserve">reformy z </w:t>
      </w:r>
      <w:r w:rsidR="00064CE7" w:rsidRPr="00C835AB">
        <w:rPr>
          <w:rFonts w:ascii="Times New Roman" w:hAnsi="Times New Roman" w:cs="Times New Roman"/>
          <w:color w:val="auto"/>
          <w:sz w:val="24"/>
        </w:rPr>
        <w:t xml:space="preserve">dnia </w:t>
      </w:r>
      <w:r w:rsidRPr="00C835AB">
        <w:rPr>
          <w:rFonts w:ascii="Times New Roman" w:hAnsi="Times New Roman" w:cs="Times New Roman"/>
          <w:color w:val="auto"/>
          <w:sz w:val="24"/>
        </w:rPr>
        <w:t>1</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 xml:space="preserve">lipca 2015 r., nie przewiduje się zwiększonej kontradyktoryjności procesu, w którym rola sędziego jest ograniczona, a o wyniku toczącego się postępowania sądowego przesądzić może stopień zaangażowania stron i ich przedstawicieli. Wprowadzony art. 170 § 1 pkt 6 k.p.k., </w:t>
      </w:r>
      <w:r w:rsidRPr="00C835AB">
        <w:rPr>
          <w:rFonts w:ascii="Times New Roman" w:hAnsi="Times New Roman" w:cs="Times New Roman"/>
          <w:color w:val="auto"/>
          <w:sz w:val="24"/>
        </w:rPr>
        <w:lastRenderedPageBreak/>
        <w:t>w</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 xml:space="preserve">swoim założeniu miał za zadanie, zgodnie z uzasadnieniem ówczesnego </w:t>
      </w:r>
      <w:r w:rsidR="00BF34B6" w:rsidRPr="00C835AB">
        <w:rPr>
          <w:rFonts w:ascii="Times New Roman" w:hAnsi="Times New Roman" w:cs="Times New Roman"/>
          <w:color w:val="auto"/>
          <w:sz w:val="24"/>
        </w:rPr>
        <w:t>projektodawcy</w:t>
      </w:r>
      <w:r w:rsidRPr="00C835AB">
        <w:rPr>
          <w:rFonts w:ascii="Times New Roman" w:hAnsi="Times New Roman" w:cs="Times New Roman"/>
          <w:color w:val="auto"/>
          <w:sz w:val="24"/>
        </w:rPr>
        <w:t>, wpłynąć na przyspieszenie i sprawność toczących się postępowań karnych poprzez umożliwienie sądom oddalania wniosków dowodowych złożonych po zakreślonym terminie. Przepis ten dotyczy etapu postępowania sądowego i jak wiadomo dziś nie zrealizował pokładanych w nim nadziei. Sąd orzekający dysponuje wystarczającymi narzędziami umożliwiającymi sprawne prowadzenie postępowania i ewentualnego dyscyplinowania stron w tym zakresie. Jednocześnie przepis ten nie mógł być stosowany w innym celu niż wskazany, a pozostawał w sprzeczności z zasadą domniemania niewinności i prawa do obrony. Uchylenie art. 170 § 1 pkt 6 k.p.k. jest niezbędne ze względu na powinność leżącą po stronie orzekającego sądu sprowadzającą się do podejmowania decyzji opartych na ustaleniach faktycznych zgodnych z rzeczywistym stanem rzeczy. Jednym z elementów sprzyjających temu jest</w:t>
      </w:r>
      <w:r w:rsidR="00B61B0E">
        <w:rPr>
          <w:rFonts w:ascii="Times New Roman" w:hAnsi="Times New Roman" w:cs="Times New Roman"/>
          <w:color w:val="auto"/>
          <w:sz w:val="24"/>
        </w:rPr>
        <w:t> </w:t>
      </w:r>
      <w:r w:rsidRPr="00C835AB">
        <w:rPr>
          <w:rFonts w:ascii="Times New Roman" w:hAnsi="Times New Roman" w:cs="Times New Roman"/>
          <w:color w:val="auto"/>
          <w:sz w:val="24"/>
        </w:rPr>
        <w:t>inicjatywa dowodowa stron. Utrzymywanie zatem katalogu powodów oddalenia wniosku dowodowego z dodatkową przesłanką, oczywiście może przyspieszyć toczące się</w:t>
      </w:r>
      <w:r w:rsidR="00B61B0E">
        <w:rPr>
          <w:rFonts w:ascii="Times New Roman" w:hAnsi="Times New Roman" w:cs="Times New Roman"/>
          <w:color w:val="auto"/>
          <w:sz w:val="24"/>
        </w:rPr>
        <w:t> </w:t>
      </w:r>
      <w:r w:rsidRPr="00C835AB">
        <w:rPr>
          <w:rFonts w:ascii="Times New Roman" w:hAnsi="Times New Roman" w:cs="Times New Roman"/>
          <w:color w:val="auto"/>
          <w:sz w:val="24"/>
        </w:rPr>
        <w:t>postępowania, ale będzie zawsze naruszeniem rzetelnego procesu w rozumieniu konstytucyjnym i konwencyjnym. Oddalenie wniosku dowodowego ze względu na jego spóźnione złożenie może zawsze rodzić ryzyko pominięcia istotnych informacji i rozstrzygania na podstawie nieprawdziwych ustaleń faktycznych. Słusznie wskazuje się</w:t>
      </w:r>
      <w:r w:rsidR="003C2ABF"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że ograniczenie dowodowe nie tylko prowadzi do przyjęcia fikcji rozstrzygania w przedmiocie procesu zgodnie z prawdą, ale prowadzi także do wydania wyroku skazującego wobec osoby niewinnej. </w:t>
      </w:r>
    </w:p>
    <w:p w14:paraId="70B0CBB3" w14:textId="55E957BC" w:rsidR="00584AF5" w:rsidRPr="00C835AB" w:rsidRDefault="00DF57E2"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Projektowane u</w:t>
      </w:r>
      <w:r w:rsidR="00584AF5" w:rsidRPr="00C835AB">
        <w:rPr>
          <w:rFonts w:ascii="Times New Roman" w:hAnsi="Times New Roman" w:cs="Times New Roman"/>
          <w:color w:val="auto"/>
          <w:sz w:val="24"/>
        </w:rPr>
        <w:t xml:space="preserve">chylenie </w:t>
      </w:r>
      <w:r w:rsidR="00064CE7" w:rsidRPr="00C835AB">
        <w:rPr>
          <w:rFonts w:ascii="Times New Roman" w:hAnsi="Times New Roman" w:cs="Times New Roman"/>
          <w:color w:val="auto"/>
          <w:sz w:val="24"/>
        </w:rPr>
        <w:t xml:space="preserve">art. 170 </w:t>
      </w:r>
      <w:r w:rsidR="00584AF5" w:rsidRPr="00C835AB">
        <w:rPr>
          <w:rFonts w:ascii="Times New Roman" w:hAnsi="Times New Roman" w:cs="Times New Roman"/>
          <w:color w:val="auto"/>
          <w:sz w:val="24"/>
        </w:rPr>
        <w:t xml:space="preserve">§ 1a </w:t>
      </w:r>
      <w:r w:rsidR="00064CE7" w:rsidRPr="00C835AB">
        <w:rPr>
          <w:rFonts w:ascii="Times New Roman" w:hAnsi="Times New Roman" w:cs="Times New Roman"/>
          <w:color w:val="auto"/>
          <w:sz w:val="24"/>
        </w:rPr>
        <w:t xml:space="preserve">k.p.k. </w:t>
      </w:r>
      <w:r w:rsidR="00584AF5" w:rsidRPr="00C835AB">
        <w:rPr>
          <w:rFonts w:ascii="Times New Roman" w:hAnsi="Times New Roman" w:cs="Times New Roman"/>
          <w:color w:val="auto"/>
          <w:sz w:val="24"/>
        </w:rPr>
        <w:t xml:space="preserve">jest konsekwencją rezygnacji z prekluzji dowodowej, która w tym </w:t>
      </w:r>
      <w:r w:rsidR="00DB4E01" w:rsidRPr="00C835AB">
        <w:rPr>
          <w:rFonts w:ascii="Times New Roman" w:hAnsi="Times New Roman" w:cs="Times New Roman"/>
          <w:color w:val="auto"/>
          <w:sz w:val="24"/>
        </w:rPr>
        <w:t>przepisie</w:t>
      </w:r>
      <w:r w:rsidR="00584AF5" w:rsidRPr="00C835AB">
        <w:rPr>
          <w:rFonts w:ascii="Times New Roman" w:hAnsi="Times New Roman" w:cs="Times New Roman"/>
          <w:color w:val="auto"/>
          <w:sz w:val="24"/>
        </w:rPr>
        <w:t xml:space="preserve"> doznawała swoistego ograniczenia. Przepis miał spełniać rolę mechanizmu gwarantującego realizację zasady prawdy materialnej. Wobec </w:t>
      </w:r>
      <w:r w:rsidR="00DB4E01" w:rsidRPr="00C835AB">
        <w:rPr>
          <w:rFonts w:ascii="Times New Roman" w:hAnsi="Times New Roman" w:cs="Times New Roman"/>
          <w:color w:val="auto"/>
          <w:sz w:val="24"/>
        </w:rPr>
        <w:t xml:space="preserve">propozycji </w:t>
      </w:r>
      <w:r w:rsidR="00584AF5" w:rsidRPr="00C835AB">
        <w:rPr>
          <w:rFonts w:ascii="Times New Roman" w:hAnsi="Times New Roman" w:cs="Times New Roman"/>
          <w:color w:val="auto"/>
          <w:sz w:val="24"/>
        </w:rPr>
        <w:t xml:space="preserve">uchylenia art. 170 § 1 pkt 6 k.p.k., jego dalsze utrzymywanie </w:t>
      </w:r>
      <w:r w:rsidR="00DB4E01" w:rsidRPr="00C835AB">
        <w:rPr>
          <w:rFonts w:ascii="Times New Roman" w:hAnsi="Times New Roman" w:cs="Times New Roman"/>
          <w:color w:val="auto"/>
          <w:sz w:val="24"/>
        </w:rPr>
        <w:t>traci</w:t>
      </w:r>
      <w:r w:rsidR="00584AF5" w:rsidRPr="00C835AB">
        <w:rPr>
          <w:rFonts w:ascii="Times New Roman" w:hAnsi="Times New Roman" w:cs="Times New Roman"/>
          <w:color w:val="auto"/>
          <w:sz w:val="24"/>
        </w:rPr>
        <w:t xml:space="preserve"> znaczenie. </w:t>
      </w:r>
    </w:p>
    <w:p w14:paraId="088B9A69" w14:textId="0ABBF299" w:rsidR="003C6D54" w:rsidRPr="00C835AB" w:rsidRDefault="003C6D54"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W odniesieniu do uchylanego art. 170 § 1a k.k. w zakresie regulacji art. 170 § 1 pkt 5 k.p.k. należy wskazać, że w dotychczasowym orzecznictwie wypracowano dostateczne regulacje prawne, gwarantujące poszanowanie zasady prawdy materialnej. Przepis art. 170 §</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 xml:space="preserve">1a k.p.k. nie stanowił wobec tej podstawy oddalenia wniosku dowodowego nowości normatywnej. </w:t>
      </w:r>
    </w:p>
    <w:p w14:paraId="6EAF6EA8" w14:textId="58141BB4" w:rsidR="003C6D54" w:rsidRPr="00C835AB" w:rsidRDefault="003C6D54"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Za Sądem Najwyższym należy wskazać, że „Sąd ma obowiązek dochodzenia do</w:t>
      </w:r>
      <w:r w:rsidR="00B61B0E">
        <w:rPr>
          <w:rFonts w:ascii="Times New Roman" w:hAnsi="Times New Roman" w:cs="Times New Roman"/>
          <w:color w:val="auto"/>
          <w:sz w:val="24"/>
        </w:rPr>
        <w:t> </w:t>
      </w:r>
      <w:r w:rsidRPr="00C835AB">
        <w:rPr>
          <w:rFonts w:ascii="Times New Roman" w:hAnsi="Times New Roman" w:cs="Times New Roman"/>
          <w:color w:val="auto"/>
          <w:sz w:val="24"/>
        </w:rPr>
        <w:t>prawdy, co oznacza obowiązek takiego prowadzenia postępowania, aby w oparciu o reguły dowodowe dokonać ustaleń maksymalnie zgodnych z rzeczywistością. Wobec wiodącego charakteru zasady prawdy materialnej w procesie karnym zastosowanie przepisów, które w imię zwiększenia sprawności postępowania mogłyby w nią godzić musi być wnikliwie rozważone, a podjęte decyzje winny być wyczerpująco uzasadnione” (wyrok SN z dnia 26 maja 2022 r.</w:t>
      </w:r>
      <w:r w:rsidR="006A0E1C"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II KK 413/21). Z kolei Trybunał Konstytucyjny wskazuje, że „Spośród zasad postępowania </w:t>
      </w:r>
      <w:r w:rsidRPr="00C835AB">
        <w:rPr>
          <w:rFonts w:ascii="Times New Roman" w:hAnsi="Times New Roman" w:cs="Times New Roman"/>
          <w:color w:val="auto"/>
          <w:sz w:val="24"/>
        </w:rPr>
        <w:lastRenderedPageBreak/>
        <w:t>karnego, szczególne znaczenie przypisuje się zasadzie prawdy materialnej, jako nadrzędnej w</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stosunku do wszystkich pozostałych (por. np.: A. Murzynowski, Istota i zasady procesu karnego, Warszawa 2004, s. 114, S. Waltoś, Proces karny. Zarys systemu, Warszawa 2010, s.</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 xml:space="preserve">219; K. Marszał, S. Stachowiak, K. </w:t>
      </w:r>
      <w:proofErr w:type="spellStart"/>
      <w:r w:rsidRPr="00C835AB">
        <w:rPr>
          <w:rFonts w:ascii="Times New Roman" w:hAnsi="Times New Roman" w:cs="Times New Roman"/>
          <w:color w:val="auto"/>
          <w:sz w:val="24"/>
        </w:rPr>
        <w:t>Zgryzek</w:t>
      </w:r>
      <w:proofErr w:type="spellEnd"/>
      <w:r w:rsidRPr="00C835AB">
        <w:rPr>
          <w:rFonts w:ascii="Times New Roman" w:hAnsi="Times New Roman" w:cs="Times New Roman"/>
          <w:color w:val="auto"/>
          <w:sz w:val="24"/>
        </w:rPr>
        <w:t>, Proces karny, Katowice 2005, s. 80</w:t>
      </w:r>
      <w:r w:rsidR="00796D23">
        <w:rPr>
          <w:rFonts w:ascii="Times New Roman" w:hAnsi="Times New Roman" w:cs="Times New Roman"/>
          <w:color w:val="auto"/>
          <w:sz w:val="24"/>
        </w:rPr>
        <w:t>–</w:t>
      </w:r>
      <w:r w:rsidRPr="00C835AB">
        <w:rPr>
          <w:rFonts w:ascii="Times New Roman" w:hAnsi="Times New Roman" w:cs="Times New Roman"/>
          <w:color w:val="auto"/>
          <w:sz w:val="24"/>
        </w:rPr>
        <w:t>81). Zasada ta została sformułowana w art. 2 § 2 k.p.k., jako dyrektywa, iż "Podstawę wszelkich rozstrzygnięć powinny stanowić prawdziwe ustalenia faktyczne". Celem procesu karnego jest więc dotarcie do rzetelnej i obiektywnej wiedzy o jego przedmiocie. Inne zasady procesowe podporządkowane są tej naczelnej, zaś oparte na nich uregulowania procesowe mają zmierzać do realizacji celów i zadań postępowania karnego (wyrok TK z dnia 7 grudnia 2010 r.</w:t>
      </w:r>
      <w:r w:rsidR="00E676CA"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P 11/09).</w:t>
      </w:r>
    </w:p>
    <w:p w14:paraId="5B350BEE" w14:textId="2EC18A88" w:rsidR="003C6D54" w:rsidRPr="00C835AB" w:rsidRDefault="003C6D54"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Wobec powyższego uchylenie </w:t>
      </w:r>
      <w:r w:rsidR="00E676CA" w:rsidRPr="00C835AB">
        <w:rPr>
          <w:rFonts w:ascii="Times New Roman" w:hAnsi="Times New Roman" w:cs="Times New Roman"/>
          <w:color w:val="auto"/>
          <w:sz w:val="24"/>
        </w:rPr>
        <w:t xml:space="preserve">art. 170 § </w:t>
      </w:r>
      <w:r w:rsidRPr="00C835AB">
        <w:rPr>
          <w:rFonts w:ascii="Times New Roman" w:hAnsi="Times New Roman" w:cs="Times New Roman"/>
          <w:color w:val="auto"/>
          <w:sz w:val="24"/>
        </w:rPr>
        <w:t xml:space="preserve">1a </w:t>
      </w:r>
      <w:r w:rsidR="00E676CA" w:rsidRPr="00C835AB">
        <w:rPr>
          <w:rFonts w:ascii="Times New Roman" w:hAnsi="Times New Roman" w:cs="Times New Roman"/>
          <w:color w:val="auto"/>
          <w:sz w:val="24"/>
        </w:rPr>
        <w:t xml:space="preserve">k.p.k. </w:t>
      </w:r>
      <w:r w:rsidRPr="00C835AB">
        <w:rPr>
          <w:rFonts w:ascii="Times New Roman" w:hAnsi="Times New Roman" w:cs="Times New Roman"/>
          <w:color w:val="auto"/>
          <w:sz w:val="24"/>
        </w:rPr>
        <w:t>nie wpłynie na dopuszczalny zakres oddalenia wniosku dowodowego w oparciu o wskazaną podstawę prawną, odwołującą się</w:t>
      </w:r>
      <w:r w:rsidR="00B61B0E">
        <w:rPr>
          <w:rFonts w:ascii="Times New Roman" w:hAnsi="Times New Roman" w:cs="Times New Roman"/>
          <w:color w:val="auto"/>
          <w:sz w:val="24"/>
        </w:rPr>
        <w:t> </w:t>
      </w:r>
      <w:r w:rsidRPr="00C835AB">
        <w:rPr>
          <w:rFonts w:ascii="Times New Roman" w:hAnsi="Times New Roman" w:cs="Times New Roman"/>
          <w:color w:val="auto"/>
          <w:sz w:val="24"/>
        </w:rPr>
        <w:t>do</w:t>
      </w:r>
      <w:r w:rsidR="00B61B0E">
        <w:rPr>
          <w:rFonts w:ascii="Times New Roman" w:hAnsi="Times New Roman" w:cs="Times New Roman"/>
          <w:color w:val="auto"/>
          <w:sz w:val="24"/>
        </w:rPr>
        <w:t> </w:t>
      </w:r>
      <w:r w:rsidRPr="00C835AB">
        <w:rPr>
          <w:rFonts w:ascii="Times New Roman" w:hAnsi="Times New Roman" w:cs="Times New Roman"/>
          <w:color w:val="auto"/>
          <w:sz w:val="24"/>
        </w:rPr>
        <w:t>działania w celu przedłużenia postępowania.</w:t>
      </w:r>
    </w:p>
    <w:p w14:paraId="7DBD2E4E" w14:textId="29DFBC40" w:rsidR="00C572CA" w:rsidRPr="00C835AB" w:rsidRDefault="00C572CA" w:rsidP="00D823D0">
      <w:pPr>
        <w:rPr>
          <w:rFonts w:ascii="Times New Roman" w:hAnsi="Times New Roman" w:cs="Times New Roman"/>
          <w:color w:val="auto"/>
          <w:sz w:val="24"/>
        </w:rPr>
      </w:pPr>
    </w:p>
    <w:p w14:paraId="5DA66D0E" w14:textId="0C18E832" w:rsidR="00C572CA" w:rsidRPr="00C835AB" w:rsidRDefault="00C572CA"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Art. 180</w:t>
      </w:r>
      <w:r w:rsidR="00064CE7" w:rsidRPr="00C835AB">
        <w:rPr>
          <w:rFonts w:ascii="Times New Roman" w:hAnsi="Times New Roman" w:cs="Times New Roman"/>
          <w:b/>
          <w:bCs/>
          <w:color w:val="auto"/>
          <w:sz w:val="24"/>
        </w:rPr>
        <w:t xml:space="preserve"> § 2 k.p.k.</w:t>
      </w:r>
    </w:p>
    <w:p w14:paraId="54B2A28D" w14:textId="71FBDFFD" w:rsidR="00C572CA" w:rsidRPr="00C835AB" w:rsidRDefault="00C572CA"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Zwolnienie z obowiązku zachowania tajemnicy ustawowo chronionej, podyktowane względami dowodowymi, możliwe jest wyłącznie w przypadku łącznego spełnienia dwóch przesłanek</w:t>
      </w:r>
      <w:r w:rsidR="007A3D76"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dobra wymiaru sprawiedliwości oraz niemożności ustalenia okoliczności w sprawie na podstawie innego dowodu. Na postanowienie, którego wydanie zarezerwowane jest do</w:t>
      </w:r>
      <w:r w:rsidR="00B61B0E">
        <w:rPr>
          <w:rFonts w:ascii="Times New Roman" w:hAnsi="Times New Roman" w:cs="Times New Roman"/>
          <w:color w:val="auto"/>
          <w:sz w:val="24"/>
        </w:rPr>
        <w:t> </w:t>
      </w:r>
      <w:r w:rsidRPr="00C835AB">
        <w:rPr>
          <w:rFonts w:ascii="Times New Roman" w:hAnsi="Times New Roman" w:cs="Times New Roman"/>
          <w:color w:val="auto"/>
          <w:sz w:val="24"/>
        </w:rPr>
        <w:t>wyłącznej kompetencji sądu, przysługuje zażalenie. Ze względu na wyjątkowy charakter dowodu z treści objętej tajemnicą zawodów wymienionych w tym przepisie i wynikające z jego przeprowadzenia możliwe nieodwracalne konsekwencje</w:t>
      </w:r>
      <w:r w:rsidR="00434D99"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postanowienie nie powinno mieć przymiotu natychmiastowej wykonalności</w:t>
      </w:r>
      <w:r w:rsidR="003C2ABF"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a zażalenie winno wstrzymywać jego wykonanie. Ze względu na obowiązującą zasadę względnej suspensywności postanowień, wynikającą z</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treści art. 462</w:t>
      </w:r>
      <w:r w:rsidR="00D81A3B" w:rsidRPr="00C835AB">
        <w:rPr>
          <w:rFonts w:ascii="Times New Roman" w:hAnsi="Times New Roman" w:cs="Times New Roman"/>
          <w:color w:val="auto"/>
          <w:sz w:val="24"/>
        </w:rPr>
        <w:t xml:space="preserve"> k.p.k.</w:t>
      </w:r>
      <w:r w:rsidRPr="00C835AB">
        <w:rPr>
          <w:rFonts w:ascii="Times New Roman" w:hAnsi="Times New Roman" w:cs="Times New Roman"/>
          <w:color w:val="auto"/>
          <w:sz w:val="24"/>
        </w:rPr>
        <w:t xml:space="preserve">, </w:t>
      </w:r>
      <w:r w:rsidR="00B220E3" w:rsidRPr="00C835AB">
        <w:rPr>
          <w:rFonts w:ascii="Times New Roman" w:hAnsi="Times New Roman" w:cs="Times New Roman"/>
          <w:color w:val="auto"/>
          <w:sz w:val="24"/>
        </w:rPr>
        <w:t>proponuje</w:t>
      </w:r>
      <w:r w:rsidRPr="00C835AB">
        <w:rPr>
          <w:rFonts w:ascii="Times New Roman" w:hAnsi="Times New Roman" w:cs="Times New Roman"/>
          <w:color w:val="auto"/>
          <w:sz w:val="24"/>
        </w:rPr>
        <w:t xml:space="preserve"> się umieścić </w:t>
      </w:r>
      <w:r w:rsidR="009E4A48" w:rsidRPr="00C835AB">
        <w:rPr>
          <w:rFonts w:ascii="Times New Roman" w:hAnsi="Times New Roman" w:cs="Times New Roman"/>
          <w:color w:val="auto"/>
          <w:sz w:val="24"/>
        </w:rPr>
        <w:t xml:space="preserve">w art. 180 </w:t>
      </w:r>
      <w:r w:rsidR="0046155A" w:rsidRPr="00C835AB">
        <w:rPr>
          <w:rFonts w:ascii="Times New Roman" w:hAnsi="Times New Roman" w:cs="Times New Roman"/>
          <w:color w:val="auto"/>
          <w:sz w:val="24"/>
        </w:rPr>
        <w:t xml:space="preserve">§ 2 k.p.k. </w:t>
      </w:r>
      <w:r w:rsidRPr="00C835AB">
        <w:rPr>
          <w:rFonts w:ascii="Times New Roman" w:hAnsi="Times New Roman" w:cs="Times New Roman"/>
          <w:color w:val="auto"/>
          <w:sz w:val="24"/>
        </w:rPr>
        <w:t>zdanie</w:t>
      </w:r>
      <w:r w:rsidR="00D81A3B"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zgodnie z którym złożenie zażalenia wstrzyma wykonanie zaskarżonego postanowienia. Projektowana zmiana oznacza zatem, że warunkiem wykonania postanowienia jest jego prawomocność. Jednocześnie ze względu na konieczność dalszego sprawnego prowadzenia postępowania i potrzeb</w:t>
      </w:r>
      <w:r w:rsidR="000364E4" w:rsidRPr="00C835AB">
        <w:rPr>
          <w:rFonts w:ascii="Times New Roman" w:hAnsi="Times New Roman" w:cs="Times New Roman"/>
          <w:color w:val="auto"/>
          <w:sz w:val="24"/>
        </w:rPr>
        <w:t>y</w:t>
      </w:r>
      <w:r w:rsidRPr="00C835AB">
        <w:rPr>
          <w:rFonts w:ascii="Times New Roman" w:hAnsi="Times New Roman" w:cs="Times New Roman"/>
          <w:color w:val="auto"/>
          <w:sz w:val="24"/>
        </w:rPr>
        <w:t xml:space="preserve"> uzyskania ostatecznej decyzji sądu co do możliwości skorzystania z tego dowodu przewidziano krótki</w:t>
      </w:r>
      <w:r w:rsidR="00D81A3B"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bo </w:t>
      </w:r>
      <w:r w:rsidR="00584AF5" w:rsidRPr="00C835AB">
        <w:rPr>
          <w:rFonts w:ascii="Times New Roman" w:hAnsi="Times New Roman" w:cs="Times New Roman"/>
          <w:color w:val="auto"/>
          <w:sz w:val="24"/>
        </w:rPr>
        <w:t>siedmiodniowy</w:t>
      </w:r>
      <w:r w:rsidRPr="00C835AB">
        <w:rPr>
          <w:rFonts w:ascii="Times New Roman" w:hAnsi="Times New Roman" w:cs="Times New Roman"/>
          <w:color w:val="auto"/>
          <w:sz w:val="24"/>
        </w:rPr>
        <w:t xml:space="preserve"> termin</w:t>
      </w:r>
      <w:r w:rsidR="000364E4"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dla sądu rozpoznającego zażalenia.</w:t>
      </w:r>
      <w:r w:rsidR="00662587" w:rsidRPr="00C835AB">
        <w:rPr>
          <w:rFonts w:ascii="Times New Roman" w:hAnsi="Times New Roman" w:cs="Times New Roman"/>
          <w:color w:val="auto"/>
          <w:sz w:val="24"/>
        </w:rPr>
        <w:t xml:space="preserve"> </w:t>
      </w:r>
    </w:p>
    <w:p w14:paraId="7D482312" w14:textId="322A5E94" w:rsidR="00444584" w:rsidRPr="00C835AB" w:rsidRDefault="00444584"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Druga zmiana art. 180 § 2 k.p.k. polega na dodaniu tłumacza przysięgłego do katalogu osób, których przesłuchanie wymaga zwolnienia z obowiązku zachowania tajemnicy przez sąd. Względy, które stoją za potrzebą wzmożonej ochrony tajemnicy notarialnej, adwokackiej, radcy prawnego, doradcy podatkowego, lekarskiej, dziennikarskiej lub statystycznej </w:t>
      </w:r>
      <w:r w:rsidRPr="00C835AB">
        <w:rPr>
          <w:rFonts w:ascii="Times New Roman" w:hAnsi="Times New Roman" w:cs="Times New Roman"/>
          <w:color w:val="auto"/>
          <w:sz w:val="24"/>
        </w:rPr>
        <w:lastRenderedPageBreak/>
        <w:t>oraz</w:t>
      </w:r>
      <w:r w:rsidR="00B61B0E">
        <w:rPr>
          <w:rFonts w:ascii="Times New Roman" w:hAnsi="Times New Roman" w:cs="Times New Roman"/>
          <w:color w:val="auto"/>
          <w:sz w:val="24"/>
        </w:rPr>
        <w:t> </w:t>
      </w:r>
      <w:r w:rsidRPr="00C835AB">
        <w:rPr>
          <w:rFonts w:ascii="Times New Roman" w:hAnsi="Times New Roman" w:cs="Times New Roman"/>
          <w:color w:val="auto"/>
          <w:sz w:val="24"/>
        </w:rPr>
        <w:t xml:space="preserve">tajemnicy Prokuratorii Generalnej </w:t>
      </w:r>
      <w:r w:rsidR="006966BF">
        <w:rPr>
          <w:rFonts w:ascii="Times New Roman" w:hAnsi="Times New Roman" w:cs="Times New Roman"/>
          <w:color w:val="auto"/>
          <w:sz w:val="24"/>
        </w:rPr>
        <w:t xml:space="preserve">Rzeczypospolitej Polskiej </w:t>
      </w:r>
      <w:r w:rsidRPr="00C835AB">
        <w:rPr>
          <w:rFonts w:ascii="Times New Roman" w:hAnsi="Times New Roman" w:cs="Times New Roman"/>
          <w:color w:val="auto"/>
          <w:sz w:val="24"/>
        </w:rPr>
        <w:t xml:space="preserve">w równym stopniu dotyczą tłumacza przysięgłego. </w:t>
      </w:r>
    </w:p>
    <w:p w14:paraId="5376665E" w14:textId="7027BE59" w:rsidR="00444584" w:rsidRPr="00C835AB" w:rsidRDefault="00444584"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Zgodnie z art. 14 ust.1 pkt 2 ustawy z 25 listopada 2004 r. </w:t>
      </w:r>
      <w:r w:rsidRPr="00C835AB">
        <w:rPr>
          <w:rFonts w:ascii="Times New Roman" w:hAnsi="Times New Roman" w:cs="Times New Roman"/>
          <w:color w:val="auto"/>
          <w:sz w:val="24"/>
          <w:lang w:eastAsia="pl-PL"/>
        </w:rPr>
        <w:t>o zawodzie tłumacza przysięgłego</w:t>
      </w:r>
      <w:r w:rsidRPr="00C835AB">
        <w:rPr>
          <w:rFonts w:ascii="Times New Roman" w:hAnsi="Times New Roman" w:cs="Times New Roman"/>
          <w:color w:val="auto"/>
          <w:sz w:val="24"/>
        </w:rPr>
        <w:t xml:space="preserve"> </w:t>
      </w:r>
      <w:hyperlink r:id="rId12" w:history="1">
        <w:r w:rsidRPr="00C835AB">
          <w:rPr>
            <w:rStyle w:val="Hipercze"/>
            <w:rFonts w:ascii="Times New Roman" w:hAnsi="Times New Roman" w:cs="Times New Roman"/>
            <w:color w:val="auto"/>
            <w:sz w:val="24"/>
            <w:u w:val="none"/>
          </w:rPr>
          <w:t>(Dz.</w:t>
        </w:r>
        <w:r w:rsidR="009102D8" w:rsidRPr="00C835AB">
          <w:rPr>
            <w:rStyle w:val="Hipercze"/>
            <w:rFonts w:ascii="Times New Roman" w:hAnsi="Times New Roman" w:cs="Times New Roman"/>
            <w:color w:val="auto"/>
            <w:sz w:val="24"/>
            <w:u w:val="none"/>
          </w:rPr>
          <w:t xml:space="preserve"> </w:t>
        </w:r>
        <w:r w:rsidRPr="00C835AB">
          <w:rPr>
            <w:rStyle w:val="Hipercze"/>
            <w:rFonts w:ascii="Times New Roman" w:hAnsi="Times New Roman" w:cs="Times New Roman"/>
            <w:color w:val="auto"/>
            <w:sz w:val="24"/>
            <w:u w:val="none"/>
          </w:rPr>
          <w:t>U. z 2019 r. poz. 1326)</w:t>
        </w:r>
      </w:hyperlink>
      <w:r w:rsidRPr="00C835AB">
        <w:rPr>
          <w:rFonts w:ascii="Times New Roman" w:hAnsi="Times New Roman" w:cs="Times New Roman"/>
          <w:color w:val="auto"/>
          <w:sz w:val="24"/>
        </w:rPr>
        <w:t xml:space="preserve"> t</w:t>
      </w:r>
      <w:r w:rsidRPr="00C835AB">
        <w:rPr>
          <w:rFonts w:ascii="Times New Roman" w:hAnsi="Times New Roman" w:cs="Times New Roman"/>
          <w:color w:val="auto"/>
          <w:sz w:val="24"/>
          <w:lang w:eastAsia="pl-PL"/>
        </w:rPr>
        <w:t>łumacz przysięgły jest obowiązany do</w:t>
      </w:r>
      <w:r w:rsidRPr="00C835AB">
        <w:rPr>
          <w:rFonts w:ascii="Times New Roman" w:hAnsi="Times New Roman" w:cs="Times New Roman"/>
          <w:color w:val="auto"/>
          <w:sz w:val="24"/>
        </w:rPr>
        <w:t xml:space="preserve"> </w:t>
      </w:r>
      <w:r w:rsidRPr="00C835AB">
        <w:rPr>
          <w:rFonts w:ascii="Times New Roman" w:hAnsi="Times New Roman" w:cs="Times New Roman"/>
          <w:color w:val="auto"/>
          <w:sz w:val="24"/>
          <w:lang w:eastAsia="pl-PL"/>
        </w:rPr>
        <w:t>zachowania w tajemnicy faktów i okoliczności, z którymi zapoznał się w związku z tłumaczeniem</w:t>
      </w:r>
      <w:r w:rsidRPr="00C835AB">
        <w:rPr>
          <w:rFonts w:ascii="Times New Roman" w:hAnsi="Times New Roman" w:cs="Times New Roman"/>
          <w:color w:val="auto"/>
          <w:sz w:val="24"/>
        </w:rPr>
        <w:t>. W</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doktrynie wskazuje się, że „tajemnica zawodowa tłumacza przysięgłego nie jest tajemnicą bezwzględną i w określonych przypadkach przepisy prawa, w drodze wyjątku, przewidują możliwość zwolnienia tłumacza przysięgłego z obowiązku dochowania tajemnicy zawodowej (…). Przykładem takiego przepisu jest </w:t>
      </w:r>
      <w:hyperlink r:id="rId13" w:anchor="/document/16798685?unitId=art(180)par(1)&amp;cm=DOCUMENT" w:history="1">
        <w:r w:rsidRPr="00C835AB">
          <w:rPr>
            <w:rStyle w:val="Hipercze"/>
            <w:rFonts w:ascii="Times New Roman" w:hAnsi="Times New Roman" w:cs="Times New Roman"/>
            <w:color w:val="auto"/>
            <w:sz w:val="24"/>
            <w:u w:val="none"/>
          </w:rPr>
          <w:t>art. 180 § 1</w:t>
        </w:r>
      </w:hyperlink>
      <w:r w:rsidRPr="00C835AB">
        <w:rPr>
          <w:rFonts w:ascii="Times New Roman" w:hAnsi="Times New Roman" w:cs="Times New Roman"/>
          <w:color w:val="auto"/>
          <w:sz w:val="24"/>
        </w:rPr>
        <w:t> kodeksu postępowania karnego, który stanowi, że osoby obowiązane do zachowania tajemnicy służbowej lub tajemnicy związanej z</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wykonywaniem zawodu lub funkcji mogą odmówić zeznań co do okoliczności, na które rozciąga się ten obowiązek, chyba że sąd lub prokurator zwolni te osoby od obowiązku zachowania tajemnicy” (</w:t>
      </w:r>
      <w:r w:rsidRPr="00C835AB">
        <w:rPr>
          <w:rFonts w:ascii="Times New Roman" w:hAnsi="Times New Roman" w:cs="Times New Roman"/>
          <w:color w:val="auto"/>
          <w:sz w:val="24"/>
          <w:shd w:val="clear" w:color="auto" w:fill="FFFFFF"/>
        </w:rPr>
        <w:t xml:space="preserve">M. Kaczocha [w:] M. </w:t>
      </w:r>
      <w:proofErr w:type="spellStart"/>
      <w:r w:rsidRPr="00C835AB">
        <w:rPr>
          <w:rFonts w:ascii="Times New Roman" w:hAnsi="Times New Roman" w:cs="Times New Roman"/>
          <w:color w:val="auto"/>
          <w:sz w:val="24"/>
          <w:shd w:val="clear" w:color="auto" w:fill="FFFFFF"/>
        </w:rPr>
        <w:t>Mazuryk</w:t>
      </w:r>
      <w:proofErr w:type="spellEnd"/>
      <w:r w:rsidRPr="00C835AB">
        <w:rPr>
          <w:rFonts w:ascii="Times New Roman" w:hAnsi="Times New Roman" w:cs="Times New Roman"/>
          <w:color w:val="auto"/>
          <w:sz w:val="24"/>
          <w:shd w:val="clear" w:color="auto" w:fill="FFFFFF"/>
        </w:rPr>
        <w:t xml:space="preserve">, M. Kaczocha, Ustawa o zawodzie tłumacza przysięgłego. Komentarz, LEX/el. 2011, art. 14). Proponowana zmiana podnosi poziom ochrony tajemnicy tłumacza przysięgłego do granic wyznaczonych przez art. 180 </w:t>
      </w:r>
      <w:r w:rsidRPr="00C835AB">
        <w:rPr>
          <w:rFonts w:ascii="Times New Roman" w:hAnsi="Times New Roman" w:cs="Times New Roman"/>
          <w:color w:val="auto"/>
          <w:sz w:val="24"/>
        </w:rPr>
        <w:t>§ 2 k.p.k.</w:t>
      </w:r>
    </w:p>
    <w:p w14:paraId="69BA5F36" w14:textId="1F859937" w:rsidR="00E77AC5" w:rsidRPr="00C835AB" w:rsidRDefault="00444584" w:rsidP="00D823D0">
      <w:pPr>
        <w:pStyle w:val="Tekstprzypisudolnego"/>
        <w:spacing w:line="360" w:lineRule="auto"/>
        <w:ind w:firstLine="708"/>
        <w:jc w:val="both"/>
        <w:rPr>
          <w:rFonts w:ascii="Times New Roman" w:hAnsi="Times New Roman" w:cs="Times New Roman"/>
          <w:sz w:val="24"/>
          <w:szCs w:val="24"/>
        </w:rPr>
      </w:pPr>
      <w:r w:rsidRPr="00C835AB">
        <w:rPr>
          <w:rFonts w:ascii="Times New Roman" w:hAnsi="Times New Roman" w:cs="Times New Roman"/>
          <w:sz w:val="24"/>
          <w:szCs w:val="24"/>
        </w:rPr>
        <w:t>Zasadniczym powodem wprowadzenia takiej zmiany jest konieczność zapobieżenia obchodzenia przepisów o ochronie tajemnicy prawnie chronionej przez przesłuchanie tłumacza na okoliczność informacji nimi objętymi, np. przez przesłuchanie tłumacza co do treści rozmowy podejrzanego z obrońcą, w której to tłumacz uczestniczył. Na konieczność wprowadzenia takiej regulacji wskazywał także Rzecznik Praw Obywatelskich</w:t>
      </w:r>
      <w:r w:rsidR="00E77AC5" w:rsidRPr="00C835AB">
        <w:rPr>
          <w:rFonts w:ascii="Times New Roman" w:hAnsi="Times New Roman" w:cs="Times New Roman"/>
          <w:sz w:val="24"/>
          <w:szCs w:val="24"/>
        </w:rPr>
        <w:t xml:space="preserve"> (https://bip.brpo.gov.pl/pl/content/rpo-zwi%C4%99kszyc-ochrone-prawna-tajemnicy-tlumaczy).</w:t>
      </w:r>
    </w:p>
    <w:p w14:paraId="63770AB4" w14:textId="77777777" w:rsidR="0037634E" w:rsidRPr="00C835AB" w:rsidRDefault="0037634E" w:rsidP="00D823D0">
      <w:pPr>
        <w:rPr>
          <w:rFonts w:ascii="Times New Roman" w:hAnsi="Times New Roman" w:cs="Times New Roman"/>
          <w:b/>
          <w:color w:val="auto"/>
          <w:sz w:val="24"/>
        </w:rPr>
      </w:pPr>
    </w:p>
    <w:p w14:paraId="77653C3A" w14:textId="190ADBA4" w:rsidR="0037634E" w:rsidRPr="00C835AB" w:rsidRDefault="0037634E" w:rsidP="00D823D0">
      <w:pPr>
        <w:ind w:firstLine="720"/>
        <w:rPr>
          <w:rFonts w:ascii="Times New Roman" w:hAnsi="Times New Roman" w:cs="Times New Roman"/>
          <w:b/>
          <w:bCs/>
          <w:color w:val="auto"/>
          <w:sz w:val="24"/>
        </w:rPr>
      </w:pPr>
      <w:r w:rsidRPr="00C835AB">
        <w:rPr>
          <w:rFonts w:ascii="Times New Roman" w:hAnsi="Times New Roman" w:cs="Times New Roman"/>
          <w:b/>
          <w:bCs/>
          <w:color w:val="auto"/>
          <w:sz w:val="24"/>
        </w:rPr>
        <w:t>Art. 198</w:t>
      </w:r>
      <w:r w:rsidR="00E77AC5" w:rsidRPr="00C835AB">
        <w:rPr>
          <w:rFonts w:ascii="Times New Roman" w:hAnsi="Times New Roman" w:cs="Times New Roman"/>
          <w:b/>
          <w:bCs/>
          <w:color w:val="auto"/>
          <w:sz w:val="24"/>
        </w:rPr>
        <w:t xml:space="preserve"> § 1 i § 1a k.p.k.</w:t>
      </w:r>
    </w:p>
    <w:p w14:paraId="5416DA54" w14:textId="0A08D2A0" w:rsidR="0037634E" w:rsidRPr="00C835AB" w:rsidRDefault="21FEADEE" w:rsidP="00D823D0">
      <w:pPr>
        <w:ind w:firstLine="708"/>
        <w:rPr>
          <w:rFonts w:ascii="Times New Roman" w:hAnsi="Times New Roman" w:cs="Times New Roman"/>
          <w:b/>
          <w:bCs/>
          <w:color w:val="auto"/>
          <w:sz w:val="24"/>
        </w:rPr>
      </w:pPr>
      <w:r w:rsidRPr="00C835AB">
        <w:rPr>
          <w:rFonts w:ascii="Times New Roman" w:hAnsi="Times New Roman" w:cs="Times New Roman"/>
          <w:color w:val="auto"/>
          <w:sz w:val="24"/>
        </w:rPr>
        <w:t xml:space="preserve">Celem </w:t>
      </w:r>
      <w:r w:rsidR="00374BEE" w:rsidRPr="00C835AB">
        <w:rPr>
          <w:rFonts w:ascii="Times New Roman" w:hAnsi="Times New Roman" w:cs="Times New Roman"/>
          <w:color w:val="auto"/>
          <w:sz w:val="24"/>
        </w:rPr>
        <w:t xml:space="preserve">projektowanej </w:t>
      </w:r>
      <w:r w:rsidRPr="00C835AB">
        <w:rPr>
          <w:rFonts w:ascii="Times New Roman" w:hAnsi="Times New Roman" w:cs="Times New Roman"/>
          <w:color w:val="auto"/>
          <w:sz w:val="24"/>
        </w:rPr>
        <w:t xml:space="preserve">zmiany </w:t>
      </w:r>
      <w:r w:rsidR="00374BEE" w:rsidRPr="00C835AB">
        <w:rPr>
          <w:rFonts w:ascii="Times New Roman" w:hAnsi="Times New Roman" w:cs="Times New Roman"/>
          <w:color w:val="auto"/>
          <w:sz w:val="24"/>
        </w:rPr>
        <w:t xml:space="preserve">art. 198 § 1 k.p.k. i uchylenia art. 198 § 1a k.p.k. </w:t>
      </w:r>
      <w:r w:rsidRPr="00C835AB">
        <w:rPr>
          <w:rFonts w:ascii="Times New Roman" w:hAnsi="Times New Roman" w:cs="Times New Roman"/>
          <w:color w:val="auto"/>
          <w:sz w:val="24"/>
        </w:rPr>
        <w:t>jest</w:t>
      </w:r>
      <w:r w:rsidR="00DA5E3E">
        <w:rPr>
          <w:rFonts w:ascii="Times New Roman" w:hAnsi="Times New Roman" w:cs="Times New Roman"/>
          <w:color w:val="auto"/>
          <w:sz w:val="24"/>
        </w:rPr>
        <w:t> </w:t>
      </w:r>
      <w:r w:rsidRPr="00C835AB">
        <w:rPr>
          <w:rFonts w:ascii="Times New Roman" w:hAnsi="Times New Roman" w:cs="Times New Roman"/>
          <w:color w:val="auto"/>
          <w:sz w:val="24"/>
        </w:rPr>
        <w:t>zasadniczo powrót do reguł udostępniania biegły</w:t>
      </w:r>
      <w:r w:rsidR="0034798C" w:rsidRPr="00C835AB">
        <w:rPr>
          <w:rFonts w:ascii="Times New Roman" w:hAnsi="Times New Roman" w:cs="Times New Roman"/>
          <w:color w:val="auto"/>
          <w:sz w:val="24"/>
        </w:rPr>
        <w:t>m</w:t>
      </w:r>
      <w:r w:rsidRPr="00C835AB">
        <w:rPr>
          <w:rFonts w:ascii="Times New Roman" w:hAnsi="Times New Roman" w:cs="Times New Roman"/>
          <w:color w:val="auto"/>
          <w:sz w:val="24"/>
        </w:rPr>
        <w:t xml:space="preserve"> akt sprawy, jakie obowiązywały przed</w:t>
      </w:r>
      <w:r w:rsidR="00DA5E3E">
        <w:rPr>
          <w:rFonts w:ascii="Times New Roman" w:hAnsi="Times New Roman" w:cs="Times New Roman"/>
          <w:color w:val="auto"/>
          <w:sz w:val="24"/>
        </w:rPr>
        <w:t> </w:t>
      </w:r>
      <w:r w:rsidRPr="00C835AB">
        <w:rPr>
          <w:rFonts w:ascii="Times New Roman" w:hAnsi="Times New Roman" w:cs="Times New Roman"/>
          <w:color w:val="auto"/>
          <w:sz w:val="24"/>
        </w:rPr>
        <w:t xml:space="preserve">nowelizacją </w:t>
      </w:r>
      <w:r w:rsidR="0034798C" w:rsidRPr="00C835AB">
        <w:rPr>
          <w:rFonts w:ascii="Times New Roman" w:hAnsi="Times New Roman" w:cs="Times New Roman"/>
          <w:color w:val="auto"/>
          <w:sz w:val="24"/>
        </w:rPr>
        <w:t>Kodeksu postępowania karnego</w:t>
      </w:r>
      <w:r w:rsidRPr="00C835AB">
        <w:rPr>
          <w:rFonts w:ascii="Times New Roman" w:hAnsi="Times New Roman" w:cs="Times New Roman"/>
          <w:color w:val="auto"/>
          <w:sz w:val="24"/>
        </w:rPr>
        <w:t xml:space="preserve">, która weszła w życie </w:t>
      </w:r>
      <w:r w:rsidR="002A6A21" w:rsidRPr="00C835AB">
        <w:rPr>
          <w:rFonts w:ascii="Times New Roman" w:hAnsi="Times New Roman" w:cs="Times New Roman"/>
          <w:color w:val="auto"/>
          <w:sz w:val="24"/>
        </w:rPr>
        <w:t xml:space="preserve">z dniem </w:t>
      </w:r>
      <w:r w:rsidRPr="00C835AB">
        <w:rPr>
          <w:rFonts w:ascii="Times New Roman" w:hAnsi="Times New Roman" w:cs="Times New Roman"/>
          <w:color w:val="auto"/>
          <w:sz w:val="24"/>
        </w:rPr>
        <w:t>5</w:t>
      </w:r>
      <w:r w:rsidR="00DA5E3E">
        <w:rPr>
          <w:rFonts w:ascii="Times New Roman" w:hAnsi="Times New Roman" w:cs="Times New Roman"/>
          <w:color w:val="auto"/>
          <w:sz w:val="24"/>
        </w:rPr>
        <w:t> </w:t>
      </w:r>
      <w:r w:rsidRPr="00C835AB">
        <w:rPr>
          <w:rFonts w:ascii="Times New Roman" w:hAnsi="Times New Roman" w:cs="Times New Roman"/>
          <w:color w:val="auto"/>
          <w:sz w:val="24"/>
        </w:rPr>
        <w:t>października 2019</w:t>
      </w:r>
      <w:r w:rsidR="00B61B0E">
        <w:rPr>
          <w:rFonts w:ascii="Times New Roman" w:hAnsi="Times New Roman" w:cs="Times New Roman"/>
          <w:color w:val="auto"/>
          <w:sz w:val="24"/>
        </w:rPr>
        <w:t> </w:t>
      </w:r>
      <w:r w:rsidRPr="00C835AB">
        <w:rPr>
          <w:rFonts w:ascii="Times New Roman" w:hAnsi="Times New Roman" w:cs="Times New Roman"/>
          <w:color w:val="auto"/>
          <w:sz w:val="24"/>
        </w:rPr>
        <w:t>r. Przepis w proponowanym brzmieniu nadal pozostawia organowi procesowemu pełne panowanie nad zakresem przekazanych biegłemu dokumentów z akt sprawy. Akta (poszczególne dokumenty, ich odpisy lub ich wersje elektroniczne) mają być przekazywane biegłym „w miarę potrzeby” oraz „w zakresie niezbędnym do wydania opinii”. Zrezygnowano natomiast z zakazu udostępniania biegłemu znajdującej się już w aktach sprawy opinii innego biegłego</w:t>
      </w:r>
      <w:r w:rsidR="0034798C"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w:t>
      </w:r>
      <w:r w:rsidR="0034798C"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 xml:space="preserve">biegłych dotyczącej tego samego zagadnienia. W założeniu </w:t>
      </w:r>
      <w:r w:rsidRPr="00C835AB">
        <w:rPr>
          <w:rFonts w:ascii="Times New Roman" w:hAnsi="Times New Roman" w:cs="Times New Roman"/>
          <w:color w:val="auto"/>
          <w:sz w:val="24"/>
        </w:rPr>
        <w:lastRenderedPageBreak/>
        <w:t>ustawodawcy zakaz ten miał zwiększyć obiektywność opiniowania kolejnych biegłych w</w:t>
      </w:r>
      <w:r w:rsidR="00DA5E3E">
        <w:rPr>
          <w:rFonts w:ascii="Times New Roman" w:hAnsi="Times New Roman" w:cs="Times New Roman"/>
          <w:color w:val="auto"/>
          <w:sz w:val="24"/>
        </w:rPr>
        <w:t> </w:t>
      </w:r>
      <w:r w:rsidRPr="00C835AB">
        <w:rPr>
          <w:rFonts w:ascii="Times New Roman" w:hAnsi="Times New Roman" w:cs="Times New Roman"/>
          <w:color w:val="auto"/>
          <w:sz w:val="24"/>
        </w:rPr>
        <w:t>sprawie. Adekwatnym zabezpieczeniem obiektywności opiniowania biegłego powinien być</w:t>
      </w:r>
      <w:r w:rsidR="00DA5E3E">
        <w:rPr>
          <w:rFonts w:ascii="Times New Roman" w:hAnsi="Times New Roman" w:cs="Times New Roman"/>
          <w:color w:val="auto"/>
          <w:sz w:val="24"/>
        </w:rPr>
        <w:t> </w:t>
      </w:r>
      <w:r w:rsidRPr="00C835AB">
        <w:rPr>
          <w:rFonts w:ascii="Times New Roman" w:hAnsi="Times New Roman" w:cs="Times New Roman"/>
          <w:color w:val="auto"/>
          <w:sz w:val="24"/>
        </w:rPr>
        <w:t>odpowiedni dobór biegłych, legitymujących się najwyższą wiedzą ekspercką w swojej dziedzinie oraz możliwość poniesienia przez biegłego odpowiedzialności karnej czy</w:t>
      </w:r>
      <w:r w:rsidR="00DA5E3E">
        <w:rPr>
          <w:rFonts w:ascii="Times New Roman" w:hAnsi="Times New Roman" w:cs="Times New Roman"/>
          <w:color w:val="auto"/>
          <w:sz w:val="24"/>
        </w:rPr>
        <w:t> </w:t>
      </w:r>
      <w:r w:rsidRPr="00C835AB">
        <w:rPr>
          <w:rFonts w:ascii="Times New Roman" w:hAnsi="Times New Roman" w:cs="Times New Roman"/>
          <w:color w:val="auto"/>
          <w:sz w:val="24"/>
        </w:rPr>
        <w:t>zawodowej za przedłożenie nierzetelnej lub sfałszowanej opinii. Natomiast zasadniczo biegły powinien mieć dostęp do tych wszystkich dokumentów, które umożliwią mu</w:t>
      </w:r>
      <w:r w:rsidR="00DA5E3E">
        <w:rPr>
          <w:rFonts w:ascii="Times New Roman" w:hAnsi="Times New Roman" w:cs="Times New Roman"/>
          <w:color w:val="auto"/>
          <w:sz w:val="24"/>
        </w:rPr>
        <w:t> </w:t>
      </w:r>
      <w:r w:rsidRPr="00C835AB">
        <w:rPr>
          <w:rFonts w:ascii="Times New Roman" w:hAnsi="Times New Roman" w:cs="Times New Roman"/>
          <w:color w:val="auto"/>
          <w:sz w:val="24"/>
        </w:rPr>
        <w:t>sporządzenie rzetelnej, wyczerpującej i</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prawidłowej opinii. W szczególności przy</w:t>
      </w:r>
      <w:r w:rsidR="00DA5E3E">
        <w:rPr>
          <w:rFonts w:ascii="Times New Roman" w:hAnsi="Times New Roman" w:cs="Times New Roman"/>
          <w:color w:val="auto"/>
          <w:sz w:val="24"/>
        </w:rPr>
        <w:t> </w:t>
      </w:r>
      <w:r w:rsidRPr="00C835AB">
        <w:rPr>
          <w:rFonts w:ascii="Times New Roman" w:hAnsi="Times New Roman" w:cs="Times New Roman"/>
          <w:color w:val="auto"/>
          <w:sz w:val="24"/>
        </w:rPr>
        <w:t>wydawaniu opinii sądowo psychiatrycznej ograniczenie przez organ procesowy dostępu biegłych do poprzednio wydanej w sprawie opinii psychiatrycznej lub do poszczególnych dokumentów z akt sprawy budzi zasadnicze wątpliwości. Dodać należy, że obecne brzmienie tego przepisu ogranicza biegłym możliwość zapoznania się z poprzednio wydanymi w sprawie opiniami, w sytuacji, gdy jednocześnie z</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mocy §</w:t>
      </w:r>
      <w:r w:rsidRPr="00C835AB">
        <w:rPr>
          <w:rFonts w:ascii="Times New Roman" w:hAnsi="Times New Roman" w:cs="Times New Roman"/>
          <w:color w:val="auto"/>
          <w:sz w:val="24"/>
          <w:shd w:val="clear" w:color="auto" w:fill="FFFFFF"/>
        </w:rPr>
        <w:t xml:space="preserve"> 157 ust. 2 </w:t>
      </w:r>
      <w:r w:rsidR="00E77AC5" w:rsidRPr="00C835AB">
        <w:rPr>
          <w:rFonts w:ascii="Times New Roman" w:hAnsi="Times New Roman" w:cs="Times New Roman"/>
          <w:color w:val="auto"/>
          <w:sz w:val="24"/>
        </w:rPr>
        <w:t xml:space="preserve">rozporządzenia Ministra Sprawiedliwości z dnia 7 kwietnia 2016 r. </w:t>
      </w:r>
      <w:r w:rsidR="00E77AC5" w:rsidRPr="00C835AB">
        <w:rPr>
          <w:rFonts w:ascii="Times New Roman" w:hAnsi="Times New Roman" w:cs="Times New Roman"/>
          <w:color w:val="auto"/>
          <w:sz w:val="24"/>
        </w:rPr>
        <w:sym w:font="Symbol" w:char="F02D"/>
      </w:r>
      <w:r w:rsidR="00B61B0E">
        <w:rPr>
          <w:rFonts w:ascii="Times New Roman" w:hAnsi="Times New Roman" w:cs="Times New Roman"/>
          <w:color w:val="auto"/>
          <w:sz w:val="24"/>
        </w:rPr>
        <w:t> </w:t>
      </w:r>
      <w:r w:rsidR="00E77AC5" w:rsidRPr="00C835AB">
        <w:rPr>
          <w:rFonts w:ascii="Times New Roman" w:hAnsi="Times New Roman" w:cs="Times New Roman"/>
          <w:color w:val="auto"/>
          <w:sz w:val="24"/>
        </w:rPr>
        <w:t xml:space="preserve">Regulamin wewnętrznego urzędowania powszechnych jednostek organizacyjnych prokuratury (Dz. U. z 2023 r. poz. 1115, z </w:t>
      </w:r>
      <w:proofErr w:type="spellStart"/>
      <w:r w:rsidR="00E77AC5" w:rsidRPr="00C835AB">
        <w:rPr>
          <w:rFonts w:ascii="Times New Roman" w:hAnsi="Times New Roman" w:cs="Times New Roman"/>
          <w:color w:val="auto"/>
          <w:sz w:val="24"/>
        </w:rPr>
        <w:t>późn</w:t>
      </w:r>
      <w:proofErr w:type="spellEnd"/>
      <w:r w:rsidR="00E77AC5" w:rsidRPr="00C835AB">
        <w:rPr>
          <w:rFonts w:ascii="Times New Roman" w:hAnsi="Times New Roman" w:cs="Times New Roman"/>
          <w:color w:val="auto"/>
          <w:sz w:val="24"/>
        </w:rPr>
        <w:t xml:space="preserve">. zm.) </w:t>
      </w:r>
      <w:r w:rsidRPr="00C835AB">
        <w:rPr>
          <w:rFonts w:ascii="Times New Roman" w:hAnsi="Times New Roman" w:cs="Times New Roman"/>
          <w:color w:val="auto"/>
          <w:sz w:val="24"/>
          <w:shd w:val="clear" w:color="auto" w:fill="FFFFFF"/>
        </w:rPr>
        <w:t xml:space="preserve">zezwala się na udostępnienie biegłym psychiatrom akt innych postępowań bez jakichkolwiek ograniczeń, a więc </w:t>
      </w:r>
      <w:r w:rsidR="0034798C" w:rsidRPr="00C835AB">
        <w:rPr>
          <w:rFonts w:ascii="Times New Roman" w:hAnsi="Times New Roman" w:cs="Times New Roman"/>
          <w:color w:val="auto"/>
          <w:sz w:val="24"/>
          <w:shd w:val="clear" w:color="auto" w:fill="FFFFFF"/>
        </w:rPr>
        <w:t xml:space="preserve">– </w:t>
      </w:r>
      <w:r w:rsidRPr="00C835AB">
        <w:rPr>
          <w:rFonts w:ascii="Times New Roman" w:hAnsi="Times New Roman" w:cs="Times New Roman"/>
          <w:color w:val="auto"/>
          <w:sz w:val="24"/>
          <w:shd w:val="clear" w:color="auto" w:fill="FFFFFF"/>
        </w:rPr>
        <w:t>również z opiniami wywołanymi na potrzeby innych postępowań. Podsumowując, przywracają</w:t>
      </w:r>
      <w:r w:rsidR="00405AFC" w:rsidRPr="00C835AB">
        <w:rPr>
          <w:rFonts w:ascii="Times New Roman" w:hAnsi="Times New Roman" w:cs="Times New Roman"/>
          <w:color w:val="auto"/>
          <w:sz w:val="24"/>
          <w:shd w:val="clear" w:color="auto" w:fill="FFFFFF"/>
        </w:rPr>
        <w:t>c</w:t>
      </w:r>
      <w:r w:rsidRPr="00C835AB">
        <w:rPr>
          <w:rFonts w:ascii="Times New Roman" w:hAnsi="Times New Roman" w:cs="Times New Roman"/>
          <w:color w:val="auto"/>
          <w:sz w:val="24"/>
          <w:shd w:val="clear" w:color="auto" w:fill="FFFFFF"/>
        </w:rPr>
        <w:t xml:space="preserve"> poprzednie brzmienie tego przepisu pozostawia się organom procesowym większą swobodę w</w:t>
      </w:r>
      <w:r w:rsidR="00B61B0E">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decydowaniu o tym, w</w:t>
      </w:r>
      <w:r w:rsidR="00A76A6B"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jakim zakresie udostępnić biegłemu akta sprawy. Jednocześnie możliwość udostępniania dokumentów z akt sprawy w postaci odpisów, a w szczególności w</w:t>
      </w:r>
      <w:r w:rsidR="00B61B0E">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formie elektronicznej, pozwala na uniknięcie blokowania prowadzenia postępowania w</w:t>
      </w:r>
      <w:r w:rsidR="00B61B0E">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czasie sporządzania opinii przez biegłego</w:t>
      </w:r>
      <w:r w:rsidR="00405AFC" w:rsidRPr="00C835AB">
        <w:rPr>
          <w:rFonts w:ascii="Times New Roman" w:hAnsi="Times New Roman" w:cs="Times New Roman"/>
          <w:color w:val="auto"/>
          <w:sz w:val="24"/>
          <w:shd w:val="clear" w:color="auto" w:fill="FFFFFF"/>
        </w:rPr>
        <w:t xml:space="preserve"> </w:t>
      </w:r>
      <w:r w:rsidRPr="00C835AB">
        <w:rPr>
          <w:rFonts w:ascii="Times New Roman" w:hAnsi="Times New Roman" w:cs="Times New Roman"/>
          <w:color w:val="auto"/>
          <w:sz w:val="24"/>
          <w:shd w:val="clear" w:color="auto" w:fill="FFFFFF"/>
        </w:rPr>
        <w:t>/</w:t>
      </w:r>
      <w:r w:rsidR="00405AFC" w:rsidRPr="00C835AB">
        <w:rPr>
          <w:rFonts w:ascii="Times New Roman" w:hAnsi="Times New Roman" w:cs="Times New Roman"/>
          <w:color w:val="auto"/>
          <w:sz w:val="24"/>
          <w:shd w:val="clear" w:color="auto" w:fill="FFFFFF"/>
        </w:rPr>
        <w:t xml:space="preserve"> </w:t>
      </w:r>
      <w:r w:rsidRPr="00C835AB">
        <w:rPr>
          <w:rFonts w:ascii="Times New Roman" w:hAnsi="Times New Roman" w:cs="Times New Roman"/>
          <w:color w:val="auto"/>
          <w:sz w:val="24"/>
          <w:shd w:val="clear" w:color="auto" w:fill="FFFFFF"/>
        </w:rPr>
        <w:t>biegłych.</w:t>
      </w:r>
    </w:p>
    <w:p w14:paraId="6EEFB335" w14:textId="77777777" w:rsidR="0037634E" w:rsidRPr="00C835AB" w:rsidRDefault="0037634E" w:rsidP="00D823D0">
      <w:pPr>
        <w:rPr>
          <w:rFonts w:ascii="Times New Roman" w:hAnsi="Times New Roman" w:cs="Times New Roman"/>
          <w:b/>
          <w:color w:val="auto"/>
          <w:sz w:val="24"/>
        </w:rPr>
      </w:pPr>
    </w:p>
    <w:p w14:paraId="45364DF0" w14:textId="3A3E884F" w:rsidR="00C572CA" w:rsidRPr="00C835AB" w:rsidRDefault="32736C06"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Art. 210</w:t>
      </w:r>
      <w:r w:rsidR="00882A4B" w:rsidRPr="00C835AB">
        <w:rPr>
          <w:rFonts w:ascii="Times New Roman" w:hAnsi="Times New Roman" w:cs="Times New Roman"/>
          <w:b/>
          <w:bCs/>
          <w:color w:val="auto"/>
          <w:sz w:val="24"/>
        </w:rPr>
        <w:t xml:space="preserve"> k.p.k. </w:t>
      </w:r>
    </w:p>
    <w:p w14:paraId="38BD4656" w14:textId="7D66063B" w:rsidR="00C572CA" w:rsidRDefault="00374BEE"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Projektowane </w:t>
      </w:r>
      <w:r w:rsidR="77889691" w:rsidRPr="00C835AB">
        <w:rPr>
          <w:rFonts w:ascii="Times New Roman" w:hAnsi="Times New Roman" w:cs="Times New Roman"/>
          <w:color w:val="auto"/>
          <w:sz w:val="24"/>
        </w:rPr>
        <w:t>brzmienie</w:t>
      </w:r>
      <w:r w:rsidR="00882A4B" w:rsidRPr="00C835AB">
        <w:rPr>
          <w:rFonts w:ascii="Times New Roman" w:hAnsi="Times New Roman" w:cs="Times New Roman"/>
          <w:color w:val="auto"/>
          <w:sz w:val="24"/>
        </w:rPr>
        <w:t xml:space="preserve"> art. 210 k.p.k.</w:t>
      </w:r>
      <w:r w:rsidR="77889691" w:rsidRPr="00C835AB">
        <w:rPr>
          <w:rFonts w:ascii="Times New Roman" w:hAnsi="Times New Roman" w:cs="Times New Roman"/>
          <w:color w:val="auto"/>
          <w:sz w:val="24"/>
        </w:rPr>
        <w:t xml:space="preserve"> jest wynikiem wniosków płynących z orzeczenia </w:t>
      </w:r>
      <w:r w:rsidR="00582F53" w:rsidRPr="00C835AB">
        <w:rPr>
          <w:rFonts w:ascii="Times New Roman" w:hAnsi="Times New Roman" w:cs="Times New Roman"/>
          <w:color w:val="auto"/>
          <w:sz w:val="24"/>
        </w:rPr>
        <w:t xml:space="preserve">Europejskiego Trybunału Praw Człowieka </w:t>
      </w:r>
      <w:r w:rsidR="77889691" w:rsidRPr="00C835AB">
        <w:rPr>
          <w:rFonts w:ascii="Times New Roman" w:hAnsi="Times New Roman" w:cs="Times New Roman"/>
          <w:color w:val="auto"/>
          <w:sz w:val="24"/>
        </w:rPr>
        <w:t xml:space="preserve">z </w:t>
      </w:r>
      <w:r w:rsidR="00582F53" w:rsidRPr="00C835AB">
        <w:rPr>
          <w:rFonts w:ascii="Times New Roman" w:hAnsi="Times New Roman" w:cs="Times New Roman"/>
          <w:color w:val="auto"/>
          <w:sz w:val="24"/>
        </w:rPr>
        <w:t xml:space="preserve">dnia </w:t>
      </w:r>
      <w:r w:rsidR="77889691" w:rsidRPr="00C835AB">
        <w:rPr>
          <w:rFonts w:ascii="Times New Roman" w:hAnsi="Times New Roman" w:cs="Times New Roman"/>
          <w:color w:val="auto"/>
          <w:sz w:val="24"/>
        </w:rPr>
        <w:t>20 września 2018 r</w:t>
      </w:r>
      <w:r w:rsidR="009606F7" w:rsidRPr="00C835AB">
        <w:rPr>
          <w:rFonts w:ascii="Times New Roman" w:hAnsi="Times New Roman" w:cs="Times New Roman"/>
          <w:color w:val="auto"/>
          <w:sz w:val="24"/>
        </w:rPr>
        <w:t>.</w:t>
      </w:r>
      <w:r w:rsidR="00582F53" w:rsidRPr="00C835AB">
        <w:rPr>
          <w:rFonts w:ascii="Times New Roman" w:hAnsi="Times New Roman" w:cs="Times New Roman"/>
          <w:color w:val="auto"/>
          <w:sz w:val="24"/>
        </w:rPr>
        <w:t xml:space="preserve"> w sprawie</w:t>
      </w:r>
      <w:r w:rsidR="77889691" w:rsidRPr="00C835AB">
        <w:rPr>
          <w:rFonts w:ascii="Times New Roman" w:hAnsi="Times New Roman" w:cs="Times New Roman"/>
          <w:color w:val="auto"/>
          <w:sz w:val="24"/>
        </w:rPr>
        <w:t xml:space="preserve"> </w:t>
      </w:r>
      <w:r w:rsidR="77889691" w:rsidRPr="00C835AB">
        <w:rPr>
          <w:rFonts w:ascii="Times New Roman" w:hAnsi="Times New Roman" w:cs="Times New Roman"/>
          <w:i/>
          <w:iCs/>
          <w:color w:val="auto"/>
          <w:sz w:val="24"/>
        </w:rPr>
        <w:t>Solska i</w:t>
      </w:r>
      <w:r w:rsidR="00A76A6B" w:rsidRPr="00C835AB">
        <w:rPr>
          <w:rFonts w:ascii="Times New Roman" w:hAnsi="Times New Roman" w:cs="Times New Roman"/>
          <w:i/>
          <w:iCs/>
          <w:color w:val="auto"/>
          <w:sz w:val="24"/>
        </w:rPr>
        <w:t> </w:t>
      </w:r>
      <w:r w:rsidR="77889691" w:rsidRPr="00C835AB">
        <w:rPr>
          <w:rFonts w:ascii="Times New Roman" w:hAnsi="Times New Roman" w:cs="Times New Roman"/>
          <w:i/>
          <w:iCs/>
          <w:color w:val="auto"/>
          <w:sz w:val="24"/>
        </w:rPr>
        <w:t>Rybicka przeciwko Polsce</w:t>
      </w:r>
      <w:r w:rsidR="00582F53" w:rsidRPr="00C835AB">
        <w:rPr>
          <w:rFonts w:ascii="Times New Roman" w:hAnsi="Times New Roman" w:cs="Times New Roman"/>
          <w:color w:val="auto"/>
          <w:sz w:val="24"/>
        </w:rPr>
        <w:t xml:space="preserve"> (</w:t>
      </w:r>
      <w:r w:rsidR="77889691" w:rsidRPr="00C835AB">
        <w:rPr>
          <w:rFonts w:ascii="Times New Roman" w:hAnsi="Times New Roman" w:cs="Times New Roman"/>
          <w:color w:val="auto"/>
          <w:sz w:val="24"/>
        </w:rPr>
        <w:t>skarg</w:t>
      </w:r>
      <w:r w:rsidR="00582F53" w:rsidRPr="00C835AB">
        <w:rPr>
          <w:rFonts w:ascii="Times New Roman" w:hAnsi="Times New Roman" w:cs="Times New Roman"/>
          <w:color w:val="auto"/>
          <w:sz w:val="24"/>
        </w:rPr>
        <w:t>i nr</w:t>
      </w:r>
      <w:r w:rsidR="77889691" w:rsidRPr="00C835AB">
        <w:rPr>
          <w:rFonts w:ascii="Times New Roman" w:hAnsi="Times New Roman" w:cs="Times New Roman"/>
          <w:color w:val="auto"/>
          <w:sz w:val="24"/>
        </w:rPr>
        <w:t xml:space="preserve"> 30491/17 i 31083/17</w:t>
      </w:r>
      <w:r w:rsidR="00582F53" w:rsidRPr="00C835AB">
        <w:rPr>
          <w:rFonts w:ascii="Times New Roman" w:hAnsi="Times New Roman" w:cs="Times New Roman"/>
          <w:color w:val="auto"/>
          <w:sz w:val="24"/>
        </w:rPr>
        <w:t>)</w:t>
      </w:r>
      <w:r w:rsidR="77889691" w:rsidRPr="00C835AB">
        <w:rPr>
          <w:rFonts w:ascii="Times New Roman" w:hAnsi="Times New Roman" w:cs="Times New Roman"/>
          <w:color w:val="auto"/>
          <w:sz w:val="24"/>
        </w:rPr>
        <w:t xml:space="preserve"> </w:t>
      </w:r>
      <w:r w:rsidR="009A6276" w:rsidRPr="00C835AB">
        <w:rPr>
          <w:rFonts w:ascii="Times New Roman" w:hAnsi="Times New Roman" w:cs="Times New Roman"/>
          <w:color w:val="auto"/>
          <w:sz w:val="24"/>
        </w:rPr>
        <w:t xml:space="preserve">dotyczącego </w:t>
      </w:r>
      <w:r w:rsidR="77889691" w:rsidRPr="00C835AB">
        <w:rPr>
          <w:rFonts w:ascii="Times New Roman" w:hAnsi="Times New Roman" w:cs="Times New Roman"/>
          <w:color w:val="auto"/>
          <w:sz w:val="24"/>
        </w:rPr>
        <w:t>uznania ekshumacji zwłok</w:t>
      </w:r>
      <w:r w:rsidR="009606F7" w:rsidRPr="00C835AB">
        <w:rPr>
          <w:rFonts w:ascii="Times New Roman" w:hAnsi="Times New Roman" w:cs="Times New Roman"/>
          <w:color w:val="auto"/>
          <w:sz w:val="24"/>
        </w:rPr>
        <w:t>,</w:t>
      </w:r>
      <w:r w:rsidR="77889691" w:rsidRPr="00C835AB">
        <w:rPr>
          <w:rFonts w:ascii="Times New Roman" w:hAnsi="Times New Roman" w:cs="Times New Roman"/>
          <w:color w:val="auto"/>
          <w:sz w:val="24"/>
        </w:rPr>
        <w:t xml:space="preserve"> wbrew woli najbliższych, za naruszające art. 8 </w:t>
      </w:r>
      <w:proofErr w:type="spellStart"/>
      <w:r w:rsidR="00F903E8" w:rsidRPr="00C835AB">
        <w:rPr>
          <w:rFonts w:ascii="Times New Roman" w:hAnsi="Times New Roman" w:cs="Times New Roman"/>
          <w:color w:val="auto"/>
          <w:sz w:val="24"/>
        </w:rPr>
        <w:t>EKPCz</w:t>
      </w:r>
      <w:proofErr w:type="spellEnd"/>
      <w:r w:rsidR="77889691" w:rsidRPr="00C835AB">
        <w:rPr>
          <w:rFonts w:ascii="Times New Roman" w:hAnsi="Times New Roman" w:cs="Times New Roman"/>
          <w:color w:val="auto"/>
          <w:sz w:val="24"/>
        </w:rPr>
        <w:t>, chroniącego prawo do</w:t>
      </w:r>
      <w:r w:rsidR="00B61B0E">
        <w:rPr>
          <w:rFonts w:ascii="Times New Roman" w:hAnsi="Times New Roman" w:cs="Times New Roman"/>
          <w:color w:val="auto"/>
          <w:sz w:val="24"/>
        </w:rPr>
        <w:t> </w:t>
      </w:r>
      <w:r w:rsidR="77889691" w:rsidRPr="00C835AB">
        <w:rPr>
          <w:rFonts w:ascii="Times New Roman" w:hAnsi="Times New Roman" w:cs="Times New Roman"/>
          <w:color w:val="auto"/>
          <w:sz w:val="24"/>
        </w:rPr>
        <w:t>poszanowania życia prywatnego i rodzinnego. Przejawem naprawy tego stanu rzeczy jest</w:t>
      </w:r>
      <w:r w:rsidR="00DA5E3E">
        <w:rPr>
          <w:rFonts w:ascii="Times New Roman" w:hAnsi="Times New Roman" w:cs="Times New Roman"/>
          <w:color w:val="auto"/>
          <w:sz w:val="24"/>
        </w:rPr>
        <w:t> </w:t>
      </w:r>
      <w:r w:rsidR="77889691" w:rsidRPr="00C835AB">
        <w:rPr>
          <w:rFonts w:ascii="Times New Roman" w:hAnsi="Times New Roman" w:cs="Times New Roman"/>
          <w:color w:val="auto"/>
          <w:sz w:val="24"/>
        </w:rPr>
        <w:t>wprowadzenie zażalenia na decyzję o przeprowadzeniu czynność procesowej wyjęcia zwłok z</w:t>
      </w:r>
      <w:r w:rsidR="00A76A6B" w:rsidRPr="00C835AB">
        <w:rPr>
          <w:rFonts w:ascii="Times New Roman" w:hAnsi="Times New Roman" w:cs="Times New Roman"/>
          <w:color w:val="auto"/>
          <w:sz w:val="24"/>
        </w:rPr>
        <w:t> </w:t>
      </w:r>
      <w:r w:rsidR="77889691" w:rsidRPr="00C835AB">
        <w:rPr>
          <w:rFonts w:ascii="Times New Roman" w:hAnsi="Times New Roman" w:cs="Times New Roman"/>
          <w:color w:val="auto"/>
          <w:sz w:val="24"/>
        </w:rPr>
        <w:t>grobu, osób najbliższych dla zmarłego. Dodatkowo</w:t>
      </w:r>
      <w:r w:rsidR="009606F7" w:rsidRPr="00C835AB">
        <w:rPr>
          <w:rFonts w:ascii="Times New Roman" w:hAnsi="Times New Roman" w:cs="Times New Roman"/>
          <w:color w:val="auto"/>
          <w:sz w:val="24"/>
        </w:rPr>
        <w:t>,</w:t>
      </w:r>
      <w:r w:rsidR="77889691" w:rsidRPr="00C835AB">
        <w:rPr>
          <w:rFonts w:ascii="Times New Roman" w:hAnsi="Times New Roman" w:cs="Times New Roman"/>
          <w:color w:val="auto"/>
          <w:sz w:val="24"/>
        </w:rPr>
        <w:t xml:space="preserve"> uwzględniając niepowtarzalności a</w:t>
      </w:r>
      <w:r w:rsidR="00A76A6B" w:rsidRPr="00C835AB">
        <w:rPr>
          <w:rFonts w:ascii="Times New Roman" w:hAnsi="Times New Roman" w:cs="Times New Roman"/>
          <w:color w:val="auto"/>
          <w:sz w:val="24"/>
        </w:rPr>
        <w:t> </w:t>
      </w:r>
      <w:r w:rsidR="77889691" w:rsidRPr="00C835AB">
        <w:rPr>
          <w:rFonts w:ascii="Times New Roman" w:hAnsi="Times New Roman" w:cs="Times New Roman"/>
          <w:color w:val="auto"/>
          <w:sz w:val="24"/>
        </w:rPr>
        <w:t>zarazem dolegliwość dla osób najbliższych tej czynności procesowej, proponuj</w:t>
      </w:r>
      <w:r w:rsidR="009606F7" w:rsidRPr="00C835AB">
        <w:rPr>
          <w:rFonts w:ascii="Times New Roman" w:hAnsi="Times New Roman" w:cs="Times New Roman"/>
          <w:color w:val="auto"/>
          <w:sz w:val="24"/>
        </w:rPr>
        <w:t>e</w:t>
      </w:r>
      <w:r w:rsidR="77889691" w:rsidRPr="00C835AB">
        <w:rPr>
          <w:rFonts w:ascii="Times New Roman" w:hAnsi="Times New Roman" w:cs="Times New Roman"/>
          <w:color w:val="auto"/>
          <w:sz w:val="24"/>
        </w:rPr>
        <w:t xml:space="preserve"> się</w:t>
      </w:r>
      <w:r w:rsidR="00DA5E3E">
        <w:rPr>
          <w:rFonts w:ascii="Times New Roman" w:hAnsi="Times New Roman" w:cs="Times New Roman"/>
          <w:color w:val="auto"/>
          <w:sz w:val="24"/>
        </w:rPr>
        <w:t> </w:t>
      </w:r>
      <w:r w:rsidR="77889691" w:rsidRPr="00C835AB">
        <w:rPr>
          <w:rFonts w:ascii="Times New Roman" w:hAnsi="Times New Roman" w:cs="Times New Roman"/>
          <w:color w:val="auto"/>
          <w:sz w:val="24"/>
        </w:rPr>
        <w:t>wstrzymani</w:t>
      </w:r>
      <w:r w:rsidR="009606F7" w:rsidRPr="00C835AB">
        <w:rPr>
          <w:rFonts w:ascii="Times New Roman" w:hAnsi="Times New Roman" w:cs="Times New Roman"/>
          <w:color w:val="auto"/>
          <w:sz w:val="24"/>
        </w:rPr>
        <w:t>e</w:t>
      </w:r>
      <w:r w:rsidR="77889691" w:rsidRPr="00C835AB">
        <w:rPr>
          <w:rFonts w:ascii="Times New Roman" w:hAnsi="Times New Roman" w:cs="Times New Roman"/>
          <w:color w:val="auto"/>
          <w:sz w:val="24"/>
        </w:rPr>
        <w:t xml:space="preserve"> wykonalności postanowienia do czasu rozpoznania zażalenia. Odejście od</w:t>
      </w:r>
      <w:r w:rsidR="00DA5E3E">
        <w:rPr>
          <w:rFonts w:ascii="Times New Roman" w:hAnsi="Times New Roman" w:cs="Times New Roman"/>
          <w:color w:val="auto"/>
          <w:sz w:val="24"/>
        </w:rPr>
        <w:t> </w:t>
      </w:r>
      <w:r w:rsidR="77889691" w:rsidRPr="00C835AB">
        <w:rPr>
          <w:rFonts w:ascii="Times New Roman" w:hAnsi="Times New Roman" w:cs="Times New Roman"/>
          <w:color w:val="auto"/>
          <w:sz w:val="24"/>
        </w:rPr>
        <w:t xml:space="preserve">zasady względnej suspensywności zażalenia nie powinno kolidować z postulatem </w:t>
      </w:r>
      <w:r w:rsidR="77889691" w:rsidRPr="00C835AB">
        <w:rPr>
          <w:rFonts w:ascii="Times New Roman" w:hAnsi="Times New Roman" w:cs="Times New Roman"/>
          <w:color w:val="auto"/>
          <w:sz w:val="24"/>
        </w:rPr>
        <w:lastRenderedPageBreak/>
        <w:t>sprawności postęp</w:t>
      </w:r>
      <w:r w:rsidR="000E6647" w:rsidRPr="00C835AB">
        <w:rPr>
          <w:rFonts w:ascii="Times New Roman" w:hAnsi="Times New Roman" w:cs="Times New Roman"/>
          <w:color w:val="auto"/>
          <w:sz w:val="24"/>
        </w:rPr>
        <w:t>ow</w:t>
      </w:r>
      <w:r w:rsidR="77889691" w:rsidRPr="00C835AB">
        <w:rPr>
          <w:rFonts w:ascii="Times New Roman" w:hAnsi="Times New Roman" w:cs="Times New Roman"/>
          <w:color w:val="auto"/>
          <w:sz w:val="24"/>
        </w:rPr>
        <w:t xml:space="preserve">ania wobec wprowadzenia krótkiego, </w:t>
      </w:r>
      <w:r w:rsidR="00352221" w:rsidRPr="00C835AB">
        <w:rPr>
          <w:rFonts w:ascii="Times New Roman" w:hAnsi="Times New Roman" w:cs="Times New Roman"/>
          <w:color w:val="auto"/>
          <w:sz w:val="24"/>
        </w:rPr>
        <w:t>siedmiodniowego</w:t>
      </w:r>
      <w:r w:rsidR="77889691" w:rsidRPr="00C835AB">
        <w:rPr>
          <w:rFonts w:ascii="Times New Roman" w:hAnsi="Times New Roman" w:cs="Times New Roman"/>
          <w:color w:val="auto"/>
          <w:sz w:val="24"/>
        </w:rPr>
        <w:t xml:space="preserve"> terminu dla sądu rozpoznającego zażalenie.</w:t>
      </w:r>
    </w:p>
    <w:p w14:paraId="64225CEA" w14:textId="77777777" w:rsidR="00890016" w:rsidRDefault="00890016" w:rsidP="00D823D0">
      <w:pPr>
        <w:ind w:firstLine="708"/>
        <w:rPr>
          <w:rFonts w:ascii="Times New Roman" w:hAnsi="Times New Roman" w:cs="Times New Roman"/>
          <w:color w:val="auto"/>
          <w:sz w:val="24"/>
        </w:rPr>
      </w:pPr>
    </w:p>
    <w:p w14:paraId="387ADB17" w14:textId="15DBCEFF" w:rsidR="00890016" w:rsidRDefault="00890016" w:rsidP="00890016">
      <w:pPr>
        <w:ind w:firstLine="709"/>
        <w:rPr>
          <w:rFonts w:ascii="Times New Roman" w:hAnsi="Times New Roman" w:cs="Times New Roman"/>
          <w:b/>
          <w:bCs/>
          <w:color w:val="auto"/>
          <w:sz w:val="24"/>
        </w:rPr>
      </w:pPr>
      <w:r w:rsidRPr="00C835AB">
        <w:rPr>
          <w:rFonts w:ascii="Times New Roman" w:hAnsi="Times New Roman" w:cs="Times New Roman"/>
          <w:b/>
          <w:bCs/>
          <w:color w:val="auto"/>
          <w:sz w:val="24"/>
        </w:rPr>
        <w:t>Art. 2</w:t>
      </w:r>
      <w:r>
        <w:rPr>
          <w:rFonts w:ascii="Times New Roman" w:hAnsi="Times New Roman" w:cs="Times New Roman"/>
          <w:b/>
          <w:bCs/>
          <w:color w:val="auto"/>
          <w:sz w:val="24"/>
        </w:rPr>
        <w:t>22</w:t>
      </w:r>
      <w:r w:rsidRPr="00C835AB">
        <w:rPr>
          <w:rFonts w:ascii="Times New Roman" w:hAnsi="Times New Roman" w:cs="Times New Roman"/>
          <w:b/>
          <w:bCs/>
          <w:color w:val="auto"/>
          <w:sz w:val="24"/>
        </w:rPr>
        <w:t xml:space="preserve"> § </w:t>
      </w:r>
      <w:r>
        <w:rPr>
          <w:rFonts w:ascii="Times New Roman" w:hAnsi="Times New Roman" w:cs="Times New Roman"/>
          <w:b/>
          <w:bCs/>
          <w:color w:val="auto"/>
          <w:sz w:val="24"/>
        </w:rPr>
        <w:t>3 k.p.k.</w:t>
      </w:r>
    </w:p>
    <w:p w14:paraId="5C33DE0A" w14:textId="0AACB996" w:rsidR="00890016" w:rsidRPr="009E00BF" w:rsidRDefault="00890016" w:rsidP="00890016">
      <w:pPr>
        <w:ind w:firstLine="709"/>
        <w:rPr>
          <w:rFonts w:ascii="Times New Roman" w:hAnsi="Times New Roman" w:cs="Times New Roman"/>
          <w:color w:val="auto"/>
          <w:sz w:val="24"/>
        </w:rPr>
      </w:pPr>
      <w:r w:rsidRPr="009E00BF">
        <w:rPr>
          <w:rFonts w:ascii="Times New Roman" w:hAnsi="Times New Roman" w:cs="Times New Roman"/>
          <w:color w:val="auto"/>
          <w:sz w:val="24"/>
        </w:rPr>
        <w:t xml:space="preserve">Projekt zakłada uzupełnienie art. 222 k.p.k. o </w:t>
      </w:r>
      <w:r w:rsidRPr="00A30F19">
        <w:rPr>
          <w:rFonts w:ascii="Times New Roman" w:hAnsi="Times New Roman" w:cs="Times New Roman"/>
          <w:color w:val="auto"/>
          <w:sz w:val="24"/>
        </w:rPr>
        <w:t xml:space="preserve">§ </w:t>
      </w:r>
      <w:r w:rsidRPr="009E00BF">
        <w:rPr>
          <w:rFonts w:ascii="Times New Roman" w:hAnsi="Times New Roman" w:cs="Times New Roman"/>
          <w:color w:val="auto"/>
          <w:sz w:val="24"/>
        </w:rPr>
        <w:t>3, który ma na celu wzmocnienie ochrony tajemnicy obrończej. Projektodawca podzielił co do zasady postulat petycji Naczelnej Rady Adwokackiej (uchwała nr 420/2024 Prezydium NSA z dnia 4 stycznia 2024 r.) w której zawarto propozycję takiej zmiany. Stanowisko to kierunkowo podzieliła również Komisja Kodyfikacyjna Prawa Parnego dostrzegając zasadność tej zmiany w odniesieniu do tajemnicy obrończej. Komisja dostrzegła również potrzebę wskazania, że chodzi siedzibę kancelarii czy inną siedzibę adwokata.</w:t>
      </w:r>
    </w:p>
    <w:p w14:paraId="4CDA19EC" w14:textId="1F586EA9" w:rsidR="00890016" w:rsidRPr="009E00BF" w:rsidRDefault="00890016" w:rsidP="00890016">
      <w:pPr>
        <w:ind w:firstLine="709"/>
        <w:rPr>
          <w:rFonts w:ascii="Times New Roman" w:hAnsi="Times New Roman" w:cs="Times New Roman"/>
          <w:color w:val="auto"/>
          <w:sz w:val="24"/>
        </w:rPr>
      </w:pPr>
      <w:r w:rsidRPr="009E00BF">
        <w:rPr>
          <w:rFonts w:ascii="Times New Roman" w:hAnsi="Times New Roman" w:cs="Times New Roman"/>
          <w:color w:val="auto"/>
          <w:sz w:val="24"/>
        </w:rPr>
        <w:t>Podkreślenia zatem wymaga, że celem przepisu jest ochrona tajemnicy obrończej. Z tego względu</w:t>
      </w:r>
      <w:r w:rsidR="00F8431D">
        <w:rPr>
          <w:rFonts w:ascii="Times New Roman" w:hAnsi="Times New Roman" w:cs="Times New Roman"/>
          <w:color w:val="auto"/>
          <w:sz w:val="24"/>
        </w:rPr>
        <w:t xml:space="preserve"> </w:t>
      </w:r>
      <w:r w:rsidRPr="009E00BF">
        <w:rPr>
          <w:rFonts w:ascii="Times New Roman" w:hAnsi="Times New Roman" w:cs="Times New Roman"/>
          <w:color w:val="auto"/>
          <w:sz w:val="24"/>
        </w:rPr>
        <w:t>zakresem regulacji objęto adwokatów i radców prawnych, albowiem przedstawiciele tych zawodów mogą świadczyć obronę w postępowaniu karnym (art. 82 k.p.k.)</w:t>
      </w:r>
    </w:p>
    <w:p w14:paraId="662148FA" w14:textId="77777777" w:rsidR="00890016" w:rsidRPr="00C835AB" w:rsidRDefault="00890016" w:rsidP="00890016">
      <w:pPr>
        <w:ind w:firstLine="709"/>
        <w:rPr>
          <w:rFonts w:ascii="Times New Roman" w:hAnsi="Times New Roman" w:cs="Times New Roman"/>
          <w:color w:val="auto"/>
          <w:sz w:val="24"/>
        </w:rPr>
      </w:pPr>
      <w:r w:rsidRPr="009E00BF">
        <w:rPr>
          <w:rFonts w:ascii="Times New Roman" w:hAnsi="Times New Roman" w:cs="Times New Roman"/>
          <w:color w:val="auto"/>
          <w:sz w:val="24"/>
        </w:rPr>
        <w:t>W ocenie projektodawcy dokumenty stanowiące tajemnicę obrończa przechowywane są co do zasady w siedzibie adwokata lub radcy prawnego, dlatego do tej kategorii pomieszczeń ograniczono projektowaną zmianę. Gdyby adwokat lub radca prawny podniósł przy przeszukaniu innych pomieszczeń, że dokument zawiera tajemnicę obrończą wówczas zastosowanie będą miały (nadal) dotychczasowe regulacje (art. 225§ 3 k.p.k.)”</w:t>
      </w:r>
    </w:p>
    <w:p w14:paraId="37EAB599" w14:textId="2339665D" w:rsidR="44357A46" w:rsidRPr="00C835AB" w:rsidRDefault="44357A46" w:rsidP="00D823D0">
      <w:pPr>
        <w:rPr>
          <w:rFonts w:ascii="Times New Roman" w:eastAsia="Times New Roman" w:hAnsi="Times New Roman" w:cs="Times New Roman"/>
          <w:color w:val="auto"/>
          <w:sz w:val="24"/>
        </w:rPr>
      </w:pPr>
    </w:p>
    <w:p w14:paraId="359FB3D3" w14:textId="0B79FAA4" w:rsidR="00725EFD" w:rsidRPr="00C835AB" w:rsidRDefault="00F903E8"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A</w:t>
      </w:r>
      <w:r w:rsidR="4372040C" w:rsidRPr="00C835AB">
        <w:rPr>
          <w:rFonts w:ascii="Times New Roman" w:hAnsi="Times New Roman" w:cs="Times New Roman"/>
          <w:b/>
          <w:bCs/>
          <w:color w:val="auto"/>
          <w:sz w:val="24"/>
        </w:rPr>
        <w:t xml:space="preserve">rt. 237 § </w:t>
      </w:r>
      <w:r w:rsidR="00C8713E" w:rsidRPr="00C835AB">
        <w:rPr>
          <w:rFonts w:ascii="Times New Roman" w:hAnsi="Times New Roman" w:cs="Times New Roman"/>
          <w:b/>
          <w:bCs/>
          <w:color w:val="auto"/>
          <w:sz w:val="24"/>
        </w:rPr>
        <w:t>9</w:t>
      </w:r>
      <w:r w:rsidR="4372040C" w:rsidRPr="00C835AB">
        <w:rPr>
          <w:rFonts w:ascii="Times New Roman" w:hAnsi="Times New Roman" w:cs="Times New Roman"/>
          <w:b/>
          <w:bCs/>
          <w:color w:val="auto"/>
          <w:sz w:val="24"/>
        </w:rPr>
        <w:t xml:space="preserve"> </w:t>
      </w:r>
      <w:r w:rsidR="00882A4B" w:rsidRPr="00C835AB">
        <w:rPr>
          <w:rFonts w:ascii="Times New Roman" w:hAnsi="Times New Roman" w:cs="Times New Roman"/>
          <w:b/>
          <w:bCs/>
          <w:color w:val="auto"/>
          <w:sz w:val="24"/>
        </w:rPr>
        <w:t xml:space="preserve">k.p.k. </w:t>
      </w:r>
    </w:p>
    <w:p w14:paraId="34461DDC" w14:textId="399C2DC1" w:rsidR="00C572CA" w:rsidRPr="00C835AB" w:rsidRDefault="3FD99555"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W art. 237 </w:t>
      </w:r>
      <w:r w:rsidR="00F903E8" w:rsidRPr="00C835AB">
        <w:rPr>
          <w:rFonts w:ascii="Times New Roman" w:hAnsi="Times New Roman" w:cs="Times New Roman"/>
          <w:color w:val="auto"/>
          <w:sz w:val="24"/>
        </w:rPr>
        <w:t>k.p</w:t>
      </w:r>
      <w:r w:rsidR="00882A4B" w:rsidRPr="00C835AB">
        <w:rPr>
          <w:rFonts w:ascii="Times New Roman" w:hAnsi="Times New Roman" w:cs="Times New Roman"/>
          <w:color w:val="auto"/>
          <w:sz w:val="24"/>
        </w:rPr>
        <w:t>.</w:t>
      </w:r>
      <w:r w:rsidR="00F903E8" w:rsidRPr="00C835AB">
        <w:rPr>
          <w:rFonts w:ascii="Times New Roman" w:hAnsi="Times New Roman" w:cs="Times New Roman"/>
          <w:color w:val="auto"/>
          <w:sz w:val="24"/>
        </w:rPr>
        <w:t>k.</w:t>
      </w:r>
      <w:r w:rsidR="00882A4B"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poza zmianą § 4</w:t>
      </w:r>
      <w:r w:rsidR="00882A4B"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proponuje się </w:t>
      </w:r>
      <w:r w:rsidR="00C8713E" w:rsidRPr="00C835AB">
        <w:rPr>
          <w:rFonts w:ascii="Times New Roman" w:hAnsi="Times New Roman" w:cs="Times New Roman"/>
          <w:color w:val="auto"/>
          <w:sz w:val="24"/>
        </w:rPr>
        <w:t xml:space="preserve">w </w:t>
      </w:r>
      <w:r w:rsidR="0046155A" w:rsidRPr="00C835AB">
        <w:rPr>
          <w:rFonts w:ascii="Times New Roman" w:hAnsi="Times New Roman" w:cs="Times New Roman"/>
          <w:color w:val="auto"/>
          <w:sz w:val="24"/>
        </w:rPr>
        <w:t xml:space="preserve">§ </w:t>
      </w:r>
      <w:r w:rsidR="00C8713E" w:rsidRPr="00C835AB">
        <w:rPr>
          <w:rFonts w:ascii="Times New Roman" w:hAnsi="Times New Roman" w:cs="Times New Roman"/>
          <w:color w:val="auto"/>
          <w:sz w:val="24"/>
        </w:rPr>
        <w:t xml:space="preserve">9 </w:t>
      </w:r>
      <w:r w:rsidRPr="00C835AB">
        <w:rPr>
          <w:rFonts w:ascii="Times New Roman" w:hAnsi="Times New Roman" w:cs="Times New Roman"/>
          <w:color w:val="auto"/>
          <w:sz w:val="24"/>
        </w:rPr>
        <w:t>przywrócenie</w:t>
      </w:r>
      <w:r w:rsidR="00C8713E" w:rsidRPr="00C835AB">
        <w:rPr>
          <w:rFonts w:ascii="Times New Roman" w:hAnsi="Times New Roman" w:cs="Times New Roman"/>
          <w:color w:val="auto"/>
          <w:sz w:val="24"/>
        </w:rPr>
        <w:t xml:space="preserve"> regulacji</w:t>
      </w:r>
      <w:r w:rsidRPr="00C835AB">
        <w:rPr>
          <w:rFonts w:ascii="Times New Roman" w:hAnsi="Times New Roman" w:cs="Times New Roman"/>
          <w:color w:val="auto"/>
          <w:sz w:val="24"/>
        </w:rPr>
        <w:t xml:space="preserve"> przewidują</w:t>
      </w:r>
      <w:r w:rsidR="00C8713E" w:rsidRPr="00C835AB">
        <w:rPr>
          <w:rFonts w:ascii="Times New Roman" w:hAnsi="Times New Roman" w:cs="Times New Roman"/>
          <w:color w:val="auto"/>
          <w:sz w:val="24"/>
        </w:rPr>
        <w:t>cej</w:t>
      </w:r>
      <w:r w:rsidRPr="00C835AB">
        <w:rPr>
          <w:rFonts w:ascii="Times New Roman" w:hAnsi="Times New Roman" w:cs="Times New Roman"/>
          <w:color w:val="auto"/>
          <w:sz w:val="24"/>
        </w:rPr>
        <w:t xml:space="preserve"> ograniczenie możliwości wykorzystania dowodu uzyskanego podczas kontroli i</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utrwalania treści rozmów telefonicznych wyłącznie do postępowania karnego w sprawie o</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 xml:space="preserve">przestępstwo lub przestępstwo skarbowe, w stosunku do którego jest możliwe zarządzenie takiej kontroli. Ograniczenie to usunięte zostało ustawą z </w:t>
      </w:r>
      <w:r w:rsidR="00BE1832" w:rsidRPr="00C835AB">
        <w:rPr>
          <w:rFonts w:ascii="Times New Roman" w:hAnsi="Times New Roman" w:cs="Times New Roman"/>
          <w:color w:val="auto"/>
          <w:sz w:val="24"/>
        </w:rPr>
        <w:t xml:space="preserve">dnia </w:t>
      </w:r>
      <w:r w:rsidRPr="00C835AB">
        <w:rPr>
          <w:rFonts w:ascii="Times New Roman" w:hAnsi="Times New Roman" w:cs="Times New Roman"/>
          <w:color w:val="auto"/>
          <w:sz w:val="24"/>
        </w:rPr>
        <w:t>11 marca 2016 r. Powrót do</w:t>
      </w:r>
      <w:r w:rsidR="00B61B0E">
        <w:rPr>
          <w:rFonts w:ascii="Times New Roman" w:hAnsi="Times New Roman" w:cs="Times New Roman"/>
          <w:color w:val="auto"/>
          <w:sz w:val="24"/>
        </w:rPr>
        <w:t> </w:t>
      </w:r>
      <w:r w:rsidRPr="00C835AB">
        <w:rPr>
          <w:rFonts w:ascii="Times New Roman" w:hAnsi="Times New Roman" w:cs="Times New Roman"/>
          <w:color w:val="auto"/>
          <w:sz w:val="24"/>
        </w:rPr>
        <w:t>wersji pierwotnej powiązany jest także ze zmianami art. 237a</w:t>
      </w:r>
      <w:r w:rsidR="00F903E8" w:rsidRPr="00C835AB">
        <w:rPr>
          <w:rFonts w:ascii="Times New Roman" w:hAnsi="Times New Roman" w:cs="Times New Roman"/>
          <w:color w:val="auto"/>
          <w:sz w:val="24"/>
        </w:rPr>
        <w:t xml:space="preserve"> k.p.k</w:t>
      </w:r>
      <w:r w:rsidRPr="00C835AB">
        <w:rPr>
          <w:rFonts w:ascii="Times New Roman" w:hAnsi="Times New Roman" w:cs="Times New Roman"/>
          <w:color w:val="auto"/>
          <w:sz w:val="24"/>
        </w:rPr>
        <w:t>.</w:t>
      </w:r>
    </w:p>
    <w:p w14:paraId="7F9AC6C8" w14:textId="77777777" w:rsidR="00CB0CD6" w:rsidRPr="00C835AB" w:rsidRDefault="00CB0CD6" w:rsidP="00D823D0">
      <w:pPr>
        <w:rPr>
          <w:rFonts w:ascii="Times New Roman" w:hAnsi="Times New Roman" w:cs="Times New Roman"/>
          <w:color w:val="auto"/>
          <w:sz w:val="24"/>
        </w:rPr>
      </w:pPr>
    </w:p>
    <w:p w14:paraId="725847FD" w14:textId="7D976269" w:rsidR="007F11B8" w:rsidRPr="00C835AB" w:rsidRDefault="007F11B8" w:rsidP="00D823D0">
      <w:pPr>
        <w:rPr>
          <w:rFonts w:ascii="Times New Roman" w:hAnsi="Times New Roman" w:cs="Times New Roman"/>
          <w:b/>
          <w:bCs/>
          <w:color w:val="auto"/>
          <w:sz w:val="24"/>
        </w:rPr>
      </w:pPr>
      <w:r w:rsidRPr="00C835AB">
        <w:rPr>
          <w:rFonts w:ascii="Times New Roman" w:hAnsi="Times New Roman" w:cs="Times New Roman"/>
          <w:color w:val="auto"/>
          <w:sz w:val="24"/>
        </w:rPr>
        <w:tab/>
      </w:r>
      <w:r w:rsidRPr="00C835AB">
        <w:rPr>
          <w:rFonts w:ascii="Times New Roman" w:hAnsi="Times New Roman" w:cs="Times New Roman"/>
          <w:b/>
          <w:bCs/>
          <w:color w:val="auto"/>
          <w:sz w:val="24"/>
        </w:rPr>
        <w:t>Art. 237a</w:t>
      </w:r>
      <w:r w:rsidR="00A6009A" w:rsidRPr="00C835AB">
        <w:rPr>
          <w:rFonts w:ascii="Times New Roman" w:hAnsi="Times New Roman" w:cs="Times New Roman"/>
          <w:b/>
          <w:bCs/>
          <w:color w:val="auto"/>
          <w:sz w:val="24"/>
        </w:rPr>
        <w:t xml:space="preserve"> k.p.k.</w:t>
      </w:r>
      <w:r w:rsidR="003249AE" w:rsidRPr="00C835AB">
        <w:rPr>
          <w:rFonts w:ascii="Times New Roman" w:hAnsi="Times New Roman" w:cs="Times New Roman"/>
          <w:b/>
          <w:bCs/>
          <w:color w:val="auto"/>
          <w:sz w:val="24"/>
        </w:rPr>
        <w:t xml:space="preserve"> i art. 238 § 4 k.p.k.</w:t>
      </w:r>
    </w:p>
    <w:p w14:paraId="3FCE9904" w14:textId="1ED02A2A" w:rsidR="007F11B8" w:rsidRPr="00C835AB" w:rsidRDefault="1745CE43" w:rsidP="00D823D0">
      <w:pPr>
        <w:ind w:firstLine="708"/>
        <w:rPr>
          <w:rFonts w:ascii="Times New Roman" w:hAnsi="Times New Roman" w:cs="Times New Roman"/>
          <w:color w:val="auto"/>
          <w:sz w:val="24"/>
        </w:rPr>
      </w:pPr>
      <w:r w:rsidRPr="00C835AB">
        <w:rPr>
          <w:rFonts w:ascii="Times New Roman" w:eastAsiaTheme="minorEastAsia" w:hAnsi="Times New Roman" w:cs="Times New Roman"/>
          <w:color w:val="auto"/>
          <w:sz w:val="24"/>
        </w:rPr>
        <w:t>Przepis art.</w:t>
      </w:r>
      <w:r w:rsidR="21E85F1F" w:rsidRPr="00C835AB">
        <w:rPr>
          <w:rFonts w:ascii="Times New Roman" w:eastAsiaTheme="minorEastAsia" w:hAnsi="Times New Roman" w:cs="Times New Roman"/>
          <w:color w:val="auto"/>
          <w:sz w:val="24"/>
        </w:rPr>
        <w:t xml:space="preserve"> </w:t>
      </w:r>
      <w:r w:rsidRPr="00C835AB">
        <w:rPr>
          <w:rFonts w:ascii="Times New Roman" w:eastAsiaTheme="minorEastAsia" w:hAnsi="Times New Roman" w:cs="Times New Roman"/>
          <w:color w:val="auto"/>
          <w:sz w:val="24"/>
        </w:rPr>
        <w:t>237a k.p.k</w:t>
      </w:r>
      <w:r w:rsidR="00B9FA5C" w:rsidRPr="00C835AB">
        <w:rPr>
          <w:rFonts w:ascii="Times New Roman" w:eastAsiaTheme="minorEastAsia" w:hAnsi="Times New Roman" w:cs="Times New Roman"/>
          <w:color w:val="auto"/>
          <w:sz w:val="24"/>
        </w:rPr>
        <w:t>.</w:t>
      </w:r>
      <w:r w:rsidRPr="00C835AB">
        <w:rPr>
          <w:rFonts w:ascii="Times New Roman" w:eastAsiaTheme="minorEastAsia" w:hAnsi="Times New Roman" w:cs="Times New Roman"/>
          <w:color w:val="auto"/>
          <w:sz w:val="24"/>
        </w:rPr>
        <w:t xml:space="preserve"> został zmieniony przez art. 1 pkt 43 ustawy z dnia 11 marca 2016 r.</w:t>
      </w:r>
      <w:r w:rsidR="00AC00D0" w:rsidRPr="00C835AB">
        <w:rPr>
          <w:rFonts w:ascii="Times New Roman" w:eastAsiaTheme="minorEastAsia" w:hAnsi="Times New Roman" w:cs="Times New Roman"/>
          <w:color w:val="auto"/>
          <w:sz w:val="24"/>
        </w:rPr>
        <w:t xml:space="preserve"> </w:t>
      </w:r>
      <w:r w:rsidRPr="00C835AB">
        <w:rPr>
          <w:rFonts w:ascii="Times New Roman" w:eastAsiaTheme="minorEastAsia" w:hAnsi="Times New Roman" w:cs="Times New Roman"/>
          <w:color w:val="auto"/>
          <w:sz w:val="24"/>
        </w:rPr>
        <w:t xml:space="preserve">zmieniającej </w:t>
      </w:r>
      <w:r w:rsidR="00143362" w:rsidRPr="00C835AB">
        <w:rPr>
          <w:rFonts w:ascii="Times New Roman" w:eastAsiaTheme="minorEastAsia" w:hAnsi="Times New Roman" w:cs="Times New Roman"/>
          <w:color w:val="auto"/>
          <w:sz w:val="24"/>
        </w:rPr>
        <w:t>Kodeks postępowania karnego</w:t>
      </w:r>
      <w:r w:rsidRPr="00C835AB">
        <w:rPr>
          <w:rFonts w:ascii="Times New Roman" w:eastAsiaTheme="minorEastAsia" w:hAnsi="Times New Roman" w:cs="Times New Roman"/>
          <w:color w:val="auto"/>
          <w:sz w:val="24"/>
        </w:rPr>
        <w:t xml:space="preserve"> z dniem 15 kwietnia 2016 r. Wyeliminowano wtedy możliwość uzyskania zgody następczej sądu na wykorzystanie dowodowe materiałów zgromadzonych w toku stosowanej w trybie art.</w:t>
      </w:r>
      <w:r w:rsidR="00143362" w:rsidRPr="00C835AB">
        <w:rPr>
          <w:rFonts w:ascii="Times New Roman" w:eastAsiaTheme="minorEastAsia" w:hAnsi="Times New Roman" w:cs="Times New Roman"/>
          <w:color w:val="auto"/>
          <w:sz w:val="24"/>
        </w:rPr>
        <w:t xml:space="preserve"> </w:t>
      </w:r>
      <w:r w:rsidRPr="00C835AB">
        <w:rPr>
          <w:rFonts w:ascii="Times New Roman" w:eastAsiaTheme="minorEastAsia" w:hAnsi="Times New Roman" w:cs="Times New Roman"/>
          <w:color w:val="auto"/>
          <w:sz w:val="24"/>
        </w:rPr>
        <w:t xml:space="preserve">237 k.p.k. kontroli procesowej i utrwalania rozmów, poza zakresem podmiotowym i przedmiotowym </w:t>
      </w:r>
      <w:r w:rsidRPr="00C835AB">
        <w:rPr>
          <w:rFonts w:ascii="Times New Roman" w:eastAsiaTheme="minorEastAsia" w:hAnsi="Times New Roman" w:cs="Times New Roman"/>
          <w:color w:val="auto"/>
          <w:sz w:val="24"/>
        </w:rPr>
        <w:lastRenderedPageBreak/>
        <w:t>jej</w:t>
      </w:r>
      <w:r w:rsidR="00B61B0E">
        <w:rPr>
          <w:rFonts w:ascii="Times New Roman" w:eastAsiaTheme="minorEastAsia" w:hAnsi="Times New Roman" w:cs="Times New Roman"/>
          <w:color w:val="auto"/>
          <w:sz w:val="24"/>
        </w:rPr>
        <w:t> </w:t>
      </w:r>
      <w:r w:rsidRPr="00C835AB">
        <w:rPr>
          <w:rFonts w:ascii="Times New Roman" w:eastAsiaTheme="minorEastAsia" w:hAnsi="Times New Roman" w:cs="Times New Roman"/>
          <w:color w:val="auto"/>
          <w:sz w:val="24"/>
        </w:rPr>
        <w:t xml:space="preserve">stosowania, wprowadzoną w 2011 r. Obecnie proponuje się zmianę przepisu w sposób spójny z projektowaną regulacją art.168b k.p.k. Decyzję o wykorzystaniu materiałów zgromadzonych poza zakresem podmiotowym i przedmiotowym pierwotnej decyzji sądu </w:t>
      </w:r>
      <w:r w:rsidR="001F5C37" w:rsidRPr="00C835AB">
        <w:rPr>
          <w:rFonts w:ascii="Times New Roman" w:eastAsiaTheme="minorEastAsia" w:hAnsi="Times New Roman" w:cs="Times New Roman"/>
          <w:color w:val="auto"/>
          <w:sz w:val="24"/>
        </w:rPr>
        <w:t>–</w:t>
      </w:r>
      <w:r w:rsidR="00B61B0E">
        <w:rPr>
          <w:rFonts w:ascii="Times New Roman" w:eastAsiaTheme="minorEastAsia" w:hAnsi="Times New Roman" w:cs="Times New Roman"/>
          <w:color w:val="auto"/>
          <w:sz w:val="24"/>
        </w:rPr>
        <w:t> </w:t>
      </w:r>
      <w:r w:rsidRPr="00C835AB">
        <w:rPr>
          <w:rFonts w:ascii="Times New Roman" w:eastAsiaTheme="minorEastAsia" w:hAnsi="Times New Roman" w:cs="Times New Roman"/>
          <w:color w:val="auto"/>
          <w:sz w:val="24"/>
        </w:rPr>
        <w:t>pozostawiono w</w:t>
      </w:r>
      <w:r w:rsidR="00A76A6B" w:rsidRPr="00C835AB">
        <w:rPr>
          <w:rFonts w:ascii="Times New Roman" w:eastAsiaTheme="minorEastAsia" w:hAnsi="Times New Roman" w:cs="Times New Roman"/>
          <w:color w:val="auto"/>
          <w:sz w:val="24"/>
        </w:rPr>
        <w:t> </w:t>
      </w:r>
      <w:r w:rsidRPr="00C835AB">
        <w:rPr>
          <w:rFonts w:ascii="Times New Roman" w:eastAsiaTheme="minorEastAsia" w:hAnsi="Times New Roman" w:cs="Times New Roman"/>
          <w:color w:val="auto"/>
          <w:sz w:val="24"/>
        </w:rPr>
        <w:t>kompetencji prokuratora, ale jest to zrozumiałe przy uwzględnieniu,</w:t>
      </w:r>
      <w:r w:rsidR="00662587" w:rsidRPr="00C835AB">
        <w:rPr>
          <w:rFonts w:ascii="Times New Roman" w:eastAsiaTheme="minorEastAsia" w:hAnsi="Times New Roman" w:cs="Times New Roman"/>
          <w:color w:val="auto"/>
          <w:sz w:val="24"/>
        </w:rPr>
        <w:t xml:space="preserve"> </w:t>
      </w:r>
      <w:r w:rsidRPr="00C835AB">
        <w:rPr>
          <w:rFonts w:ascii="Times New Roman" w:eastAsiaTheme="minorEastAsia" w:hAnsi="Times New Roman" w:cs="Times New Roman"/>
          <w:color w:val="auto"/>
          <w:sz w:val="24"/>
        </w:rPr>
        <w:t>że</w:t>
      </w:r>
      <w:r w:rsidR="00B61B0E">
        <w:rPr>
          <w:rFonts w:ascii="Times New Roman" w:eastAsiaTheme="minorEastAsia" w:hAnsi="Times New Roman" w:cs="Times New Roman"/>
          <w:color w:val="auto"/>
          <w:sz w:val="24"/>
        </w:rPr>
        <w:t> </w:t>
      </w:r>
      <w:r w:rsidRPr="00C835AB">
        <w:rPr>
          <w:rFonts w:ascii="Times New Roman" w:eastAsiaTheme="minorEastAsia" w:hAnsi="Times New Roman" w:cs="Times New Roman"/>
          <w:color w:val="auto"/>
          <w:sz w:val="24"/>
        </w:rPr>
        <w:t>ujawnienie dowodów popełnienia przestępstwa w tym trybie przed skierowaniem sprawy do</w:t>
      </w:r>
      <w:r w:rsidR="00B61B0E">
        <w:rPr>
          <w:rFonts w:ascii="Times New Roman" w:eastAsiaTheme="minorEastAsia" w:hAnsi="Times New Roman" w:cs="Times New Roman"/>
          <w:color w:val="auto"/>
          <w:sz w:val="24"/>
        </w:rPr>
        <w:t> </w:t>
      </w:r>
      <w:r w:rsidRPr="00C835AB">
        <w:rPr>
          <w:rFonts w:ascii="Times New Roman" w:eastAsiaTheme="minorEastAsia" w:hAnsi="Times New Roman" w:cs="Times New Roman"/>
          <w:color w:val="auto"/>
          <w:sz w:val="24"/>
        </w:rPr>
        <w:t xml:space="preserve">sądu, będzie co do zasady wymagało przeprowadzenia postępowania przygotowawczego </w:t>
      </w:r>
      <w:r w:rsidR="001F5C37" w:rsidRPr="00C835AB">
        <w:rPr>
          <w:rFonts w:ascii="Times New Roman" w:eastAsiaTheme="minorEastAsia" w:hAnsi="Times New Roman" w:cs="Times New Roman"/>
          <w:color w:val="auto"/>
          <w:sz w:val="24"/>
        </w:rPr>
        <w:t>–</w:t>
      </w:r>
      <w:r w:rsidR="00B61B0E">
        <w:rPr>
          <w:rFonts w:ascii="Times New Roman" w:eastAsiaTheme="minorEastAsia" w:hAnsi="Times New Roman" w:cs="Times New Roman"/>
          <w:color w:val="auto"/>
          <w:sz w:val="24"/>
        </w:rPr>
        <w:t> </w:t>
      </w:r>
      <w:r w:rsidRPr="00C835AB">
        <w:rPr>
          <w:rFonts w:ascii="Times New Roman" w:eastAsiaTheme="minorEastAsia" w:hAnsi="Times New Roman" w:cs="Times New Roman"/>
          <w:color w:val="auto"/>
          <w:sz w:val="24"/>
        </w:rPr>
        <w:t>co do innych czynów zabronionych osoby wskazanej w postanowieniu o zastosowaniu kontroli (nawet jeśli jest to podejrzany</w:t>
      </w:r>
      <w:r w:rsidR="00143362" w:rsidRPr="00C835AB">
        <w:rPr>
          <w:rFonts w:ascii="Times New Roman" w:eastAsiaTheme="minorEastAsia" w:hAnsi="Times New Roman" w:cs="Times New Roman"/>
          <w:color w:val="auto"/>
          <w:sz w:val="24"/>
        </w:rPr>
        <w:t xml:space="preserve"> </w:t>
      </w:r>
      <w:r w:rsidRPr="00C835AB">
        <w:rPr>
          <w:rFonts w:ascii="Times New Roman" w:eastAsiaTheme="minorEastAsia" w:hAnsi="Times New Roman" w:cs="Times New Roman"/>
          <w:color w:val="auto"/>
          <w:sz w:val="24"/>
        </w:rPr>
        <w:t>/</w:t>
      </w:r>
      <w:r w:rsidR="00143362" w:rsidRPr="00C835AB">
        <w:rPr>
          <w:rFonts w:ascii="Times New Roman" w:eastAsiaTheme="minorEastAsia" w:hAnsi="Times New Roman" w:cs="Times New Roman"/>
          <w:color w:val="auto"/>
          <w:sz w:val="24"/>
        </w:rPr>
        <w:t xml:space="preserve"> </w:t>
      </w:r>
      <w:r w:rsidRPr="00C835AB">
        <w:rPr>
          <w:rFonts w:ascii="Times New Roman" w:eastAsiaTheme="minorEastAsia" w:hAnsi="Times New Roman" w:cs="Times New Roman"/>
          <w:color w:val="auto"/>
          <w:sz w:val="24"/>
        </w:rPr>
        <w:t>osoba</w:t>
      </w:r>
      <w:r w:rsidR="001F5C37" w:rsidRPr="00C835AB">
        <w:rPr>
          <w:rFonts w:ascii="Times New Roman" w:eastAsiaTheme="minorEastAsia" w:hAnsi="Times New Roman" w:cs="Times New Roman"/>
          <w:color w:val="auto"/>
          <w:sz w:val="24"/>
        </w:rPr>
        <w:t>,</w:t>
      </w:r>
      <w:r w:rsidRPr="00C835AB">
        <w:rPr>
          <w:rFonts w:ascii="Times New Roman" w:eastAsiaTheme="minorEastAsia" w:hAnsi="Times New Roman" w:cs="Times New Roman"/>
          <w:color w:val="auto"/>
          <w:sz w:val="24"/>
        </w:rPr>
        <w:t xml:space="preserve"> co do której istnieje uzasadnione podejrzenie popełnienia przestępstwa) lub też co do zupełnie innej osoby i ujawnionych jej karalnych </w:t>
      </w:r>
      <w:proofErr w:type="spellStart"/>
      <w:r w:rsidRPr="00C835AB">
        <w:rPr>
          <w:rFonts w:ascii="Times New Roman" w:hAnsi="Times New Roman" w:cs="Times New Roman"/>
          <w:color w:val="auto"/>
          <w:sz w:val="24"/>
        </w:rPr>
        <w:t>zachowań</w:t>
      </w:r>
      <w:proofErr w:type="spellEnd"/>
      <w:r w:rsidRPr="00C835AB">
        <w:rPr>
          <w:rFonts w:ascii="Times New Roman" w:hAnsi="Times New Roman" w:cs="Times New Roman"/>
          <w:color w:val="auto"/>
          <w:sz w:val="24"/>
        </w:rPr>
        <w:t>. W analogiczny sposób</w:t>
      </w:r>
      <w:r w:rsidR="001F5C37"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jak przy regulacji z art.</w:t>
      </w:r>
      <w:r w:rsidR="00143362"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 xml:space="preserve">168b </w:t>
      </w:r>
      <w:r w:rsidR="00143362" w:rsidRPr="00C835AB">
        <w:rPr>
          <w:rFonts w:ascii="Times New Roman" w:hAnsi="Times New Roman" w:cs="Times New Roman"/>
          <w:color w:val="auto"/>
          <w:sz w:val="24"/>
        </w:rPr>
        <w:t xml:space="preserve">k.p.k. </w:t>
      </w:r>
      <w:r w:rsidR="001F5C37"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zaprojektowano formę i treść decyzji</w:t>
      </w:r>
      <w:r w:rsidR="002D06BE">
        <w:rPr>
          <w:rFonts w:ascii="Times New Roman" w:hAnsi="Times New Roman" w:cs="Times New Roman"/>
          <w:color w:val="auto"/>
          <w:sz w:val="24"/>
        </w:rPr>
        <w:t>.</w:t>
      </w:r>
      <w:r w:rsidRPr="00C835AB">
        <w:rPr>
          <w:rFonts w:ascii="Times New Roman" w:hAnsi="Times New Roman" w:cs="Times New Roman"/>
          <w:color w:val="auto"/>
          <w:sz w:val="24"/>
        </w:rPr>
        <w:t xml:space="preserve"> </w:t>
      </w:r>
      <w:r w:rsidR="002D06BE">
        <w:rPr>
          <w:rFonts w:ascii="Times New Roman" w:hAnsi="Times New Roman" w:cs="Times New Roman"/>
          <w:color w:val="auto"/>
          <w:sz w:val="24"/>
        </w:rPr>
        <w:t xml:space="preserve">W § 2 art. 237a k.p.k. </w:t>
      </w:r>
      <w:r w:rsidRPr="00C835AB">
        <w:rPr>
          <w:rFonts w:ascii="Times New Roman" w:hAnsi="Times New Roman" w:cs="Times New Roman"/>
          <w:color w:val="auto"/>
          <w:sz w:val="24"/>
        </w:rPr>
        <w:t xml:space="preserve">przewidziano </w:t>
      </w:r>
      <w:r w:rsidR="002D06BE">
        <w:rPr>
          <w:rFonts w:ascii="Times New Roman" w:hAnsi="Times New Roman" w:cs="Times New Roman"/>
          <w:color w:val="auto"/>
          <w:sz w:val="24"/>
        </w:rPr>
        <w:t xml:space="preserve">nadto </w:t>
      </w:r>
      <w:r w:rsidRPr="00C835AB">
        <w:rPr>
          <w:rFonts w:ascii="Times New Roman" w:hAnsi="Times New Roman" w:cs="Times New Roman"/>
          <w:color w:val="auto"/>
          <w:sz w:val="24"/>
        </w:rPr>
        <w:t>możliwość odroczenia zawiadomienia osoby, której dotyczy postanowienie o</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jego treści, nie później niż do zakończenia postępowania przygotowawczego. Z kolei zakres dopuszczalności wykorzystania dowodowego materiałów z</w:t>
      </w:r>
      <w:r w:rsidR="00B61B0E">
        <w:rPr>
          <w:rFonts w:ascii="Times New Roman" w:hAnsi="Times New Roman" w:cs="Times New Roman"/>
          <w:color w:val="auto"/>
          <w:sz w:val="24"/>
        </w:rPr>
        <w:t> </w:t>
      </w:r>
      <w:r w:rsidRPr="00C835AB">
        <w:rPr>
          <w:rFonts w:ascii="Times New Roman" w:hAnsi="Times New Roman" w:cs="Times New Roman"/>
          <w:color w:val="auto"/>
          <w:sz w:val="24"/>
        </w:rPr>
        <w:t xml:space="preserve">kontroli został jednoznacznie wyznaczony w przywracanej treści </w:t>
      </w:r>
      <w:r w:rsidR="000E6647" w:rsidRPr="00C835AB">
        <w:rPr>
          <w:rFonts w:ascii="Times New Roman" w:hAnsi="Times New Roman" w:cs="Times New Roman"/>
          <w:color w:val="auto"/>
          <w:sz w:val="24"/>
        </w:rPr>
        <w:t xml:space="preserve">w </w:t>
      </w:r>
      <w:r w:rsidRPr="00C835AB">
        <w:rPr>
          <w:rFonts w:ascii="Times New Roman" w:hAnsi="Times New Roman" w:cs="Times New Roman"/>
          <w:color w:val="auto"/>
          <w:sz w:val="24"/>
        </w:rPr>
        <w:t>art.</w:t>
      </w:r>
      <w:r w:rsidR="00143362"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 xml:space="preserve">237 </w:t>
      </w:r>
      <w:r w:rsidR="00143362" w:rsidRPr="00C835AB">
        <w:rPr>
          <w:rFonts w:ascii="Times New Roman" w:hAnsi="Times New Roman" w:cs="Times New Roman"/>
          <w:color w:val="auto"/>
          <w:sz w:val="24"/>
        </w:rPr>
        <w:t xml:space="preserve">§ </w:t>
      </w:r>
      <w:r w:rsidR="000E6647" w:rsidRPr="00C835AB">
        <w:rPr>
          <w:rFonts w:ascii="Times New Roman" w:hAnsi="Times New Roman" w:cs="Times New Roman"/>
          <w:color w:val="auto"/>
          <w:sz w:val="24"/>
        </w:rPr>
        <w:t xml:space="preserve">9 </w:t>
      </w:r>
      <w:r w:rsidRPr="00C835AB">
        <w:rPr>
          <w:rFonts w:ascii="Times New Roman" w:hAnsi="Times New Roman" w:cs="Times New Roman"/>
          <w:color w:val="auto"/>
          <w:sz w:val="24"/>
        </w:rPr>
        <w:t>k.p.k., zgodnie z regułą proporcjonalności, czyli może nastąpić wyłącznie w postępowaniu karnym w</w:t>
      </w:r>
      <w:r w:rsidR="00B61B0E">
        <w:rPr>
          <w:rFonts w:ascii="Times New Roman" w:hAnsi="Times New Roman" w:cs="Times New Roman"/>
          <w:color w:val="auto"/>
          <w:sz w:val="24"/>
        </w:rPr>
        <w:t> </w:t>
      </w:r>
      <w:r w:rsidRPr="00C835AB">
        <w:rPr>
          <w:rFonts w:ascii="Times New Roman" w:hAnsi="Times New Roman" w:cs="Times New Roman"/>
          <w:color w:val="auto"/>
          <w:sz w:val="24"/>
        </w:rPr>
        <w:t>sprawie o przestępstwo lub przestępstwo skarbowe, w stosunku do którego jest możliwe zarządzenie takiej kontroli. Końcowo o przeprowadzeniu dowodu z tych materiałów decydował będzie sąd w postępowaniu rozpoznawczym, a jego decyzja i ocena będzie podlegała kontroli w toku instancyjnym.</w:t>
      </w:r>
    </w:p>
    <w:p w14:paraId="76F13B6C" w14:textId="7ADC8D59" w:rsidR="003249AE" w:rsidRPr="00C835AB" w:rsidRDefault="003249AE"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Konsekwencją zmiany art. 237a k.p.k. jest </w:t>
      </w:r>
      <w:r w:rsidR="00DD1B3F" w:rsidRPr="00C835AB">
        <w:rPr>
          <w:rFonts w:ascii="Times New Roman" w:hAnsi="Times New Roman" w:cs="Times New Roman"/>
          <w:color w:val="auto"/>
          <w:sz w:val="24"/>
        </w:rPr>
        <w:t xml:space="preserve">projektowana </w:t>
      </w:r>
      <w:r w:rsidRPr="00C835AB">
        <w:rPr>
          <w:rFonts w:ascii="Times New Roman" w:hAnsi="Times New Roman" w:cs="Times New Roman"/>
          <w:color w:val="auto"/>
          <w:sz w:val="24"/>
        </w:rPr>
        <w:t>zmiana wynikowa w art. 238 § 4 k.p.k.</w:t>
      </w:r>
    </w:p>
    <w:p w14:paraId="2FADD396" w14:textId="602749B1" w:rsidR="00A56282" w:rsidRPr="00C835AB" w:rsidRDefault="00A56282" w:rsidP="00D823D0">
      <w:pPr>
        <w:ind w:firstLine="708"/>
        <w:rPr>
          <w:rFonts w:ascii="Times New Roman" w:hAnsi="Times New Roman" w:cs="Times New Roman"/>
          <w:color w:val="auto"/>
          <w:sz w:val="24"/>
        </w:rPr>
      </w:pPr>
    </w:p>
    <w:p w14:paraId="2D36AF26" w14:textId="4DB77574" w:rsidR="00484024" w:rsidRPr="00C835AB" w:rsidRDefault="00484024"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Art. 247 § 6 k.p.k.</w:t>
      </w:r>
    </w:p>
    <w:p w14:paraId="0B2B82F5" w14:textId="126C505E" w:rsidR="00484024" w:rsidRPr="00C835AB" w:rsidRDefault="00484024"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Do zatrzymania, o którym mowa w art. 247 § 1 k.p.k., zastosowanie znajdą regulacje dotyczące zatrzymania zawarte w art. 244 § 2 i 3 k.p.k., art. 245 k.p.k., art. 246 k.p.k. oraz</w:t>
      </w:r>
      <w:r w:rsidR="00B61B0E">
        <w:rPr>
          <w:rFonts w:ascii="Times New Roman" w:hAnsi="Times New Roman" w:cs="Times New Roman"/>
          <w:color w:val="auto"/>
          <w:sz w:val="24"/>
        </w:rPr>
        <w:t> </w:t>
      </w:r>
      <w:r w:rsidRPr="00C835AB">
        <w:rPr>
          <w:rFonts w:ascii="Times New Roman" w:hAnsi="Times New Roman" w:cs="Times New Roman"/>
          <w:color w:val="auto"/>
          <w:sz w:val="24"/>
        </w:rPr>
        <w:t>przepisy wydane na podstawie art. 244 § 5 k.p.k.</w:t>
      </w:r>
    </w:p>
    <w:p w14:paraId="26AAEA6C" w14:textId="77777777" w:rsidR="00484024" w:rsidRPr="00C835AB" w:rsidRDefault="00484024" w:rsidP="00D823D0">
      <w:pPr>
        <w:rPr>
          <w:rFonts w:ascii="Times New Roman" w:hAnsi="Times New Roman" w:cs="Times New Roman"/>
          <w:color w:val="auto"/>
          <w:sz w:val="24"/>
        </w:rPr>
      </w:pPr>
    </w:p>
    <w:p w14:paraId="145EFA38" w14:textId="1677BCD5" w:rsidR="00BD49F2" w:rsidRPr="00C835AB" w:rsidRDefault="00BD49F2"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 xml:space="preserve">Art. 250 </w:t>
      </w:r>
      <w:r w:rsidR="007A1F44" w:rsidRPr="00C835AB">
        <w:rPr>
          <w:rFonts w:ascii="Times New Roman" w:hAnsi="Times New Roman" w:cs="Times New Roman"/>
          <w:b/>
          <w:bCs/>
          <w:color w:val="auto"/>
          <w:sz w:val="24"/>
        </w:rPr>
        <w:t>§ 3</w:t>
      </w:r>
      <w:r w:rsidR="00C317BE" w:rsidRPr="00C835AB">
        <w:rPr>
          <w:rFonts w:ascii="Times New Roman" w:hAnsi="Times New Roman" w:cs="Times New Roman"/>
          <w:b/>
          <w:bCs/>
          <w:color w:val="auto"/>
          <w:sz w:val="24"/>
        </w:rPr>
        <w:t xml:space="preserve"> </w:t>
      </w:r>
      <w:r w:rsidR="007A1F44" w:rsidRPr="00C835AB">
        <w:rPr>
          <w:rFonts w:ascii="Times New Roman" w:hAnsi="Times New Roman" w:cs="Times New Roman"/>
          <w:b/>
          <w:bCs/>
          <w:color w:val="auto"/>
          <w:sz w:val="24"/>
        </w:rPr>
        <w:t>i § 3b</w:t>
      </w:r>
      <w:r w:rsidR="00796D23">
        <w:rPr>
          <w:rFonts w:ascii="Times New Roman" w:hAnsi="Times New Roman" w:cs="Times New Roman"/>
          <w:b/>
          <w:bCs/>
          <w:color w:val="auto"/>
          <w:sz w:val="24"/>
        </w:rPr>
        <w:t>–</w:t>
      </w:r>
      <w:r w:rsidR="007A1F44" w:rsidRPr="00C835AB">
        <w:rPr>
          <w:rFonts w:ascii="Times New Roman" w:hAnsi="Times New Roman" w:cs="Times New Roman"/>
          <w:b/>
          <w:bCs/>
          <w:color w:val="auto"/>
          <w:sz w:val="24"/>
        </w:rPr>
        <w:t xml:space="preserve">3h k.p.k. </w:t>
      </w:r>
      <w:r w:rsidRPr="00C835AB">
        <w:rPr>
          <w:rFonts w:ascii="Times New Roman" w:hAnsi="Times New Roman" w:cs="Times New Roman"/>
          <w:b/>
          <w:bCs/>
          <w:color w:val="auto"/>
          <w:sz w:val="24"/>
        </w:rPr>
        <w:t>oraz art. 248</w:t>
      </w:r>
      <w:r w:rsidR="007A1F44" w:rsidRPr="00C835AB">
        <w:rPr>
          <w:rFonts w:ascii="Times New Roman" w:hAnsi="Times New Roman" w:cs="Times New Roman"/>
          <w:b/>
          <w:bCs/>
          <w:color w:val="auto"/>
          <w:sz w:val="24"/>
        </w:rPr>
        <w:t xml:space="preserve"> § 2 k.p.k.</w:t>
      </w:r>
    </w:p>
    <w:p w14:paraId="1AB1E5DA" w14:textId="2481E369" w:rsidR="00BD49F2" w:rsidRPr="00C835AB" w:rsidRDefault="00BD49F2" w:rsidP="00D823D0">
      <w:pPr>
        <w:ind w:firstLine="708"/>
        <w:rPr>
          <w:rFonts w:ascii="Times New Roman" w:hAnsi="Times New Roman" w:cs="Times New Roman"/>
          <w:color w:val="auto"/>
          <w:sz w:val="24"/>
        </w:rPr>
      </w:pPr>
      <w:r w:rsidRPr="00C835AB">
        <w:rPr>
          <w:rFonts w:ascii="Times New Roman" w:hAnsi="Times New Roman" w:cs="Times New Roman"/>
          <w:color w:val="auto"/>
          <w:sz w:val="24"/>
          <w:shd w:val="clear" w:color="auto" w:fill="FFFFFF"/>
        </w:rPr>
        <w:t xml:space="preserve">W art. 250 § 3 k.p.k. </w:t>
      </w:r>
      <w:r w:rsidR="00E106FA" w:rsidRPr="00C835AB">
        <w:rPr>
          <w:rFonts w:ascii="Times New Roman" w:hAnsi="Times New Roman" w:cs="Times New Roman"/>
          <w:color w:val="auto"/>
          <w:sz w:val="24"/>
          <w:shd w:val="clear" w:color="auto" w:fill="FFFFFF"/>
        </w:rPr>
        <w:t xml:space="preserve">proponuje się </w:t>
      </w:r>
      <w:r w:rsidRPr="00C835AB">
        <w:rPr>
          <w:rFonts w:ascii="Times New Roman" w:hAnsi="Times New Roman" w:cs="Times New Roman"/>
          <w:color w:val="auto"/>
          <w:sz w:val="24"/>
          <w:shd w:val="clear" w:color="auto" w:fill="FFFFFF"/>
        </w:rPr>
        <w:t>wprowadz</w:t>
      </w:r>
      <w:r w:rsidR="00E106FA" w:rsidRPr="00C835AB">
        <w:rPr>
          <w:rFonts w:ascii="Times New Roman" w:hAnsi="Times New Roman" w:cs="Times New Roman"/>
          <w:color w:val="auto"/>
          <w:sz w:val="24"/>
          <w:shd w:val="clear" w:color="auto" w:fill="FFFFFF"/>
        </w:rPr>
        <w:t>enie</w:t>
      </w:r>
      <w:r w:rsidRPr="00C835AB">
        <w:rPr>
          <w:rFonts w:ascii="Times New Roman" w:hAnsi="Times New Roman" w:cs="Times New Roman"/>
          <w:color w:val="auto"/>
          <w:sz w:val="24"/>
          <w:shd w:val="clear" w:color="auto" w:fill="FFFFFF"/>
        </w:rPr>
        <w:t xml:space="preserve"> obowiązk</w:t>
      </w:r>
      <w:r w:rsidR="00E106FA" w:rsidRPr="00C835AB">
        <w:rPr>
          <w:rFonts w:ascii="Times New Roman" w:hAnsi="Times New Roman" w:cs="Times New Roman"/>
          <w:color w:val="auto"/>
          <w:sz w:val="24"/>
          <w:shd w:val="clear" w:color="auto" w:fill="FFFFFF"/>
        </w:rPr>
        <w:t>u</w:t>
      </w:r>
      <w:r w:rsidRPr="00C835AB">
        <w:rPr>
          <w:rFonts w:ascii="Times New Roman" w:hAnsi="Times New Roman" w:cs="Times New Roman"/>
          <w:color w:val="auto"/>
          <w:sz w:val="24"/>
          <w:shd w:val="clear" w:color="auto" w:fill="FFFFFF"/>
        </w:rPr>
        <w:t xml:space="preserve"> doręczenia podejrzanemu odpisu wniosku o zastosowanie tymczasowego aresztowania. Obowiązek obciąża prokuratora kierującego wniosek, stanowiąc realizację prawa dostępu osoby objętej wnioskiem do</w:t>
      </w:r>
      <w:r w:rsidR="00B61B0E">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niezwłocznej informacji o złożeniu wniosku oraz jego podstawy. Uzupełnieniem tej</w:t>
      </w:r>
      <w:r w:rsidR="00B61B0E">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 xml:space="preserve">regulacji gwarancyjnej jest </w:t>
      </w:r>
      <w:r w:rsidR="00C317BE" w:rsidRPr="00C835AB">
        <w:rPr>
          <w:rFonts w:ascii="Times New Roman" w:hAnsi="Times New Roman" w:cs="Times New Roman"/>
          <w:color w:val="auto"/>
          <w:sz w:val="24"/>
          <w:shd w:val="clear" w:color="auto" w:fill="FFFFFF"/>
        </w:rPr>
        <w:t xml:space="preserve">regulacja </w:t>
      </w:r>
      <w:r w:rsidRPr="00C835AB">
        <w:rPr>
          <w:rFonts w:ascii="Times New Roman" w:hAnsi="Times New Roman" w:cs="Times New Roman"/>
          <w:color w:val="auto"/>
          <w:sz w:val="24"/>
          <w:shd w:val="clear" w:color="auto" w:fill="FFFFFF"/>
        </w:rPr>
        <w:t>nakazując</w:t>
      </w:r>
      <w:r w:rsidR="00C317BE" w:rsidRPr="00C835AB">
        <w:rPr>
          <w:rFonts w:ascii="Times New Roman" w:hAnsi="Times New Roman" w:cs="Times New Roman"/>
          <w:color w:val="auto"/>
          <w:sz w:val="24"/>
          <w:shd w:val="clear" w:color="auto" w:fill="FFFFFF"/>
        </w:rPr>
        <w:t>a</w:t>
      </w:r>
      <w:r w:rsidRPr="00C835AB">
        <w:rPr>
          <w:rFonts w:ascii="Times New Roman" w:hAnsi="Times New Roman" w:cs="Times New Roman"/>
          <w:color w:val="auto"/>
          <w:sz w:val="24"/>
          <w:shd w:val="clear" w:color="auto" w:fill="FFFFFF"/>
        </w:rPr>
        <w:t xml:space="preserve"> przesłanie sądowi odpisu wniosku </w:t>
      </w:r>
      <w:proofErr w:type="spellStart"/>
      <w:r w:rsidRPr="00C835AB">
        <w:rPr>
          <w:rFonts w:ascii="Times New Roman" w:hAnsi="Times New Roman" w:cs="Times New Roman"/>
          <w:color w:val="auto"/>
          <w:sz w:val="24"/>
          <w:shd w:val="clear" w:color="auto" w:fill="FFFFFF"/>
        </w:rPr>
        <w:t>aresztowego</w:t>
      </w:r>
      <w:proofErr w:type="spellEnd"/>
      <w:r w:rsidRPr="00C835AB">
        <w:rPr>
          <w:rFonts w:ascii="Times New Roman" w:hAnsi="Times New Roman" w:cs="Times New Roman"/>
          <w:color w:val="auto"/>
          <w:sz w:val="24"/>
          <w:shd w:val="clear" w:color="auto" w:fill="FFFFFF"/>
        </w:rPr>
        <w:t xml:space="preserve"> w</w:t>
      </w:r>
      <w:r w:rsidR="00A76A6B"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 xml:space="preserve">wersji elektronicznej. Niewątpliwie każdy wniosek sporządzany jest obecnie </w:t>
      </w:r>
      <w:r w:rsidRPr="00C835AB">
        <w:rPr>
          <w:rFonts w:ascii="Times New Roman" w:hAnsi="Times New Roman" w:cs="Times New Roman"/>
          <w:color w:val="auto"/>
          <w:sz w:val="24"/>
          <w:shd w:val="clear" w:color="auto" w:fill="FFFFFF"/>
        </w:rPr>
        <w:lastRenderedPageBreak/>
        <w:t>w</w:t>
      </w:r>
      <w:r w:rsidR="00B61B0E">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 xml:space="preserve">takiej formie, a zatem nie rodzi to dodatkowych komplikacji, a jednocześnie sprzyja usprawnieniu pracy sądu. Ma jednak przede wszystkim znaczenie gwarancyjne, obrońca może bowiem wskazać adres swojej poczty elektronicznej, na którą wniosek ten zostanie również przesłany. W wielu przypadkach dokonywania czynności związanych ze stosowaniem </w:t>
      </w:r>
      <w:r w:rsidR="007A1F44" w:rsidRPr="00C835AB">
        <w:rPr>
          <w:rFonts w:ascii="Times New Roman" w:hAnsi="Times New Roman" w:cs="Times New Roman"/>
          <w:color w:val="auto"/>
          <w:sz w:val="24"/>
          <w:shd w:val="clear" w:color="auto" w:fill="FFFFFF"/>
        </w:rPr>
        <w:t>tymczasowego aresztowania</w:t>
      </w:r>
      <w:r w:rsidRPr="00C835AB">
        <w:rPr>
          <w:rFonts w:ascii="Times New Roman" w:hAnsi="Times New Roman" w:cs="Times New Roman"/>
          <w:color w:val="auto"/>
          <w:sz w:val="24"/>
          <w:shd w:val="clear" w:color="auto" w:fill="FFFFFF"/>
        </w:rPr>
        <w:t xml:space="preserve"> poza siedzibą i miejscowością kancelarii obrońcy oraz</w:t>
      </w:r>
      <w:r w:rsidR="00B61B0E">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 xml:space="preserve">wynikających z dynamiki tych czynności, uzyskanie kopii elektronicznej wniosku sprzyja przygotowaniu się obrońcy do wykonywania czynności obrończych w sposób efektywny. </w:t>
      </w:r>
    </w:p>
    <w:p w14:paraId="35CB95D1" w14:textId="4AB5B6BC" w:rsidR="00BD49F2" w:rsidRPr="00C835AB" w:rsidRDefault="00BD49F2" w:rsidP="00603A64">
      <w:pPr>
        <w:pStyle w:val="Akapitzlist"/>
        <w:ind w:left="0" w:firstLine="720"/>
        <w:rPr>
          <w:rFonts w:ascii="Times New Roman" w:hAnsi="Times New Roman" w:cs="Times New Roman"/>
          <w:color w:val="auto"/>
          <w:sz w:val="24"/>
        </w:rPr>
      </w:pPr>
      <w:r w:rsidRPr="00C835AB">
        <w:rPr>
          <w:rFonts w:ascii="Times New Roman" w:eastAsia="Cambria Math" w:hAnsi="Times New Roman" w:cs="Times New Roman"/>
          <w:color w:val="auto"/>
          <w:sz w:val="24"/>
          <w:lang w:eastAsia="pl-PL"/>
        </w:rPr>
        <w:t xml:space="preserve">W projekcie proponuje się także </w:t>
      </w:r>
      <w:r w:rsidR="00A05115" w:rsidRPr="00C835AB">
        <w:rPr>
          <w:rFonts w:ascii="Times New Roman" w:hAnsi="Times New Roman" w:cs="Times New Roman"/>
          <w:color w:val="auto"/>
          <w:sz w:val="24"/>
        </w:rPr>
        <w:t>uchylenie</w:t>
      </w:r>
      <w:r w:rsidRPr="00C835AB">
        <w:rPr>
          <w:rFonts w:ascii="Times New Roman" w:hAnsi="Times New Roman" w:cs="Times New Roman"/>
          <w:color w:val="auto"/>
          <w:sz w:val="24"/>
        </w:rPr>
        <w:t xml:space="preserve"> art. 250 § 3b</w:t>
      </w:r>
      <w:r w:rsidR="00796D23">
        <w:rPr>
          <w:rFonts w:ascii="Times New Roman" w:hAnsi="Times New Roman" w:cs="Times New Roman"/>
          <w:color w:val="auto"/>
          <w:sz w:val="24"/>
        </w:rPr>
        <w:t>–</w:t>
      </w:r>
      <w:r w:rsidRPr="00C835AB">
        <w:rPr>
          <w:rFonts w:ascii="Times New Roman" w:hAnsi="Times New Roman" w:cs="Times New Roman"/>
          <w:color w:val="auto"/>
          <w:sz w:val="24"/>
        </w:rPr>
        <w:t>3h k.p.k. i odstąpienie w</w:t>
      </w:r>
      <w:r w:rsidR="00B61B0E">
        <w:rPr>
          <w:rFonts w:ascii="Times New Roman" w:hAnsi="Times New Roman" w:cs="Times New Roman"/>
          <w:color w:val="auto"/>
          <w:sz w:val="24"/>
        </w:rPr>
        <w:t> </w:t>
      </w:r>
      <w:r w:rsidRPr="00C835AB">
        <w:rPr>
          <w:rFonts w:ascii="Times New Roman" w:hAnsi="Times New Roman" w:cs="Times New Roman"/>
          <w:color w:val="auto"/>
          <w:sz w:val="24"/>
        </w:rPr>
        <w:t>ten</w:t>
      </w:r>
      <w:r w:rsidR="00B61B0E">
        <w:rPr>
          <w:rFonts w:ascii="Times New Roman" w:hAnsi="Times New Roman" w:cs="Times New Roman"/>
          <w:color w:val="auto"/>
          <w:sz w:val="24"/>
        </w:rPr>
        <w:t> </w:t>
      </w:r>
      <w:r w:rsidRPr="00C835AB">
        <w:rPr>
          <w:rFonts w:ascii="Times New Roman" w:hAnsi="Times New Roman" w:cs="Times New Roman"/>
          <w:color w:val="auto"/>
          <w:sz w:val="24"/>
        </w:rPr>
        <w:t xml:space="preserve">sposób od możliwości prowadzenia zdalnych posiedzeń </w:t>
      </w:r>
      <w:proofErr w:type="spellStart"/>
      <w:r w:rsidRPr="00C835AB">
        <w:rPr>
          <w:rFonts w:ascii="Times New Roman" w:hAnsi="Times New Roman" w:cs="Times New Roman"/>
          <w:color w:val="auto"/>
          <w:sz w:val="24"/>
        </w:rPr>
        <w:t>aresztowych</w:t>
      </w:r>
      <w:proofErr w:type="spellEnd"/>
      <w:r w:rsidRPr="00C835AB">
        <w:rPr>
          <w:rFonts w:ascii="Times New Roman" w:hAnsi="Times New Roman" w:cs="Times New Roman"/>
          <w:color w:val="auto"/>
          <w:sz w:val="24"/>
        </w:rPr>
        <w:t xml:space="preserve">, tj. </w:t>
      </w:r>
      <w:r w:rsidRPr="00C835AB">
        <w:rPr>
          <w:rFonts w:ascii="Times New Roman" w:eastAsia="Cambria Math" w:hAnsi="Times New Roman" w:cs="Times New Roman"/>
          <w:color w:val="auto"/>
          <w:sz w:val="24"/>
          <w:lang w:eastAsia="pl-PL"/>
        </w:rPr>
        <w:t xml:space="preserve">przez zapewnienie podejrzanemu udziału w posiedzeniu </w:t>
      </w:r>
      <w:proofErr w:type="spellStart"/>
      <w:r w:rsidRPr="00C835AB">
        <w:rPr>
          <w:rFonts w:ascii="Times New Roman" w:eastAsia="Cambria Math" w:hAnsi="Times New Roman" w:cs="Times New Roman"/>
          <w:color w:val="auto"/>
          <w:sz w:val="24"/>
          <w:lang w:eastAsia="pl-PL"/>
        </w:rPr>
        <w:t>aresztowym</w:t>
      </w:r>
      <w:proofErr w:type="spellEnd"/>
      <w:r w:rsidRPr="00C835AB">
        <w:rPr>
          <w:rFonts w:ascii="Times New Roman" w:eastAsia="Cambria Math" w:hAnsi="Times New Roman" w:cs="Times New Roman"/>
          <w:color w:val="auto"/>
          <w:sz w:val="24"/>
          <w:lang w:eastAsia="pl-PL"/>
        </w:rPr>
        <w:t xml:space="preserve"> za pomocą </w:t>
      </w:r>
      <w:r w:rsidRPr="00C835AB">
        <w:rPr>
          <w:rFonts w:ascii="Times New Roman" w:hAnsi="Times New Roman" w:cs="Times New Roman"/>
          <w:color w:val="auto"/>
          <w:sz w:val="24"/>
        </w:rPr>
        <w:t>urządzeń technicznych, umożliwiających przeprowadzenie tego posiedzenia na odległość z</w:t>
      </w:r>
      <w:r w:rsidR="00B61B0E">
        <w:rPr>
          <w:rFonts w:ascii="Times New Roman" w:hAnsi="Times New Roman" w:cs="Times New Roman"/>
          <w:color w:val="auto"/>
          <w:sz w:val="24"/>
        </w:rPr>
        <w:t> </w:t>
      </w:r>
      <w:r w:rsidRPr="00C835AB">
        <w:rPr>
          <w:rFonts w:ascii="Times New Roman" w:hAnsi="Times New Roman" w:cs="Times New Roman"/>
          <w:color w:val="auto"/>
          <w:sz w:val="24"/>
        </w:rPr>
        <w:t>jednoczesnym bezpośrednim przekazem obrazu i dźwięku.</w:t>
      </w:r>
      <w:r w:rsidRPr="00C835AB">
        <w:rPr>
          <w:rFonts w:ascii="Times New Roman" w:eastAsia="Cambria Math" w:hAnsi="Times New Roman" w:cs="Times New Roman"/>
          <w:color w:val="auto"/>
          <w:sz w:val="24"/>
          <w:lang w:eastAsia="pl-PL"/>
        </w:rPr>
        <w:t xml:space="preserve"> Możliwość takiego procedowania została wprowadzona w związku z pandemią COVID19, ale wobec formy jej wprowadzenia (do</w:t>
      </w:r>
      <w:r w:rsidR="00A76A6B" w:rsidRPr="00C835AB">
        <w:rPr>
          <w:rFonts w:ascii="Times New Roman" w:eastAsia="Cambria Math" w:hAnsi="Times New Roman" w:cs="Times New Roman"/>
          <w:color w:val="auto"/>
          <w:sz w:val="24"/>
          <w:lang w:eastAsia="pl-PL"/>
        </w:rPr>
        <w:t> </w:t>
      </w:r>
      <w:r w:rsidRPr="00C835AB">
        <w:rPr>
          <w:rFonts w:ascii="Times New Roman" w:eastAsia="Cambria Math" w:hAnsi="Times New Roman" w:cs="Times New Roman"/>
          <w:color w:val="auto"/>
          <w:sz w:val="24"/>
          <w:lang w:eastAsia="pl-PL"/>
        </w:rPr>
        <w:t>Kodeksu postępowania karnego, na stałe) ma powszechne zastosowanie. Ustawodawca założył bowiem, że „można odstąpić…” od doprowadzenia podejrzanego do sądu, nie</w:t>
      </w:r>
      <w:r w:rsidR="00B61B0E">
        <w:rPr>
          <w:rFonts w:ascii="Times New Roman" w:eastAsia="Cambria Math" w:hAnsi="Times New Roman" w:cs="Times New Roman"/>
          <w:color w:val="auto"/>
          <w:sz w:val="24"/>
          <w:lang w:eastAsia="pl-PL"/>
        </w:rPr>
        <w:t> </w:t>
      </w:r>
      <w:r w:rsidRPr="00C835AB">
        <w:rPr>
          <w:rFonts w:ascii="Times New Roman" w:eastAsia="Cambria Math" w:hAnsi="Times New Roman" w:cs="Times New Roman"/>
          <w:color w:val="auto"/>
          <w:sz w:val="24"/>
          <w:lang w:eastAsia="pl-PL"/>
        </w:rPr>
        <w:t>precyzując powodów takiego odstąpienia. Procedura ta istotnie obniżyła gwarancje procesowe podejrzanego, w szczególności w zakresie możliwości kontaktowania się</w:t>
      </w:r>
      <w:r w:rsidR="00B61B0E">
        <w:rPr>
          <w:rFonts w:ascii="Times New Roman" w:eastAsia="Cambria Math" w:hAnsi="Times New Roman" w:cs="Times New Roman"/>
          <w:color w:val="auto"/>
          <w:sz w:val="24"/>
          <w:lang w:eastAsia="pl-PL"/>
        </w:rPr>
        <w:t> </w:t>
      </w:r>
      <w:r w:rsidRPr="00C835AB">
        <w:rPr>
          <w:rFonts w:ascii="Times New Roman" w:eastAsia="Cambria Math" w:hAnsi="Times New Roman" w:cs="Times New Roman"/>
          <w:color w:val="auto"/>
          <w:sz w:val="24"/>
          <w:lang w:eastAsia="pl-PL"/>
        </w:rPr>
        <w:t>podejrzanego z</w:t>
      </w:r>
      <w:r w:rsidR="00A76A6B" w:rsidRPr="00C835AB">
        <w:rPr>
          <w:rFonts w:ascii="Times New Roman" w:eastAsia="Cambria Math" w:hAnsi="Times New Roman" w:cs="Times New Roman"/>
          <w:color w:val="auto"/>
          <w:sz w:val="24"/>
          <w:lang w:eastAsia="pl-PL"/>
        </w:rPr>
        <w:t> </w:t>
      </w:r>
      <w:r w:rsidRPr="00C835AB">
        <w:rPr>
          <w:rFonts w:ascii="Times New Roman" w:eastAsia="Cambria Math" w:hAnsi="Times New Roman" w:cs="Times New Roman"/>
          <w:color w:val="auto"/>
          <w:sz w:val="24"/>
          <w:lang w:eastAsia="pl-PL"/>
        </w:rPr>
        <w:t xml:space="preserve">obrońcą (art. 250 § 3e k.p.k.), dozwalając wręcz na pozbawienie podejrzanego tego kontaktu w celu ustalenia linii obrony. </w:t>
      </w:r>
      <w:r w:rsidRPr="00C835AB">
        <w:rPr>
          <w:rFonts w:ascii="Times New Roman" w:hAnsi="Times New Roman" w:cs="Times New Roman"/>
          <w:color w:val="auto"/>
          <w:sz w:val="24"/>
        </w:rPr>
        <w:t>Nadto, prowadziła do zasadnie krytykowanego pozbawienia uprawnień wynikających wprost z Konstytucji RP, tj.</w:t>
      </w:r>
      <w:r w:rsidR="00B61B0E">
        <w:rPr>
          <w:rFonts w:ascii="Times New Roman" w:hAnsi="Times New Roman" w:cs="Times New Roman"/>
          <w:color w:val="auto"/>
          <w:sz w:val="24"/>
        </w:rPr>
        <w:t> </w:t>
      </w:r>
      <w:r w:rsidRPr="00C835AB">
        <w:rPr>
          <w:rFonts w:ascii="Times New Roman" w:hAnsi="Times New Roman" w:cs="Times New Roman"/>
          <w:color w:val="auto"/>
          <w:sz w:val="24"/>
        </w:rPr>
        <w:t>do</w:t>
      </w:r>
      <w:r w:rsidR="00B61B0E">
        <w:rPr>
          <w:rFonts w:ascii="Times New Roman" w:hAnsi="Times New Roman" w:cs="Times New Roman"/>
          <w:color w:val="auto"/>
          <w:sz w:val="24"/>
        </w:rPr>
        <w:t> </w:t>
      </w:r>
      <w:r w:rsidRPr="00C835AB">
        <w:rPr>
          <w:rFonts w:ascii="Times New Roman" w:hAnsi="Times New Roman" w:cs="Times New Roman"/>
          <w:color w:val="auto"/>
          <w:sz w:val="24"/>
        </w:rPr>
        <w:t>bezpośredniego kontaktu z sądem stosującym areszt oraz doręczenia mu postanowienia o</w:t>
      </w:r>
      <w:r w:rsidR="00B61B0E">
        <w:rPr>
          <w:rFonts w:ascii="Times New Roman" w:hAnsi="Times New Roman" w:cs="Times New Roman"/>
          <w:color w:val="auto"/>
          <w:sz w:val="24"/>
        </w:rPr>
        <w:t> </w:t>
      </w:r>
      <w:r w:rsidRPr="00C835AB">
        <w:rPr>
          <w:rFonts w:ascii="Times New Roman" w:hAnsi="Times New Roman" w:cs="Times New Roman"/>
          <w:color w:val="auto"/>
          <w:sz w:val="24"/>
        </w:rPr>
        <w:t xml:space="preserve">tymczasowym aresztowaniu. </w:t>
      </w:r>
      <w:r w:rsidRPr="00C835AB">
        <w:rPr>
          <w:rFonts w:ascii="Times New Roman" w:eastAsia="Cambria Math" w:hAnsi="Times New Roman" w:cs="Times New Roman"/>
          <w:color w:val="auto"/>
          <w:sz w:val="24"/>
          <w:lang w:eastAsia="pl-PL"/>
        </w:rPr>
        <w:t xml:space="preserve">Z tych powodów, jak również nie dostrzegając, iżby zapewnienie podejrzanemu bezpośredniego dostępu do sądu w związku z procedurą </w:t>
      </w:r>
      <w:proofErr w:type="spellStart"/>
      <w:r w:rsidRPr="00C835AB">
        <w:rPr>
          <w:rFonts w:ascii="Times New Roman" w:eastAsia="Cambria Math" w:hAnsi="Times New Roman" w:cs="Times New Roman"/>
          <w:color w:val="auto"/>
          <w:sz w:val="24"/>
          <w:lang w:eastAsia="pl-PL"/>
        </w:rPr>
        <w:t>aresztow</w:t>
      </w:r>
      <w:r w:rsidR="00A24EFF">
        <w:rPr>
          <w:rFonts w:ascii="Times New Roman" w:eastAsia="Cambria Math" w:hAnsi="Times New Roman" w:cs="Times New Roman"/>
          <w:color w:val="auto"/>
          <w:sz w:val="24"/>
          <w:lang w:eastAsia="pl-PL"/>
        </w:rPr>
        <w:t>ą</w:t>
      </w:r>
      <w:proofErr w:type="spellEnd"/>
      <w:r w:rsidRPr="00C835AB">
        <w:rPr>
          <w:rFonts w:ascii="Times New Roman" w:eastAsia="Cambria Math" w:hAnsi="Times New Roman" w:cs="Times New Roman"/>
          <w:color w:val="auto"/>
          <w:sz w:val="24"/>
          <w:lang w:eastAsia="pl-PL"/>
        </w:rPr>
        <w:t xml:space="preserve"> w latach poprzedzających czas pandemii COVID-19 nastręczało istotnych trudności, proponuje się </w:t>
      </w:r>
      <w:r w:rsidR="00A05115" w:rsidRPr="00C835AB">
        <w:rPr>
          <w:rFonts w:ascii="Times New Roman" w:eastAsia="Cambria Math" w:hAnsi="Times New Roman" w:cs="Times New Roman"/>
          <w:color w:val="auto"/>
          <w:sz w:val="24"/>
          <w:lang w:eastAsia="pl-PL"/>
        </w:rPr>
        <w:t>uchylenie</w:t>
      </w:r>
      <w:r w:rsidRPr="00C835AB">
        <w:rPr>
          <w:rFonts w:ascii="Times New Roman" w:eastAsia="Cambria Math" w:hAnsi="Times New Roman" w:cs="Times New Roman"/>
          <w:color w:val="auto"/>
          <w:sz w:val="24"/>
          <w:lang w:eastAsia="pl-PL"/>
        </w:rPr>
        <w:t xml:space="preserve"> art. 250 § 3b</w:t>
      </w:r>
      <w:r w:rsidR="00796D23">
        <w:rPr>
          <w:rFonts w:ascii="Times New Roman" w:eastAsia="Cambria Math" w:hAnsi="Times New Roman" w:cs="Times New Roman"/>
          <w:color w:val="auto"/>
          <w:sz w:val="24"/>
          <w:lang w:eastAsia="pl-PL"/>
        </w:rPr>
        <w:t>–</w:t>
      </w:r>
      <w:r w:rsidRPr="00C835AB">
        <w:rPr>
          <w:rFonts w:ascii="Times New Roman" w:eastAsia="Cambria Math" w:hAnsi="Times New Roman" w:cs="Times New Roman"/>
          <w:color w:val="auto"/>
          <w:sz w:val="24"/>
          <w:lang w:eastAsia="pl-PL"/>
        </w:rPr>
        <w:t xml:space="preserve">3h k.p.k. </w:t>
      </w:r>
      <w:r w:rsidRPr="00C835AB">
        <w:rPr>
          <w:rFonts w:ascii="Times New Roman" w:hAnsi="Times New Roman" w:cs="Times New Roman"/>
          <w:color w:val="auto"/>
          <w:sz w:val="24"/>
        </w:rPr>
        <w:t xml:space="preserve">Utrzymywanie tego nadzwyczajnego w istocie trybu </w:t>
      </w:r>
      <w:proofErr w:type="spellStart"/>
      <w:r w:rsidRPr="00C835AB">
        <w:rPr>
          <w:rFonts w:ascii="Times New Roman" w:hAnsi="Times New Roman" w:cs="Times New Roman"/>
          <w:color w:val="auto"/>
          <w:sz w:val="24"/>
        </w:rPr>
        <w:t>aresztowego</w:t>
      </w:r>
      <w:proofErr w:type="spellEnd"/>
      <w:r w:rsidRPr="00C835AB">
        <w:rPr>
          <w:rFonts w:ascii="Times New Roman" w:hAnsi="Times New Roman" w:cs="Times New Roman"/>
          <w:color w:val="auto"/>
          <w:sz w:val="24"/>
        </w:rPr>
        <w:t xml:space="preserve"> i odrębnych w tym zakresie reguł prowadzenia zdalnego posiedzenia </w:t>
      </w:r>
      <w:proofErr w:type="spellStart"/>
      <w:r w:rsidRPr="00C835AB">
        <w:rPr>
          <w:rFonts w:ascii="Times New Roman" w:hAnsi="Times New Roman" w:cs="Times New Roman"/>
          <w:color w:val="auto"/>
          <w:sz w:val="24"/>
        </w:rPr>
        <w:t>aresztowego</w:t>
      </w:r>
      <w:proofErr w:type="spellEnd"/>
      <w:r w:rsidRPr="00C835AB">
        <w:rPr>
          <w:rFonts w:ascii="Times New Roman" w:hAnsi="Times New Roman" w:cs="Times New Roman"/>
          <w:color w:val="auto"/>
          <w:sz w:val="24"/>
        </w:rPr>
        <w:t xml:space="preserve"> nie ma swojego uzasadnienia.</w:t>
      </w:r>
    </w:p>
    <w:p w14:paraId="5E3F408D" w14:textId="383025DC" w:rsidR="00BD49F2" w:rsidRPr="00C835AB" w:rsidRDefault="00BD49F2" w:rsidP="00603A64">
      <w:pPr>
        <w:pStyle w:val="Akapitzlist"/>
        <w:ind w:left="0" w:firstLine="720"/>
        <w:rPr>
          <w:rFonts w:ascii="Times New Roman" w:eastAsia="Cambria Math" w:hAnsi="Times New Roman" w:cs="Times New Roman"/>
          <w:color w:val="auto"/>
          <w:sz w:val="24"/>
          <w:lang w:eastAsia="pl-PL"/>
        </w:rPr>
      </w:pPr>
      <w:r w:rsidRPr="00C835AB">
        <w:rPr>
          <w:rFonts w:ascii="Times New Roman" w:eastAsia="Cambria Math" w:hAnsi="Times New Roman" w:cs="Times New Roman"/>
          <w:color w:val="auto"/>
          <w:sz w:val="24"/>
          <w:lang w:eastAsia="pl-PL"/>
        </w:rPr>
        <w:t>Należy podkreślić, że</w:t>
      </w:r>
      <w:r w:rsidR="007A1F44" w:rsidRPr="00C835AB">
        <w:rPr>
          <w:rFonts w:ascii="Times New Roman" w:eastAsia="Cambria Math" w:hAnsi="Times New Roman" w:cs="Times New Roman"/>
          <w:color w:val="auto"/>
          <w:sz w:val="24"/>
          <w:lang w:eastAsia="pl-PL"/>
        </w:rPr>
        <w:t xml:space="preserve"> uchylenie</w:t>
      </w:r>
      <w:r w:rsidRPr="00C835AB">
        <w:rPr>
          <w:rFonts w:ascii="Times New Roman" w:eastAsia="Cambria Math" w:hAnsi="Times New Roman" w:cs="Times New Roman"/>
          <w:color w:val="auto"/>
          <w:sz w:val="24"/>
          <w:lang w:eastAsia="pl-PL"/>
        </w:rPr>
        <w:t xml:space="preserve"> tych przepisów oznacza, ż</w:t>
      </w:r>
      <w:r w:rsidR="00134480" w:rsidRPr="00C835AB">
        <w:rPr>
          <w:rFonts w:ascii="Times New Roman" w:eastAsia="Cambria Math" w:hAnsi="Times New Roman" w:cs="Times New Roman"/>
          <w:color w:val="auto"/>
          <w:sz w:val="24"/>
          <w:lang w:eastAsia="pl-PL"/>
        </w:rPr>
        <w:t>e</w:t>
      </w:r>
      <w:r w:rsidRPr="00C835AB">
        <w:rPr>
          <w:rFonts w:ascii="Times New Roman" w:eastAsia="Cambria Math" w:hAnsi="Times New Roman" w:cs="Times New Roman"/>
          <w:color w:val="auto"/>
          <w:sz w:val="24"/>
          <w:lang w:eastAsia="pl-PL"/>
        </w:rPr>
        <w:t xml:space="preserve"> „posiedzenie </w:t>
      </w:r>
      <w:proofErr w:type="spellStart"/>
      <w:r w:rsidRPr="00C835AB">
        <w:rPr>
          <w:rFonts w:ascii="Times New Roman" w:eastAsia="Cambria Math" w:hAnsi="Times New Roman" w:cs="Times New Roman"/>
          <w:color w:val="auto"/>
          <w:sz w:val="24"/>
          <w:lang w:eastAsia="pl-PL"/>
        </w:rPr>
        <w:t>aresztowe</w:t>
      </w:r>
      <w:proofErr w:type="spellEnd"/>
      <w:r w:rsidRPr="00C835AB">
        <w:rPr>
          <w:rFonts w:ascii="Times New Roman" w:eastAsia="Cambria Math" w:hAnsi="Times New Roman" w:cs="Times New Roman"/>
          <w:color w:val="auto"/>
          <w:sz w:val="24"/>
          <w:lang w:eastAsia="pl-PL"/>
        </w:rPr>
        <w:t>”, o</w:t>
      </w:r>
      <w:r w:rsidR="00A76A6B" w:rsidRPr="00C835AB">
        <w:rPr>
          <w:rFonts w:ascii="Times New Roman" w:eastAsia="Cambria Math" w:hAnsi="Times New Roman" w:cs="Times New Roman"/>
          <w:color w:val="auto"/>
          <w:sz w:val="24"/>
          <w:lang w:eastAsia="pl-PL"/>
        </w:rPr>
        <w:t> </w:t>
      </w:r>
      <w:r w:rsidRPr="00C835AB">
        <w:rPr>
          <w:rFonts w:ascii="Times New Roman" w:eastAsia="Cambria Math" w:hAnsi="Times New Roman" w:cs="Times New Roman"/>
          <w:color w:val="auto"/>
          <w:sz w:val="24"/>
          <w:lang w:eastAsia="pl-PL"/>
        </w:rPr>
        <w:t>którym mowa w art. 250 k.p.k., nie wchodzi w zakres posiedzeń, o których mowa w art. 96a k.p.k. Ujmując rzecz inaczej, „odpowiednie stosowanie” przepisów a</w:t>
      </w:r>
      <w:r w:rsidRPr="00C835AB">
        <w:rPr>
          <w:rFonts w:ascii="Times New Roman" w:hAnsi="Times New Roman" w:cs="Times New Roman"/>
          <w:color w:val="auto"/>
          <w:sz w:val="24"/>
        </w:rPr>
        <w:t>rt. 374 § 3</w:t>
      </w:r>
      <w:r w:rsidR="00796D23">
        <w:rPr>
          <w:rFonts w:ascii="Times New Roman" w:hAnsi="Times New Roman" w:cs="Times New Roman"/>
          <w:color w:val="auto"/>
          <w:sz w:val="24"/>
        </w:rPr>
        <w:t>–</w:t>
      </w:r>
      <w:r w:rsidRPr="00C835AB">
        <w:rPr>
          <w:rFonts w:ascii="Times New Roman" w:hAnsi="Times New Roman" w:cs="Times New Roman"/>
          <w:color w:val="auto"/>
          <w:sz w:val="24"/>
        </w:rPr>
        <w:t>8 k.p.k. i</w:t>
      </w:r>
      <w:r w:rsidR="00B61B0E">
        <w:rPr>
          <w:rFonts w:ascii="Times New Roman" w:hAnsi="Times New Roman" w:cs="Times New Roman"/>
          <w:color w:val="auto"/>
          <w:sz w:val="24"/>
        </w:rPr>
        <w:t> </w:t>
      </w:r>
      <w:r w:rsidRPr="00C835AB">
        <w:rPr>
          <w:rFonts w:ascii="Times New Roman" w:hAnsi="Times New Roman" w:cs="Times New Roman"/>
          <w:color w:val="auto"/>
          <w:sz w:val="24"/>
        </w:rPr>
        <w:t>art.</w:t>
      </w:r>
      <w:r w:rsidR="00B61B0E">
        <w:rPr>
          <w:rFonts w:ascii="Times New Roman" w:hAnsi="Times New Roman" w:cs="Times New Roman"/>
          <w:color w:val="auto"/>
          <w:sz w:val="24"/>
        </w:rPr>
        <w:t> </w:t>
      </w:r>
      <w:r w:rsidRPr="00C835AB">
        <w:rPr>
          <w:rFonts w:ascii="Times New Roman" w:hAnsi="Times New Roman" w:cs="Times New Roman"/>
          <w:color w:val="auto"/>
          <w:sz w:val="24"/>
        </w:rPr>
        <w:t>517ea</w:t>
      </w:r>
      <w:r w:rsidRPr="00C835AB">
        <w:rPr>
          <w:rFonts w:ascii="Times New Roman" w:eastAsia="Cambria Math" w:hAnsi="Times New Roman" w:cs="Times New Roman"/>
          <w:color w:val="auto"/>
          <w:sz w:val="24"/>
          <w:lang w:eastAsia="pl-PL"/>
        </w:rPr>
        <w:t xml:space="preserve"> k.p.k. do posiedzeń w myśl art. 96a k.p.k. w przypadku „posiedzenia w przedmiocie zastosowania tymczasowego aresztowania” oznacza ich niestosowanie.</w:t>
      </w:r>
    </w:p>
    <w:p w14:paraId="47189027" w14:textId="2A29416A" w:rsidR="00BD49F2" w:rsidRPr="00C835AB" w:rsidRDefault="00BD49F2"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Konsekwencją uchylenia art. 250 § 3b</w:t>
      </w:r>
      <w:r w:rsidR="00796D23">
        <w:rPr>
          <w:rFonts w:ascii="Times New Roman" w:hAnsi="Times New Roman" w:cs="Times New Roman"/>
          <w:color w:val="auto"/>
          <w:sz w:val="24"/>
        </w:rPr>
        <w:t>–</w:t>
      </w:r>
      <w:r w:rsidRPr="00C835AB">
        <w:rPr>
          <w:rFonts w:ascii="Times New Roman" w:hAnsi="Times New Roman" w:cs="Times New Roman"/>
          <w:color w:val="auto"/>
          <w:sz w:val="24"/>
        </w:rPr>
        <w:t>3h k.p.k. jest zmiana treści art. 248 § 2</w:t>
      </w:r>
      <w:r w:rsidR="001D3346"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 xml:space="preserve">k.p.k., która sprowadza się do rezygnacji z zawartej w niej wyjątkowej możliwości poprzestania </w:t>
      </w:r>
      <w:r w:rsidRPr="00C835AB">
        <w:rPr>
          <w:rFonts w:ascii="Times New Roman" w:hAnsi="Times New Roman" w:cs="Times New Roman"/>
          <w:color w:val="auto"/>
          <w:sz w:val="24"/>
        </w:rPr>
        <w:lastRenderedPageBreak/>
        <w:t>na</w:t>
      </w:r>
      <w:r w:rsidR="00B61B0E">
        <w:rPr>
          <w:rFonts w:ascii="Times New Roman" w:hAnsi="Times New Roman" w:cs="Times New Roman"/>
          <w:color w:val="auto"/>
          <w:sz w:val="24"/>
        </w:rPr>
        <w:t> </w:t>
      </w:r>
      <w:r w:rsidRPr="00C835AB">
        <w:rPr>
          <w:rFonts w:ascii="Times New Roman" w:hAnsi="Times New Roman" w:cs="Times New Roman"/>
          <w:color w:val="auto"/>
          <w:sz w:val="24"/>
        </w:rPr>
        <w:t>ogłoszeniu postanowienia o tymczasowym aresztowaniu zatrzymanemu wówczas, gdy</w:t>
      </w:r>
      <w:r w:rsidR="00B61B0E">
        <w:rPr>
          <w:rFonts w:ascii="Times New Roman" w:hAnsi="Times New Roman" w:cs="Times New Roman"/>
          <w:color w:val="auto"/>
          <w:sz w:val="24"/>
        </w:rPr>
        <w:t> </w:t>
      </w:r>
      <w:r w:rsidRPr="00C835AB">
        <w:rPr>
          <w:rFonts w:ascii="Times New Roman" w:hAnsi="Times New Roman" w:cs="Times New Roman"/>
          <w:color w:val="auto"/>
          <w:sz w:val="24"/>
        </w:rPr>
        <w:t>postanowienie to zapadło na posiedzeniu prowadzonym w trybie zdalnym. Samo ogłoszenie postanowienia w tej sytuacji nie realizuje standardu wynikającego z art. 41 ust. 3 Konstytucji RP. Warunek braku możliwości odbioru postanowienia przez zatrzymanego zawarty w</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dotychczasowym brzmieniu przepisu określony jest nadto bardzo szeroko. Na</w:t>
      </w:r>
      <w:r w:rsidR="00DA6B6A">
        <w:rPr>
          <w:rFonts w:ascii="Times New Roman" w:hAnsi="Times New Roman" w:cs="Times New Roman"/>
          <w:color w:val="auto"/>
          <w:sz w:val="24"/>
        </w:rPr>
        <w:t> </w:t>
      </w:r>
      <w:r w:rsidRPr="00C835AB">
        <w:rPr>
          <w:rFonts w:ascii="Times New Roman" w:hAnsi="Times New Roman" w:cs="Times New Roman"/>
          <w:color w:val="auto"/>
          <w:sz w:val="24"/>
        </w:rPr>
        <w:t>marginesie już tylko można dodać, że współczesne możliwości techniczne pozwalają na</w:t>
      </w:r>
      <w:r w:rsidR="00DA6B6A">
        <w:rPr>
          <w:rFonts w:ascii="Times New Roman" w:hAnsi="Times New Roman" w:cs="Times New Roman"/>
          <w:color w:val="auto"/>
          <w:sz w:val="24"/>
        </w:rPr>
        <w:t> </w:t>
      </w:r>
      <w:r w:rsidRPr="00C835AB">
        <w:rPr>
          <w:rFonts w:ascii="Times New Roman" w:hAnsi="Times New Roman" w:cs="Times New Roman"/>
          <w:color w:val="auto"/>
          <w:sz w:val="24"/>
        </w:rPr>
        <w:t>realizację wymogu konstytucyjnego z art. 41 ust. 3 w pełnym zakresie. Odwołanie w zdaniu drugim art. 248 § 2 k.p.k. do odpowiedniego stosowania art. 136 § 1 k.p.k. uznać należy po</w:t>
      </w:r>
      <w:r w:rsidR="00DA6B6A">
        <w:rPr>
          <w:rFonts w:ascii="Times New Roman" w:hAnsi="Times New Roman" w:cs="Times New Roman"/>
          <w:color w:val="auto"/>
          <w:sz w:val="24"/>
        </w:rPr>
        <w:t> </w:t>
      </w:r>
      <w:r w:rsidRPr="00C835AB">
        <w:rPr>
          <w:rFonts w:ascii="Times New Roman" w:hAnsi="Times New Roman" w:cs="Times New Roman"/>
          <w:color w:val="auto"/>
          <w:sz w:val="24"/>
        </w:rPr>
        <w:t>zmianie treści przepisu za zbędne. W przypadku odmowy przyjęcia postanowienia przepis art. 136 k.p.k. znajdzie zastosowanie wprost.</w:t>
      </w:r>
    </w:p>
    <w:p w14:paraId="707AD802" w14:textId="71F37A3C" w:rsidR="00C572CA" w:rsidRPr="00C835AB" w:rsidRDefault="00C572CA" w:rsidP="00D823D0">
      <w:pPr>
        <w:rPr>
          <w:rFonts w:ascii="Times New Roman" w:hAnsi="Times New Roman" w:cs="Times New Roman"/>
          <w:b/>
          <w:bCs/>
          <w:color w:val="auto"/>
          <w:sz w:val="24"/>
        </w:rPr>
      </w:pPr>
    </w:p>
    <w:p w14:paraId="33BDA8AF" w14:textId="6A0D29A3" w:rsidR="00C572CA" w:rsidRPr="00C835AB" w:rsidRDefault="00C572CA" w:rsidP="00D823D0">
      <w:pPr>
        <w:ind w:firstLine="720"/>
        <w:rPr>
          <w:rFonts w:ascii="Times New Roman" w:hAnsi="Times New Roman" w:cs="Times New Roman"/>
          <w:b/>
          <w:bCs/>
          <w:color w:val="auto"/>
          <w:sz w:val="24"/>
        </w:rPr>
      </w:pPr>
      <w:r w:rsidRPr="00C835AB">
        <w:rPr>
          <w:rFonts w:ascii="Times New Roman" w:hAnsi="Times New Roman" w:cs="Times New Roman"/>
          <w:b/>
          <w:bCs/>
          <w:color w:val="auto"/>
          <w:sz w:val="24"/>
        </w:rPr>
        <w:t>Art. 257</w:t>
      </w:r>
      <w:r w:rsidR="001D3346" w:rsidRPr="00C835AB">
        <w:rPr>
          <w:rFonts w:ascii="Times New Roman" w:hAnsi="Times New Roman" w:cs="Times New Roman"/>
          <w:b/>
          <w:bCs/>
          <w:color w:val="auto"/>
          <w:sz w:val="24"/>
        </w:rPr>
        <w:t xml:space="preserve"> § 2 i § 3 k.p.k</w:t>
      </w:r>
      <w:r w:rsidR="008E4D09">
        <w:rPr>
          <w:rFonts w:ascii="Times New Roman" w:hAnsi="Times New Roman" w:cs="Times New Roman"/>
          <w:b/>
          <w:bCs/>
          <w:color w:val="auto"/>
          <w:sz w:val="24"/>
        </w:rPr>
        <w:t>.</w:t>
      </w:r>
      <w:r w:rsidR="00FB14E6" w:rsidRPr="00C835AB">
        <w:rPr>
          <w:rFonts w:ascii="Times New Roman" w:hAnsi="Times New Roman" w:cs="Times New Roman"/>
          <w:b/>
          <w:bCs/>
          <w:color w:val="auto"/>
          <w:sz w:val="24"/>
        </w:rPr>
        <w:t xml:space="preserve"> oraz art. 426 § 2 k.p.k.</w:t>
      </w:r>
    </w:p>
    <w:p w14:paraId="0DFD00E4" w14:textId="53FA286E" w:rsidR="00C572CA" w:rsidRPr="00C835AB" w:rsidRDefault="00C572CA"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Zaproponowana treść </w:t>
      </w:r>
      <w:r w:rsidR="001D3346" w:rsidRPr="00C835AB">
        <w:rPr>
          <w:rFonts w:ascii="Times New Roman" w:hAnsi="Times New Roman" w:cs="Times New Roman"/>
          <w:color w:val="auto"/>
          <w:sz w:val="24"/>
        </w:rPr>
        <w:t xml:space="preserve">art. 257 </w:t>
      </w:r>
      <w:r w:rsidRPr="00C835AB">
        <w:rPr>
          <w:rFonts w:ascii="Times New Roman" w:hAnsi="Times New Roman" w:cs="Times New Roman"/>
          <w:color w:val="auto"/>
          <w:sz w:val="24"/>
        </w:rPr>
        <w:t>§ 2</w:t>
      </w:r>
      <w:r w:rsidR="001D3346" w:rsidRPr="00C835AB">
        <w:rPr>
          <w:rFonts w:ascii="Times New Roman" w:hAnsi="Times New Roman" w:cs="Times New Roman"/>
          <w:color w:val="auto"/>
          <w:sz w:val="24"/>
        </w:rPr>
        <w:t xml:space="preserve"> k.p.k. l</w:t>
      </w:r>
      <w:r w:rsidRPr="00C835AB">
        <w:rPr>
          <w:rFonts w:ascii="Times New Roman" w:hAnsi="Times New Roman" w:cs="Times New Roman"/>
          <w:color w:val="auto"/>
          <w:sz w:val="24"/>
        </w:rPr>
        <w:t>imitowana jest standardem wyznaczonym przez art. 41 Konstytucji RP oraz art. 5 ust</w:t>
      </w:r>
      <w:r w:rsidR="00796D23">
        <w:rPr>
          <w:rFonts w:ascii="Times New Roman" w:hAnsi="Times New Roman" w:cs="Times New Roman"/>
          <w:color w:val="auto"/>
          <w:sz w:val="24"/>
        </w:rPr>
        <w:t>.</w:t>
      </w:r>
      <w:r w:rsidRPr="00C835AB">
        <w:rPr>
          <w:rFonts w:ascii="Times New Roman" w:hAnsi="Times New Roman" w:cs="Times New Roman"/>
          <w:color w:val="auto"/>
          <w:sz w:val="24"/>
        </w:rPr>
        <w:t xml:space="preserve"> 1 </w:t>
      </w:r>
      <w:proofErr w:type="spellStart"/>
      <w:r w:rsidRPr="00C835AB">
        <w:rPr>
          <w:rFonts w:ascii="Times New Roman" w:hAnsi="Times New Roman" w:cs="Times New Roman"/>
          <w:color w:val="auto"/>
          <w:sz w:val="24"/>
        </w:rPr>
        <w:t>EKPC</w:t>
      </w:r>
      <w:r w:rsidR="00143362" w:rsidRPr="00C835AB">
        <w:rPr>
          <w:rFonts w:ascii="Times New Roman" w:hAnsi="Times New Roman" w:cs="Times New Roman"/>
          <w:color w:val="auto"/>
          <w:sz w:val="24"/>
        </w:rPr>
        <w:t>z</w:t>
      </w:r>
      <w:proofErr w:type="spellEnd"/>
      <w:r w:rsidRPr="00C835AB">
        <w:rPr>
          <w:rFonts w:ascii="Times New Roman" w:hAnsi="Times New Roman" w:cs="Times New Roman"/>
          <w:color w:val="auto"/>
          <w:sz w:val="24"/>
        </w:rPr>
        <w:t>, zgodnie z którymi każdemu zapewnia się</w:t>
      </w:r>
      <w:r w:rsidR="00DA6B6A">
        <w:rPr>
          <w:rFonts w:ascii="Times New Roman" w:hAnsi="Times New Roman" w:cs="Times New Roman"/>
          <w:color w:val="auto"/>
          <w:sz w:val="24"/>
        </w:rPr>
        <w:t> </w:t>
      </w:r>
      <w:r w:rsidRPr="00C835AB">
        <w:rPr>
          <w:rFonts w:ascii="Times New Roman" w:hAnsi="Times New Roman" w:cs="Times New Roman"/>
          <w:color w:val="auto"/>
          <w:sz w:val="24"/>
        </w:rPr>
        <w:t>nietykalność osobistą i wolność, a pozbawienie lub ograniczenie wolności może nastąpić tylko na podstawie i w trybie określonym przez ustawę. Zgodnie z dyrektywą minimalizacji tymczasowego aresztowania i jego ostateczności jako środka zapobiegawczego, przepisy wymagają</w:t>
      </w:r>
      <w:r w:rsidR="00C3415D"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aby sąd badał</w:t>
      </w:r>
      <w:r w:rsidR="00C3415D"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czy dla zabezpieczenia prawidłowości toczącego się postępowania niezbędne jest stosowanie tymczasowego aresztowania czy wystarczający jest inny środek o</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 xml:space="preserve">charakterze </w:t>
      </w:r>
      <w:proofErr w:type="spellStart"/>
      <w:r w:rsidRPr="00C835AB">
        <w:rPr>
          <w:rFonts w:ascii="Times New Roman" w:hAnsi="Times New Roman" w:cs="Times New Roman"/>
          <w:color w:val="auto"/>
          <w:sz w:val="24"/>
        </w:rPr>
        <w:t>nieizolacyjnym</w:t>
      </w:r>
      <w:proofErr w:type="spellEnd"/>
      <w:r w:rsidRPr="00C835AB">
        <w:rPr>
          <w:rFonts w:ascii="Times New Roman" w:hAnsi="Times New Roman" w:cs="Times New Roman"/>
          <w:color w:val="auto"/>
          <w:sz w:val="24"/>
        </w:rPr>
        <w:t>. Omawiany p</w:t>
      </w:r>
      <w:r w:rsidR="001D3346" w:rsidRPr="00C835AB">
        <w:rPr>
          <w:rFonts w:ascii="Times New Roman" w:hAnsi="Times New Roman" w:cs="Times New Roman"/>
          <w:color w:val="auto"/>
          <w:sz w:val="24"/>
        </w:rPr>
        <w:t>rzepis</w:t>
      </w:r>
      <w:r w:rsidRPr="00C835AB">
        <w:rPr>
          <w:rFonts w:ascii="Times New Roman" w:hAnsi="Times New Roman" w:cs="Times New Roman"/>
          <w:color w:val="auto"/>
          <w:sz w:val="24"/>
        </w:rPr>
        <w:t xml:space="preserve"> ma wymiar praktyczny. Przewidywał termin do przyjęcia poręczenia majątkowego i możliwość jego przedłużenia. Propozycja nowego brzmienia zakłada rezygnacj</w:t>
      </w:r>
      <w:r w:rsidR="00C3415D" w:rsidRPr="00C835AB">
        <w:rPr>
          <w:rFonts w:ascii="Times New Roman" w:hAnsi="Times New Roman" w:cs="Times New Roman"/>
          <w:color w:val="auto"/>
          <w:sz w:val="24"/>
        </w:rPr>
        <w:t>ę</w:t>
      </w:r>
      <w:r w:rsidRPr="00C835AB">
        <w:rPr>
          <w:rFonts w:ascii="Times New Roman" w:hAnsi="Times New Roman" w:cs="Times New Roman"/>
          <w:color w:val="auto"/>
          <w:sz w:val="24"/>
        </w:rPr>
        <w:t xml:space="preserve"> z wyznaczenia terminu na złożenie poręczenia majątkowe</w:t>
      </w:r>
      <w:r w:rsidR="00C3415D" w:rsidRPr="00C835AB">
        <w:rPr>
          <w:rFonts w:ascii="Times New Roman" w:hAnsi="Times New Roman" w:cs="Times New Roman"/>
          <w:color w:val="auto"/>
          <w:sz w:val="24"/>
        </w:rPr>
        <w:t>go</w:t>
      </w:r>
      <w:r w:rsidRPr="00C835AB">
        <w:rPr>
          <w:rFonts w:ascii="Times New Roman" w:hAnsi="Times New Roman" w:cs="Times New Roman"/>
          <w:color w:val="auto"/>
          <w:sz w:val="24"/>
        </w:rPr>
        <w:t>, co</w:t>
      </w:r>
      <w:r w:rsidR="00DA6B6A">
        <w:rPr>
          <w:rFonts w:ascii="Times New Roman" w:hAnsi="Times New Roman" w:cs="Times New Roman"/>
          <w:color w:val="auto"/>
          <w:sz w:val="24"/>
        </w:rPr>
        <w:t> </w:t>
      </w:r>
      <w:r w:rsidRPr="00C835AB">
        <w:rPr>
          <w:rFonts w:ascii="Times New Roman" w:hAnsi="Times New Roman" w:cs="Times New Roman"/>
          <w:color w:val="auto"/>
          <w:sz w:val="24"/>
        </w:rPr>
        <w:t>w praktyce nie oznacza</w:t>
      </w:r>
      <w:r w:rsidR="00C3415D"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że sąd orzekający nie określi takiego terminu. Aktualne pozostaje także, że samo wydanie postanowienia o zastosowaniu poręczenia majątkowe</w:t>
      </w:r>
      <w:r w:rsidR="00016111" w:rsidRPr="00C835AB">
        <w:rPr>
          <w:rFonts w:ascii="Times New Roman" w:hAnsi="Times New Roman" w:cs="Times New Roman"/>
          <w:color w:val="auto"/>
          <w:sz w:val="24"/>
        </w:rPr>
        <w:t>go</w:t>
      </w:r>
      <w:r w:rsidRPr="00C835AB">
        <w:rPr>
          <w:rFonts w:ascii="Times New Roman" w:hAnsi="Times New Roman" w:cs="Times New Roman"/>
          <w:color w:val="auto"/>
          <w:sz w:val="24"/>
        </w:rPr>
        <w:t xml:space="preserve"> nie</w:t>
      </w:r>
      <w:r w:rsidR="00DA6B6A">
        <w:rPr>
          <w:rFonts w:ascii="Times New Roman" w:hAnsi="Times New Roman" w:cs="Times New Roman"/>
          <w:color w:val="auto"/>
          <w:sz w:val="24"/>
        </w:rPr>
        <w:t> </w:t>
      </w:r>
      <w:r w:rsidRPr="00C835AB">
        <w:rPr>
          <w:rFonts w:ascii="Times New Roman" w:hAnsi="Times New Roman" w:cs="Times New Roman"/>
          <w:color w:val="auto"/>
          <w:sz w:val="24"/>
        </w:rPr>
        <w:t>doprowadzi do uchylenia tymczasowego aresztowania, lecz wymaga złożenia jego przedmiotu. Wcześniejsze uchylenie stosowania tymczasowego aresztowania stwarzałoby ryzyko</w:t>
      </w:r>
      <w:r w:rsidR="00C3415D"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że poręcz</w:t>
      </w:r>
      <w:r w:rsidR="00016111" w:rsidRPr="00C835AB">
        <w:rPr>
          <w:rFonts w:ascii="Times New Roman" w:hAnsi="Times New Roman" w:cs="Times New Roman"/>
          <w:color w:val="auto"/>
          <w:sz w:val="24"/>
        </w:rPr>
        <w:t>e</w:t>
      </w:r>
      <w:r w:rsidRPr="00C835AB">
        <w:rPr>
          <w:rFonts w:ascii="Times New Roman" w:hAnsi="Times New Roman" w:cs="Times New Roman"/>
          <w:color w:val="auto"/>
          <w:sz w:val="24"/>
        </w:rPr>
        <w:t>nie nie zostanie złożone. Instytucja warunkowego tymczasowego aresztowania, nawet bez konieczności oznaczania terminu złożenia określonego poręczenia majątkowego</w:t>
      </w:r>
      <w:r w:rsidR="00976758"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będzie realizował</w:t>
      </w:r>
      <w:r w:rsidR="00976758" w:rsidRPr="00C835AB">
        <w:rPr>
          <w:rFonts w:ascii="Times New Roman" w:hAnsi="Times New Roman" w:cs="Times New Roman"/>
          <w:color w:val="auto"/>
          <w:sz w:val="24"/>
        </w:rPr>
        <w:t>a</w:t>
      </w:r>
      <w:r w:rsidRPr="00C835AB">
        <w:rPr>
          <w:rFonts w:ascii="Times New Roman" w:hAnsi="Times New Roman" w:cs="Times New Roman"/>
          <w:color w:val="auto"/>
          <w:sz w:val="24"/>
        </w:rPr>
        <w:t xml:space="preserve"> swoją funkcję. Wydaje się</w:t>
      </w:r>
      <w:r w:rsidR="00976758"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że ta postać poręczenia majątkowe</w:t>
      </w:r>
      <w:r w:rsidR="00016111" w:rsidRPr="00C835AB">
        <w:rPr>
          <w:rFonts w:ascii="Times New Roman" w:hAnsi="Times New Roman" w:cs="Times New Roman"/>
          <w:color w:val="auto"/>
          <w:sz w:val="24"/>
        </w:rPr>
        <w:t>go</w:t>
      </w:r>
      <w:r w:rsidRPr="00C835AB">
        <w:rPr>
          <w:rFonts w:ascii="Times New Roman" w:hAnsi="Times New Roman" w:cs="Times New Roman"/>
          <w:color w:val="auto"/>
          <w:sz w:val="24"/>
        </w:rPr>
        <w:t xml:space="preserve"> nabiera w coraz większym stopniu charakteru kaucyjnego, także wobec </w:t>
      </w:r>
      <w:r w:rsidR="00134480" w:rsidRPr="00C835AB">
        <w:rPr>
          <w:rFonts w:ascii="Times New Roman" w:hAnsi="Times New Roman" w:cs="Times New Roman"/>
          <w:color w:val="auto"/>
          <w:sz w:val="24"/>
        </w:rPr>
        <w:t xml:space="preserve">projektowanego </w:t>
      </w:r>
      <w:r w:rsidRPr="00C835AB">
        <w:rPr>
          <w:rFonts w:ascii="Times New Roman" w:hAnsi="Times New Roman" w:cs="Times New Roman"/>
          <w:color w:val="auto"/>
          <w:sz w:val="24"/>
        </w:rPr>
        <w:t xml:space="preserve">uchylenia </w:t>
      </w:r>
      <w:r w:rsidR="00134480" w:rsidRPr="00C835AB">
        <w:rPr>
          <w:rFonts w:ascii="Times New Roman" w:hAnsi="Times New Roman" w:cs="Times New Roman"/>
          <w:color w:val="auto"/>
          <w:sz w:val="24"/>
        </w:rPr>
        <w:t xml:space="preserve">art. 257 </w:t>
      </w:r>
      <w:r w:rsidRPr="00C835AB">
        <w:rPr>
          <w:rFonts w:ascii="Times New Roman" w:hAnsi="Times New Roman" w:cs="Times New Roman"/>
          <w:color w:val="auto"/>
          <w:sz w:val="24"/>
        </w:rPr>
        <w:t xml:space="preserve">§ 3 </w:t>
      </w:r>
      <w:r w:rsidR="00134480" w:rsidRPr="00C835AB">
        <w:rPr>
          <w:rFonts w:ascii="Times New Roman" w:hAnsi="Times New Roman" w:cs="Times New Roman"/>
          <w:color w:val="auto"/>
          <w:sz w:val="24"/>
        </w:rPr>
        <w:t>k.p.k.</w:t>
      </w:r>
    </w:p>
    <w:p w14:paraId="3E17F0F6" w14:textId="56D2D525" w:rsidR="00C572CA" w:rsidRPr="00C835AB" w:rsidRDefault="00754680"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Proponowane u</w:t>
      </w:r>
      <w:r w:rsidR="00C572CA" w:rsidRPr="00C835AB">
        <w:rPr>
          <w:rFonts w:ascii="Times New Roman" w:hAnsi="Times New Roman" w:cs="Times New Roman"/>
          <w:color w:val="auto"/>
          <w:sz w:val="24"/>
        </w:rPr>
        <w:t xml:space="preserve">chylenie art. 257 </w:t>
      </w:r>
      <w:r w:rsidR="00143362" w:rsidRPr="00C835AB">
        <w:rPr>
          <w:rFonts w:ascii="Times New Roman" w:hAnsi="Times New Roman" w:cs="Times New Roman"/>
          <w:color w:val="auto"/>
          <w:sz w:val="24"/>
        </w:rPr>
        <w:t>§ 3 k.p.k.</w:t>
      </w:r>
      <w:r w:rsidR="00C01F6C" w:rsidRPr="00C835AB">
        <w:rPr>
          <w:rFonts w:ascii="Times New Roman" w:hAnsi="Times New Roman" w:cs="Times New Roman"/>
          <w:color w:val="auto"/>
          <w:sz w:val="24"/>
        </w:rPr>
        <w:t>,</w:t>
      </w:r>
      <w:r w:rsidR="00143362" w:rsidRPr="00C835AB">
        <w:rPr>
          <w:rFonts w:ascii="Times New Roman" w:hAnsi="Times New Roman" w:cs="Times New Roman"/>
          <w:color w:val="auto"/>
          <w:sz w:val="24"/>
        </w:rPr>
        <w:t xml:space="preserve"> </w:t>
      </w:r>
      <w:r w:rsidR="00C572CA" w:rsidRPr="00C835AB">
        <w:rPr>
          <w:rFonts w:ascii="Times New Roman" w:hAnsi="Times New Roman" w:cs="Times New Roman"/>
          <w:color w:val="auto"/>
          <w:sz w:val="24"/>
        </w:rPr>
        <w:t xml:space="preserve">wprowadzonego do ustawy karnoprocesowej </w:t>
      </w:r>
      <w:r w:rsidR="00784317" w:rsidRPr="00C835AB">
        <w:rPr>
          <w:rFonts w:ascii="Times New Roman" w:hAnsi="Times New Roman" w:cs="Times New Roman"/>
          <w:color w:val="auto"/>
          <w:sz w:val="24"/>
        </w:rPr>
        <w:t>na mocy ustawy</w:t>
      </w:r>
      <w:r w:rsidR="00C572CA" w:rsidRPr="00C835AB">
        <w:rPr>
          <w:rFonts w:ascii="Times New Roman" w:hAnsi="Times New Roman" w:cs="Times New Roman"/>
          <w:color w:val="auto"/>
          <w:sz w:val="24"/>
        </w:rPr>
        <w:t xml:space="preserve"> z </w:t>
      </w:r>
      <w:r w:rsidR="00CF61BA" w:rsidRPr="00C835AB">
        <w:rPr>
          <w:rFonts w:ascii="Times New Roman" w:hAnsi="Times New Roman" w:cs="Times New Roman"/>
          <w:color w:val="auto"/>
          <w:sz w:val="24"/>
        </w:rPr>
        <w:t xml:space="preserve">dnia </w:t>
      </w:r>
      <w:r w:rsidR="00C572CA" w:rsidRPr="00C835AB">
        <w:rPr>
          <w:rFonts w:ascii="Times New Roman" w:hAnsi="Times New Roman" w:cs="Times New Roman"/>
          <w:color w:val="auto"/>
          <w:sz w:val="24"/>
        </w:rPr>
        <w:t>19 lipca 2019 r.</w:t>
      </w:r>
      <w:r w:rsidR="00C01F6C" w:rsidRPr="00C835AB">
        <w:rPr>
          <w:rFonts w:ascii="Times New Roman" w:hAnsi="Times New Roman" w:cs="Times New Roman"/>
          <w:color w:val="auto"/>
          <w:sz w:val="24"/>
        </w:rPr>
        <w:t>,</w:t>
      </w:r>
      <w:r w:rsidR="00C572CA" w:rsidRPr="00C835AB">
        <w:rPr>
          <w:rFonts w:ascii="Times New Roman" w:hAnsi="Times New Roman" w:cs="Times New Roman"/>
          <w:color w:val="auto"/>
          <w:sz w:val="24"/>
        </w:rPr>
        <w:t xml:space="preserve"> stanowi powrót do wyłącznie sądowej kompetencji orzekania w przedmiecie stosowania lub przedłużania stosowania tymczasowego aresztowania. </w:t>
      </w:r>
      <w:r w:rsidR="00C572CA" w:rsidRPr="00C835AB">
        <w:rPr>
          <w:rFonts w:ascii="Times New Roman" w:hAnsi="Times New Roman" w:cs="Times New Roman"/>
          <w:color w:val="auto"/>
          <w:sz w:val="24"/>
        </w:rPr>
        <w:lastRenderedPageBreak/>
        <w:t>Zmieniony przepis zakładał</w:t>
      </w:r>
      <w:r w:rsidR="00C01F6C" w:rsidRPr="00C835AB">
        <w:rPr>
          <w:rFonts w:ascii="Times New Roman" w:hAnsi="Times New Roman" w:cs="Times New Roman"/>
          <w:color w:val="auto"/>
          <w:sz w:val="24"/>
        </w:rPr>
        <w:t>,</w:t>
      </w:r>
      <w:r w:rsidR="00C572CA" w:rsidRPr="00C835AB">
        <w:rPr>
          <w:rFonts w:ascii="Times New Roman" w:hAnsi="Times New Roman" w:cs="Times New Roman"/>
          <w:color w:val="auto"/>
          <w:sz w:val="24"/>
        </w:rPr>
        <w:t xml:space="preserve"> że obecny na posiedzeniu prokurator może sprzeciwić się zmianie środka izolacyjnego na poręcz</w:t>
      </w:r>
      <w:r w:rsidR="00016111" w:rsidRPr="00C835AB">
        <w:rPr>
          <w:rFonts w:ascii="Times New Roman" w:hAnsi="Times New Roman" w:cs="Times New Roman"/>
          <w:color w:val="auto"/>
          <w:sz w:val="24"/>
        </w:rPr>
        <w:t>e</w:t>
      </w:r>
      <w:r w:rsidR="00C572CA" w:rsidRPr="00C835AB">
        <w:rPr>
          <w:rFonts w:ascii="Times New Roman" w:hAnsi="Times New Roman" w:cs="Times New Roman"/>
          <w:color w:val="auto"/>
          <w:sz w:val="24"/>
        </w:rPr>
        <w:t>nie majątkowe, co oznaczało „wstrzymanie” decyzji zarezerwowanej wyłącznie dla sądu i w opozycji do treści ustawy przewidującej z mocy prawa uchylenie stosowanego tymczasowego aresztowania z chwilą złożenia poręczenia majątkowego.</w:t>
      </w:r>
      <w:r w:rsidR="00662587" w:rsidRPr="00C835AB">
        <w:rPr>
          <w:rFonts w:ascii="Times New Roman" w:hAnsi="Times New Roman" w:cs="Times New Roman"/>
          <w:color w:val="auto"/>
          <w:sz w:val="24"/>
        </w:rPr>
        <w:t xml:space="preserve"> </w:t>
      </w:r>
      <w:r w:rsidR="00C572CA" w:rsidRPr="00C835AB">
        <w:rPr>
          <w:rFonts w:ascii="Times New Roman" w:hAnsi="Times New Roman" w:cs="Times New Roman"/>
          <w:color w:val="auto"/>
          <w:sz w:val="24"/>
        </w:rPr>
        <w:t xml:space="preserve">Oczekiwanie na rozstrzygnięcie sądu drugiej instancji oznaczało pozbawienie wolności podejrzanego lub oskarżonego przez bliżej nieokreślony czas i wbrew woli sądu. Tymczasem kwestia oceny rzetelności postępowania w rozumieniu art. 6 </w:t>
      </w:r>
      <w:proofErr w:type="spellStart"/>
      <w:r w:rsidR="00C572CA" w:rsidRPr="00C835AB">
        <w:rPr>
          <w:rFonts w:ascii="Times New Roman" w:hAnsi="Times New Roman" w:cs="Times New Roman"/>
          <w:color w:val="auto"/>
          <w:sz w:val="24"/>
        </w:rPr>
        <w:t>EKPC</w:t>
      </w:r>
      <w:r w:rsidR="00417D3A" w:rsidRPr="00C835AB">
        <w:rPr>
          <w:rFonts w:ascii="Times New Roman" w:hAnsi="Times New Roman" w:cs="Times New Roman"/>
          <w:color w:val="auto"/>
          <w:sz w:val="24"/>
        </w:rPr>
        <w:t>z</w:t>
      </w:r>
      <w:proofErr w:type="spellEnd"/>
      <w:r w:rsidR="00C572CA" w:rsidRPr="00C835AB">
        <w:rPr>
          <w:rFonts w:ascii="Times New Roman" w:hAnsi="Times New Roman" w:cs="Times New Roman"/>
          <w:color w:val="auto"/>
          <w:sz w:val="24"/>
        </w:rPr>
        <w:t xml:space="preserve"> oraz art. 45 Konstytucji RP dotyka także post</w:t>
      </w:r>
      <w:r w:rsidR="00E64142" w:rsidRPr="00C835AB">
        <w:rPr>
          <w:rFonts w:ascii="Times New Roman" w:hAnsi="Times New Roman" w:cs="Times New Roman"/>
          <w:color w:val="auto"/>
          <w:sz w:val="24"/>
        </w:rPr>
        <w:t>ę</w:t>
      </w:r>
      <w:r w:rsidR="00C572CA" w:rsidRPr="00C835AB">
        <w:rPr>
          <w:rFonts w:ascii="Times New Roman" w:hAnsi="Times New Roman" w:cs="Times New Roman"/>
          <w:color w:val="auto"/>
          <w:sz w:val="24"/>
        </w:rPr>
        <w:t>powań incydentalnych</w:t>
      </w:r>
      <w:r w:rsidR="00C01F6C" w:rsidRPr="00C835AB">
        <w:rPr>
          <w:rFonts w:ascii="Times New Roman" w:hAnsi="Times New Roman" w:cs="Times New Roman"/>
          <w:color w:val="auto"/>
          <w:sz w:val="24"/>
        </w:rPr>
        <w:t>,</w:t>
      </w:r>
      <w:r w:rsidR="00C572CA" w:rsidRPr="00C835AB">
        <w:rPr>
          <w:rFonts w:ascii="Times New Roman" w:hAnsi="Times New Roman" w:cs="Times New Roman"/>
          <w:color w:val="auto"/>
          <w:sz w:val="24"/>
        </w:rPr>
        <w:t xml:space="preserve"> takich jak stosowanie lub</w:t>
      </w:r>
      <w:r w:rsidR="00DA6B6A">
        <w:rPr>
          <w:rFonts w:ascii="Times New Roman" w:hAnsi="Times New Roman" w:cs="Times New Roman"/>
          <w:color w:val="auto"/>
          <w:sz w:val="24"/>
        </w:rPr>
        <w:t> </w:t>
      </w:r>
      <w:r w:rsidR="00C572CA" w:rsidRPr="00C835AB">
        <w:rPr>
          <w:rFonts w:ascii="Times New Roman" w:hAnsi="Times New Roman" w:cs="Times New Roman"/>
          <w:color w:val="auto"/>
          <w:sz w:val="24"/>
        </w:rPr>
        <w:t>przedłużanie tymczasowego aresztowania. Z tych powodów dalsze utrzymywanie przepisu</w:t>
      </w:r>
      <w:r w:rsidR="00C01F6C" w:rsidRPr="00C835AB">
        <w:rPr>
          <w:rFonts w:ascii="Times New Roman" w:hAnsi="Times New Roman" w:cs="Times New Roman"/>
          <w:color w:val="auto"/>
          <w:sz w:val="24"/>
        </w:rPr>
        <w:t>,</w:t>
      </w:r>
      <w:r w:rsidR="00C572CA" w:rsidRPr="00C835AB">
        <w:rPr>
          <w:rFonts w:ascii="Times New Roman" w:hAnsi="Times New Roman" w:cs="Times New Roman"/>
          <w:color w:val="auto"/>
          <w:sz w:val="24"/>
        </w:rPr>
        <w:t xml:space="preserve"> który uzależnienia wykonalność decyzji o zmianie stosowanego środka zapobiegawczego od</w:t>
      </w:r>
      <w:r w:rsidR="00DA6B6A">
        <w:rPr>
          <w:rFonts w:ascii="Times New Roman" w:hAnsi="Times New Roman" w:cs="Times New Roman"/>
          <w:color w:val="auto"/>
          <w:sz w:val="24"/>
        </w:rPr>
        <w:t> </w:t>
      </w:r>
      <w:r w:rsidR="00C572CA" w:rsidRPr="00C835AB">
        <w:rPr>
          <w:rFonts w:ascii="Times New Roman" w:hAnsi="Times New Roman" w:cs="Times New Roman"/>
          <w:color w:val="auto"/>
          <w:sz w:val="24"/>
        </w:rPr>
        <w:t>braku sprzeciwu prokuratora</w:t>
      </w:r>
      <w:r w:rsidR="00016111" w:rsidRPr="00C835AB">
        <w:rPr>
          <w:rFonts w:ascii="Times New Roman" w:hAnsi="Times New Roman" w:cs="Times New Roman"/>
          <w:color w:val="auto"/>
          <w:sz w:val="24"/>
        </w:rPr>
        <w:t>,</w:t>
      </w:r>
      <w:r w:rsidR="00C572CA" w:rsidRPr="00C835AB">
        <w:rPr>
          <w:rFonts w:ascii="Times New Roman" w:hAnsi="Times New Roman" w:cs="Times New Roman"/>
          <w:color w:val="auto"/>
          <w:sz w:val="24"/>
        </w:rPr>
        <w:t xml:space="preserve"> prowadzi do pogłębienia nierówności stron w procesie karnym i</w:t>
      </w:r>
      <w:r w:rsidR="00A76A6B" w:rsidRPr="00C835AB">
        <w:rPr>
          <w:rFonts w:ascii="Times New Roman" w:hAnsi="Times New Roman" w:cs="Times New Roman"/>
          <w:color w:val="auto"/>
          <w:sz w:val="24"/>
        </w:rPr>
        <w:t> </w:t>
      </w:r>
      <w:r w:rsidR="00C572CA" w:rsidRPr="00C835AB">
        <w:rPr>
          <w:rFonts w:ascii="Times New Roman" w:hAnsi="Times New Roman" w:cs="Times New Roman"/>
          <w:color w:val="auto"/>
          <w:sz w:val="24"/>
        </w:rPr>
        <w:t xml:space="preserve">zlikwidowania gwarancyjnej roli sądu. </w:t>
      </w:r>
    </w:p>
    <w:p w14:paraId="058956F6" w14:textId="432212D8" w:rsidR="00FB14E6" w:rsidRPr="00C835AB" w:rsidRDefault="00FB14E6" w:rsidP="00D823D0">
      <w:pPr>
        <w:ind w:firstLine="720"/>
        <w:rPr>
          <w:rFonts w:ascii="Times New Roman" w:hAnsi="Times New Roman" w:cs="Times New Roman"/>
          <w:color w:val="auto"/>
          <w:sz w:val="24"/>
        </w:rPr>
      </w:pPr>
      <w:r w:rsidRPr="00C835AB">
        <w:rPr>
          <w:rFonts w:ascii="Times New Roman" w:hAnsi="Times New Roman" w:cs="Times New Roman"/>
          <w:color w:val="auto"/>
          <w:sz w:val="24"/>
        </w:rPr>
        <w:t>Projektowana zmiana art. 426 § 2 k.p.k. ma charakter wynikowy wobec zmian art. 257 § 2 k.p.k. i uchylenia § 3 tego przepisu odnoszących się do zastrzeżenia przez sąd zmiany tymczasowego aresztowania na inny środek pod warunkiem złożenia poręczenia majątkowego i eliminacji sprzeciwu prokuratora zawieszającego aktualnie wykonalność postanowienia sądu do jego uprawomocnienia się. Oznacza więc w tym zakresie powrót do stanu prawnego sprzed dnia 1 października 2023 r.</w:t>
      </w:r>
    </w:p>
    <w:p w14:paraId="3783E7CE" w14:textId="77777777" w:rsidR="00C572CA" w:rsidRPr="00C835AB" w:rsidRDefault="00C572CA" w:rsidP="00D823D0">
      <w:pPr>
        <w:rPr>
          <w:rFonts w:ascii="Times New Roman" w:hAnsi="Times New Roman" w:cs="Times New Roman"/>
          <w:color w:val="auto"/>
          <w:sz w:val="24"/>
        </w:rPr>
      </w:pPr>
    </w:p>
    <w:p w14:paraId="7B49782C" w14:textId="78582147" w:rsidR="0037634E" w:rsidRPr="00C835AB" w:rsidRDefault="0037634E" w:rsidP="00D823D0">
      <w:pPr>
        <w:pStyle w:val="PKTpunkt"/>
        <w:keepNext/>
        <w:ind w:firstLine="0"/>
        <w:rPr>
          <w:rFonts w:ascii="Times New Roman" w:hAnsi="Times New Roman" w:cs="Times New Roman"/>
          <w:b/>
          <w:bCs w:val="0"/>
          <w:szCs w:val="24"/>
        </w:rPr>
      </w:pPr>
      <w:r w:rsidRPr="00C835AB">
        <w:rPr>
          <w:rFonts w:ascii="Times New Roman" w:hAnsi="Times New Roman" w:cs="Times New Roman"/>
          <w:b/>
          <w:bCs w:val="0"/>
          <w:szCs w:val="24"/>
        </w:rPr>
        <w:t>Art. 258 § 1 pkt 1</w:t>
      </w:r>
      <w:r w:rsidR="000C3479" w:rsidRPr="00C835AB">
        <w:rPr>
          <w:rFonts w:ascii="Times New Roman" w:hAnsi="Times New Roman" w:cs="Times New Roman"/>
          <w:b/>
          <w:bCs w:val="0"/>
          <w:szCs w:val="24"/>
        </w:rPr>
        <w:t xml:space="preserve"> k.p.k.</w:t>
      </w:r>
    </w:p>
    <w:p w14:paraId="4C9426D2" w14:textId="58AB1C80" w:rsidR="0037634E" w:rsidRPr="00C835AB" w:rsidRDefault="00754680" w:rsidP="00D823D0">
      <w:pPr>
        <w:pStyle w:val="ZUSTzmustartykuempunktem"/>
        <w:ind w:left="0"/>
        <w:rPr>
          <w:rFonts w:ascii="Times New Roman" w:hAnsi="Times New Roman" w:cs="Times New Roman"/>
          <w:szCs w:val="24"/>
        </w:rPr>
      </w:pPr>
      <w:r w:rsidRPr="00C835AB">
        <w:rPr>
          <w:rFonts w:ascii="Times New Roman" w:hAnsi="Times New Roman" w:cs="Times New Roman"/>
          <w:szCs w:val="24"/>
        </w:rPr>
        <w:t>B</w:t>
      </w:r>
      <w:r w:rsidR="677929DD" w:rsidRPr="00C835AB">
        <w:rPr>
          <w:rFonts w:ascii="Times New Roman" w:hAnsi="Times New Roman" w:cs="Times New Roman"/>
          <w:szCs w:val="24"/>
        </w:rPr>
        <w:t xml:space="preserve">rzmienie </w:t>
      </w:r>
      <w:r w:rsidRPr="00C835AB">
        <w:rPr>
          <w:rFonts w:ascii="Times New Roman" w:hAnsi="Times New Roman" w:cs="Times New Roman"/>
          <w:szCs w:val="24"/>
        </w:rPr>
        <w:t xml:space="preserve">art. 258 § 1 pkt 1 k.p.k. </w:t>
      </w:r>
      <w:r w:rsidR="677929DD" w:rsidRPr="00C835AB">
        <w:rPr>
          <w:rFonts w:ascii="Times New Roman" w:hAnsi="Times New Roman" w:cs="Times New Roman"/>
          <w:szCs w:val="24"/>
        </w:rPr>
        <w:t>st</w:t>
      </w:r>
      <w:r w:rsidR="0063598B" w:rsidRPr="00C835AB">
        <w:rPr>
          <w:rFonts w:ascii="Times New Roman" w:hAnsi="Times New Roman" w:cs="Times New Roman"/>
          <w:szCs w:val="24"/>
        </w:rPr>
        <w:t xml:space="preserve">oi </w:t>
      </w:r>
      <w:r w:rsidR="677929DD" w:rsidRPr="00C835AB">
        <w:rPr>
          <w:rFonts w:ascii="Times New Roman" w:hAnsi="Times New Roman" w:cs="Times New Roman"/>
          <w:szCs w:val="24"/>
        </w:rPr>
        <w:t>w sprzeczności z jedną z podstawowych swobód Unii Europejskiej, mianowicie swobodą przepływu osób, bowiem posiadanie stałego miejsca pobytu w innym państwie U</w:t>
      </w:r>
      <w:r w:rsidR="007C3D3F" w:rsidRPr="00C835AB">
        <w:rPr>
          <w:rFonts w:ascii="Times New Roman" w:hAnsi="Times New Roman" w:cs="Times New Roman"/>
          <w:szCs w:val="24"/>
        </w:rPr>
        <w:t>nii Europejskiej</w:t>
      </w:r>
      <w:r w:rsidR="677929DD" w:rsidRPr="00C835AB">
        <w:rPr>
          <w:rFonts w:ascii="Times New Roman" w:hAnsi="Times New Roman" w:cs="Times New Roman"/>
          <w:szCs w:val="24"/>
        </w:rPr>
        <w:t xml:space="preserve"> niż Polska mogło być automatycznie uznawane za</w:t>
      </w:r>
      <w:r w:rsidR="00DA6B6A">
        <w:rPr>
          <w:rFonts w:ascii="Times New Roman" w:hAnsi="Times New Roman" w:cs="Times New Roman"/>
          <w:szCs w:val="24"/>
        </w:rPr>
        <w:t> </w:t>
      </w:r>
      <w:r w:rsidR="677929DD" w:rsidRPr="00C835AB">
        <w:rPr>
          <w:rFonts w:ascii="Times New Roman" w:hAnsi="Times New Roman" w:cs="Times New Roman"/>
          <w:szCs w:val="24"/>
        </w:rPr>
        <w:t>spełnienie przesłanki „nieposiadania stałego miejsca pobytu w kraju”. Przepis ten pozwal</w:t>
      </w:r>
      <w:r w:rsidR="0063598B" w:rsidRPr="00C835AB">
        <w:rPr>
          <w:rFonts w:ascii="Times New Roman" w:hAnsi="Times New Roman" w:cs="Times New Roman"/>
          <w:szCs w:val="24"/>
        </w:rPr>
        <w:t>a</w:t>
      </w:r>
      <w:r w:rsidR="677929DD" w:rsidRPr="00C835AB">
        <w:rPr>
          <w:rFonts w:ascii="Times New Roman" w:hAnsi="Times New Roman" w:cs="Times New Roman"/>
          <w:szCs w:val="24"/>
        </w:rPr>
        <w:t xml:space="preserve"> zatem na stosowanie środków zapobiegawczych wobec osoby tylko z tego powodu, że</w:t>
      </w:r>
      <w:r w:rsidR="00DA6B6A">
        <w:rPr>
          <w:rFonts w:ascii="Times New Roman" w:hAnsi="Times New Roman" w:cs="Times New Roman"/>
          <w:szCs w:val="24"/>
        </w:rPr>
        <w:t> </w:t>
      </w:r>
      <w:r w:rsidR="677929DD" w:rsidRPr="00C835AB">
        <w:rPr>
          <w:rFonts w:ascii="Times New Roman" w:hAnsi="Times New Roman" w:cs="Times New Roman"/>
          <w:szCs w:val="24"/>
        </w:rPr>
        <w:t>nie</w:t>
      </w:r>
      <w:r w:rsidR="00DA6B6A">
        <w:rPr>
          <w:rFonts w:ascii="Times New Roman" w:hAnsi="Times New Roman" w:cs="Times New Roman"/>
          <w:szCs w:val="24"/>
        </w:rPr>
        <w:t> </w:t>
      </w:r>
      <w:r w:rsidR="677929DD" w:rsidRPr="00C835AB">
        <w:rPr>
          <w:rFonts w:ascii="Times New Roman" w:hAnsi="Times New Roman" w:cs="Times New Roman"/>
          <w:szCs w:val="24"/>
        </w:rPr>
        <w:t>m</w:t>
      </w:r>
      <w:r w:rsidR="0063598B" w:rsidRPr="00C835AB">
        <w:rPr>
          <w:rFonts w:ascii="Times New Roman" w:hAnsi="Times New Roman" w:cs="Times New Roman"/>
          <w:szCs w:val="24"/>
        </w:rPr>
        <w:t>a</w:t>
      </w:r>
      <w:r w:rsidR="00DA6B6A">
        <w:rPr>
          <w:rFonts w:ascii="Times New Roman" w:hAnsi="Times New Roman" w:cs="Times New Roman"/>
          <w:szCs w:val="24"/>
        </w:rPr>
        <w:t> </w:t>
      </w:r>
      <w:r w:rsidR="677929DD" w:rsidRPr="00C835AB">
        <w:rPr>
          <w:rFonts w:ascii="Times New Roman" w:hAnsi="Times New Roman" w:cs="Times New Roman"/>
          <w:szCs w:val="24"/>
        </w:rPr>
        <w:t>stałego miejsca pobytu w kraju, mając je w innym państwie U</w:t>
      </w:r>
      <w:r w:rsidR="007C3D3F" w:rsidRPr="00C835AB">
        <w:rPr>
          <w:rFonts w:ascii="Times New Roman" w:hAnsi="Times New Roman" w:cs="Times New Roman"/>
          <w:szCs w:val="24"/>
        </w:rPr>
        <w:t xml:space="preserve">nii </w:t>
      </w:r>
      <w:r w:rsidR="677929DD" w:rsidRPr="00C835AB">
        <w:rPr>
          <w:rFonts w:ascii="Times New Roman" w:hAnsi="Times New Roman" w:cs="Times New Roman"/>
          <w:szCs w:val="24"/>
        </w:rPr>
        <w:t>E</w:t>
      </w:r>
      <w:r w:rsidR="007C3D3F" w:rsidRPr="00C835AB">
        <w:rPr>
          <w:rFonts w:ascii="Times New Roman" w:hAnsi="Times New Roman" w:cs="Times New Roman"/>
          <w:szCs w:val="24"/>
        </w:rPr>
        <w:t>uropejskiej</w:t>
      </w:r>
      <w:r w:rsidR="677929DD" w:rsidRPr="00C835AB">
        <w:rPr>
          <w:rFonts w:ascii="Times New Roman" w:hAnsi="Times New Roman" w:cs="Times New Roman"/>
          <w:szCs w:val="24"/>
        </w:rPr>
        <w:t>, co</w:t>
      </w:r>
      <w:r w:rsidR="00DA6B6A">
        <w:rPr>
          <w:rFonts w:ascii="Times New Roman" w:hAnsi="Times New Roman" w:cs="Times New Roman"/>
          <w:szCs w:val="24"/>
        </w:rPr>
        <w:t> </w:t>
      </w:r>
      <w:r w:rsidR="677929DD" w:rsidRPr="00C835AB">
        <w:rPr>
          <w:rFonts w:ascii="Times New Roman" w:hAnsi="Times New Roman" w:cs="Times New Roman"/>
          <w:szCs w:val="24"/>
        </w:rPr>
        <w:t>m</w:t>
      </w:r>
      <w:r w:rsidR="0063598B" w:rsidRPr="00C835AB">
        <w:rPr>
          <w:rFonts w:ascii="Times New Roman" w:hAnsi="Times New Roman" w:cs="Times New Roman"/>
          <w:szCs w:val="24"/>
        </w:rPr>
        <w:t>a</w:t>
      </w:r>
      <w:r w:rsidR="00DA6B6A">
        <w:rPr>
          <w:rFonts w:ascii="Times New Roman" w:hAnsi="Times New Roman" w:cs="Times New Roman"/>
          <w:szCs w:val="24"/>
        </w:rPr>
        <w:t> </w:t>
      </w:r>
      <w:r w:rsidR="677929DD" w:rsidRPr="00C835AB">
        <w:rPr>
          <w:rFonts w:ascii="Times New Roman" w:hAnsi="Times New Roman" w:cs="Times New Roman"/>
          <w:szCs w:val="24"/>
        </w:rPr>
        <w:t xml:space="preserve">efekt dyskryminujący osoby korzystające z jednej z podstawowych swobód unijnych. </w:t>
      </w:r>
      <w:r w:rsidR="00AB0BD0">
        <w:rPr>
          <w:rFonts w:ascii="Times New Roman" w:hAnsi="Times New Roman" w:cs="Times New Roman"/>
          <w:szCs w:val="24"/>
        </w:rPr>
        <w:t xml:space="preserve">Z tego względu na gruncie tego przepisu zrównano posiadanie </w:t>
      </w:r>
      <w:r w:rsidR="00AB0BD0">
        <w:t>stałego miejsca pobytu</w:t>
      </w:r>
      <w:r w:rsidR="00AB0BD0" w:rsidRPr="00EA6A97">
        <w:t xml:space="preserve"> w innym państwie członkowskim Unii Europejskiej</w:t>
      </w:r>
      <w:r w:rsidR="00AB0BD0">
        <w:t xml:space="preserve"> z posiadaniem </w:t>
      </w:r>
      <w:r w:rsidR="00AB0BD0" w:rsidRPr="00D20780">
        <w:t>stałego miejsca pobytu</w:t>
      </w:r>
      <w:r w:rsidR="00AB0BD0">
        <w:t xml:space="preserve"> </w:t>
      </w:r>
      <w:r w:rsidR="00AB0BD0" w:rsidRPr="00EA6A97">
        <w:t xml:space="preserve">w </w:t>
      </w:r>
      <w:r w:rsidR="00AB0BD0">
        <w:t>Polsce.</w:t>
      </w:r>
    </w:p>
    <w:p w14:paraId="4D82130C" w14:textId="77777777" w:rsidR="00417D3A" w:rsidRPr="00C835AB" w:rsidRDefault="00417D3A" w:rsidP="00D823D0">
      <w:pPr>
        <w:pStyle w:val="ZUSTzmustartykuempunktem"/>
        <w:ind w:left="0"/>
        <w:rPr>
          <w:rFonts w:ascii="Times New Roman" w:hAnsi="Times New Roman" w:cs="Times New Roman"/>
          <w:szCs w:val="24"/>
        </w:rPr>
      </w:pPr>
    </w:p>
    <w:p w14:paraId="47AAB75E" w14:textId="73AB99ED" w:rsidR="0037634E" w:rsidRPr="00C835AB" w:rsidRDefault="3CF05F59" w:rsidP="00D823D0">
      <w:pPr>
        <w:pStyle w:val="PKTpunkt"/>
        <w:ind w:firstLine="0"/>
        <w:rPr>
          <w:rFonts w:ascii="Times New Roman" w:hAnsi="Times New Roman" w:cs="Times New Roman"/>
          <w:b/>
          <w:szCs w:val="24"/>
        </w:rPr>
      </w:pPr>
      <w:r w:rsidRPr="00C835AB">
        <w:rPr>
          <w:rFonts w:ascii="Times New Roman" w:hAnsi="Times New Roman" w:cs="Times New Roman"/>
          <w:b/>
          <w:szCs w:val="24"/>
        </w:rPr>
        <w:t xml:space="preserve">Art. 258 § 2 </w:t>
      </w:r>
      <w:r w:rsidR="000C3479" w:rsidRPr="00C835AB">
        <w:rPr>
          <w:rFonts w:ascii="Times New Roman" w:hAnsi="Times New Roman" w:cs="Times New Roman"/>
          <w:b/>
          <w:szCs w:val="24"/>
        </w:rPr>
        <w:t xml:space="preserve">k.p.k. </w:t>
      </w:r>
      <w:r w:rsidRPr="00C835AB">
        <w:rPr>
          <w:rFonts w:ascii="Times New Roman" w:hAnsi="Times New Roman" w:cs="Times New Roman"/>
          <w:b/>
          <w:szCs w:val="24"/>
        </w:rPr>
        <w:t xml:space="preserve">oraz art. </w:t>
      </w:r>
      <w:r w:rsidR="21496584" w:rsidRPr="00C835AB">
        <w:rPr>
          <w:rFonts w:ascii="Times New Roman" w:hAnsi="Times New Roman" w:cs="Times New Roman"/>
          <w:b/>
          <w:szCs w:val="24"/>
        </w:rPr>
        <w:t>263 §</w:t>
      </w:r>
      <w:r w:rsidR="00417D3A" w:rsidRPr="00C835AB">
        <w:rPr>
          <w:rFonts w:ascii="Times New Roman" w:hAnsi="Times New Roman" w:cs="Times New Roman"/>
          <w:b/>
          <w:szCs w:val="24"/>
        </w:rPr>
        <w:t xml:space="preserve"> </w:t>
      </w:r>
      <w:r w:rsidR="21496584" w:rsidRPr="00C835AB">
        <w:rPr>
          <w:rFonts w:ascii="Times New Roman" w:hAnsi="Times New Roman" w:cs="Times New Roman"/>
          <w:b/>
          <w:szCs w:val="24"/>
        </w:rPr>
        <w:t>4c</w:t>
      </w:r>
      <w:r w:rsidR="000C3479" w:rsidRPr="00C835AB">
        <w:rPr>
          <w:rFonts w:ascii="Times New Roman" w:hAnsi="Times New Roman" w:cs="Times New Roman"/>
          <w:b/>
          <w:szCs w:val="24"/>
        </w:rPr>
        <w:t xml:space="preserve"> k.p.k.</w:t>
      </w:r>
    </w:p>
    <w:p w14:paraId="4092CF02" w14:textId="03D77052" w:rsidR="21496584" w:rsidRPr="00C835AB" w:rsidRDefault="21496584" w:rsidP="00D823D0">
      <w:pPr>
        <w:pStyle w:val="ZUSTzmustartykuempunktem"/>
        <w:ind w:left="0"/>
        <w:rPr>
          <w:rFonts w:ascii="Times New Roman" w:hAnsi="Times New Roman" w:cs="Times New Roman"/>
          <w:szCs w:val="24"/>
        </w:rPr>
      </w:pPr>
      <w:r w:rsidRPr="00C835AB">
        <w:rPr>
          <w:rFonts w:ascii="Times New Roman" w:hAnsi="Times New Roman" w:cs="Times New Roman"/>
          <w:szCs w:val="24"/>
        </w:rPr>
        <w:t>Szczególna dolegliwość tymczasowego aresztowania wynikająca z jego ingerencji w sferę wolności człowieka powinna skłaniać do jego rozważnego stosowania. Ta konkluzja jawi się</w:t>
      </w:r>
      <w:r w:rsidR="00DA6B6A">
        <w:rPr>
          <w:rFonts w:ascii="Times New Roman" w:hAnsi="Times New Roman" w:cs="Times New Roman"/>
          <w:szCs w:val="24"/>
        </w:rPr>
        <w:t> </w:t>
      </w:r>
      <w:r w:rsidRPr="00C835AB">
        <w:rPr>
          <w:rFonts w:ascii="Times New Roman" w:hAnsi="Times New Roman" w:cs="Times New Roman"/>
          <w:szCs w:val="24"/>
        </w:rPr>
        <w:t xml:space="preserve">jako oczywista, jeżeli zważyć to, że ustawodawca nakazuje w art. 257 § 1 k.p.k. traktować </w:t>
      </w:r>
      <w:r w:rsidRPr="00C835AB">
        <w:rPr>
          <w:rFonts w:ascii="Times New Roman" w:hAnsi="Times New Roman" w:cs="Times New Roman"/>
          <w:szCs w:val="24"/>
        </w:rPr>
        <w:lastRenderedPageBreak/>
        <w:t>areszt tymczasowy jako ultima ratio, wprowadzając zasadę minimalizacji środka zapobiegawczego. Mimo tego rozwiązania</w:t>
      </w:r>
      <w:r w:rsidR="00EA0030" w:rsidRPr="00C835AB">
        <w:rPr>
          <w:rFonts w:ascii="Times New Roman" w:hAnsi="Times New Roman" w:cs="Times New Roman"/>
          <w:szCs w:val="24"/>
        </w:rPr>
        <w:t>,</w:t>
      </w:r>
      <w:r w:rsidRPr="00C835AB">
        <w:rPr>
          <w:rFonts w:ascii="Times New Roman" w:hAnsi="Times New Roman" w:cs="Times New Roman"/>
          <w:szCs w:val="24"/>
        </w:rPr>
        <w:t xml:space="preserve"> dane statystyczne wskazują na drastyczny wzrost stosowania izolacyjnego środka zapobiegawczego, zwłaszcza z powołaniem się na przesłankę szczególną określoną w art. 258 § 2 k.p.k. Dążąc do ograniczenia stosowania tego środka, a</w:t>
      </w:r>
      <w:r w:rsidR="00A76A6B" w:rsidRPr="00C835AB">
        <w:rPr>
          <w:rFonts w:ascii="Times New Roman" w:hAnsi="Times New Roman" w:cs="Times New Roman"/>
          <w:szCs w:val="24"/>
        </w:rPr>
        <w:t> </w:t>
      </w:r>
      <w:r w:rsidRPr="00C835AB">
        <w:rPr>
          <w:rFonts w:ascii="Times New Roman" w:hAnsi="Times New Roman" w:cs="Times New Roman"/>
          <w:szCs w:val="24"/>
        </w:rPr>
        <w:t>także mając na względzie wzrost ustawowego zagrożenia kar, który nastąpił z dniem 1</w:t>
      </w:r>
      <w:r w:rsidR="00A76A6B" w:rsidRPr="00C835AB">
        <w:rPr>
          <w:rFonts w:ascii="Times New Roman" w:hAnsi="Times New Roman" w:cs="Times New Roman"/>
          <w:szCs w:val="24"/>
        </w:rPr>
        <w:t> </w:t>
      </w:r>
      <w:r w:rsidRPr="00C835AB">
        <w:rPr>
          <w:rFonts w:ascii="Times New Roman" w:hAnsi="Times New Roman" w:cs="Times New Roman"/>
          <w:szCs w:val="24"/>
        </w:rPr>
        <w:t xml:space="preserve">października 2023 r., koniecznym jest </w:t>
      </w:r>
      <w:r w:rsidR="00754680" w:rsidRPr="00C835AB">
        <w:rPr>
          <w:rFonts w:ascii="Times New Roman" w:hAnsi="Times New Roman" w:cs="Times New Roman"/>
          <w:szCs w:val="24"/>
        </w:rPr>
        <w:t xml:space="preserve">proponowane </w:t>
      </w:r>
      <w:r w:rsidRPr="00C835AB">
        <w:rPr>
          <w:rFonts w:ascii="Times New Roman" w:hAnsi="Times New Roman" w:cs="Times New Roman"/>
          <w:szCs w:val="24"/>
        </w:rPr>
        <w:t>podniesienie, w ramach tej przesłanki szczególnej, górnej granicy kary pozbawienia wolności z 8 na 10 lat. Decyzja o tymczasowym aresztowaniu z tej przyczyny nie może być podejmowana automatycznie, ale trzeba rozważyć, czy nie zachodzą w sprawie takie okoliczności, które wskazują, że w rzeczywistości pomimo grożącej oskarżonemu surowej kary w danym wypadku nie występuje uzasadniona obawa utrudniania prawidłowego toku postępowania, o których mowa w art. 258 § 1</w:t>
      </w:r>
      <w:r w:rsidR="00417D3A" w:rsidRPr="00C835AB">
        <w:rPr>
          <w:rFonts w:ascii="Times New Roman" w:hAnsi="Times New Roman" w:cs="Times New Roman"/>
          <w:szCs w:val="24"/>
        </w:rPr>
        <w:t xml:space="preserve"> k.p.k</w:t>
      </w:r>
      <w:r w:rsidRPr="00C835AB">
        <w:rPr>
          <w:rFonts w:ascii="Times New Roman" w:hAnsi="Times New Roman" w:cs="Times New Roman"/>
          <w:szCs w:val="24"/>
        </w:rPr>
        <w:t xml:space="preserve">. Jednocześnie, w celu ograniczenia możliwości nadużywania przesłanki szczególnej z art. 258 § 2 </w:t>
      </w:r>
      <w:r w:rsidR="00417D3A" w:rsidRPr="00C835AB">
        <w:rPr>
          <w:rFonts w:ascii="Times New Roman" w:hAnsi="Times New Roman" w:cs="Times New Roman"/>
          <w:szCs w:val="24"/>
        </w:rPr>
        <w:t>k.p.k.</w:t>
      </w:r>
      <w:r w:rsidR="00EA0030" w:rsidRPr="00C835AB">
        <w:rPr>
          <w:rFonts w:ascii="Times New Roman" w:hAnsi="Times New Roman" w:cs="Times New Roman"/>
          <w:szCs w:val="24"/>
        </w:rPr>
        <w:t>,</w:t>
      </w:r>
      <w:r w:rsidR="00417D3A" w:rsidRPr="00C835AB">
        <w:rPr>
          <w:rFonts w:ascii="Times New Roman" w:hAnsi="Times New Roman" w:cs="Times New Roman"/>
          <w:szCs w:val="24"/>
        </w:rPr>
        <w:t xml:space="preserve"> </w:t>
      </w:r>
      <w:r w:rsidRPr="00C835AB">
        <w:rPr>
          <w:rFonts w:ascii="Times New Roman" w:hAnsi="Times New Roman" w:cs="Times New Roman"/>
          <w:szCs w:val="24"/>
        </w:rPr>
        <w:t>proponuje się dodanie art. 263</w:t>
      </w:r>
      <w:r w:rsidR="00417D3A" w:rsidRPr="00C835AB">
        <w:rPr>
          <w:rFonts w:ascii="Times New Roman" w:hAnsi="Times New Roman" w:cs="Times New Roman"/>
          <w:szCs w:val="24"/>
        </w:rPr>
        <w:t xml:space="preserve"> § 4c k.p.k.</w:t>
      </w:r>
      <w:r w:rsidRPr="00C835AB">
        <w:rPr>
          <w:rFonts w:ascii="Times New Roman" w:hAnsi="Times New Roman" w:cs="Times New Roman"/>
          <w:szCs w:val="24"/>
        </w:rPr>
        <w:t xml:space="preserve"> </w:t>
      </w:r>
      <w:r w:rsidR="00417D3A" w:rsidRPr="00C835AB">
        <w:rPr>
          <w:rFonts w:ascii="Times New Roman" w:hAnsi="Times New Roman" w:cs="Times New Roman"/>
          <w:szCs w:val="24"/>
        </w:rPr>
        <w:t>zakładające</w:t>
      </w:r>
      <w:r w:rsidR="00EA0030" w:rsidRPr="00C835AB">
        <w:rPr>
          <w:rFonts w:ascii="Times New Roman" w:hAnsi="Times New Roman" w:cs="Times New Roman"/>
          <w:szCs w:val="24"/>
        </w:rPr>
        <w:t>go</w:t>
      </w:r>
      <w:r w:rsidRPr="00C835AB">
        <w:rPr>
          <w:rFonts w:ascii="Times New Roman" w:hAnsi="Times New Roman" w:cs="Times New Roman"/>
          <w:szCs w:val="24"/>
        </w:rPr>
        <w:t xml:space="preserve">, że stosowanie tymczasowego aresztowania na podstawie art. 258 § 2 </w:t>
      </w:r>
      <w:r w:rsidR="00417D3A" w:rsidRPr="00C835AB">
        <w:rPr>
          <w:rFonts w:ascii="Times New Roman" w:hAnsi="Times New Roman" w:cs="Times New Roman"/>
          <w:szCs w:val="24"/>
        </w:rPr>
        <w:t xml:space="preserve">k.p.k. </w:t>
      </w:r>
      <w:r w:rsidRPr="00C835AB">
        <w:rPr>
          <w:rFonts w:ascii="Times New Roman" w:hAnsi="Times New Roman" w:cs="Times New Roman"/>
          <w:szCs w:val="24"/>
        </w:rPr>
        <w:t>do wydania wyroku przez sąd pierwszej instancji nie może przekroczyć 12 miesięcy.</w:t>
      </w:r>
    </w:p>
    <w:p w14:paraId="796D2308" w14:textId="6B055129" w:rsidR="0FF4DE2E" w:rsidRPr="00C835AB" w:rsidRDefault="0FF4DE2E" w:rsidP="00D823D0">
      <w:pPr>
        <w:pStyle w:val="ZUSTzmustartykuempunktem"/>
        <w:ind w:left="0"/>
        <w:rPr>
          <w:rFonts w:ascii="Times New Roman" w:hAnsi="Times New Roman" w:cs="Times New Roman"/>
          <w:szCs w:val="24"/>
        </w:rPr>
      </w:pPr>
    </w:p>
    <w:p w14:paraId="5A60ACE4" w14:textId="01389884" w:rsidR="00C572CA" w:rsidRPr="00C835AB" w:rsidRDefault="00C572CA"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Art. 258a</w:t>
      </w:r>
      <w:r w:rsidR="000C3479" w:rsidRPr="00C835AB">
        <w:rPr>
          <w:rFonts w:ascii="Times New Roman" w:hAnsi="Times New Roman" w:cs="Times New Roman"/>
          <w:b/>
          <w:bCs/>
          <w:color w:val="auto"/>
          <w:sz w:val="24"/>
        </w:rPr>
        <w:t xml:space="preserve"> k.p.k.</w:t>
      </w:r>
    </w:p>
    <w:p w14:paraId="5EC45C91" w14:textId="00DD76EE" w:rsidR="00C572CA" w:rsidRPr="00C835AB" w:rsidRDefault="00C572CA"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Propozycja uchylenia </w:t>
      </w:r>
      <w:r w:rsidR="00ED52F0" w:rsidRPr="00C835AB">
        <w:rPr>
          <w:rFonts w:ascii="Times New Roman" w:hAnsi="Times New Roman" w:cs="Times New Roman"/>
          <w:color w:val="auto"/>
          <w:sz w:val="24"/>
        </w:rPr>
        <w:t>art. 258a k.p.k.</w:t>
      </w:r>
      <w:r w:rsidR="005F6D18"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wprowadzonego ustaw</w:t>
      </w:r>
      <w:r w:rsidR="00172AF3" w:rsidRPr="00C835AB">
        <w:rPr>
          <w:rFonts w:ascii="Times New Roman" w:hAnsi="Times New Roman" w:cs="Times New Roman"/>
          <w:color w:val="auto"/>
          <w:sz w:val="24"/>
        </w:rPr>
        <w:t>ą dnia 31</w:t>
      </w:r>
      <w:r w:rsidR="000E6647" w:rsidRPr="00C835AB">
        <w:rPr>
          <w:rFonts w:ascii="Times New Roman" w:hAnsi="Times New Roman" w:cs="Times New Roman"/>
          <w:color w:val="auto"/>
          <w:sz w:val="24"/>
        </w:rPr>
        <w:t xml:space="preserve"> </w:t>
      </w:r>
      <w:r w:rsidR="00172AF3" w:rsidRPr="00C835AB">
        <w:rPr>
          <w:rFonts w:ascii="Times New Roman" w:hAnsi="Times New Roman" w:cs="Times New Roman"/>
          <w:color w:val="auto"/>
          <w:sz w:val="24"/>
        </w:rPr>
        <w:t>marca 2020 r. (Dz. U. poz. 568)</w:t>
      </w:r>
      <w:r w:rsidRPr="00C835AB">
        <w:rPr>
          <w:rFonts w:ascii="Times New Roman" w:hAnsi="Times New Roman" w:cs="Times New Roman"/>
          <w:color w:val="auto"/>
          <w:sz w:val="24"/>
        </w:rPr>
        <w:t xml:space="preserve">, podyktowana jest koniecznością wyeliminowania zbędnej regulacji, stanowiącej </w:t>
      </w:r>
      <w:proofErr w:type="spellStart"/>
      <w:r w:rsidRPr="00C835AB">
        <w:rPr>
          <w:rFonts w:ascii="Times New Roman" w:hAnsi="Times New Roman" w:cs="Times New Roman"/>
          <w:color w:val="auto"/>
          <w:sz w:val="24"/>
        </w:rPr>
        <w:t>superfluum</w:t>
      </w:r>
      <w:proofErr w:type="spellEnd"/>
      <w:r w:rsidRPr="00C835AB">
        <w:rPr>
          <w:rFonts w:ascii="Times New Roman" w:hAnsi="Times New Roman" w:cs="Times New Roman"/>
          <w:color w:val="auto"/>
          <w:sz w:val="24"/>
        </w:rPr>
        <w:t xml:space="preserve"> obowiązujących przepisów, które przewidują reakcję wobec niestosowania się do nakazów wynikających z istoty środków zapobiegawczych orzeczonych wobec oskarżonego.</w:t>
      </w:r>
    </w:p>
    <w:p w14:paraId="2002341F" w14:textId="77777777" w:rsidR="00C572CA" w:rsidRPr="00C835AB" w:rsidRDefault="00C572CA" w:rsidP="00D823D0">
      <w:pPr>
        <w:rPr>
          <w:rFonts w:ascii="Times New Roman" w:hAnsi="Times New Roman" w:cs="Times New Roman"/>
          <w:color w:val="auto"/>
          <w:sz w:val="24"/>
        </w:rPr>
      </w:pPr>
    </w:p>
    <w:p w14:paraId="33550CA5" w14:textId="19F93A86" w:rsidR="007F11B8" w:rsidRPr="00C835AB" w:rsidRDefault="007F11B8" w:rsidP="00D823D0">
      <w:pPr>
        <w:rPr>
          <w:rFonts w:ascii="Times New Roman" w:hAnsi="Times New Roman" w:cs="Times New Roman"/>
          <w:b/>
          <w:bCs/>
          <w:color w:val="auto"/>
          <w:sz w:val="24"/>
        </w:rPr>
      </w:pPr>
      <w:r w:rsidRPr="00C835AB">
        <w:rPr>
          <w:rFonts w:ascii="Times New Roman" w:hAnsi="Times New Roman" w:cs="Times New Roman"/>
          <w:b/>
          <w:bCs/>
          <w:color w:val="auto"/>
          <w:sz w:val="24"/>
        </w:rPr>
        <w:tab/>
        <w:t>Art. 259</w:t>
      </w:r>
      <w:r w:rsidR="00ED52F0" w:rsidRPr="00C835AB">
        <w:rPr>
          <w:rFonts w:ascii="Times New Roman" w:hAnsi="Times New Roman" w:cs="Times New Roman"/>
          <w:b/>
          <w:bCs/>
          <w:color w:val="auto"/>
          <w:sz w:val="24"/>
        </w:rPr>
        <w:t xml:space="preserve"> § 3 k.p.k.</w:t>
      </w:r>
    </w:p>
    <w:p w14:paraId="63DE5BA8" w14:textId="147AD820" w:rsidR="00F67145" w:rsidRPr="00C835AB" w:rsidRDefault="00F67145"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Aby wyeliminować (co do zasady) możliwość stosowania najsurowszego środka zapobiegawczego w sprawach o czyny zagrożone karą do 2 lat pozbawienia wolności </w:t>
      </w:r>
      <w:r w:rsidR="00ED52F0" w:rsidRPr="00C835AB">
        <w:rPr>
          <w:rFonts w:ascii="Times New Roman" w:hAnsi="Times New Roman" w:cs="Times New Roman"/>
          <w:color w:val="auto"/>
          <w:sz w:val="24"/>
        </w:rPr>
        <w:t xml:space="preserve">proponuje się </w:t>
      </w:r>
      <w:r w:rsidRPr="00C835AB">
        <w:rPr>
          <w:rFonts w:ascii="Times New Roman" w:hAnsi="Times New Roman" w:cs="Times New Roman"/>
          <w:color w:val="auto"/>
          <w:sz w:val="24"/>
        </w:rPr>
        <w:t>nowelizac</w:t>
      </w:r>
      <w:r w:rsidR="00ED52F0" w:rsidRPr="00C835AB">
        <w:rPr>
          <w:rFonts w:ascii="Times New Roman" w:hAnsi="Times New Roman" w:cs="Times New Roman"/>
          <w:color w:val="auto"/>
          <w:sz w:val="24"/>
        </w:rPr>
        <w:t>ję</w:t>
      </w:r>
      <w:r w:rsidRPr="00C835AB">
        <w:rPr>
          <w:rFonts w:ascii="Times New Roman" w:hAnsi="Times New Roman" w:cs="Times New Roman"/>
          <w:color w:val="auto"/>
          <w:sz w:val="24"/>
        </w:rPr>
        <w:t xml:space="preserve"> art. 259 § 3 k.p.k. i powr</w:t>
      </w:r>
      <w:r w:rsidR="00ED52F0" w:rsidRPr="00C835AB">
        <w:rPr>
          <w:rFonts w:ascii="Times New Roman" w:hAnsi="Times New Roman" w:cs="Times New Roman"/>
          <w:color w:val="auto"/>
          <w:sz w:val="24"/>
        </w:rPr>
        <w:t>ót</w:t>
      </w:r>
      <w:r w:rsidRPr="00C835AB">
        <w:rPr>
          <w:rFonts w:ascii="Times New Roman" w:hAnsi="Times New Roman" w:cs="Times New Roman"/>
          <w:color w:val="auto"/>
          <w:sz w:val="24"/>
        </w:rPr>
        <w:t xml:space="preserve"> do wersji przepisu obowiązującej od </w:t>
      </w:r>
      <w:r w:rsidR="00CF61BA" w:rsidRPr="00C835AB">
        <w:rPr>
          <w:rFonts w:ascii="Times New Roman" w:hAnsi="Times New Roman" w:cs="Times New Roman"/>
          <w:color w:val="auto"/>
          <w:sz w:val="24"/>
        </w:rPr>
        <w:t xml:space="preserve">dnia </w:t>
      </w:r>
      <w:r w:rsidRPr="00C835AB">
        <w:rPr>
          <w:rFonts w:ascii="Times New Roman" w:hAnsi="Times New Roman" w:cs="Times New Roman"/>
          <w:color w:val="auto"/>
          <w:sz w:val="24"/>
        </w:rPr>
        <w:t>1 lipca 2015 r. Jest to zgodne z zasadą ultima ratio tymczasowego aresztowania.</w:t>
      </w:r>
    </w:p>
    <w:p w14:paraId="60D2F121" w14:textId="079C5690" w:rsidR="007F11B8" w:rsidRPr="00C835AB" w:rsidRDefault="00F67145" w:rsidP="00D823D0">
      <w:pPr>
        <w:pStyle w:val="Akapitzlist"/>
        <w:ind w:left="0" w:firstLine="708"/>
        <w:rPr>
          <w:rFonts w:ascii="Times New Roman" w:hAnsi="Times New Roman" w:cs="Times New Roman"/>
          <w:color w:val="auto"/>
          <w:sz w:val="24"/>
        </w:rPr>
      </w:pPr>
      <w:r w:rsidRPr="00C835AB">
        <w:rPr>
          <w:rFonts w:ascii="Times New Roman" w:hAnsi="Times New Roman" w:cs="Times New Roman"/>
          <w:color w:val="auto"/>
          <w:sz w:val="24"/>
        </w:rPr>
        <w:t>Zmiana dotyczy</w:t>
      </w:r>
      <w:r w:rsidR="69635A52" w:rsidRPr="00C835AB">
        <w:rPr>
          <w:rFonts w:ascii="Times New Roman" w:hAnsi="Times New Roman" w:cs="Times New Roman"/>
          <w:color w:val="auto"/>
          <w:sz w:val="24"/>
        </w:rPr>
        <w:t xml:space="preserve"> co do zasady czyn</w:t>
      </w:r>
      <w:r w:rsidRPr="00C835AB">
        <w:rPr>
          <w:rFonts w:ascii="Times New Roman" w:hAnsi="Times New Roman" w:cs="Times New Roman"/>
          <w:color w:val="auto"/>
          <w:sz w:val="24"/>
        </w:rPr>
        <w:t>ów</w:t>
      </w:r>
      <w:r w:rsidR="69635A52" w:rsidRPr="00C835AB">
        <w:rPr>
          <w:rFonts w:ascii="Times New Roman" w:hAnsi="Times New Roman" w:cs="Times New Roman"/>
          <w:color w:val="auto"/>
          <w:sz w:val="24"/>
        </w:rPr>
        <w:t xml:space="preserve"> o mniejszej szkodliwości społecznej</w:t>
      </w:r>
      <w:r w:rsidR="404B86AB" w:rsidRPr="00C835AB">
        <w:rPr>
          <w:rFonts w:ascii="Times New Roman" w:hAnsi="Times New Roman" w:cs="Times New Roman"/>
          <w:color w:val="auto"/>
          <w:sz w:val="24"/>
        </w:rPr>
        <w:t xml:space="preserve"> </w:t>
      </w:r>
      <w:r w:rsidR="69635A52" w:rsidRPr="00C835AB">
        <w:rPr>
          <w:rFonts w:ascii="Times New Roman" w:hAnsi="Times New Roman" w:cs="Times New Roman"/>
          <w:color w:val="auto"/>
          <w:sz w:val="24"/>
        </w:rPr>
        <w:t>(w</w:t>
      </w:r>
      <w:r w:rsidR="00DA6B6A">
        <w:rPr>
          <w:rFonts w:ascii="Times New Roman" w:hAnsi="Times New Roman" w:cs="Times New Roman"/>
          <w:color w:val="auto"/>
          <w:sz w:val="24"/>
        </w:rPr>
        <w:t> </w:t>
      </w:r>
      <w:r w:rsidR="69635A52" w:rsidRPr="00C835AB">
        <w:rPr>
          <w:rFonts w:ascii="Times New Roman" w:hAnsi="Times New Roman" w:cs="Times New Roman"/>
          <w:color w:val="auto"/>
          <w:sz w:val="24"/>
        </w:rPr>
        <w:t>tym</w:t>
      </w:r>
      <w:r w:rsidR="00DA6B6A">
        <w:rPr>
          <w:rFonts w:ascii="Times New Roman" w:hAnsi="Times New Roman" w:cs="Times New Roman"/>
          <w:color w:val="auto"/>
          <w:sz w:val="24"/>
        </w:rPr>
        <w:t> </w:t>
      </w:r>
      <w:r w:rsidR="69635A52" w:rsidRPr="00C835AB">
        <w:rPr>
          <w:rFonts w:ascii="Times New Roman" w:hAnsi="Times New Roman" w:cs="Times New Roman"/>
          <w:color w:val="auto"/>
          <w:sz w:val="24"/>
        </w:rPr>
        <w:t>szereg</w:t>
      </w:r>
      <w:r w:rsidRPr="00C835AB">
        <w:rPr>
          <w:rFonts w:ascii="Times New Roman" w:hAnsi="Times New Roman" w:cs="Times New Roman"/>
          <w:color w:val="auto"/>
          <w:sz w:val="24"/>
        </w:rPr>
        <w:t>u</w:t>
      </w:r>
      <w:r w:rsidR="69635A52" w:rsidRPr="00C835AB">
        <w:rPr>
          <w:rFonts w:ascii="Times New Roman" w:hAnsi="Times New Roman" w:cs="Times New Roman"/>
          <w:color w:val="auto"/>
          <w:sz w:val="24"/>
        </w:rPr>
        <w:t xml:space="preserve"> typów uprzywilejowanych, obejmujących przypadki mniejszej wagi), które</w:t>
      </w:r>
      <w:r w:rsidR="00DA6B6A">
        <w:rPr>
          <w:rFonts w:ascii="Times New Roman" w:hAnsi="Times New Roman" w:cs="Times New Roman"/>
          <w:color w:val="auto"/>
          <w:sz w:val="24"/>
        </w:rPr>
        <w:t> </w:t>
      </w:r>
      <w:r w:rsidR="69635A52" w:rsidRPr="00C835AB">
        <w:rPr>
          <w:rFonts w:ascii="Times New Roman" w:hAnsi="Times New Roman" w:cs="Times New Roman"/>
          <w:color w:val="auto"/>
          <w:sz w:val="24"/>
        </w:rPr>
        <w:t>w</w:t>
      </w:r>
      <w:r w:rsidR="00A76A6B" w:rsidRPr="00C835AB">
        <w:rPr>
          <w:rFonts w:ascii="Times New Roman" w:hAnsi="Times New Roman" w:cs="Times New Roman"/>
          <w:color w:val="auto"/>
          <w:sz w:val="24"/>
        </w:rPr>
        <w:t> </w:t>
      </w:r>
      <w:r w:rsidR="69635A52" w:rsidRPr="00C835AB">
        <w:rPr>
          <w:rFonts w:ascii="Times New Roman" w:hAnsi="Times New Roman" w:cs="Times New Roman"/>
          <w:color w:val="auto"/>
          <w:sz w:val="24"/>
        </w:rPr>
        <w:t>zdecydowanej większości nie wymagają obecnie wymiaru bezwzględnej kary pozbawienia wolności. Praktyka ta ma szansę utrwalić się, zwłaszcza gdy zastosowanie znajdzie projektowane rozszerzenie zakresu stosowania art.</w:t>
      </w:r>
      <w:r w:rsidR="00CA2AC4" w:rsidRPr="00C835AB">
        <w:rPr>
          <w:rFonts w:ascii="Times New Roman" w:hAnsi="Times New Roman" w:cs="Times New Roman"/>
          <w:color w:val="auto"/>
          <w:sz w:val="24"/>
        </w:rPr>
        <w:t xml:space="preserve"> </w:t>
      </w:r>
      <w:r w:rsidR="69635A52" w:rsidRPr="00C835AB">
        <w:rPr>
          <w:rFonts w:ascii="Times New Roman" w:hAnsi="Times New Roman" w:cs="Times New Roman"/>
          <w:color w:val="auto"/>
          <w:sz w:val="24"/>
        </w:rPr>
        <w:t>37a k.k. Chodzi też o unikni</w:t>
      </w:r>
      <w:r w:rsidR="002D10CF" w:rsidRPr="00C835AB">
        <w:rPr>
          <w:rFonts w:ascii="Times New Roman" w:hAnsi="Times New Roman" w:cs="Times New Roman"/>
          <w:color w:val="auto"/>
          <w:sz w:val="24"/>
        </w:rPr>
        <w:t>ę</w:t>
      </w:r>
      <w:r w:rsidR="69635A52" w:rsidRPr="00C835AB">
        <w:rPr>
          <w:rFonts w:ascii="Times New Roman" w:hAnsi="Times New Roman" w:cs="Times New Roman"/>
          <w:color w:val="auto"/>
          <w:sz w:val="24"/>
        </w:rPr>
        <w:t xml:space="preserve">cie zbędnej presji sytuacyjnej na wymiar bezwzględnej kary pozbawienia wolności w przypadkach, </w:t>
      </w:r>
      <w:r w:rsidR="69635A52" w:rsidRPr="00C835AB">
        <w:rPr>
          <w:rFonts w:ascii="Times New Roman" w:hAnsi="Times New Roman" w:cs="Times New Roman"/>
          <w:color w:val="auto"/>
          <w:sz w:val="24"/>
        </w:rPr>
        <w:lastRenderedPageBreak/>
        <w:t>gdyby stosowano tymczasowe aresztowanie w sprawie, ale końcowo celowe jest wymierzenie kary wolnościowej. Pozwoli to również na uniknięcie zaangażowania orzeczników w sprawy o</w:t>
      </w:r>
      <w:r w:rsidR="00A76A6B" w:rsidRPr="00C835AB">
        <w:rPr>
          <w:rFonts w:ascii="Times New Roman" w:hAnsi="Times New Roman" w:cs="Times New Roman"/>
          <w:color w:val="auto"/>
          <w:sz w:val="24"/>
        </w:rPr>
        <w:t> </w:t>
      </w:r>
      <w:r w:rsidR="69635A52" w:rsidRPr="00C835AB">
        <w:rPr>
          <w:rFonts w:ascii="Times New Roman" w:hAnsi="Times New Roman" w:cs="Times New Roman"/>
          <w:color w:val="auto"/>
          <w:sz w:val="24"/>
        </w:rPr>
        <w:t>odszkodowania za niesłuszn</w:t>
      </w:r>
      <w:r w:rsidR="008811BA" w:rsidRPr="00C835AB">
        <w:rPr>
          <w:rFonts w:ascii="Times New Roman" w:hAnsi="Times New Roman" w:cs="Times New Roman"/>
          <w:color w:val="auto"/>
          <w:sz w:val="24"/>
        </w:rPr>
        <w:t>e</w:t>
      </w:r>
      <w:r w:rsidR="69635A52" w:rsidRPr="00C835AB">
        <w:rPr>
          <w:rFonts w:ascii="Times New Roman" w:hAnsi="Times New Roman" w:cs="Times New Roman"/>
          <w:color w:val="auto"/>
          <w:sz w:val="24"/>
        </w:rPr>
        <w:t xml:space="preserve"> tymczasowe aresztowanie.</w:t>
      </w:r>
    </w:p>
    <w:p w14:paraId="17795B01" w14:textId="77777777" w:rsidR="007F11B8" w:rsidRPr="00C835AB" w:rsidRDefault="007F11B8" w:rsidP="00D823D0">
      <w:pPr>
        <w:rPr>
          <w:rFonts w:ascii="Times New Roman" w:hAnsi="Times New Roman" w:cs="Times New Roman"/>
          <w:color w:val="auto"/>
          <w:sz w:val="24"/>
        </w:rPr>
      </w:pPr>
    </w:p>
    <w:p w14:paraId="25A4EAF0" w14:textId="28035E05" w:rsidR="007F11B8" w:rsidRPr="00C835AB" w:rsidRDefault="69635A52" w:rsidP="00D823D0">
      <w:pPr>
        <w:pStyle w:val="Akapitzlist"/>
        <w:ind w:left="0" w:firstLine="708"/>
        <w:rPr>
          <w:rFonts w:ascii="Times New Roman" w:hAnsi="Times New Roman" w:cs="Times New Roman"/>
          <w:b/>
          <w:bCs/>
          <w:color w:val="auto"/>
          <w:sz w:val="24"/>
        </w:rPr>
      </w:pPr>
      <w:r w:rsidRPr="00C835AB">
        <w:rPr>
          <w:rFonts w:ascii="Times New Roman" w:hAnsi="Times New Roman" w:cs="Times New Roman"/>
          <w:b/>
          <w:bCs/>
          <w:color w:val="auto"/>
          <w:sz w:val="24"/>
        </w:rPr>
        <w:t>Art. 263</w:t>
      </w:r>
      <w:r w:rsidR="00676775" w:rsidRPr="00C835AB">
        <w:rPr>
          <w:rFonts w:ascii="Times New Roman" w:hAnsi="Times New Roman" w:cs="Times New Roman"/>
          <w:b/>
          <w:bCs/>
          <w:color w:val="auto"/>
          <w:sz w:val="24"/>
        </w:rPr>
        <w:t xml:space="preserve"> § 2 i § 4 k.p.k.</w:t>
      </w:r>
    </w:p>
    <w:p w14:paraId="42D5CE28" w14:textId="09A83787" w:rsidR="007F11B8" w:rsidRPr="00C835AB" w:rsidRDefault="00754680"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W ocenie projektodawcy </w:t>
      </w:r>
      <w:r w:rsidR="69635A52" w:rsidRPr="00C835AB">
        <w:rPr>
          <w:rFonts w:ascii="Times New Roman" w:hAnsi="Times New Roman" w:cs="Times New Roman"/>
          <w:color w:val="auto"/>
          <w:sz w:val="24"/>
        </w:rPr>
        <w:t>zracjonalizowanie stosowania, a zwłaszcza przedłużania</w:t>
      </w:r>
      <w:r w:rsidR="00A6600E" w:rsidRPr="00C835AB">
        <w:rPr>
          <w:rFonts w:ascii="Times New Roman" w:hAnsi="Times New Roman" w:cs="Times New Roman"/>
          <w:color w:val="auto"/>
          <w:sz w:val="24"/>
        </w:rPr>
        <w:t>,</w:t>
      </w:r>
      <w:r w:rsidR="69635A52" w:rsidRPr="00C835AB">
        <w:rPr>
          <w:rFonts w:ascii="Times New Roman" w:hAnsi="Times New Roman" w:cs="Times New Roman"/>
          <w:color w:val="auto"/>
          <w:sz w:val="24"/>
        </w:rPr>
        <w:t xml:space="preserve"> tymczasowego aresztowania wymaga ingerencji w treść aktualnej regulacji ustawowej, w</w:t>
      </w:r>
      <w:r w:rsidR="00A76A6B" w:rsidRPr="00C835AB">
        <w:rPr>
          <w:rFonts w:ascii="Times New Roman" w:hAnsi="Times New Roman" w:cs="Times New Roman"/>
          <w:color w:val="auto"/>
          <w:sz w:val="24"/>
        </w:rPr>
        <w:t> </w:t>
      </w:r>
      <w:r w:rsidR="69635A52" w:rsidRPr="00C835AB">
        <w:rPr>
          <w:rFonts w:ascii="Times New Roman" w:hAnsi="Times New Roman" w:cs="Times New Roman"/>
          <w:color w:val="auto"/>
          <w:sz w:val="24"/>
        </w:rPr>
        <w:t>formie podkreślającej dotychczasowy dorobek orzecznictwa, z którego jednoznacznie wynika, że dalsze stosowanie środka izolacyjnego może nastąpić wyjątkowo i jedynie w</w:t>
      </w:r>
      <w:r w:rsidR="00A76A6B" w:rsidRPr="00C835AB">
        <w:rPr>
          <w:rFonts w:ascii="Times New Roman" w:hAnsi="Times New Roman" w:cs="Times New Roman"/>
          <w:color w:val="auto"/>
          <w:sz w:val="24"/>
        </w:rPr>
        <w:t> </w:t>
      </w:r>
      <w:r w:rsidR="69635A52" w:rsidRPr="00C835AB">
        <w:rPr>
          <w:rFonts w:ascii="Times New Roman" w:hAnsi="Times New Roman" w:cs="Times New Roman"/>
          <w:color w:val="auto"/>
          <w:sz w:val="24"/>
        </w:rPr>
        <w:t>sprawnie prowadzonym oraz prawidłowo zorganizowanym postępowaniu. Innymi słowy –</w:t>
      </w:r>
      <w:r w:rsidR="00A76A6B" w:rsidRPr="00C835AB">
        <w:rPr>
          <w:rFonts w:ascii="Times New Roman" w:hAnsi="Times New Roman" w:cs="Times New Roman"/>
          <w:color w:val="auto"/>
          <w:sz w:val="24"/>
        </w:rPr>
        <w:t> </w:t>
      </w:r>
      <w:r w:rsidR="69635A52" w:rsidRPr="00C835AB">
        <w:rPr>
          <w:rFonts w:ascii="Times New Roman" w:hAnsi="Times New Roman" w:cs="Times New Roman"/>
          <w:color w:val="auto"/>
          <w:sz w:val="24"/>
        </w:rPr>
        <w:t>chodzi o wprowadzenie zapisu ustawowego, który zabezpieczy osobę pozbawioną wolności w</w:t>
      </w:r>
      <w:r w:rsidR="00A76A6B" w:rsidRPr="00C835AB">
        <w:rPr>
          <w:rFonts w:ascii="Times New Roman" w:hAnsi="Times New Roman" w:cs="Times New Roman"/>
          <w:color w:val="auto"/>
          <w:sz w:val="24"/>
        </w:rPr>
        <w:t> </w:t>
      </w:r>
      <w:r w:rsidR="69635A52" w:rsidRPr="00C835AB">
        <w:rPr>
          <w:rFonts w:ascii="Times New Roman" w:hAnsi="Times New Roman" w:cs="Times New Roman"/>
          <w:color w:val="auto"/>
          <w:sz w:val="24"/>
        </w:rPr>
        <w:t>toku postępowania karnego przed wydłużaniem okresu izolacji z uwagi na niedostatki w</w:t>
      </w:r>
      <w:r w:rsidR="00A76A6B" w:rsidRPr="00C835AB">
        <w:rPr>
          <w:rFonts w:ascii="Times New Roman" w:hAnsi="Times New Roman" w:cs="Times New Roman"/>
          <w:color w:val="auto"/>
          <w:sz w:val="24"/>
        </w:rPr>
        <w:t> </w:t>
      </w:r>
      <w:r w:rsidR="69635A52" w:rsidRPr="00C835AB">
        <w:rPr>
          <w:rFonts w:ascii="Times New Roman" w:hAnsi="Times New Roman" w:cs="Times New Roman"/>
          <w:color w:val="auto"/>
          <w:sz w:val="24"/>
        </w:rPr>
        <w:t>sprawnym procedowaniu ze strony organów procesowych.</w:t>
      </w:r>
    </w:p>
    <w:p w14:paraId="771355E6" w14:textId="561F5542" w:rsidR="00676775" w:rsidRPr="00C835AB" w:rsidRDefault="007F11B8" w:rsidP="00D823D0">
      <w:pPr>
        <w:ind w:firstLine="708"/>
        <w:rPr>
          <w:rFonts w:ascii="Times New Roman" w:hAnsi="Times New Roman" w:cs="Times New Roman"/>
          <w:bCs/>
          <w:color w:val="auto"/>
          <w:sz w:val="24"/>
        </w:rPr>
      </w:pPr>
      <w:r w:rsidRPr="00C835AB">
        <w:rPr>
          <w:rFonts w:ascii="Times New Roman" w:hAnsi="Times New Roman" w:cs="Times New Roman"/>
          <w:color w:val="auto"/>
          <w:sz w:val="24"/>
        </w:rPr>
        <w:t xml:space="preserve">Proponowana zmiana wprost do treści </w:t>
      </w:r>
      <w:r w:rsidR="00676775" w:rsidRPr="00C835AB">
        <w:rPr>
          <w:rFonts w:ascii="Times New Roman" w:hAnsi="Times New Roman" w:cs="Times New Roman"/>
          <w:color w:val="auto"/>
          <w:sz w:val="24"/>
        </w:rPr>
        <w:t xml:space="preserve">art. 263 § 2 k.p.k. </w:t>
      </w:r>
      <w:r w:rsidRPr="00C835AB">
        <w:rPr>
          <w:rFonts w:ascii="Times New Roman" w:hAnsi="Times New Roman" w:cs="Times New Roman"/>
          <w:color w:val="auto"/>
          <w:sz w:val="24"/>
        </w:rPr>
        <w:t>wprowadza zapis o potrzebie oceny przez sąd sprawności postępowania przygotowawczego, a także wskazuje kryteria tej</w:t>
      </w:r>
      <w:r w:rsidR="00DA6B6A">
        <w:rPr>
          <w:rFonts w:ascii="Times New Roman" w:hAnsi="Times New Roman" w:cs="Times New Roman"/>
          <w:color w:val="auto"/>
          <w:sz w:val="24"/>
        </w:rPr>
        <w:t> </w:t>
      </w:r>
      <w:r w:rsidRPr="00C835AB">
        <w:rPr>
          <w:rFonts w:ascii="Times New Roman" w:hAnsi="Times New Roman" w:cs="Times New Roman"/>
          <w:color w:val="auto"/>
          <w:sz w:val="24"/>
        </w:rPr>
        <w:t>oceny.</w:t>
      </w:r>
      <w:r w:rsidR="00662587"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Sąd będzie zobowiązany do zbadania w jakim</w:t>
      </w:r>
      <w:r w:rsidRPr="00C835AB">
        <w:rPr>
          <w:rFonts w:ascii="Times New Roman" w:hAnsi="Times New Roman" w:cs="Times New Roman"/>
          <w:bCs/>
          <w:color w:val="auto"/>
          <w:sz w:val="24"/>
        </w:rPr>
        <w:t xml:space="preserve"> stopniu zrealizowano planowane czynności procesowe, wskazywane uprzednio we wniosku o zastosowanie i ewentualnych wcześniejszych wnioskach o przedłużenie tymczasowego aresztowania. Nadto będzie musiał zważyć okoliczności wskazane jako powody, dla których określonych czynności dotąd nie</w:t>
      </w:r>
      <w:r w:rsidR="00DA6B6A">
        <w:rPr>
          <w:rFonts w:ascii="Times New Roman" w:hAnsi="Times New Roman" w:cs="Times New Roman"/>
          <w:bCs/>
          <w:color w:val="auto"/>
          <w:sz w:val="24"/>
        </w:rPr>
        <w:t> </w:t>
      </w:r>
      <w:r w:rsidRPr="00C835AB">
        <w:rPr>
          <w:rFonts w:ascii="Times New Roman" w:hAnsi="Times New Roman" w:cs="Times New Roman"/>
          <w:bCs/>
          <w:color w:val="auto"/>
          <w:sz w:val="24"/>
        </w:rPr>
        <w:t>wykonano lub nie ukończono. Jeżeli uzna, że postępowanie jest źle prowadzone lub jego organizacja jest nieefektywna – będzie w pełni uprawniony do odmowy przedłużenia tymczasowego aresztowania.</w:t>
      </w:r>
      <w:r w:rsidR="00662587" w:rsidRPr="00C835AB">
        <w:rPr>
          <w:rFonts w:ascii="Times New Roman" w:hAnsi="Times New Roman" w:cs="Times New Roman"/>
          <w:bCs/>
          <w:color w:val="auto"/>
          <w:sz w:val="24"/>
        </w:rPr>
        <w:t xml:space="preserve"> </w:t>
      </w:r>
      <w:r w:rsidRPr="00C835AB">
        <w:rPr>
          <w:rFonts w:ascii="Times New Roman" w:hAnsi="Times New Roman" w:cs="Times New Roman"/>
          <w:bCs/>
          <w:color w:val="auto"/>
          <w:sz w:val="24"/>
        </w:rPr>
        <w:t>Zmiana regulacji winna też wpłynąć na kształt wniosków o</w:t>
      </w:r>
      <w:r w:rsidR="00A76A6B" w:rsidRPr="00C835AB">
        <w:rPr>
          <w:rFonts w:ascii="Times New Roman" w:hAnsi="Times New Roman" w:cs="Times New Roman"/>
          <w:bCs/>
          <w:color w:val="auto"/>
          <w:sz w:val="24"/>
        </w:rPr>
        <w:t> </w:t>
      </w:r>
      <w:r w:rsidRPr="00C835AB">
        <w:rPr>
          <w:rFonts w:ascii="Times New Roman" w:hAnsi="Times New Roman" w:cs="Times New Roman"/>
          <w:bCs/>
          <w:color w:val="auto"/>
          <w:sz w:val="24"/>
        </w:rPr>
        <w:t>przedłużenie izolacji. Zgodnie z zamierzeniem powinny one mieć charakter relacyjny, ale</w:t>
      </w:r>
      <w:r w:rsidR="00DA6B6A">
        <w:rPr>
          <w:rFonts w:ascii="Times New Roman" w:hAnsi="Times New Roman" w:cs="Times New Roman"/>
          <w:bCs/>
          <w:color w:val="auto"/>
          <w:sz w:val="24"/>
        </w:rPr>
        <w:t> </w:t>
      </w:r>
      <w:r w:rsidRPr="00C835AB">
        <w:rPr>
          <w:rFonts w:ascii="Times New Roman" w:hAnsi="Times New Roman" w:cs="Times New Roman"/>
          <w:bCs/>
          <w:color w:val="auto"/>
          <w:sz w:val="24"/>
        </w:rPr>
        <w:t>z</w:t>
      </w:r>
      <w:r w:rsidR="00A76A6B" w:rsidRPr="00C835AB">
        <w:rPr>
          <w:rFonts w:ascii="Times New Roman" w:hAnsi="Times New Roman" w:cs="Times New Roman"/>
          <w:bCs/>
          <w:color w:val="auto"/>
          <w:sz w:val="24"/>
        </w:rPr>
        <w:t> </w:t>
      </w:r>
      <w:r w:rsidRPr="00C835AB">
        <w:rPr>
          <w:rFonts w:ascii="Times New Roman" w:hAnsi="Times New Roman" w:cs="Times New Roman"/>
          <w:bCs/>
          <w:color w:val="auto"/>
          <w:sz w:val="24"/>
        </w:rPr>
        <w:t>mocnym akcentem rozliczenia dotychczasowego okresu aresztowania przez prezentację efektywności postępowania. Jeżeli jakichś czynności nie zdołano przeprowadzić lub dokończyć – niezbędne będzie wyjaśnienie przyczyn, a w dalszej kolejności – realna prognoza terminu wykonania lub dokończenia, ze świadomością, że deklaracje te zostaną zweryfikowane po</w:t>
      </w:r>
      <w:r w:rsidR="00DA6B6A">
        <w:rPr>
          <w:rFonts w:ascii="Times New Roman" w:hAnsi="Times New Roman" w:cs="Times New Roman"/>
          <w:bCs/>
          <w:color w:val="auto"/>
          <w:sz w:val="24"/>
        </w:rPr>
        <w:t> </w:t>
      </w:r>
      <w:r w:rsidRPr="00C835AB">
        <w:rPr>
          <w:rFonts w:ascii="Times New Roman" w:hAnsi="Times New Roman" w:cs="Times New Roman"/>
          <w:bCs/>
          <w:color w:val="auto"/>
          <w:sz w:val="24"/>
        </w:rPr>
        <w:t>upływie kolejnego okresu aresztowania, w przypadku uwzględnienia wniosku. Ma</w:t>
      </w:r>
      <w:r w:rsidR="00DA6B6A">
        <w:rPr>
          <w:rFonts w:ascii="Times New Roman" w:hAnsi="Times New Roman" w:cs="Times New Roman"/>
          <w:bCs/>
          <w:color w:val="auto"/>
          <w:sz w:val="24"/>
        </w:rPr>
        <w:t> </w:t>
      </w:r>
      <w:r w:rsidRPr="00C835AB">
        <w:rPr>
          <w:rFonts w:ascii="Times New Roman" w:hAnsi="Times New Roman" w:cs="Times New Roman"/>
          <w:bCs/>
          <w:color w:val="auto"/>
          <w:sz w:val="24"/>
        </w:rPr>
        <w:t>to</w:t>
      </w:r>
      <w:r w:rsidR="00DA6B6A">
        <w:rPr>
          <w:rFonts w:ascii="Times New Roman" w:hAnsi="Times New Roman" w:cs="Times New Roman"/>
          <w:bCs/>
          <w:color w:val="auto"/>
          <w:sz w:val="24"/>
        </w:rPr>
        <w:t> </w:t>
      </w:r>
      <w:r w:rsidRPr="00C835AB">
        <w:rPr>
          <w:rFonts w:ascii="Times New Roman" w:hAnsi="Times New Roman" w:cs="Times New Roman"/>
          <w:bCs/>
          <w:color w:val="auto"/>
          <w:sz w:val="24"/>
        </w:rPr>
        <w:t>doprowadzić w istocie do decyzji o zmianie środka zapobiegawczego na wolnościowy</w:t>
      </w:r>
      <w:r w:rsidR="001C1C7E" w:rsidRPr="00C835AB">
        <w:rPr>
          <w:rFonts w:ascii="Times New Roman" w:hAnsi="Times New Roman" w:cs="Times New Roman"/>
          <w:bCs/>
          <w:color w:val="auto"/>
          <w:sz w:val="24"/>
        </w:rPr>
        <w:t>,</w:t>
      </w:r>
      <w:r w:rsidRPr="00C835AB">
        <w:rPr>
          <w:rFonts w:ascii="Times New Roman" w:hAnsi="Times New Roman" w:cs="Times New Roman"/>
          <w:bCs/>
          <w:color w:val="auto"/>
          <w:sz w:val="24"/>
        </w:rPr>
        <w:t xml:space="preserve"> gdy zawodzi organizacja postępowania i wyeliminować powtarzanie w kolejnych wnioskach tych samych czynności do wykonania, bez wyjaśnienia powodów braku ich dotychczasowej realizacji. </w:t>
      </w:r>
    </w:p>
    <w:p w14:paraId="1F52ADA0" w14:textId="7F24FA98" w:rsidR="007F11B8" w:rsidRPr="00C835AB" w:rsidRDefault="007F11B8" w:rsidP="00D823D0">
      <w:pPr>
        <w:ind w:firstLine="708"/>
        <w:rPr>
          <w:rFonts w:ascii="Times New Roman" w:hAnsi="Times New Roman" w:cs="Times New Roman"/>
          <w:bCs/>
          <w:color w:val="auto"/>
          <w:sz w:val="24"/>
        </w:rPr>
      </w:pPr>
      <w:r w:rsidRPr="00C835AB">
        <w:rPr>
          <w:rFonts w:ascii="Times New Roman" w:hAnsi="Times New Roman" w:cs="Times New Roman"/>
          <w:bCs/>
          <w:color w:val="auto"/>
          <w:sz w:val="24"/>
        </w:rPr>
        <w:lastRenderedPageBreak/>
        <w:t>Analogiczne badanie przebiegu postępowania będzie miało miejsce w przypadkach, gdy</w:t>
      </w:r>
      <w:r w:rsidR="00DA6B6A">
        <w:rPr>
          <w:rFonts w:ascii="Times New Roman" w:hAnsi="Times New Roman" w:cs="Times New Roman"/>
          <w:bCs/>
          <w:color w:val="auto"/>
          <w:sz w:val="24"/>
        </w:rPr>
        <w:t> </w:t>
      </w:r>
      <w:r w:rsidRPr="00C835AB">
        <w:rPr>
          <w:rFonts w:ascii="Times New Roman" w:hAnsi="Times New Roman" w:cs="Times New Roman"/>
          <w:bCs/>
          <w:color w:val="auto"/>
          <w:sz w:val="24"/>
        </w:rPr>
        <w:t xml:space="preserve">z uwagi na termin stosowania tymczasowego aresztowania właściwym do rozpoznania wniosku będzie już </w:t>
      </w:r>
      <w:r w:rsidR="00676775" w:rsidRPr="00C835AB">
        <w:rPr>
          <w:rFonts w:ascii="Times New Roman" w:hAnsi="Times New Roman" w:cs="Times New Roman"/>
          <w:bCs/>
          <w:color w:val="auto"/>
          <w:sz w:val="24"/>
        </w:rPr>
        <w:t>s</w:t>
      </w:r>
      <w:r w:rsidRPr="00C835AB">
        <w:rPr>
          <w:rFonts w:ascii="Times New Roman" w:hAnsi="Times New Roman" w:cs="Times New Roman"/>
          <w:bCs/>
          <w:color w:val="auto"/>
          <w:sz w:val="24"/>
        </w:rPr>
        <w:t xml:space="preserve">ąd </w:t>
      </w:r>
      <w:r w:rsidR="00676775" w:rsidRPr="00C835AB">
        <w:rPr>
          <w:rFonts w:ascii="Times New Roman" w:hAnsi="Times New Roman" w:cs="Times New Roman"/>
          <w:bCs/>
          <w:color w:val="auto"/>
          <w:sz w:val="24"/>
        </w:rPr>
        <w:t>a</w:t>
      </w:r>
      <w:r w:rsidRPr="00C835AB">
        <w:rPr>
          <w:rFonts w:ascii="Times New Roman" w:hAnsi="Times New Roman" w:cs="Times New Roman"/>
          <w:bCs/>
          <w:color w:val="auto"/>
          <w:sz w:val="24"/>
        </w:rPr>
        <w:t>pelacyjny.</w:t>
      </w:r>
    </w:p>
    <w:p w14:paraId="12A8DE07" w14:textId="3C80790F" w:rsidR="00C572CA" w:rsidRPr="00C835AB" w:rsidRDefault="00C572CA" w:rsidP="00D823D0">
      <w:pPr>
        <w:ind w:firstLine="708"/>
        <w:rPr>
          <w:rFonts w:ascii="Times New Roman" w:hAnsi="Times New Roman" w:cs="Times New Roman"/>
          <w:bCs/>
          <w:color w:val="auto"/>
          <w:sz w:val="24"/>
        </w:rPr>
      </w:pPr>
    </w:p>
    <w:p w14:paraId="543FC78B" w14:textId="01E8B496" w:rsidR="00C572CA" w:rsidRPr="00C835AB" w:rsidRDefault="237D32EA"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 xml:space="preserve"> Art. 263 § 8</w:t>
      </w:r>
      <w:r w:rsidR="00676775" w:rsidRPr="00C835AB">
        <w:rPr>
          <w:rFonts w:ascii="Times New Roman" w:hAnsi="Times New Roman" w:cs="Times New Roman"/>
          <w:b/>
          <w:bCs/>
          <w:color w:val="auto"/>
          <w:sz w:val="24"/>
        </w:rPr>
        <w:t xml:space="preserve"> k.p.k.</w:t>
      </w:r>
    </w:p>
    <w:p w14:paraId="6C6AB21C" w14:textId="2917A249" w:rsidR="00C572CA" w:rsidRPr="00C835AB" w:rsidRDefault="002D10CF" w:rsidP="00D823D0">
      <w:pPr>
        <w:ind w:firstLine="708"/>
        <w:rPr>
          <w:rFonts w:ascii="Times New Roman" w:hAnsi="Times New Roman" w:cs="Times New Roman"/>
          <w:bCs/>
          <w:color w:val="auto"/>
          <w:sz w:val="24"/>
        </w:rPr>
      </w:pPr>
      <w:r w:rsidRPr="00C835AB">
        <w:rPr>
          <w:rFonts w:ascii="Times New Roman" w:hAnsi="Times New Roman" w:cs="Times New Roman"/>
          <w:bCs/>
          <w:color w:val="auto"/>
          <w:sz w:val="24"/>
        </w:rPr>
        <w:t>Projektowana z</w:t>
      </w:r>
      <w:r w:rsidR="00C572CA" w:rsidRPr="00C835AB">
        <w:rPr>
          <w:rFonts w:ascii="Times New Roman" w:hAnsi="Times New Roman" w:cs="Times New Roman"/>
          <w:bCs/>
          <w:color w:val="auto"/>
          <w:sz w:val="24"/>
        </w:rPr>
        <w:t xml:space="preserve">miana </w:t>
      </w:r>
      <w:r w:rsidR="00112AC4" w:rsidRPr="00C835AB">
        <w:rPr>
          <w:rFonts w:ascii="Times New Roman" w:hAnsi="Times New Roman" w:cs="Times New Roman"/>
          <w:bCs/>
          <w:color w:val="auto"/>
          <w:sz w:val="24"/>
        </w:rPr>
        <w:t xml:space="preserve">art. 263 </w:t>
      </w:r>
      <w:r w:rsidR="00C572CA" w:rsidRPr="00C835AB">
        <w:rPr>
          <w:rFonts w:ascii="Times New Roman" w:hAnsi="Times New Roman" w:cs="Times New Roman"/>
          <w:bCs/>
          <w:color w:val="auto"/>
          <w:sz w:val="24"/>
        </w:rPr>
        <w:t xml:space="preserve">§ 8 </w:t>
      </w:r>
      <w:r w:rsidR="00112AC4" w:rsidRPr="00C835AB">
        <w:rPr>
          <w:rFonts w:ascii="Times New Roman" w:hAnsi="Times New Roman" w:cs="Times New Roman"/>
          <w:bCs/>
          <w:color w:val="auto"/>
          <w:sz w:val="24"/>
        </w:rPr>
        <w:t xml:space="preserve">k.p.k. </w:t>
      </w:r>
      <w:r w:rsidR="00C572CA" w:rsidRPr="00C835AB">
        <w:rPr>
          <w:rFonts w:ascii="Times New Roman" w:hAnsi="Times New Roman" w:cs="Times New Roman"/>
          <w:bCs/>
          <w:color w:val="auto"/>
          <w:sz w:val="24"/>
        </w:rPr>
        <w:t xml:space="preserve">przez dodanie </w:t>
      </w:r>
      <w:r w:rsidR="00112AC4" w:rsidRPr="00C835AB">
        <w:rPr>
          <w:rFonts w:ascii="Times New Roman" w:hAnsi="Times New Roman" w:cs="Times New Roman"/>
          <w:bCs/>
          <w:color w:val="auto"/>
          <w:sz w:val="24"/>
        </w:rPr>
        <w:t xml:space="preserve">art. 261 </w:t>
      </w:r>
      <w:r w:rsidR="001C1C7E" w:rsidRPr="00C835AB">
        <w:rPr>
          <w:rFonts w:ascii="Times New Roman" w:hAnsi="Times New Roman" w:cs="Times New Roman"/>
          <w:bCs/>
          <w:color w:val="auto"/>
          <w:sz w:val="24"/>
        </w:rPr>
        <w:t xml:space="preserve">§ </w:t>
      </w:r>
      <w:r w:rsidR="00C572CA" w:rsidRPr="00C835AB">
        <w:rPr>
          <w:rFonts w:ascii="Times New Roman" w:hAnsi="Times New Roman" w:cs="Times New Roman"/>
          <w:bCs/>
          <w:color w:val="auto"/>
          <w:sz w:val="24"/>
        </w:rPr>
        <w:t xml:space="preserve">1a </w:t>
      </w:r>
      <w:r w:rsidR="00112AC4" w:rsidRPr="00C835AB">
        <w:rPr>
          <w:rFonts w:ascii="Times New Roman" w:hAnsi="Times New Roman" w:cs="Times New Roman"/>
          <w:bCs/>
          <w:color w:val="auto"/>
          <w:sz w:val="24"/>
        </w:rPr>
        <w:t xml:space="preserve">k.p.k. </w:t>
      </w:r>
      <w:r w:rsidR="00C572CA" w:rsidRPr="00C835AB">
        <w:rPr>
          <w:rFonts w:ascii="Times New Roman" w:hAnsi="Times New Roman" w:cs="Times New Roman"/>
          <w:bCs/>
          <w:color w:val="auto"/>
          <w:sz w:val="24"/>
        </w:rPr>
        <w:t xml:space="preserve">ma charakter zmiany </w:t>
      </w:r>
      <w:r w:rsidR="00B07C26" w:rsidRPr="00C835AB">
        <w:rPr>
          <w:rFonts w:ascii="Times New Roman" w:hAnsi="Times New Roman" w:cs="Times New Roman"/>
          <w:bCs/>
          <w:color w:val="auto"/>
          <w:sz w:val="24"/>
        </w:rPr>
        <w:t>wynikowej w związku</w:t>
      </w:r>
      <w:r w:rsidR="00C572CA" w:rsidRPr="00C835AB">
        <w:rPr>
          <w:rFonts w:ascii="Times New Roman" w:hAnsi="Times New Roman" w:cs="Times New Roman"/>
          <w:bCs/>
          <w:color w:val="auto"/>
          <w:sz w:val="24"/>
        </w:rPr>
        <w:t xml:space="preserve"> z dodania tego </w:t>
      </w:r>
      <w:r w:rsidR="00112AC4" w:rsidRPr="00C835AB">
        <w:rPr>
          <w:rFonts w:ascii="Times New Roman" w:hAnsi="Times New Roman" w:cs="Times New Roman"/>
          <w:bCs/>
          <w:color w:val="auto"/>
          <w:sz w:val="24"/>
        </w:rPr>
        <w:t>przepisu</w:t>
      </w:r>
      <w:r w:rsidR="00C572CA" w:rsidRPr="00C835AB">
        <w:rPr>
          <w:rFonts w:ascii="Times New Roman" w:hAnsi="Times New Roman" w:cs="Times New Roman"/>
          <w:bCs/>
          <w:color w:val="auto"/>
          <w:sz w:val="24"/>
        </w:rPr>
        <w:t xml:space="preserve"> w art. 261</w:t>
      </w:r>
      <w:r w:rsidR="00312965" w:rsidRPr="00C835AB">
        <w:rPr>
          <w:rFonts w:ascii="Times New Roman" w:hAnsi="Times New Roman" w:cs="Times New Roman"/>
          <w:bCs/>
          <w:color w:val="auto"/>
          <w:sz w:val="24"/>
        </w:rPr>
        <w:t xml:space="preserve"> k.p.k</w:t>
      </w:r>
      <w:r w:rsidR="00C572CA" w:rsidRPr="00C835AB">
        <w:rPr>
          <w:rFonts w:ascii="Times New Roman" w:hAnsi="Times New Roman" w:cs="Times New Roman"/>
          <w:bCs/>
          <w:color w:val="auto"/>
          <w:sz w:val="24"/>
        </w:rPr>
        <w:t>.</w:t>
      </w:r>
    </w:p>
    <w:p w14:paraId="3E80B992" w14:textId="77777777" w:rsidR="00725EFD" w:rsidRPr="00C835AB" w:rsidRDefault="00725EFD" w:rsidP="00D823D0">
      <w:pPr>
        <w:ind w:firstLine="708"/>
        <w:rPr>
          <w:rFonts w:ascii="Times New Roman" w:hAnsi="Times New Roman" w:cs="Times New Roman"/>
          <w:bCs/>
          <w:color w:val="auto"/>
          <w:sz w:val="24"/>
        </w:rPr>
      </w:pPr>
    </w:p>
    <w:p w14:paraId="4313C522" w14:textId="34000E7D" w:rsidR="00725EFD" w:rsidRPr="00C835AB" w:rsidRDefault="76AEF27F"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A</w:t>
      </w:r>
      <w:r w:rsidR="4587417C" w:rsidRPr="00C835AB">
        <w:rPr>
          <w:rFonts w:ascii="Times New Roman" w:hAnsi="Times New Roman" w:cs="Times New Roman"/>
          <w:b/>
          <w:bCs/>
          <w:color w:val="auto"/>
          <w:sz w:val="24"/>
        </w:rPr>
        <w:t>rt. 266</w:t>
      </w:r>
      <w:r w:rsidR="285BF265" w:rsidRPr="00C835AB">
        <w:rPr>
          <w:rFonts w:ascii="Times New Roman" w:hAnsi="Times New Roman" w:cs="Times New Roman"/>
          <w:b/>
          <w:bCs/>
          <w:color w:val="auto"/>
          <w:sz w:val="24"/>
        </w:rPr>
        <w:t xml:space="preserve"> </w:t>
      </w:r>
      <w:r w:rsidR="003B6DDC" w:rsidRPr="00C835AB">
        <w:rPr>
          <w:rFonts w:ascii="Times New Roman" w:hAnsi="Times New Roman" w:cs="Times New Roman"/>
          <w:b/>
          <w:bCs/>
          <w:color w:val="auto"/>
          <w:sz w:val="24"/>
        </w:rPr>
        <w:t>§ 1a i § 3 k.p.k.</w:t>
      </w:r>
    </w:p>
    <w:p w14:paraId="3F95ED50" w14:textId="2908E627" w:rsidR="00835D6C" w:rsidRPr="00C835AB" w:rsidRDefault="008D63FA"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Projektowana z</w:t>
      </w:r>
      <w:r w:rsidR="00835D6C" w:rsidRPr="00C835AB">
        <w:rPr>
          <w:rFonts w:ascii="Times New Roman" w:hAnsi="Times New Roman" w:cs="Times New Roman"/>
          <w:color w:val="auto"/>
          <w:sz w:val="24"/>
        </w:rPr>
        <w:t>miana art. 266 k.p.k. polega na rezygnacji z regulacji uzależniającej przyjęcie poręczenia majątkowego od wykazania, że przedmiot poręczenia majątkowego nie</w:t>
      </w:r>
      <w:r w:rsidR="00DA6B6A">
        <w:rPr>
          <w:rFonts w:ascii="Times New Roman" w:hAnsi="Times New Roman" w:cs="Times New Roman"/>
          <w:color w:val="auto"/>
          <w:sz w:val="24"/>
          <w:shd w:val="clear" w:color="auto" w:fill="FFFFFF"/>
        </w:rPr>
        <w:t> </w:t>
      </w:r>
      <w:r w:rsidR="00835D6C" w:rsidRPr="00C835AB">
        <w:rPr>
          <w:rFonts w:ascii="Times New Roman" w:hAnsi="Times New Roman" w:cs="Times New Roman"/>
          <w:color w:val="auto"/>
          <w:sz w:val="24"/>
          <w:shd w:val="clear" w:color="auto" w:fill="FFFFFF"/>
        </w:rPr>
        <w:t xml:space="preserve">pochodzi z przysporzenia na rzecz oskarżonego albo innej osoby składającej poręczenie dokonanego na ten cel. W ocenie projektodawcy uzasadniony jest powrót do wersji art. 266 k.p.k. obowiązującej do dnia </w:t>
      </w:r>
      <w:r w:rsidR="00835D6C" w:rsidRPr="00C835AB">
        <w:rPr>
          <w:rFonts w:ascii="Times New Roman" w:hAnsi="Times New Roman" w:cs="Times New Roman"/>
          <w:color w:val="auto"/>
          <w:sz w:val="24"/>
        </w:rPr>
        <w:t xml:space="preserve">21 czerwca 2021 r. z dodatkowym wskazaniem w </w:t>
      </w:r>
      <w:r w:rsidR="00835D6C" w:rsidRPr="00C835AB">
        <w:rPr>
          <w:rFonts w:ascii="Times New Roman" w:hAnsi="Times New Roman" w:cs="Times New Roman"/>
          <w:bCs/>
          <w:color w:val="auto"/>
          <w:sz w:val="24"/>
        </w:rPr>
        <w:t>§ 1a, że w razie zastosowania poręczenia majątkowego w postępowaniu przygotowawczym przez sąd przyjęcia przedmiotu tego poręczenia dokonuje prokurator.</w:t>
      </w:r>
      <w:r w:rsidR="00835D6C" w:rsidRPr="00C835AB">
        <w:rPr>
          <w:rFonts w:ascii="Times New Roman" w:hAnsi="Times New Roman" w:cs="Times New Roman"/>
          <w:color w:val="auto"/>
          <w:sz w:val="24"/>
        </w:rPr>
        <w:t xml:space="preserve"> Problemy dowodowe i uznaniowość, która może prowadzić do różnych ocen tych samych stanów faktycznych, prowadzi do wniosku, że</w:t>
      </w:r>
      <w:r w:rsidR="00DA6B6A">
        <w:rPr>
          <w:rFonts w:ascii="Times New Roman" w:hAnsi="Times New Roman" w:cs="Times New Roman"/>
          <w:color w:val="auto"/>
          <w:sz w:val="24"/>
        </w:rPr>
        <w:t> </w:t>
      </w:r>
      <w:r w:rsidR="00835D6C" w:rsidRPr="00C835AB">
        <w:rPr>
          <w:rFonts w:ascii="Times New Roman" w:hAnsi="Times New Roman" w:cs="Times New Roman"/>
          <w:color w:val="auto"/>
          <w:sz w:val="24"/>
        </w:rPr>
        <w:t>wymóg wykazania źródła pochodzenia przedmiotu poręczenia może skutkować faktyczną niemożnością jego złożenia, co z kolei niekorzystnie rzutuje na sytuację procesową oskarżonego. Co więcej, obecna regulacja niesie ryzyko jej instrumentalnego stosowania przez</w:t>
      </w:r>
      <w:r w:rsidR="00DA6B6A">
        <w:rPr>
          <w:rFonts w:ascii="Times New Roman" w:hAnsi="Times New Roman" w:cs="Times New Roman"/>
          <w:color w:val="auto"/>
          <w:sz w:val="24"/>
        </w:rPr>
        <w:t> </w:t>
      </w:r>
      <w:r w:rsidR="00835D6C" w:rsidRPr="00C835AB">
        <w:rPr>
          <w:rFonts w:ascii="Times New Roman" w:hAnsi="Times New Roman" w:cs="Times New Roman"/>
          <w:color w:val="auto"/>
          <w:sz w:val="24"/>
        </w:rPr>
        <w:t>odmowę przyjęcia przedmiotu poręczenia w celu niejako „wymuszenia” zastosowania tymczasowego aresztowania.</w:t>
      </w:r>
    </w:p>
    <w:p w14:paraId="46FC9762" w14:textId="77777777" w:rsidR="001C1C7E" w:rsidRPr="00C835AB" w:rsidRDefault="001C1C7E" w:rsidP="00D823D0">
      <w:pPr>
        <w:rPr>
          <w:rFonts w:ascii="Times New Roman" w:hAnsi="Times New Roman" w:cs="Times New Roman"/>
          <w:bCs/>
          <w:color w:val="auto"/>
          <w:sz w:val="24"/>
        </w:rPr>
      </w:pPr>
    </w:p>
    <w:p w14:paraId="66882127" w14:textId="4402BE3B" w:rsidR="0037634E" w:rsidRPr="00C835AB" w:rsidRDefault="0037634E" w:rsidP="00D823D0">
      <w:pPr>
        <w:pStyle w:val="ZUSTzmustartykuempunktem"/>
        <w:ind w:left="0" w:firstLine="720"/>
        <w:rPr>
          <w:rFonts w:ascii="Times New Roman" w:hAnsi="Times New Roman" w:cs="Times New Roman"/>
          <w:szCs w:val="24"/>
        </w:rPr>
      </w:pPr>
      <w:r w:rsidRPr="00C835AB">
        <w:rPr>
          <w:rFonts w:ascii="Times New Roman" w:hAnsi="Times New Roman" w:cs="Times New Roman"/>
          <w:b/>
          <w:bCs/>
          <w:szCs w:val="24"/>
          <w:shd w:val="clear" w:color="auto" w:fill="FFFFFF"/>
        </w:rPr>
        <w:t>Art.</w:t>
      </w:r>
      <w:r w:rsidRPr="00C835AB">
        <w:rPr>
          <w:rFonts w:ascii="Times New Roman" w:eastAsia="Times New Roman" w:hAnsi="Times New Roman" w:cs="Times New Roman"/>
          <w:b/>
          <w:bCs/>
          <w:szCs w:val="24"/>
          <w:shd w:val="clear" w:color="auto" w:fill="FFFFFF"/>
        </w:rPr>
        <w:t xml:space="preserve"> 276a</w:t>
      </w:r>
      <w:r w:rsidR="003B6DDC" w:rsidRPr="00C835AB">
        <w:rPr>
          <w:rFonts w:ascii="Times New Roman" w:eastAsia="Times New Roman" w:hAnsi="Times New Roman" w:cs="Times New Roman"/>
          <w:b/>
          <w:bCs/>
          <w:szCs w:val="24"/>
          <w:shd w:val="clear" w:color="auto" w:fill="FFFFFF"/>
        </w:rPr>
        <w:t xml:space="preserve"> k.p.k.</w:t>
      </w:r>
    </w:p>
    <w:p w14:paraId="72923D51" w14:textId="3E65CC23" w:rsidR="0037634E" w:rsidRPr="00C835AB" w:rsidRDefault="0037634E" w:rsidP="00603A64">
      <w:pPr>
        <w:ind w:firstLine="720"/>
        <w:rPr>
          <w:rFonts w:ascii="Times New Roman" w:hAnsi="Times New Roman" w:cs="Times New Roman"/>
          <w:color w:val="auto"/>
          <w:sz w:val="24"/>
          <w:shd w:val="clear" w:color="auto" w:fill="FFFFFF"/>
        </w:rPr>
      </w:pPr>
      <w:r w:rsidRPr="00C835AB">
        <w:rPr>
          <w:rFonts w:ascii="Times New Roman" w:eastAsia="Times New Roman" w:hAnsi="Times New Roman" w:cs="Times New Roman"/>
          <w:color w:val="auto"/>
          <w:sz w:val="24"/>
          <w:shd w:val="clear" w:color="auto" w:fill="FFFFFF"/>
          <w:lang w:eastAsia="pl-PL"/>
        </w:rPr>
        <w:t xml:space="preserve">Środek zapobiegawczy przewidziany </w:t>
      </w:r>
      <w:r w:rsidR="000E6647" w:rsidRPr="00C835AB">
        <w:rPr>
          <w:rFonts w:ascii="Times New Roman" w:eastAsia="Times New Roman" w:hAnsi="Times New Roman" w:cs="Times New Roman"/>
          <w:color w:val="auto"/>
          <w:sz w:val="24"/>
          <w:shd w:val="clear" w:color="auto" w:fill="FFFFFF"/>
          <w:lang w:eastAsia="pl-PL"/>
        </w:rPr>
        <w:t xml:space="preserve">w </w:t>
      </w:r>
      <w:r w:rsidR="008D63FA" w:rsidRPr="00C835AB">
        <w:rPr>
          <w:rFonts w:ascii="Times New Roman" w:eastAsia="Times New Roman" w:hAnsi="Times New Roman" w:cs="Times New Roman"/>
          <w:color w:val="auto"/>
          <w:sz w:val="24"/>
          <w:shd w:val="clear" w:color="auto" w:fill="FFFFFF"/>
          <w:lang w:eastAsia="pl-PL"/>
        </w:rPr>
        <w:t xml:space="preserve">art. 276a k.p.k. </w:t>
      </w:r>
      <w:r w:rsidRPr="00C835AB">
        <w:rPr>
          <w:rFonts w:ascii="Times New Roman" w:eastAsia="Times New Roman" w:hAnsi="Times New Roman" w:cs="Times New Roman"/>
          <w:color w:val="auto"/>
          <w:sz w:val="24"/>
          <w:shd w:val="clear" w:color="auto" w:fill="FFFFFF"/>
          <w:lang w:eastAsia="pl-PL"/>
        </w:rPr>
        <w:t>został wprowadzony do</w:t>
      </w:r>
      <w:r w:rsidR="00DA6B6A">
        <w:rPr>
          <w:rFonts w:ascii="Times New Roman" w:eastAsia="Times New Roman" w:hAnsi="Times New Roman" w:cs="Times New Roman"/>
          <w:color w:val="auto"/>
          <w:sz w:val="24"/>
          <w:shd w:val="clear" w:color="auto" w:fill="FFFFFF"/>
          <w:lang w:eastAsia="pl-PL"/>
        </w:rPr>
        <w:t> </w:t>
      </w:r>
      <w:r w:rsidR="00312965" w:rsidRPr="00C835AB">
        <w:rPr>
          <w:rFonts w:ascii="Times New Roman" w:eastAsia="Times New Roman" w:hAnsi="Times New Roman" w:cs="Times New Roman"/>
          <w:color w:val="auto"/>
          <w:sz w:val="24"/>
          <w:shd w:val="clear" w:color="auto" w:fill="FFFFFF"/>
          <w:lang w:eastAsia="pl-PL"/>
        </w:rPr>
        <w:t>Kodeksu postępowania karnego</w:t>
      </w:r>
      <w:r w:rsidRPr="00C835AB">
        <w:rPr>
          <w:rFonts w:ascii="Times New Roman" w:eastAsia="Times New Roman" w:hAnsi="Times New Roman" w:cs="Times New Roman"/>
          <w:color w:val="auto"/>
          <w:sz w:val="24"/>
          <w:shd w:val="clear" w:color="auto" w:fill="FFFFFF"/>
          <w:lang w:eastAsia="pl-PL"/>
        </w:rPr>
        <w:t xml:space="preserve"> tzw. ustawą covidową, ewidentnie w związku z</w:t>
      </w:r>
      <w:r w:rsidR="00DA6B6A">
        <w:rPr>
          <w:rFonts w:ascii="Times New Roman" w:eastAsia="Times New Roman" w:hAnsi="Times New Roman" w:cs="Times New Roman"/>
          <w:color w:val="auto"/>
          <w:sz w:val="24"/>
          <w:shd w:val="clear" w:color="auto" w:fill="FFFFFF"/>
          <w:lang w:eastAsia="pl-PL"/>
        </w:rPr>
        <w:t> </w:t>
      </w:r>
      <w:r w:rsidRPr="00C835AB">
        <w:rPr>
          <w:rFonts w:ascii="Times New Roman" w:eastAsia="Times New Roman" w:hAnsi="Times New Roman" w:cs="Times New Roman"/>
          <w:color w:val="auto"/>
          <w:sz w:val="24"/>
          <w:shd w:val="clear" w:color="auto" w:fill="FFFFFF"/>
          <w:lang w:eastAsia="pl-PL"/>
        </w:rPr>
        <w:t>koniecznością szczególnej ochrony personelu medycznego w czasie pandemii COVID</w:t>
      </w:r>
      <w:r w:rsidR="00414C15" w:rsidRPr="00C835AB">
        <w:rPr>
          <w:rFonts w:ascii="Times New Roman" w:eastAsia="Times New Roman" w:hAnsi="Times New Roman" w:cs="Times New Roman"/>
          <w:color w:val="auto"/>
          <w:sz w:val="24"/>
          <w:shd w:val="clear" w:color="auto" w:fill="FFFFFF"/>
          <w:lang w:eastAsia="pl-PL"/>
        </w:rPr>
        <w:t>-</w:t>
      </w:r>
      <w:r w:rsidRPr="00C835AB">
        <w:rPr>
          <w:rFonts w:ascii="Times New Roman" w:eastAsia="Times New Roman" w:hAnsi="Times New Roman" w:cs="Times New Roman"/>
          <w:color w:val="auto"/>
          <w:sz w:val="24"/>
          <w:shd w:val="clear" w:color="auto" w:fill="FFFFFF"/>
          <w:lang w:eastAsia="pl-PL"/>
        </w:rPr>
        <w:t>19. Ustawodawca nie wprowadził go jednak jako rozwiązanie przejściowe, ale na stałe do</w:t>
      </w:r>
      <w:r w:rsidR="00414C15" w:rsidRPr="00C835AB">
        <w:rPr>
          <w:rFonts w:ascii="Times New Roman" w:eastAsia="Times New Roman" w:hAnsi="Times New Roman" w:cs="Times New Roman"/>
          <w:color w:val="auto"/>
          <w:sz w:val="24"/>
          <w:shd w:val="clear" w:color="auto" w:fill="FFFFFF"/>
          <w:lang w:eastAsia="pl-PL"/>
        </w:rPr>
        <w:t xml:space="preserve"> K</w:t>
      </w:r>
      <w:r w:rsidRPr="00C835AB">
        <w:rPr>
          <w:rFonts w:ascii="Times New Roman" w:eastAsia="Times New Roman" w:hAnsi="Times New Roman" w:cs="Times New Roman"/>
          <w:color w:val="auto"/>
          <w:sz w:val="24"/>
          <w:shd w:val="clear" w:color="auto" w:fill="FFFFFF"/>
          <w:lang w:eastAsia="pl-PL"/>
        </w:rPr>
        <w:t>odeksu postępowania karnego. Obecnie, po ustaniu pandemii COVID</w:t>
      </w:r>
      <w:r w:rsidR="00414C15" w:rsidRPr="00C835AB">
        <w:rPr>
          <w:rFonts w:ascii="Times New Roman" w:eastAsia="Times New Roman" w:hAnsi="Times New Roman" w:cs="Times New Roman"/>
          <w:color w:val="auto"/>
          <w:sz w:val="24"/>
          <w:shd w:val="clear" w:color="auto" w:fill="FFFFFF"/>
          <w:lang w:eastAsia="pl-PL"/>
        </w:rPr>
        <w:t>-</w:t>
      </w:r>
      <w:r w:rsidRPr="00C835AB">
        <w:rPr>
          <w:rFonts w:ascii="Times New Roman" w:eastAsia="Times New Roman" w:hAnsi="Times New Roman" w:cs="Times New Roman"/>
          <w:color w:val="auto"/>
          <w:sz w:val="24"/>
          <w:shd w:val="clear" w:color="auto" w:fill="FFFFFF"/>
          <w:lang w:eastAsia="pl-PL"/>
        </w:rPr>
        <w:t>19, brak jest podstaw do</w:t>
      </w:r>
      <w:r w:rsidR="00DA6B6A">
        <w:rPr>
          <w:rFonts w:ascii="Times New Roman" w:eastAsia="Times New Roman" w:hAnsi="Times New Roman" w:cs="Times New Roman"/>
          <w:color w:val="auto"/>
          <w:sz w:val="24"/>
          <w:shd w:val="clear" w:color="auto" w:fill="FFFFFF"/>
          <w:lang w:eastAsia="pl-PL"/>
        </w:rPr>
        <w:t> </w:t>
      </w:r>
      <w:r w:rsidRPr="00C835AB">
        <w:rPr>
          <w:rFonts w:ascii="Times New Roman" w:eastAsia="Times New Roman" w:hAnsi="Times New Roman" w:cs="Times New Roman"/>
          <w:color w:val="auto"/>
          <w:sz w:val="24"/>
          <w:shd w:val="clear" w:color="auto" w:fill="FFFFFF"/>
          <w:lang w:eastAsia="pl-PL"/>
        </w:rPr>
        <w:t xml:space="preserve">dalszego obowiązywania tego przepisu. Istotne jest również to, że przepisy regulujące pozostałe </w:t>
      </w:r>
      <w:proofErr w:type="spellStart"/>
      <w:r w:rsidRPr="00C835AB">
        <w:rPr>
          <w:rFonts w:ascii="Times New Roman" w:eastAsia="Times New Roman" w:hAnsi="Times New Roman" w:cs="Times New Roman"/>
          <w:color w:val="auto"/>
          <w:sz w:val="24"/>
          <w:shd w:val="clear" w:color="auto" w:fill="FFFFFF"/>
          <w:lang w:eastAsia="pl-PL"/>
        </w:rPr>
        <w:t>nieizolacyjne</w:t>
      </w:r>
      <w:proofErr w:type="spellEnd"/>
      <w:r w:rsidRPr="00C835AB">
        <w:rPr>
          <w:rFonts w:ascii="Times New Roman" w:eastAsia="Times New Roman" w:hAnsi="Times New Roman" w:cs="Times New Roman"/>
          <w:color w:val="auto"/>
          <w:sz w:val="24"/>
          <w:shd w:val="clear" w:color="auto" w:fill="FFFFFF"/>
          <w:lang w:eastAsia="pl-PL"/>
        </w:rPr>
        <w:t xml:space="preserve"> środki zapobiegawcze pozwalają na zastosowanie wobec oskarżonego r</w:t>
      </w:r>
      <w:r w:rsidR="000E6647" w:rsidRPr="00C835AB">
        <w:rPr>
          <w:rFonts w:ascii="Times New Roman" w:eastAsia="Times New Roman" w:hAnsi="Times New Roman" w:cs="Times New Roman"/>
          <w:color w:val="auto"/>
          <w:sz w:val="24"/>
          <w:shd w:val="clear" w:color="auto" w:fill="FFFFFF"/>
          <w:lang w:eastAsia="pl-PL"/>
        </w:rPr>
        <w:t>ó</w:t>
      </w:r>
      <w:r w:rsidRPr="00C835AB">
        <w:rPr>
          <w:rFonts w:ascii="Times New Roman" w:eastAsia="Times New Roman" w:hAnsi="Times New Roman" w:cs="Times New Roman"/>
          <w:color w:val="auto"/>
          <w:sz w:val="24"/>
          <w:shd w:val="clear" w:color="auto" w:fill="FFFFFF"/>
          <w:lang w:eastAsia="pl-PL"/>
        </w:rPr>
        <w:t>żnych form ograniczenia jego swobody. W ramach dozoru uregulowanego w art. 275 k.p.k. można przecież obecnie na oskarżonego nałożyć obowiązek polegający na „zak</w:t>
      </w:r>
      <w:r w:rsidRPr="00C835AB">
        <w:rPr>
          <w:rFonts w:ascii="Times New Roman" w:hAnsi="Times New Roman" w:cs="Times New Roman"/>
          <w:color w:val="auto"/>
          <w:sz w:val="24"/>
          <w:shd w:val="clear" w:color="auto" w:fill="FFFFFF"/>
        </w:rPr>
        <w:t xml:space="preserve">azie kontaktowania się z pokrzywdzonym lub z innymi osobami, zakazie zbliżania </w:t>
      </w:r>
      <w:r w:rsidRPr="00C835AB">
        <w:rPr>
          <w:rFonts w:ascii="Times New Roman" w:hAnsi="Times New Roman" w:cs="Times New Roman"/>
          <w:color w:val="auto"/>
          <w:sz w:val="24"/>
          <w:shd w:val="clear" w:color="auto" w:fill="FFFFFF"/>
        </w:rPr>
        <w:lastRenderedPageBreak/>
        <w:t>się</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do</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określonych osób na wskazaną odległość, zakazie przebywania w określonych miejscach, a także na innych ograniczeniach swobody oskarżonego, niezbędnych do</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wykonywania dozoru”. Dodatkowo w ramach środka zapobiegawczego przewidzianego w</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art. 276 k.p.k. można oskarżonego nie tylko „zawiesić w czynnościach służbowych lub</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w</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 xml:space="preserve">wykonywaniu zawodu”, ale także </w:t>
      </w:r>
      <w:r w:rsidR="00414C15" w:rsidRPr="00C835AB">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 xml:space="preserve">nakazać </w:t>
      </w:r>
      <w:r w:rsidR="00414C15" w:rsidRPr="00C835AB">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mu</w:t>
      </w:r>
      <w:r w:rsidR="00414C15" w:rsidRPr="00C835AB">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 xml:space="preserve"> powstrzymanie się od określonej działalności</w:t>
      </w:r>
      <w:r w:rsidR="00414C15" w:rsidRPr="00C835AB">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 Oznacza to, że istotna część zakazów czy nakazów możliwych do orzeczenia na</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 xml:space="preserve">podstawie art. 276a k.p.k. jest możliwa do zastosowania na podstawie przepisów obowiązujących przed wprowadzeniem tego szczególnego uregulowania. Wszystkie wskazane okoliczności uzasadniają </w:t>
      </w:r>
      <w:r w:rsidR="003B6DDC" w:rsidRPr="00C835AB">
        <w:rPr>
          <w:rFonts w:ascii="Times New Roman" w:hAnsi="Times New Roman" w:cs="Times New Roman"/>
          <w:color w:val="auto"/>
          <w:sz w:val="24"/>
          <w:shd w:val="clear" w:color="auto" w:fill="FFFFFF"/>
        </w:rPr>
        <w:t>uchylenie</w:t>
      </w:r>
      <w:r w:rsidRPr="00C835AB">
        <w:rPr>
          <w:rFonts w:ascii="Times New Roman" w:hAnsi="Times New Roman" w:cs="Times New Roman"/>
          <w:color w:val="auto"/>
          <w:sz w:val="24"/>
          <w:shd w:val="clear" w:color="auto" w:fill="FFFFFF"/>
        </w:rPr>
        <w:t xml:space="preserve"> art. 276a k.p.k. </w:t>
      </w:r>
    </w:p>
    <w:p w14:paraId="1D732CBD" w14:textId="77777777" w:rsidR="0037634E" w:rsidRPr="00C835AB" w:rsidRDefault="0037634E" w:rsidP="00D823D0">
      <w:pPr>
        <w:rPr>
          <w:rFonts w:ascii="Times New Roman" w:hAnsi="Times New Roman" w:cs="Times New Roman"/>
          <w:bCs/>
          <w:color w:val="auto"/>
          <w:sz w:val="24"/>
        </w:rPr>
      </w:pPr>
    </w:p>
    <w:p w14:paraId="2EE2FF9F" w14:textId="1C14BBE3" w:rsidR="00C572CA" w:rsidRPr="00C835AB" w:rsidRDefault="00C572CA" w:rsidP="00D823D0">
      <w:pPr>
        <w:ind w:firstLine="708"/>
        <w:rPr>
          <w:rFonts w:ascii="Times New Roman" w:hAnsi="Times New Roman" w:cs="Times New Roman"/>
          <w:b/>
          <w:color w:val="auto"/>
          <w:sz w:val="24"/>
        </w:rPr>
      </w:pPr>
      <w:r w:rsidRPr="00C835AB">
        <w:rPr>
          <w:rFonts w:ascii="Times New Roman" w:hAnsi="Times New Roman" w:cs="Times New Roman"/>
          <w:b/>
          <w:bCs/>
          <w:color w:val="auto"/>
          <w:sz w:val="24"/>
        </w:rPr>
        <w:t>Art. 281</w:t>
      </w:r>
      <w:r w:rsidR="003B6DDC" w:rsidRPr="00C835AB">
        <w:rPr>
          <w:rFonts w:ascii="Times New Roman" w:hAnsi="Times New Roman" w:cs="Times New Roman"/>
          <w:b/>
          <w:bCs/>
          <w:color w:val="auto"/>
          <w:sz w:val="24"/>
        </w:rPr>
        <w:t xml:space="preserve"> § 2 i § 3 k.p.k.</w:t>
      </w:r>
    </w:p>
    <w:p w14:paraId="44251F04" w14:textId="6E9ADE7D" w:rsidR="00C74583" w:rsidRPr="00C835AB" w:rsidRDefault="00C572CA" w:rsidP="00D823D0">
      <w:pPr>
        <w:ind w:firstLine="708"/>
        <w:rPr>
          <w:rFonts w:ascii="Times New Roman" w:hAnsi="Times New Roman" w:cs="Times New Roman"/>
          <w:bCs/>
          <w:color w:val="auto"/>
          <w:sz w:val="24"/>
        </w:rPr>
      </w:pPr>
      <w:r w:rsidRPr="00C835AB">
        <w:rPr>
          <w:rFonts w:ascii="Times New Roman" w:hAnsi="Times New Roman" w:cs="Times New Roman"/>
          <w:bCs/>
          <w:color w:val="auto"/>
          <w:sz w:val="24"/>
        </w:rPr>
        <w:t>Nowelizacja przepisów regulujących instytucj</w:t>
      </w:r>
      <w:r w:rsidR="002D10CF" w:rsidRPr="00C835AB">
        <w:rPr>
          <w:rFonts w:ascii="Times New Roman" w:hAnsi="Times New Roman" w:cs="Times New Roman"/>
          <w:bCs/>
          <w:color w:val="auto"/>
          <w:sz w:val="24"/>
        </w:rPr>
        <w:t>ę</w:t>
      </w:r>
      <w:r w:rsidRPr="00C835AB">
        <w:rPr>
          <w:rFonts w:ascii="Times New Roman" w:hAnsi="Times New Roman" w:cs="Times New Roman"/>
          <w:bCs/>
          <w:color w:val="auto"/>
          <w:sz w:val="24"/>
        </w:rPr>
        <w:t xml:space="preserve"> listu żelaznego wprowadzała dominując</w:t>
      </w:r>
      <w:r w:rsidR="00B30444" w:rsidRPr="00C835AB">
        <w:rPr>
          <w:rFonts w:ascii="Times New Roman" w:hAnsi="Times New Roman" w:cs="Times New Roman"/>
          <w:bCs/>
          <w:color w:val="auto"/>
          <w:sz w:val="24"/>
        </w:rPr>
        <w:t>ą</w:t>
      </w:r>
      <w:r w:rsidRPr="00C835AB">
        <w:rPr>
          <w:rFonts w:ascii="Times New Roman" w:hAnsi="Times New Roman" w:cs="Times New Roman"/>
          <w:bCs/>
          <w:color w:val="auto"/>
          <w:sz w:val="24"/>
        </w:rPr>
        <w:t xml:space="preserve"> rol</w:t>
      </w:r>
      <w:r w:rsidR="00B30444" w:rsidRPr="00C835AB">
        <w:rPr>
          <w:rFonts w:ascii="Times New Roman" w:hAnsi="Times New Roman" w:cs="Times New Roman"/>
          <w:bCs/>
          <w:color w:val="auto"/>
          <w:sz w:val="24"/>
        </w:rPr>
        <w:t>ę</w:t>
      </w:r>
      <w:r w:rsidRPr="00C835AB">
        <w:rPr>
          <w:rFonts w:ascii="Times New Roman" w:hAnsi="Times New Roman" w:cs="Times New Roman"/>
          <w:bCs/>
          <w:color w:val="auto"/>
          <w:sz w:val="24"/>
        </w:rPr>
        <w:t xml:space="preserve"> prokuratora w procesie ubiegania się przez podejrzanego o jego wydanie na</w:t>
      </w:r>
      <w:r w:rsidR="00DA6B6A">
        <w:rPr>
          <w:rFonts w:ascii="Times New Roman" w:hAnsi="Times New Roman" w:cs="Times New Roman"/>
          <w:bCs/>
          <w:color w:val="auto"/>
          <w:sz w:val="24"/>
        </w:rPr>
        <w:t> </w:t>
      </w:r>
      <w:r w:rsidRPr="00C835AB">
        <w:rPr>
          <w:rFonts w:ascii="Times New Roman" w:hAnsi="Times New Roman" w:cs="Times New Roman"/>
          <w:bCs/>
          <w:color w:val="auto"/>
          <w:sz w:val="24"/>
        </w:rPr>
        <w:t>etapie postępowania przygotowawczego, czyniąc go instytucj</w:t>
      </w:r>
      <w:r w:rsidR="00016111" w:rsidRPr="00C835AB">
        <w:rPr>
          <w:rFonts w:ascii="Times New Roman" w:hAnsi="Times New Roman" w:cs="Times New Roman"/>
          <w:bCs/>
          <w:color w:val="auto"/>
          <w:sz w:val="24"/>
        </w:rPr>
        <w:t>ą</w:t>
      </w:r>
      <w:r w:rsidRPr="00C835AB">
        <w:rPr>
          <w:rFonts w:ascii="Times New Roman" w:hAnsi="Times New Roman" w:cs="Times New Roman"/>
          <w:bCs/>
          <w:color w:val="auto"/>
          <w:sz w:val="24"/>
        </w:rPr>
        <w:t xml:space="preserve"> martwą. Treść </w:t>
      </w:r>
      <w:r w:rsidR="003B6DDC" w:rsidRPr="00C835AB">
        <w:rPr>
          <w:rFonts w:ascii="Times New Roman" w:hAnsi="Times New Roman" w:cs="Times New Roman"/>
          <w:bCs/>
          <w:color w:val="auto"/>
          <w:sz w:val="24"/>
        </w:rPr>
        <w:t xml:space="preserve">art. 281 </w:t>
      </w:r>
      <w:r w:rsidRPr="00C835AB">
        <w:rPr>
          <w:rFonts w:ascii="Times New Roman" w:hAnsi="Times New Roman" w:cs="Times New Roman"/>
          <w:bCs/>
          <w:color w:val="auto"/>
          <w:sz w:val="24"/>
        </w:rPr>
        <w:t>§ 2</w:t>
      </w:r>
      <w:r w:rsidR="003B6DDC" w:rsidRPr="00C835AB">
        <w:rPr>
          <w:rFonts w:ascii="Times New Roman" w:hAnsi="Times New Roman" w:cs="Times New Roman"/>
          <w:bCs/>
          <w:color w:val="auto"/>
          <w:sz w:val="24"/>
        </w:rPr>
        <w:t xml:space="preserve"> k.p.k.</w:t>
      </w:r>
      <w:r w:rsidRPr="00C835AB">
        <w:rPr>
          <w:rFonts w:ascii="Times New Roman" w:hAnsi="Times New Roman" w:cs="Times New Roman"/>
          <w:bCs/>
          <w:color w:val="auto"/>
          <w:sz w:val="24"/>
        </w:rPr>
        <w:t xml:space="preserve"> pozbawiła możliwości realnego wpływu na jego wydanie przez sąd, uzależniając go</w:t>
      </w:r>
      <w:r w:rsidR="00DA6B6A">
        <w:rPr>
          <w:rFonts w:ascii="Times New Roman" w:hAnsi="Times New Roman" w:cs="Times New Roman"/>
          <w:bCs/>
          <w:color w:val="auto"/>
          <w:sz w:val="24"/>
        </w:rPr>
        <w:t> </w:t>
      </w:r>
      <w:r w:rsidRPr="00C835AB">
        <w:rPr>
          <w:rFonts w:ascii="Times New Roman" w:hAnsi="Times New Roman" w:cs="Times New Roman"/>
          <w:bCs/>
          <w:color w:val="auto"/>
          <w:sz w:val="24"/>
        </w:rPr>
        <w:t>albo</w:t>
      </w:r>
      <w:r w:rsidR="00DA6B6A">
        <w:rPr>
          <w:rFonts w:ascii="Times New Roman" w:hAnsi="Times New Roman" w:cs="Times New Roman"/>
          <w:bCs/>
          <w:color w:val="auto"/>
          <w:sz w:val="24"/>
        </w:rPr>
        <w:t> </w:t>
      </w:r>
      <w:r w:rsidRPr="00C835AB">
        <w:rPr>
          <w:rFonts w:ascii="Times New Roman" w:hAnsi="Times New Roman" w:cs="Times New Roman"/>
          <w:bCs/>
          <w:color w:val="auto"/>
          <w:sz w:val="24"/>
        </w:rPr>
        <w:t>od inicjatywy</w:t>
      </w:r>
      <w:r w:rsidR="00B30444" w:rsidRPr="00C835AB">
        <w:rPr>
          <w:rFonts w:ascii="Times New Roman" w:hAnsi="Times New Roman" w:cs="Times New Roman"/>
          <w:bCs/>
          <w:color w:val="auto"/>
          <w:sz w:val="24"/>
        </w:rPr>
        <w:t>,</w:t>
      </w:r>
      <w:r w:rsidRPr="00C835AB">
        <w:rPr>
          <w:rFonts w:ascii="Times New Roman" w:hAnsi="Times New Roman" w:cs="Times New Roman"/>
          <w:bCs/>
          <w:color w:val="auto"/>
          <w:sz w:val="24"/>
        </w:rPr>
        <w:t xml:space="preserve"> albo braku sprzeciwu wydania przez prokuratora. Tym samym na etapie post</w:t>
      </w:r>
      <w:r w:rsidR="00E64142" w:rsidRPr="00C835AB">
        <w:rPr>
          <w:rFonts w:ascii="Times New Roman" w:hAnsi="Times New Roman" w:cs="Times New Roman"/>
          <w:bCs/>
          <w:color w:val="auto"/>
          <w:sz w:val="24"/>
        </w:rPr>
        <w:t>ę</w:t>
      </w:r>
      <w:r w:rsidRPr="00C835AB">
        <w:rPr>
          <w:rFonts w:ascii="Times New Roman" w:hAnsi="Times New Roman" w:cs="Times New Roman"/>
          <w:bCs/>
          <w:color w:val="auto"/>
          <w:sz w:val="24"/>
        </w:rPr>
        <w:t>powania przygotowawczego – czyli na ogół na etapie najczęstszego jak dotychczas zainteresowania wydaniem listu żelaznego, wystarczył sprzeciw prokuratora</w:t>
      </w:r>
      <w:r w:rsidR="00B30444" w:rsidRPr="00C835AB">
        <w:rPr>
          <w:rFonts w:ascii="Times New Roman" w:hAnsi="Times New Roman" w:cs="Times New Roman"/>
          <w:bCs/>
          <w:color w:val="auto"/>
          <w:sz w:val="24"/>
        </w:rPr>
        <w:t>,</w:t>
      </w:r>
      <w:r w:rsidRPr="00C835AB">
        <w:rPr>
          <w:rFonts w:ascii="Times New Roman" w:hAnsi="Times New Roman" w:cs="Times New Roman"/>
          <w:bCs/>
          <w:color w:val="auto"/>
          <w:sz w:val="24"/>
        </w:rPr>
        <w:t xml:space="preserve"> aby nie doszło do</w:t>
      </w:r>
      <w:r w:rsidR="00DA6B6A">
        <w:rPr>
          <w:rFonts w:ascii="Times New Roman" w:hAnsi="Times New Roman" w:cs="Times New Roman"/>
          <w:bCs/>
          <w:color w:val="auto"/>
          <w:sz w:val="24"/>
        </w:rPr>
        <w:t> </w:t>
      </w:r>
      <w:r w:rsidRPr="00C835AB">
        <w:rPr>
          <w:rFonts w:ascii="Times New Roman" w:hAnsi="Times New Roman" w:cs="Times New Roman"/>
          <w:bCs/>
          <w:color w:val="auto"/>
          <w:sz w:val="24"/>
        </w:rPr>
        <w:t xml:space="preserve">jego wydania. </w:t>
      </w:r>
      <w:r w:rsidR="008D63FA" w:rsidRPr="00C835AB">
        <w:rPr>
          <w:rFonts w:ascii="Times New Roman" w:hAnsi="Times New Roman" w:cs="Times New Roman"/>
          <w:bCs/>
          <w:color w:val="auto"/>
          <w:sz w:val="24"/>
        </w:rPr>
        <w:t>Projektowane u</w:t>
      </w:r>
      <w:r w:rsidRPr="00C835AB">
        <w:rPr>
          <w:rFonts w:ascii="Times New Roman" w:hAnsi="Times New Roman" w:cs="Times New Roman"/>
          <w:bCs/>
          <w:color w:val="auto"/>
          <w:sz w:val="24"/>
        </w:rPr>
        <w:t>chylenie przepisu w tym zakresie spowoduje powrót do</w:t>
      </w:r>
      <w:r w:rsidR="00DA6B6A">
        <w:rPr>
          <w:rFonts w:ascii="Times New Roman" w:hAnsi="Times New Roman" w:cs="Times New Roman"/>
          <w:bCs/>
          <w:color w:val="auto"/>
          <w:sz w:val="24"/>
        </w:rPr>
        <w:t> </w:t>
      </w:r>
      <w:r w:rsidRPr="00C835AB">
        <w:rPr>
          <w:rFonts w:ascii="Times New Roman" w:hAnsi="Times New Roman" w:cs="Times New Roman"/>
          <w:bCs/>
          <w:color w:val="auto"/>
          <w:sz w:val="24"/>
        </w:rPr>
        <w:t>wyłącznej kompetencji sądu w ocenie podstaw do wydania lub odmowy wydania listu żelaznego. Przywrócona zostanie tym samym istota listu żelaznego jako instytucji zabezpieczani</w:t>
      </w:r>
      <w:r w:rsidR="00B30444" w:rsidRPr="00C835AB">
        <w:rPr>
          <w:rFonts w:ascii="Times New Roman" w:hAnsi="Times New Roman" w:cs="Times New Roman"/>
          <w:bCs/>
          <w:color w:val="auto"/>
          <w:sz w:val="24"/>
        </w:rPr>
        <w:t>a</w:t>
      </w:r>
      <w:r w:rsidRPr="00C835AB">
        <w:rPr>
          <w:rFonts w:ascii="Times New Roman" w:hAnsi="Times New Roman" w:cs="Times New Roman"/>
          <w:bCs/>
          <w:color w:val="auto"/>
          <w:sz w:val="24"/>
        </w:rPr>
        <w:t xml:space="preserve"> podejrzanego dla procesu karnego decyzją sądu okręgowego. Jednocześnie zrezygnowano z </w:t>
      </w:r>
      <w:r w:rsidR="00B30444" w:rsidRPr="00C835AB">
        <w:rPr>
          <w:rFonts w:ascii="Times New Roman" w:hAnsi="Times New Roman" w:cs="Times New Roman"/>
          <w:bCs/>
          <w:color w:val="auto"/>
          <w:sz w:val="24"/>
        </w:rPr>
        <w:t xml:space="preserve">obowiązkowej </w:t>
      </w:r>
      <w:r w:rsidRPr="00C835AB">
        <w:rPr>
          <w:rFonts w:ascii="Times New Roman" w:hAnsi="Times New Roman" w:cs="Times New Roman"/>
          <w:bCs/>
          <w:color w:val="auto"/>
          <w:sz w:val="24"/>
        </w:rPr>
        <w:t>obecności prokuratora, który ma prawo</w:t>
      </w:r>
      <w:r w:rsidR="00B30444" w:rsidRPr="00C835AB">
        <w:rPr>
          <w:rFonts w:ascii="Times New Roman" w:hAnsi="Times New Roman" w:cs="Times New Roman"/>
          <w:bCs/>
          <w:color w:val="auto"/>
          <w:sz w:val="24"/>
        </w:rPr>
        <w:t>,</w:t>
      </w:r>
      <w:r w:rsidRPr="00C835AB">
        <w:rPr>
          <w:rFonts w:ascii="Times New Roman" w:hAnsi="Times New Roman" w:cs="Times New Roman"/>
          <w:bCs/>
          <w:color w:val="auto"/>
          <w:sz w:val="24"/>
        </w:rPr>
        <w:t xml:space="preserve"> a nie obowiązek uczestniczyć w posiedzeniu. </w:t>
      </w:r>
    </w:p>
    <w:p w14:paraId="7D1FBD6E" w14:textId="77777777" w:rsidR="00CB0CD6" w:rsidRPr="00C835AB" w:rsidRDefault="00CB0CD6" w:rsidP="00D823D0">
      <w:pPr>
        <w:rPr>
          <w:rFonts w:ascii="Times New Roman" w:hAnsi="Times New Roman" w:cs="Times New Roman"/>
          <w:color w:val="auto"/>
          <w:sz w:val="24"/>
        </w:rPr>
      </w:pPr>
    </w:p>
    <w:p w14:paraId="1D9C758F" w14:textId="7AED69D7" w:rsidR="007F11B8" w:rsidRPr="00C835AB" w:rsidRDefault="007F11B8" w:rsidP="00D823D0">
      <w:pPr>
        <w:pStyle w:val="Akapitzlist"/>
        <w:ind w:left="0"/>
        <w:rPr>
          <w:rFonts w:ascii="Times New Roman" w:hAnsi="Times New Roman" w:cs="Times New Roman"/>
          <w:b/>
          <w:bCs/>
          <w:color w:val="auto"/>
          <w:sz w:val="24"/>
        </w:rPr>
      </w:pPr>
      <w:r w:rsidRPr="00C835AB">
        <w:rPr>
          <w:rFonts w:ascii="Times New Roman" w:hAnsi="Times New Roman" w:cs="Times New Roman"/>
          <w:b/>
          <w:bCs/>
          <w:color w:val="auto"/>
          <w:sz w:val="24"/>
        </w:rPr>
        <w:tab/>
        <w:t>Art. 310</w:t>
      </w:r>
      <w:r w:rsidR="003B6DDC" w:rsidRPr="00C835AB">
        <w:rPr>
          <w:rFonts w:ascii="Times New Roman" w:hAnsi="Times New Roman" w:cs="Times New Roman"/>
          <w:b/>
          <w:bCs/>
          <w:color w:val="auto"/>
          <w:sz w:val="24"/>
        </w:rPr>
        <w:t xml:space="preserve"> § 2 k.p.k.</w:t>
      </w:r>
    </w:p>
    <w:p w14:paraId="6A22755B" w14:textId="2AA716BB" w:rsidR="00C572CA" w:rsidRPr="00C835AB" w:rsidRDefault="47B87F4F"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W aktualnej praktyce prowadzenia postępowań przygotowawczych zwraca uwagę wydłużający się czas ich trwania, zwłaszcza w sprawach złożonych i wielopodmiotowych. Trwają one niejednokrotnie już nie miesiące</w:t>
      </w:r>
      <w:r w:rsidR="00B30444"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lecz lata. Generuje to konieczność wielu migracji wniosków procesowych o przedłużenie śledztwa i akt postępowania pomiędzy jednostkami prokuratury różnych szczebli. Zwiększa się w związku z tym liczba wydawanych postanowień o przedłużeniu (w ramach pojedynczego śledztwa i globalnie), a przecież czas niezbędny do</w:t>
      </w:r>
      <w:r w:rsidR="00DA6B6A">
        <w:rPr>
          <w:rFonts w:ascii="Times New Roman" w:hAnsi="Times New Roman" w:cs="Times New Roman"/>
          <w:color w:val="auto"/>
          <w:sz w:val="24"/>
        </w:rPr>
        <w:t> </w:t>
      </w:r>
      <w:r w:rsidRPr="00C835AB">
        <w:rPr>
          <w:rFonts w:ascii="Times New Roman" w:hAnsi="Times New Roman" w:cs="Times New Roman"/>
          <w:color w:val="auto"/>
          <w:sz w:val="24"/>
        </w:rPr>
        <w:t>opracowania stosownych dokumentów mógłby być wykorzystany wprost przez</w:t>
      </w:r>
      <w:r w:rsidR="00DA6B6A">
        <w:rPr>
          <w:rFonts w:ascii="Times New Roman" w:hAnsi="Times New Roman" w:cs="Times New Roman"/>
          <w:color w:val="auto"/>
          <w:sz w:val="24"/>
        </w:rPr>
        <w:t> </w:t>
      </w:r>
      <w:r w:rsidRPr="00C835AB">
        <w:rPr>
          <w:rFonts w:ascii="Times New Roman" w:hAnsi="Times New Roman" w:cs="Times New Roman"/>
          <w:color w:val="auto"/>
          <w:sz w:val="24"/>
        </w:rPr>
        <w:t xml:space="preserve">prokuratorów na czynności śledcze. W strukturach prokuratur zlikwidowano </w:t>
      </w:r>
      <w:r w:rsidRPr="00C835AB">
        <w:rPr>
          <w:rFonts w:ascii="Times New Roman" w:hAnsi="Times New Roman" w:cs="Times New Roman"/>
          <w:color w:val="auto"/>
          <w:sz w:val="24"/>
        </w:rPr>
        <w:lastRenderedPageBreak/>
        <w:t>wyspecjalizowane działy nadzoru nad postępowaniami przygotowawczymi, a zadania z tego zakresu powierzono do wykonywania prokuratorom, którzy równolegle prowadzą i nadzorują własne śledztwa. Zadania związane z przygotowywaniem postanowień o przedłużeniu śledztwa nie mają przy tym w przeważającej większości przypadków znaczenia merytorycznego, chociażby w zakresie prawidłowego ukierunkowania tych postępowań. Stały się czynnością o</w:t>
      </w:r>
      <w:r w:rsidR="00DA6B6A">
        <w:rPr>
          <w:rFonts w:ascii="Times New Roman" w:hAnsi="Times New Roman" w:cs="Times New Roman"/>
          <w:color w:val="auto"/>
          <w:sz w:val="24"/>
        </w:rPr>
        <w:t> </w:t>
      </w:r>
      <w:r w:rsidRPr="00C835AB">
        <w:rPr>
          <w:rFonts w:ascii="Times New Roman" w:hAnsi="Times New Roman" w:cs="Times New Roman"/>
          <w:color w:val="auto"/>
          <w:sz w:val="24"/>
        </w:rPr>
        <w:t>charakterze formalnym, utrudniającym funkcjonowanie prokuratorom z jednostek obu zaangażowanych szczebli, tym trudniejszą do zaakceptowania, że nie przynosząca w gruncie rzeczy żadnych efektów procesowych. Z tak postawionej diagnozy zrodziła się propozycja zmiany sposobu kontroli długotrwałości postępowania prowadzonego w formie śledztwa. Miałaby się ona dokonywać co do zasady w jednostce, w której prowadzone jest postępowanie, a kompetencję do przedłużenia na czas powyżej roku otrzymałby prokurator bezpośrednio przełożony. Wyeliminuje to przede wszystkim potrzebę migracji akt sprawy, odformalizuje sposób realizacji nadzoru, ale też – urealni wpływ doraźny na pracę prokuratora referenta, gdyż osoba przedłużająca będzie miała realne instrumenty wpływu na jego pracę i możliwość bieżącej kontroli nad realizacją zamierzonych czynności. Projektowana zmiana powinna przyczynić się do przyspieszenia toku postępowań przygotowawczych prowadzonych w formie śledztwa.</w:t>
      </w:r>
    </w:p>
    <w:p w14:paraId="64E23137" w14:textId="7725869B" w:rsidR="0FF4DE2E" w:rsidRPr="00C835AB" w:rsidRDefault="0FF4DE2E" w:rsidP="00D823D0">
      <w:pPr>
        <w:ind w:firstLine="708"/>
        <w:rPr>
          <w:rFonts w:ascii="Times New Roman" w:hAnsi="Times New Roman" w:cs="Times New Roman"/>
          <w:color w:val="auto"/>
          <w:sz w:val="24"/>
        </w:rPr>
      </w:pPr>
    </w:p>
    <w:p w14:paraId="0D0F052E" w14:textId="7B89D1FA" w:rsidR="0FF4DE2E" w:rsidRPr="00C835AB" w:rsidRDefault="00312965" w:rsidP="00D823D0">
      <w:pPr>
        <w:pStyle w:val="Akapitzlist"/>
        <w:ind w:left="0" w:firstLine="708"/>
        <w:rPr>
          <w:rFonts w:ascii="Times New Roman" w:hAnsi="Times New Roman" w:cs="Times New Roman"/>
          <w:b/>
          <w:bCs/>
          <w:color w:val="auto"/>
          <w:sz w:val="24"/>
        </w:rPr>
      </w:pPr>
      <w:r w:rsidRPr="00C835AB">
        <w:rPr>
          <w:rFonts w:ascii="Times New Roman" w:hAnsi="Times New Roman" w:cs="Times New Roman"/>
          <w:b/>
          <w:bCs/>
          <w:color w:val="auto"/>
          <w:sz w:val="24"/>
        </w:rPr>
        <w:t>Art.</w:t>
      </w:r>
      <w:r w:rsidR="5ECB3DE7" w:rsidRPr="00C835AB">
        <w:rPr>
          <w:rFonts w:ascii="Times New Roman" w:hAnsi="Times New Roman" w:cs="Times New Roman"/>
          <w:b/>
          <w:bCs/>
          <w:color w:val="auto"/>
          <w:sz w:val="24"/>
        </w:rPr>
        <w:t xml:space="preserve"> 313 </w:t>
      </w:r>
      <w:r w:rsidR="003B6DDC" w:rsidRPr="00C835AB">
        <w:rPr>
          <w:rFonts w:ascii="Times New Roman" w:hAnsi="Times New Roman" w:cs="Times New Roman"/>
          <w:b/>
          <w:bCs/>
          <w:color w:val="auto"/>
          <w:sz w:val="24"/>
        </w:rPr>
        <w:t xml:space="preserve">§ 1 i § 1a k.p.k. </w:t>
      </w:r>
      <w:r w:rsidR="5ECB3DE7" w:rsidRPr="00C835AB">
        <w:rPr>
          <w:rFonts w:ascii="Times New Roman" w:hAnsi="Times New Roman" w:cs="Times New Roman"/>
          <w:b/>
          <w:bCs/>
          <w:color w:val="auto"/>
          <w:sz w:val="24"/>
        </w:rPr>
        <w:t>oraz art. 249 §</w:t>
      </w:r>
      <w:r w:rsidRPr="00C835AB">
        <w:rPr>
          <w:rFonts w:ascii="Times New Roman" w:hAnsi="Times New Roman" w:cs="Times New Roman"/>
          <w:b/>
          <w:bCs/>
          <w:color w:val="auto"/>
          <w:sz w:val="24"/>
        </w:rPr>
        <w:t xml:space="preserve"> </w:t>
      </w:r>
      <w:r w:rsidR="5ECB3DE7" w:rsidRPr="00C835AB">
        <w:rPr>
          <w:rFonts w:ascii="Times New Roman" w:hAnsi="Times New Roman" w:cs="Times New Roman"/>
          <w:b/>
          <w:bCs/>
          <w:color w:val="auto"/>
          <w:sz w:val="24"/>
        </w:rPr>
        <w:t>3a</w:t>
      </w:r>
      <w:r w:rsidR="003B6DDC" w:rsidRPr="00C835AB">
        <w:rPr>
          <w:rFonts w:ascii="Times New Roman" w:hAnsi="Times New Roman" w:cs="Times New Roman"/>
          <w:b/>
          <w:bCs/>
          <w:color w:val="auto"/>
          <w:sz w:val="24"/>
        </w:rPr>
        <w:t xml:space="preserve"> k.p.k.</w:t>
      </w:r>
    </w:p>
    <w:p w14:paraId="7CC86DB7" w14:textId="3F271C6F" w:rsidR="5ECB3DE7" w:rsidRPr="00C835AB" w:rsidRDefault="5ECB3DE7" w:rsidP="00D823D0">
      <w:pPr>
        <w:pStyle w:val="ZUSTzmustartykuempunktem"/>
        <w:ind w:left="0" w:firstLine="720"/>
        <w:rPr>
          <w:rFonts w:ascii="Times New Roman" w:hAnsi="Times New Roman" w:cs="Times New Roman"/>
          <w:szCs w:val="24"/>
        </w:rPr>
      </w:pPr>
      <w:r w:rsidRPr="00C835AB">
        <w:rPr>
          <w:rFonts w:ascii="Times New Roman" w:hAnsi="Times New Roman" w:cs="Times New Roman"/>
          <w:szCs w:val="24"/>
        </w:rPr>
        <w:t xml:space="preserve">Wprowadzone </w:t>
      </w:r>
      <w:r w:rsidR="008D63FA" w:rsidRPr="00C835AB">
        <w:rPr>
          <w:rFonts w:ascii="Times New Roman" w:hAnsi="Times New Roman" w:cs="Times New Roman"/>
          <w:szCs w:val="24"/>
        </w:rPr>
        <w:t>ustawą</w:t>
      </w:r>
      <w:r w:rsidRPr="00C835AB">
        <w:rPr>
          <w:rFonts w:ascii="Times New Roman" w:hAnsi="Times New Roman" w:cs="Times New Roman"/>
          <w:szCs w:val="24"/>
        </w:rPr>
        <w:t xml:space="preserve"> z </w:t>
      </w:r>
      <w:r w:rsidR="00CF61BA" w:rsidRPr="00C835AB">
        <w:rPr>
          <w:rFonts w:ascii="Times New Roman" w:hAnsi="Times New Roman" w:cs="Times New Roman"/>
          <w:szCs w:val="24"/>
        </w:rPr>
        <w:t xml:space="preserve">dnia </w:t>
      </w:r>
      <w:r w:rsidRPr="00C835AB">
        <w:rPr>
          <w:rFonts w:ascii="Times New Roman" w:hAnsi="Times New Roman" w:cs="Times New Roman"/>
          <w:szCs w:val="24"/>
        </w:rPr>
        <w:t>7 lipca 2022 r. odstępstwo od ogłoszenia postanowienia o</w:t>
      </w:r>
      <w:r w:rsidR="00A76A6B" w:rsidRPr="00C835AB">
        <w:rPr>
          <w:rFonts w:ascii="Times New Roman" w:hAnsi="Times New Roman" w:cs="Times New Roman"/>
          <w:szCs w:val="24"/>
        </w:rPr>
        <w:t> </w:t>
      </w:r>
      <w:r w:rsidRPr="00C835AB">
        <w:rPr>
          <w:rFonts w:ascii="Times New Roman" w:hAnsi="Times New Roman" w:cs="Times New Roman"/>
          <w:szCs w:val="24"/>
        </w:rPr>
        <w:t>przedstawieniu zarzutów i przesłuchania podejrzanego w sytuacji, kiedy przeprowadzenie takiej czynności nie jest możliwe ze względu na stan zdrowia podejrzanego albo stan nietrzeźwości lub odurzenia</w:t>
      </w:r>
      <w:r w:rsidR="009008AD" w:rsidRPr="00C835AB">
        <w:rPr>
          <w:rFonts w:ascii="Times New Roman" w:hAnsi="Times New Roman" w:cs="Times New Roman"/>
          <w:szCs w:val="24"/>
        </w:rPr>
        <w:t>,</w:t>
      </w:r>
      <w:r w:rsidRPr="00C835AB">
        <w:rPr>
          <w:rFonts w:ascii="Times New Roman" w:hAnsi="Times New Roman" w:cs="Times New Roman"/>
          <w:szCs w:val="24"/>
        </w:rPr>
        <w:t xml:space="preserve"> w jakim znajduje się podejrzany, a zachodzi potrzeba niezwłocznego zastosowania środka zapobiegawczego, pozostaje sprzeczności z</w:t>
      </w:r>
      <w:r w:rsidR="00A76A6B" w:rsidRPr="00C835AB">
        <w:rPr>
          <w:rFonts w:ascii="Times New Roman" w:hAnsi="Times New Roman" w:cs="Times New Roman"/>
          <w:szCs w:val="24"/>
        </w:rPr>
        <w:t> </w:t>
      </w:r>
      <w:r w:rsidRPr="00C835AB">
        <w:rPr>
          <w:rFonts w:ascii="Times New Roman" w:hAnsi="Times New Roman" w:cs="Times New Roman"/>
          <w:szCs w:val="24"/>
        </w:rPr>
        <w:t>konstytucyjnym prawem do obrony w rozumieniu art. 42 ust. 2 Konstytucji RP oraz</w:t>
      </w:r>
      <w:r w:rsidR="00DA6B6A">
        <w:rPr>
          <w:rFonts w:ascii="Times New Roman" w:hAnsi="Times New Roman" w:cs="Times New Roman"/>
          <w:szCs w:val="24"/>
        </w:rPr>
        <w:t> </w:t>
      </w:r>
      <w:r w:rsidRPr="00C835AB">
        <w:rPr>
          <w:rFonts w:ascii="Times New Roman" w:hAnsi="Times New Roman" w:cs="Times New Roman"/>
          <w:szCs w:val="24"/>
        </w:rPr>
        <w:t xml:space="preserve">konwencyjnym określonym w art. 5 ust. 3 </w:t>
      </w:r>
      <w:proofErr w:type="spellStart"/>
      <w:r w:rsidRPr="00C835AB">
        <w:rPr>
          <w:rFonts w:ascii="Times New Roman" w:hAnsi="Times New Roman" w:cs="Times New Roman"/>
          <w:szCs w:val="24"/>
        </w:rPr>
        <w:t>EKPCz</w:t>
      </w:r>
      <w:proofErr w:type="spellEnd"/>
      <w:r w:rsidRPr="00C835AB">
        <w:rPr>
          <w:rFonts w:ascii="Times New Roman" w:hAnsi="Times New Roman" w:cs="Times New Roman"/>
          <w:szCs w:val="24"/>
        </w:rPr>
        <w:t>. Na skutek zmiany art. 313</w:t>
      </w:r>
      <w:r w:rsidR="00312965" w:rsidRPr="00C835AB">
        <w:rPr>
          <w:rFonts w:ascii="Times New Roman" w:hAnsi="Times New Roman" w:cs="Times New Roman"/>
          <w:szCs w:val="24"/>
        </w:rPr>
        <w:t xml:space="preserve"> k.p.k.</w:t>
      </w:r>
      <w:r w:rsidRPr="00C835AB">
        <w:rPr>
          <w:rFonts w:ascii="Times New Roman" w:hAnsi="Times New Roman" w:cs="Times New Roman"/>
          <w:szCs w:val="24"/>
        </w:rPr>
        <w:t>, de</w:t>
      </w:r>
      <w:r w:rsidR="00DA6B6A">
        <w:rPr>
          <w:rFonts w:ascii="Times New Roman" w:hAnsi="Times New Roman" w:cs="Times New Roman"/>
          <w:szCs w:val="24"/>
        </w:rPr>
        <w:t> </w:t>
      </w:r>
      <w:r w:rsidRPr="00C835AB">
        <w:rPr>
          <w:rFonts w:ascii="Times New Roman" w:hAnsi="Times New Roman" w:cs="Times New Roman"/>
          <w:szCs w:val="24"/>
        </w:rPr>
        <w:t>lege lata, nie ma już konieczności niezwłocznego ogłaszania zarzutu podejrzanemu, w</w:t>
      </w:r>
      <w:r w:rsidR="00DA6B6A">
        <w:rPr>
          <w:rFonts w:ascii="Times New Roman" w:hAnsi="Times New Roman" w:cs="Times New Roman"/>
          <w:szCs w:val="24"/>
        </w:rPr>
        <w:t> </w:t>
      </w:r>
      <w:r w:rsidRPr="00C835AB">
        <w:rPr>
          <w:rFonts w:ascii="Times New Roman" w:hAnsi="Times New Roman" w:cs="Times New Roman"/>
          <w:szCs w:val="24"/>
        </w:rPr>
        <w:t>sytuacji, kiedy nie pozwala na to stan zdrowia podejrzanego albo stan nietrzeźwości lub</w:t>
      </w:r>
      <w:r w:rsidR="00DA6B6A">
        <w:rPr>
          <w:rFonts w:ascii="Times New Roman" w:hAnsi="Times New Roman" w:cs="Times New Roman"/>
          <w:szCs w:val="24"/>
        </w:rPr>
        <w:t> </w:t>
      </w:r>
      <w:r w:rsidRPr="00C835AB">
        <w:rPr>
          <w:rFonts w:ascii="Times New Roman" w:hAnsi="Times New Roman" w:cs="Times New Roman"/>
          <w:szCs w:val="24"/>
        </w:rPr>
        <w:t>odurzenia</w:t>
      </w:r>
      <w:r w:rsidR="009008AD" w:rsidRPr="00C835AB">
        <w:rPr>
          <w:rFonts w:ascii="Times New Roman" w:hAnsi="Times New Roman" w:cs="Times New Roman"/>
          <w:szCs w:val="24"/>
        </w:rPr>
        <w:t>,</w:t>
      </w:r>
      <w:r w:rsidRPr="00C835AB">
        <w:rPr>
          <w:rFonts w:ascii="Times New Roman" w:hAnsi="Times New Roman" w:cs="Times New Roman"/>
          <w:szCs w:val="24"/>
        </w:rPr>
        <w:t xml:space="preserve"> w</w:t>
      </w:r>
      <w:r w:rsidR="00A76A6B" w:rsidRPr="00C835AB">
        <w:rPr>
          <w:rFonts w:ascii="Times New Roman" w:hAnsi="Times New Roman" w:cs="Times New Roman"/>
          <w:szCs w:val="24"/>
        </w:rPr>
        <w:t> </w:t>
      </w:r>
      <w:r w:rsidRPr="00C835AB">
        <w:rPr>
          <w:rFonts w:ascii="Times New Roman" w:hAnsi="Times New Roman" w:cs="Times New Roman"/>
          <w:szCs w:val="24"/>
        </w:rPr>
        <w:t>jakim znajduje się podejrzany. Są to terminy pojemne, które z tego względu mogą być nadużywane w celu odstąpienia od ogłoszenia postanowienia o przedstawieniu zarzutów i</w:t>
      </w:r>
      <w:r w:rsidR="00A76A6B" w:rsidRPr="00C835AB">
        <w:rPr>
          <w:rFonts w:ascii="Times New Roman" w:hAnsi="Times New Roman" w:cs="Times New Roman"/>
          <w:szCs w:val="24"/>
        </w:rPr>
        <w:t> </w:t>
      </w:r>
      <w:r w:rsidRPr="00C835AB">
        <w:rPr>
          <w:rFonts w:ascii="Times New Roman" w:hAnsi="Times New Roman" w:cs="Times New Roman"/>
          <w:szCs w:val="24"/>
        </w:rPr>
        <w:t>przesłuchania podejrzanego. Warto też zwrócić uwagę, że skutkiem zastosowania uchwalonych art. 249 § 3a k.p.k.</w:t>
      </w:r>
      <w:r w:rsidR="000E6647" w:rsidRPr="00C835AB">
        <w:rPr>
          <w:rFonts w:ascii="Times New Roman" w:hAnsi="Times New Roman" w:cs="Times New Roman"/>
          <w:szCs w:val="24"/>
        </w:rPr>
        <w:t xml:space="preserve"> oraz</w:t>
      </w:r>
      <w:r w:rsidRPr="00C835AB">
        <w:rPr>
          <w:rFonts w:ascii="Times New Roman" w:hAnsi="Times New Roman" w:cs="Times New Roman"/>
          <w:szCs w:val="24"/>
        </w:rPr>
        <w:t xml:space="preserve"> art. 313 § 1 i 1a k.p.k. może być orzeczenie i</w:t>
      </w:r>
      <w:r w:rsidR="00A76A6B" w:rsidRPr="00C835AB">
        <w:rPr>
          <w:rFonts w:ascii="Times New Roman" w:hAnsi="Times New Roman" w:cs="Times New Roman"/>
          <w:szCs w:val="24"/>
        </w:rPr>
        <w:t> </w:t>
      </w:r>
      <w:r w:rsidRPr="00C835AB">
        <w:rPr>
          <w:rFonts w:ascii="Times New Roman" w:hAnsi="Times New Roman" w:cs="Times New Roman"/>
          <w:szCs w:val="24"/>
        </w:rPr>
        <w:t>wykonywanie wobec osoby, której ani nie powiadomiono o treści zarzutu, ani której nie</w:t>
      </w:r>
      <w:r w:rsidR="00DA6B6A">
        <w:rPr>
          <w:rFonts w:ascii="Times New Roman" w:hAnsi="Times New Roman" w:cs="Times New Roman"/>
          <w:szCs w:val="24"/>
        </w:rPr>
        <w:t> </w:t>
      </w:r>
      <w:r w:rsidRPr="00C835AB">
        <w:rPr>
          <w:rFonts w:ascii="Times New Roman" w:hAnsi="Times New Roman" w:cs="Times New Roman"/>
          <w:szCs w:val="24"/>
        </w:rPr>
        <w:t xml:space="preserve">ogłoszono zarzutu, środków zapobiegawczych, w tym najsurowszego z nich w postaci </w:t>
      </w:r>
      <w:r w:rsidRPr="00C835AB">
        <w:rPr>
          <w:rFonts w:ascii="Times New Roman" w:hAnsi="Times New Roman" w:cs="Times New Roman"/>
          <w:szCs w:val="24"/>
        </w:rPr>
        <w:lastRenderedPageBreak/>
        <w:t>tymczasowego aresztowania. Tymczasem ocena, czy są spełnione przesłanki do jego zastosowania powinna odbywać się po przesłuchaniu podejrzanego. Dodać należy, że sytuacja procesowa podejrzanego</w:t>
      </w:r>
      <w:r w:rsidR="009008AD" w:rsidRPr="00C835AB">
        <w:rPr>
          <w:rFonts w:ascii="Times New Roman" w:hAnsi="Times New Roman" w:cs="Times New Roman"/>
          <w:szCs w:val="24"/>
        </w:rPr>
        <w:t>,</w:t>
      </w:r>
      <w:r w:rsidRPr="00C835AB">
        <w:rPr>
          <w:rFonts w:ascii="Times New Roman" w:hAnsi="Times New Roman" w:cs="Times New Roman"/>
          <w:szCs w:val="24"/>
        </w:rPr>
        <w:t xml:space="preserve"> wobec którego odstąpiono od ogłoszenia postanowienia o</w:t>
      </w:r>
      <w:r w:rsidR="00A76A6B" w:rsidRPr="00C835AB">
        <w:rPr>
          <w:rFonts w:ascii="Times New Roman" w:hAnsi="Times New Roman" w:cs="Times New Roman"/>
          <w:szCs w:val="24"/>
        </w:rPr>
        <w:t> </w:t>
      </w:r>
      <w:r w:rsidRPr="00C835AB">
        <w:rPr>
          <w:rFonts w:ascii="Times New Roman" w:hAnsi="Times New Roman" w:cs="Times New Roman"/>
          <w:szCs w:val="24"/>
        </w:rPr>
        <w:t>przedstawieniu zarzutów i jego przesłuchania jest gorsza niż podejrzanego ściganego listem gończym, bowiem w przypadku ujęcia podejrzanego ściganego listem gończym, należy niezwłocznie doprowadzić go o sądu, który wydał postanowienie o tymczasowym aresztowaniu (art. 279 § 3 k.p.k.). Taka sytuacja nie wystąpi</w:t>
      </w:r>
      <w:r w:rsidR="009008AD" w:rsidRPr="00C835AB">
        <w:rPr>
          <w:rFonts w:ascii="Times New Roman" w:hAnsi="Times New Roman" w:cs="Times New Roman"/>
          <w:szCs w:val="24"/>
        </w:rPr>
        <w:t>,</w:t>
      </w:r>
      <w:r w:rsidRPr="00C835AB">
        <w:rPr>
          <w:rFonts w:ascii="Times New Roman" w:hAnsi="Times New Roman" w:cs="Times New Roman"/>
          <w:szCs w:val="24"/>
        </w:rPr>
        <w:t xml:space="preserve"> np. gdy minie stan nietrzeźwości lub odurzenia. Brak obowiązku przesłuchania podejrzanego w takiej sytuacji przez sąd, tj. po ustaniu okoliczności określonych w art. 313 § 1a k.p.k., powoduje, że takie rozwiązanie należy uznane za sprzeczne z art. 5 ust. 3 </w:t>
      </w:r>
      <w:proofErr w:type="spellStart"/>
      <w:r w:rsidRPr="00C835AB">
        <w:rPr>
          <w:rFonts w:ascii="Times New Roman" w:hAnsi="Times New Roman" w:cs="Times New Roman"/>
          <w:szCs w:val="24"/>
        </w:rPr>
        <w:t>EKPCz</w:t>
      </w:r>
      <w:proofErr w:type="spellEnd"/>
      <w:r w:rsidRPr="00C835AB">
        <w:rPr>
          <w:rFonts w:ascii="Times New Roman" w:hAnsi="Times New Roman" w:cs="Times New Roman"/>
          <w:szCs w:val="24"/>
        </w:rPr>
        <w:t>.</w:t>
      </w:r>
    </w:p>
    <w:p w14:paraId="4CE91BE7" w14:textId="4CB5B05E" w:rsidR="00A30655" w:rsidRPr="00C835AB" w:rsidRDefault="5ECB3DE7" w:rsidP="00D823D0">
      <w:pPr>
        <w:pStyle w:val="ZUSTzmustartykuempunktem"/>
        <w:ind w:left="0" w:firstLine="720"/>
        <w:rPr>
          <w:rFonts w:ascii="Times New Roman" w:hAnsi="Times New Roman" w:cs="Times New Roman"/>
          <w:szCs w:val="24"/>
        </w:rPr>
      </w:pPr>
      <w:r w:rsidRPr="00C835AB">
        <w:rPr>
          <w:rFonts w:ascii="Times New Roman" w:hAnsi="Times New Roman" w:cs="Times New Roman"/>
          <w:szCs w:val="24"/>
        </w:rPr>
        <w:t xml:space="preserve">Dostrzegając powyższe względy </w:t>
      </w:r>
      <w:r w:rsidR="00B55946" w:rsidRPr="00C835AB">
        <w:rPr>
          <w:rFonts w:ascii="Times New Roman" w:hAnsi="Times New Roman" w:cs="Times New Roman"/>
          <w:szCs w:val="24"/>
        </w:rPr>
        <w:t>projektowana</w:t>
      </w:r>
      <w:r w:rsidRPr="00C835AB">
        <w:rPr>
          <w:rFonts w:ascii="Times New Roman" w:hAnsi="Times New Roman" w:cs="Times New Roman"/>
          <w:szCs w:val="24"/>
        </w:rPr>
        <w:t xml:space="preserve"> treś</w:t>
      </w:r>
      <w:r w:rsidR="5BC1B44B" w:rsidRPr="00C835AB">
        <w:rPr>
          <w:rFonts w:ascii="Times New Roman" w:hAnsi="Times New Roman" w:cs="Times New Roman"/>
          <w:szCs w:val="24"/>
        </w:rPr>
        <w:t>ć</w:t>
      </w:r>
      <w:r w:rsidRPr="00C835AB">
        <w:rPr>
          <w:rFonts w:ascii="Times New Roman" w:hAnsi="Times New Roman" w:cs="Times New Roman"/>
          <w:szCs w:val="24"/>
        </w:rPr>
        <w:t xml:space="preserve"> art. 313</w:t>
      </w:r>
      <w:r w:rsidR="00312965" w:rsidRPr="00C835AB">
        <w:rPr>
          <w:rFonts w:ascii="Times New Roman" w:hAnsi="Times New Roman" w:cs="Times New Roman"/>
          <w:szCs w:val="24"/>
        </w:rPr>
        <w:t xml:space="preserve"> </w:t>
      </w:r>
      <w:r w:rsidR="003B6DDC" w:rsidRPr="00C835AB">
        <w:rPr>
          <w:rFonts w:ascii="Times New Roman" w:hAnsi="Times New Roman" w:cs="Times New Roman"/>
          <w:szCs w:val="24"/>
        </w:rPr>
        <w:t xml:space="preserve">§ 1 </w:t>
      </w:r>
      <w:r w:rsidR="00312965" w:rsidRPr="00C835AB">
        <w:rPr>
          <w:rFonts w:ascii="Times New Roman" w:hAnsi="Times New Roman" w:cs="Times New Roman"/>
          <w:szCs w:val="24"/>
        </w:rPr>
        <w:t>k.p.k.</w:t>
      </w:r>
      <w:r w:rsidRPr="00C835AB">
        <w:rPr>
          <w:rFonts w:ascii="Times New Roman" w:hAnsi="Times New Roman" w:cs="Times New Roman"/>
          <w:szCs w:val="24"/>
        </w:rPr>
        <w:t xml:space="preserve"> zakłada powrót do kształtu instytucji przedstawienia zarzutów sprzed nowelizacji </w:t>
      </w:r>
      <w:r w:rsidR="00784317" w:rsidRPr="00C835AB">
        <w:rPr>
          <w:rFonts w:ascii="Times New Roman" w:hAnsi="Times New Roman" w:cs="Times New Roman"/>
          <w:szCs w:val="24"/>
        </w:rPr>
        <w:t xml:space="preserve">dokonanej na mocy ustawy </w:t>
      </w:r>
      <w:r w:rsidRPr="00C835AB">
        <w:rPr>
          <w:rFonts w:ascii="Times New Roman" w:hAnsi="Times New Roman" w:cs="Times New Roman"/>
          <w:szCs w:val="24"/>
        </w:rPr>
        <w:t xml:space="preserve">z </w:t>
      </w:r>
      <w:r w:rsidR="00CF61BA" w:rsidRPr="00C835AB">
        <w:rPr>
          <w:rFonts w:ascii="Times New Roman" w:hAnsi="Times New Roman" w:cs="Times New Roman"/>
          <w:szCs w:val="24"/>
        </w:rPr>
        <w:t xml:space="preserve">dnia </w:t>
      </w:r>
      <w:r w:rsidRPr="00C835AB">
        <w:rPr>
          <w:rFonts w:ascii="Times New Roman" w:hAnsi="Times New Roman" w:cs="Times New Roman"/>
          <w:szCs w:val="24"/>
        </w:rPr>
        <w:t xml:space="preserve">7 lipca 2022 r., tj. przeprowadzenia </w:t>
      </w:r>
      <w:r w:rsidR="00CF52E4" w:rsidRPr="00C835AB">
        <w:rPr>
          <w:rFonts w:ascii="Times New Roman" w:hAnsi="Times New Roman" w:cs="Times New Roman"/>
          <w:szCs w:val="24"/>
        </w:rPr>
        <w:t xml:space="preserve">kumulatywnie </w:t>
      </w:r>
      <w:r w:rsidRPr="00C835AB">
        <w:rPr>
          <w:rFonts w:ascii="Times New Roman" w:hAnsi="Times New Roman" w:cs="Times New Roman"/>
          <w:szCs w:val="24"/>
        </w:rPr>
        <w:t>trzech czynności, które pozwolą na</w:t>
      </w:r>
      <w:r w:rsidR="00DA6B6A">
        <w:rPr>
          <w:rFonts w:ascii="Times New Roman" w:hAnsi="Times New Roman" w:cs="Times New Roman"/>
          <w:szCs w:val="24"/>
        </w:rPr>
        <w:t> </w:t>
      </w:r>
      <w:r w:rsidRPr="00C835AB">
        <w:rPr>
          <w:rFonts w:ascii="Times New Roman" w:hAnsi="Times New Roman" w:cs="Times New Roman"/>
          <w:szCs w:val="24"/>
        </w:rPr>
        <w:t xml:space="preserve">przekształcenie postępowania karnego z fazy </w:t>
      </w:r>
      <w:r w:rsidR="00CF52E4" w:rsidRPr="00C835AB">
        <w:rPr>
          <w:rFonts w:ascii="Times New Roman" w:hAnsi="Times New Roman" w:cs="Times New Roman"/>
          <w:szCs w:val="24"/>
        </w:rPr>
        <w:t xml:space="preserve">in </w:t>
      </w:r>
      <w:r w:rsidRPr="00C835AB">
        <w:rPr>
          <w:rFonts w:ascii="Times New Roman" w:hAnsi="Times New Roman" w:cs="Times New Roman"/>
          <w:szCs w:val="24"/>
        </w:rPr>
        <w:t>rem w postępowanie w faz</w:t>
      </w:r>
      <w:r w:rsidR="00CF52E4" w:rsidRPr="00C835AB">
        <w:rPr>
          <w:rFonts w:ascii="Times New Roman" w:hAnsi="Times New Roman" w:cs="Times New Roman"/>
          <w:szCs w:val="24"/>
        </w:rPr>
        <w:t>ie</w:t>
      </w:r>
      <w:r w:rsidRPr="00C835AB">
        <w:rPr>
          <w:rFonts w:ascii="Times New Roman" w:hAnsi="Times New Roman" w:cs="Times New Roman"/>
          <w:szCs w:val="24"/>
        </w:rPr>
        <w:t xml:space="preserve"> in personam, tj.:</w:t>
      </w:r>
      <w:r w:rsidR="00A76A6B" w:rsidRPr="00C835AB">
        <w:rPr>
          <w:rFonts w:ascii="Times New Roman" w:hAnsi="Times New Roman" w:cs="Times New Roman"/>
          <w:szCs w:val="24"/>
        </w:rPr>
        <w:t> </w:t>
      </w:r>
      <w:r w:rsidRPr="00C835AB">
        <w:rPr>
          <w:rFonts w:ascii="Times New Roman" w:hAnsi="Times New Roman" w:cs="Times New Roman"/>
          <w:szCs w:val="24"/>
        </w:rPr>
        <w:t>a)</w:t>
      </w:r>
      <w:r w:rsidR="00A76A6B" w:rsidRPr="00C835AB">
        <w:rPr>
          <w:rFonts w:ascii="Times New Roman" w:hAnsi="Times New Roman" w:cs="Times New Roman"/>
          <w:szCs w:val="24"/>
        </w:rPr>
        <w:t> </w:t>
      </w:r>
      <w:r w:rsidRPr="00C835AB">
        <w:rPr>
          <w:rFonts w:ascii="Times New Roman" w:hAnsi="Times New Roman" w:cs="Times New Roman"/>
          <w:szCs w:val="24"/>
        </w:rPr>
        <w:t>sporządzenia postanowienia o przedstawieniu zarzutów; b) jego niezwłocznego ogłoszenia podejrzanemu oraz c) przesłuchania podejrzanego, z wyjątkiem wypadku, gdy</w:t>
      </w:r>
      <w:r w:rsidR="00DA6B6A">
        <w:rPr>
          <w:rFonts w:ascii="Times New Roman" w:hAnsi="Times New Roman" w:cs="Times New Roman"/>
          <w:szCs w:val="24"/>
        </w:rPr>
        <w:t> </w:t>
      </w:r>
      <w:r w:rsidRPr="00C835AB">
        <w:rPr>
          <w:rFonts w:ascii="Times New Roman" w:hAnsi="Times New Roman" w:cs="Times New Roman"/>
          <w:szCs w:val="24"/>
        </w:rPr>
        <w:t>ogłoszenie postanowienia lub przesłuchanie podejrzanego nie jest możliwe z przyczyn leżących po stronie podejrzanego, w szczególności z powodu jego ukrywania się</w:t>
      </w:r>
      <w:r w:rsidR="00DA6B6A">
        <w:rPr>
          <w:rFonts w:ascii="Times New Roman" w:hAnsi="Times New Roman" w:cs="Times New Roman"/>
          <w:szCs w:val="24"/>
        </w:rPr>
        <w:t> </w:t>
      </w:r>
      <w:r w:rsidRPr="00C835AB">
        <w:rPr>
          <w:rFonts w:ascii="Times New Roman" w:hAnsi="Times New Roman" w:cs="Times New Roman"/>
          <w:szCs w:val="24"/>
        </w:rPr>
        <w:t>lub</w:t>
      </w:r>
      <w:r w:rsidR="00DA6B6A">
        <w:rPr>
          <w:rFonts w:ascii="Times New Roman" w:hAnsi="Times New Roman" w:cs="Times New Roman"/>
          <w:szCs w:val="24"/>
        </w:rPr>
        <w:t> </w:t>
      </w:r>
      <w:r w:rsidRPr="00C835AB">
        <w:rPr>
          <w:rFonts w:ascii="Times New Roman" w:hAnsi="Times New Roman" w:cs="Times New Roman"/>
          <w:szCs w:val="24"/>
        </w:rPr>
        <w:t>nieobecności w</w:t>
      </w:r>
      <w:r w:rsidR="00A76A6B" w:rsidRPr="00C835AB">
        <w:rPr>
          <w:rFonts w:ascii="Times New Roman" w:hAnsi="Times New Roman" w:cs="Times New Roman"/>
          <w:szCs w:val="24"/>
        </w:rPr>
        <w:t> </w:t>
      </w:r>
      <w:r w:rsidRPr="00C835AB">
        <w:rPr>
          <w:rFonts w:ascii="Times New Roman" w:hAnsi="Times New Roman" w:cs="Times New Roman"/>
          <w:szCs w:val="24"/>
        </w:rPr>
        <w:t>kraju, a także gdy przesłuchanie podejrzanego nie jest możliwe ze</w:t>
      </w:r>
      <w:r w:rsidR="00DA6B6A">
        <w:rPr>
          <w:rFonts w:ascii="Times New Roman" w:hAnsi="Times New Roman" w:cs="Times New Roman"/>
          <w:szCs w:val="24"/>
        </w:rPr>
        <w:t> </w:t>
      </w:r>
      <w:r w:rsidRPr="00C835AB">
        <w:rPr>
          <w:rFonts w:ascii="Times New Roman" w:hAnsi="Times New Roman" w:cs="Times New Roman"/>
          <w:szCs w:val="24"/>
        </w:rPr>
        <w:t>względu na upływ terminu zatrzymania przewidzianego w art. 248 § 1</w:t>
      </w:r>
      <w:r w:rsidR="00312965" w:rsidRPr="00C835AB">
        <w:rPr>
          <w:rFonts w:ascii="Times New Roman" w:hAnsi="Times New Roman" w:cs="Times New Roman"/>
          <w:szCs w:val="24"/>
        </w:rPr>
        <w:t xml:space="preserve"> k.p.k.</w:t>
      </w:r>
      <w:r w:rsidRPr="00C835AB">
        <w:rPr>
          <w:rFonts w:ascii="Times New Roman" w:hAnsi="Times New Roman" w:cs="Times New Roman"/>
          <w:szCs w:val="24"/>
        </w:rPr>
        <w:t>, jeżeli</w:t>
      </w:r>
      <w:r w:rsidR="00DA6B6A">
        <w:rPr>
          <w:rFonts w:ascii="Times New Roman" w:hAnsi="Times New Roman" w:cs="Times New Roman"/>
          <w:szCs w:val="24"/>
        </w:rPr>
        <w:t> </w:t>
      </w:r>
      <w:r w:rsidRPr="00C835AB">
        <w:rPr>
          <w:rFonts w:ascii="Times New Roman" w:hAnsi="Times New Roman" w:cs="Times New Roman"/>
          <w:szCs w:val="24"/>
        </w:rPr>
        <w:t>prokurator kieruje do sądu wniosek o</w:t>
      </w:r>
      <w:r w:rsidR="00A76A6B" w:rsidRPr="00C835AB">
        <w:rPr>
          <w:rFonts w:ascii="Times New Roman" w:hAnsi="Times New Roman" w:cs="Times New Roman"/>
          <w:szCs w:val="24"/>
        </w:rPr>
        <w:t> </w:t>
      </w:r>
      <w:r w:rsidRPr="00C835AB">
        <w:rPr>
          <w:rFonts w:ascii="Times New Roman" w:hAnsi="Times New Roman" w:cs="Times New Roman"/>
          <w:szCs w:val="24"/>
        </w:rPr>
        <w:t xml:space="preserve">zastosowanie tymczasowego aresztowania. </w:t>
      </w:r>
    </w:p>
    <w:p w14:paraId="6CCF682A" w14:textId="3B3996DB" w:rsidR="5ECB3DE7" w:rsidRPr="00C835AB" w:rsidRDefault="5ECB3DE7" w:rsidP="00D823D0">
      <w:pPr>
        <w:pStyle w:val="ZUSTzmustartykuempunktem"/>
        <w:ind w:left="0" w:firstLine="720"/>
        <w:rPr>
          <w:rFonts w:ascii="Times New Roman" w:hAnsi="Times New Roman" w:cs="Times New Roman"/>
          <w:szCs w:val="24"/>
        </w:rPr>
      </w:pPr>
      <w:r w:rsidRPr="00C835AB">
        <w:rPr>
          <w:rFonts w:ascii="Times New Roman" w:hAnsi="Times New Roman" w:cs="Times New Roman"/>
          <w:szCs w:val="24"/>
        </w:rPr>
        <w:t xml:space="preserve">Poza tym, </w:t>
      </w:r>
      <w:r w:rsidR="00B55946" w:rsidRPr="00C835AB">
        <w:rPr>
          <w:rFonts w:ascii="Times New Roman" w:hAnsi="Times New Roman" w:cs="Times New Roman"/>
          <w:szCs w:val="24"/>
        </w:rPr>
        <w:t xml:space="preserve">zakłada się </w:t>
      </w:r>
      <w:r w:rsidRPr="00C835AB">
        <w:rPr>
          <w:rFonts w:ascii="Times New Roman" w:hAnsi="Times New Roman" w:cs="Times New Roman"/>
          <w:szCs w:val="24"/>
        </w:rPr>
        <w:t>uchy</w:t>
      </w:r>
      <w:r w:rsidR="00B55946" w:rsidRPr="00C835AB">
        <w:rPr>
          <w:rFonts w:ascii="Times New Roman" w:hAnsi="Times New Roman" w:cs="Times New Roman"/>
          <w:szCs w:val="24"/>
        </w:rPr>
        <w:t>lenie</w:t>
      </w:r>
      <w:r w:rsidRPr="00C835AB">
        <w:rPr>
          <w:rFonts w:ascii="Times New Roman" w:hAnsi="Times New Roman" w:cs="Times New Roman"/>
          <w:szCs w:val="24"/>
        </w:rPr>
        <w:t xml:space="preserve"> </w:t>
      </w:r>
      <w:r w:rsidR="00A30655" w:rsidRPr="00C835AB">
        <w:rPr>
          <w:rFonts w:ascii="Times New Roman" w:hAnsi="Times New Roman" w:cs="Times New Roman"/>
          <w:szCs w:val="24"/>
        </w:rPr>
        <w:t xml:space="preserve">art. 313 </w:t>
      </w:r>
      <w:r w:rsidRPr="00C835AB">
        <w:rPr>
          <w:rFonts w:ascii="Times New Roman" w:hAnsi="Times New Roman" w:cs="Times New Roman"/>
          <w:szCs w:val="24"/>
        </w:rPr>
        <w:t>§ 1a</w:t>
      </w:r>
      <w:r w:rsidR="00A30655" w:rsidRPr="00C835AB">
        <w:rPr>
          <w:rFonts w:ascii="Times New Roman" w:hAnsi="Times New Roman" w:cs="Times New Roman"/>
          <w:szCs w:val="24"/>
        </w:rPr>
        <w:t xml:space="preserve"> k.p.k.</w:t>
      </w:r>
      <w:r w:rsidRPr="00C835AB">
        <w:rPr>
          <w:rFonts w:ascii="Times New Roman" w:hAnsi="Times New Roman" w:cs="Times New Roman"/>
          <w:szCs w:val="24"/>
        </w:rPr>
        <w:t>, a także powiązan</w:t>
      </w:r>
      <w:r w:rsidR="002D10CF" w:rsidRPr="00C835AB">
        <w:rPr>
          <w:rFonts w:ascii="Times New Roman" w:hAnsi="Times New Roman" w:cs="Times New Roman"/>
          <w:szCs w:val="24"/>
        </w:rPr>
        <w:t>ego</w:t>
      </w:r>
      <w:r w:rsidRPr="00C835AB">
        <w:rPr>
          <w:rFonts w:ascii="Times New Roman" w:hAnsi="Times New Roman" w:cs="Times New Roman"/>
          <w:szCs w:val="24"/>
        </w:rPr>
        <w:t xml:space="preserve"> z nim art. 249 § 3a</w:t>
      </w:r>
      <w:r w:rsidR="00312965" w:rsidRPr="00C835AB">
        <w:rPr>
          <w:rFonts w:ascii="Times New Roman" w:hAnsi="Times New Roman" w:cs="Times New Roman"/>
          <w:szCs w:val="24"/>
        </w:rPr>
        <w:t xml:space="preserve"> k.p.k.</w:t>
      </w:r>
      <w:r w:rsidRPr="00C835AB">
        <w:rPr>
          <w:rFonts w:ascii="Times New Roman" w:hAnsi="Times New Roman" w:cs="Times New Roman"/>
          <w:szCs w:val="24"/>
        </w:rPr>
        <w:t>, który zakłada możliwość odstąpienia od wymogu przesłuchania podejrzanego przed zastosowaniem środka zapobiegawczego oraz dopuszcza zastosowanie tymczasowego aresztowania pomimo niestawiennictwa obrońcy prawidłowo powiadomionego o terminie i</w:t>
      </w:r>
      <w:r w:rsidR="00A76A6B" w:rsidRPr="00C835AB">
        <w:rPr>
          <w:rFonts w:ascii="Times New Roman" w:hAnsi="Times New Roman" w:cs="Times New Roman"/>
          <w:szCs w:val="24"/>
        </w:rPr>
        <w:t> </w:t>
      </w:r>
      <w:r w:rsidRPr="00C835AB">
        <w:rPr>
          <w:rFonts w:ascii="Times New Roman" w:hAnsi="Times New Roman" w:cs="Times New Roman"/>
          <w:szCs w:val="24"/>
        </w:rPr>
        <w:t>miejscu posiedzenia.</w:t>
      </w:r>
    </w:p>
    <w:p w14:paraId="19B2A0EC" w14:textId="77777777" w:rsidR="0037634E" w:rsidRPr="00C835AB" w:rsidRDefault="0037634E" w:rsidP="00D823D0">
      <w:pPr>
        <w:rPr>
          <w:rFonts w:ascii="Times New Roman" w:hAnsi="Times New Roman" w:cs="Times New Roman"/>
          <w:b/>
          <w:bCs/>
          <w:color w:val="auto"/>
          <w:sz w:val="24"/>
        </w:rPr>
      </w:pPr>
    </w:p>
    <w:p w14:paraId="39D6F929" w14:textId="379E8494" w:rsidR="0037634E" w:rsidRPr="00C835AB" w:rsidRDefault="0037634E" w:rsidP="00D823D0">
      <w:pPr>
        <w:pStyle w:val="ZUSTzmustartykuempunktem"/>
        <w:ind w:left="0" w:firstLine="720"/>
        <w:rPr>
          <w:rFonts w:ascii="Times New Roman" w:hAnsi="Times New Roman" w:cs="Times New Roman"/>
          <w:szCs w:val="24"/>
          <w:shd w:val="clear" w:color="auto" w:fill="FFFFFF"/>
        </w:rPr>
      </w:pPr>
      <w:r w:rsidRPr="00C835AB">
        <w:rPr>
          <w:rFonts w:ascii="Times New Roman" w:hAnsi="Times New Roman" w:cs="Times New Roman"/>
          <w:b/>
          <w:bCs/>
          <w:szCs w:val="24"/>
          <w:shd w:val="clear" w:color="auto" w:fill="FFFFFF"/>
        </w:rPr>
        <w:t>Art. 318</w:t>
      </w:r>
      <w:r w:rsidR="00A30655" w:rsidRPr="00C835AB">
        <w:rPr>
          <w:rFonts w:ascii="Times New Roman" w:hAnsi="Times New Roman" w:cs="Times New Roman"/>
          <w:b/>
          <w:bCs/>
          <w:szCs w:val="24"/>
          <w:shd w:val="clear" w:color="auto" w:fill="FFFFFF"/>
        </w:rPr>
        <w:t xml:space="preserve"> k.p.k.</w:t>
      </w:r>
    </w:p>
    <w:p w14:paraId="07217F0D" w14:textId="1F3B1389" w:rsidR="0037634E" w:rsidRPr="00C835AB" w:rsidRDefault="00491FA9" w:rsidP="00D823D0">
      <w:pPr>
        <w:pStyle w:val="ZUSTzmustartykuempunktem"/>
        <w:ind w:left="0" w:firstLine="720"/>
        <w:rPr>
          <w:rFonts w:ascii="Times New Roman" w:hAnsi="Times New Roman" w:cs="Times New Roman"/>
          <w:szCs w:val="24"/>
          <w:shd w:val="clear" w:color="auto" w:fill="FFFFFF"/>
        </w:rPr>
      </w:pPr>
      <w:r w:rsidRPr="00C835AB">
        <w:rPr>
          <w:rFonts w:ascii="Times New Roman" w:hAnsi="Times New Roman" w:cs="Times New Roman"/>
          <w:szCs w:val="24"/>
          <w:shd w:val="clear" w:color="auto" w:fill="FFFFFF"/>
        </w:rPr>
        <w:t>Z</w:t>
      </w:r>
      <w:r w:rsidR="0037634E" w:rsidRPr="00C835AB">
        <w:rPr>
          <w:rFonts w:ascii="Times New Roman" w:hAnsi="Times New Roman" w:cs="Times New Roman"/>
          <w:szCs w:val="24"/>
          <w:shd w:val="clear" w:color="auto" w:fill="FFFFFF"/>
        </w:rPr>
        <w:t xml:space="preserve">miana proponowana w </w:t>
      </w:r>
      <w:r w:rsidRPr="00C835AB">
        <w:rPr>
          <w:rFonts w:ascii="Times New Roman" w:hAnsi="Times New Roman" w:cs="Times New Roman"/>
          <w:szCs w:val="24"/>
          <w:shd w:val="clear" w:color="auto" w:fill="FFFFFF"/>
        </w:rPr>
        <w:t xml:space="preserve">art. 318 k.p.k. </w:t>
      </w:r>
      <w:r w:rsidR="0037634E" w:rsidRPr="00C835AB">
        <w:rPr>
          <w:rFonts w:ascii="Times New Roman" w:hAnsi="Times New Roman" w:cs="Times New Roman"/>
          <w:szCs w:val="24"/>
          <w:shd w:val="clear" w:color="auto" w:fill="FFFFFF"/>
        </w:rPr>
        <w:t>polega na wprowadzeniu obowiązku poinformowania podejrzanego i jego obrońcy oraz pokrzywdzonego i jego pełnomocnika o</w:t>
      </w:r>
      <w:r w:rsidR="00A76A6B" w:rsidRPr="00C835AB">
        <w:rPr>
          <w:rFonts w:ascii="Times New Roman" w:hAnsi="Times New Roman" w:cs="Times New Roman"/>
          <w:szCs w:val="24"/>
          <w:shd w:val="clear" w:color="auto" w:fill="FFFFFF"/>
        </w:rPr>
        <w:t> </w:t>
      </w:r>
      <w:r w:rsidR="0037634E" w:rsidRPr="00C835AB">
        <w:rPr>
          <w:rFonts w:ascii="Times New Roman" w:hAnsi="Times New Roman" w:cs="Times New Roman"/>
          <w:szCs w:val="24"/>
          <w:shd w:val="clear" w:color="auto" w:fill="FFFFFF"/>
        </w:rPr>
        <w:t>przedłożeniu opinii. W dotychczasowym brzmieniu przepis ten nakazywał doręczenie tym osobom postanowienia o dopuszczeniu dowodu i zezwolenie na wzięcie udziału w</w:t>
      </w:r>
      <w:r w:rsidR="00A76A6B" w:rsidRPr="00C835AB">
        <w:rPr>
          <w:rFonts w:ascii="Times New Roman" w:hAnsi="Times New Roman" w:cs="Times New Roman"/>
          <w:szCs w:val="24"/>
          <w:shd w:val="clear" w:color="auto" w:fill="FFFFFF"/>
        </w:rPr>
        <w:t> </w:t>
      </w:r>
      <w:r w:rsidR="0037634E" w:rsidRPr="00C835AB">
        <w:rPr>
          <w:rFonts w:ascii="Times New Roman" w:hAnsi="Times New Roman" w:cs="Times New Roman"/>
          <w:szCs w:val="24"/>
          <w:shd w:val="clear" w:color="auto" w:fill="FFFFFF"/>
        </w:rPr>
        <w:t xml:space="preserve">przesłuchaniu biegłych. </w:t>
      </w:r>
      <w:r w:rsidR="00A30655" w:rsidRPr="00C835AB">
        <w:rPr>
          <w:rFonts w:ascii="Times New Roman" w:hAnsi="Times New Roman" w:cs="Times New Roman"/>
          <w:szCs w:val="24"/>
          <w:shd w:val="clear" w:color="auto" w:fill="FFFFFF"/>
        </w:rPr>
        <w:t xml:space="preserve">Wskazane </w:t>
      </w:r>
      <w:r w:rsidR="0037634E" w:rsidRPr="00C835AB">
        <w:rPr>
          <w:rFonts w:ascii="Times New Roman" w:hAnsi="Times New Roman" w:cs="Times New Roman"/>
          <w:szCs w:val="24"/>
          <w:shd w:val="clear" w:color="auto" w:fill="FFFFFF"/>
        </w:rPr>
        <w:t>podmioty otrzymywały zatem informacje, że dowód z</w:t>
      </w:r>
      <w:r w:rsidR="00A76A6B" w:rsidRPr="00C835AB">
        <w:rPr>
          <w:rFonts w:ascii="Times New Roman" w:hAnsi="Times New Roman" w:cs="Times New Roman"/>
          <w:szCs w:val="24"/>
          <w:shd w:val="clear" w:color="auto" w:fill="FFFFFF"/>
        </w:rPr>
        <w:t> </w:t>
      </w:r>
      <w:r w:rsidR="0037634E" w:rsidRPr="00C835AB">
        <w:rPr>
          <w:rFonts w:ascii="Times New Roman" w:hAnsi="Times New Roman" w:cs="Times New Roman"/>
          <w:szCs w:val="24"/>
          <w:shd w:val="clear" w:color="auto" w:fill="FFFFFF"/>
        </w:rPr>
        <w:t xml:space="preserve">opinii biegłego został wywołany, natomiast nie otrzymywały informacji o przedłożeniu opinii </w:t>
      </w:r>
      <w:r w:rsidR="0037634E" w:rsidRPr="00C835AB">
        <w:rPr>
          <w:rFonts w:ascii="Times New Roman" w:hAnsi="Times New Roman" w:cs="Times New Roman"/>
          <w:szCs w:val="24"/>
          <w:shd w:val="clear" w:color="auto" w:fill="FFFFFF"/>
        </w:rPr>
        <w:lastRenderedPageBreak/>
        <w:t>biegłego</w:t>
      </w:r>
      <w:r w:rsidR="00A737A3" w:rsidRPr="00C835AB">
        <w:rPr>
          <w:rFonts w:ascii="Times New Roman" w:hAnsi="Times New Roman" w:cs="Times New Roman"/>
          <w:szCs w:val="24"/>
          <w:shd w:val="clear" w:color="auto" w:fill="FFFFFF"/>
        </w:rPr>
        <w:t xml:space="preserve"> </w:t>
      </w:r>
      <w:r w:rsidR="0037634E" w:rsidRPr="00C835AB">
        <w:rPr>
          <w:rFonts w:ascii="Times New Roman" w:hAnsi="Times New Roman" w:cs="Times New Roman"/>
          <w:szCs w:val="24"/>
          <w:shd w:val="clear" w:color="auto" w:fill="FFFFFF"/>
        </w:rPr>
        <w:t>/</w:t>
      </w:r>
      <w:r w:rsidR="00A737A3" w:rsidRPr="00C835AB">
        <w:rPr>
          <w:rFonts w:ascii="Times New Roman" w:hAnsi="Times New Roman" w:cs="Times New Roman"/>
          <w:szCs w:val="24"/>
          <w:shd w:val="clear" w:color="auto" w:fill="FFFFFF"/>
        </w:rPr>
        <w:t xml:space="preserve"> </w:t>
      </w:r>
      <w:r w:rsidR="0037634E" w:rsidRPr="00C835AB">
        <w:rPr>
          <w:rFonts w:ascii="Times New Roman" w:hAnsi="Times New Roman" w:cs="Times New Roman"/>
          <w:szCs w:val="24"/>
          <w:shd w:val="clear" w:color="auto" w:fill="FFFFFF"/>
        </w:rPr>
        <w:t>biegłych do akt sprawy, co istotnie utrudniało zapoznanie się z tą opinią. Jak</w:t>
      </w:r>
      <w:r w:rsidR="00DA6B6A">
        <w:rPr>
          <w:rFonts w:ascii="Times New Roman" w:hAnsi="Times New Roman" w:cs="Times New Roman"/>
          <w:szCs w:val="24"/>
          <w:shd w:val="clear" w:color="auto" w:fill="FFFFFF"/>
        </w:rPr>
        <w:t> </w:t>
      </w:r>
      <w:r w:rsidR="0037634E" w:rsidRPr="00C835AB">
        <w:rPr>
          <w:rFonts w:ascii="Times New Roman" w:hAnsi="Times New Roman" w:cs="Times New Roman"/>
          <w:szCs w:val="24"/>
          <w:shd w:val="clear" w:color="auto" w:fill="FFFFFF"/>
        </w:rPr>
        <w:t xml:space="preserve">sygnalizowali praktycy, niejednokrotnie prowadziło </w:t>
      </w:r>
      <w:r w:rsidR="00A737A3" w:rsidRPr="00C835AB">
        <w:rPr>
          <w:rFonts w:ascii="Times New Roman" w:hAnsi="Times New Roman" w:cs="Times New Roman"/>
          <w:szCs w:val="24"/>
          <w:shd w:val="clear" w:color="auto" w:fill="FFFFFF"/>
        </w:rPr>
        <w:t xml:space="preserve">to </w:t>
      </w:r>
      <w:r w:rsidR="0037634E" w:rsidRPr="00C835AB">
        <w:rPr>
          <w:rFonts w:ascii="Times New Roman" w:hAnsi="Times New Roman" w:cs="Times New Roman"/>
          <w:szCs w:val="24"/>
          <w:shd w:val="clear" w:color="auto" w:fill="FFFFFF"/>
        </w:rPr>
        <w:t>do sytuacji, że obrońca wyznaczony w</w:t>
      </w:r>
      <w:r w:rsidR="00A76A6B" w:rsidRPr="00C835AB">
        <w:rPr>
          <w:rFonts w:ascii="Times New Roman" w:hAnsi="Times New Roman" w:cs="Times New Roman"/>
          <w:szCs w:val="24"/>
          <w:shd w:val="clear" w:color="auto" w:fill="FFFFFF"/>
        </w:rPr>
        <w:t> </w:t>
      </w:r>
      <w:r w:rsidR="0037634E" w:rsidRPr="00C835AB">
        <w:rPr>
          <w:rFonts w:ascii="Times New Roman" w:hAnsi="Times New Roman" w:cs="Times New Roman"/>
          <w:szCs w:val="24"/>
          <w:shd w:val="clear" w:color="auto" w:fill="FFFFFF"/>
        </w:rPr>
        <w:t>sprawie z powodu pojawienia się wątpliwości co do poczytalności podejrzanego nie zdążał zapoznać się z opinią sądowo-psychiatryczną zanim zdecydowano o tym, że ustaje obrona obligatoryjna, co z kolei skutkowało zwolnieniem obrońcy z jego obowiązków. Proponowana zmiana czyni realnym skorzystanie z uprawnień stron już wcześniej przewidzianych w tym przepisie, czyli wzięcia udziału w przesłuchaniu biegłych w toku postępowania przygotowawczego. Co oczywiste, poinformowanie ww. podmiotów o przedłożeniu opinii może nastąpić w sposób odformalizowany, w trybie art. 137 k.p.k.</w:t>
      </w:r>
      <w:r w:rsidR="00662587" w:rsidRPr="00C835AB">
        <w:rPr>
          <w:rFonts w:ascii="Times New Roman" w:hAnsi="Times New Roman" w:cs="Times New Roman"/>
          <w:szCs w:val="24"/>
          <w:shd w:val="clear" w:color="auto" w:fill="FFFFFF"/>
        </w:rPr>
        <w:t xml:space="preserve"> </w:t>
      </w:r>
    </w:p>
    <w:p w14:paraId="76A8FD7B" w14:textId="77777777" w:rsidR="003E223F" w:rsidRPr="00C835AB" w:rsidRDefault="003E223F" w:rsidP="00D823D0">
      <w:pPr>
        <w:pStyle w:val="ZUSTzmustartykuempunktem"/>
        <w:ind w:left="0" w:firstLine="0"/>
        <w:rPr>
          <w:rFonts w:ascii="Times New Roman" w:hAnsi="Times New Roman" w:cs="Times New Roman"/>
          <w:b/>
          <w:bCs/>
          <w:szCs w:val="24"/>
          <w:shd w:val="clear" w:color="auto" w:fill="FFFFFF"/>
        </w:rPr>
      </w:pPr>
    </w:p>
    <w:p w14:paraId="1C9C4FCF" w14:textId="798BE169" w:rsidR="00C74583" w:rsidRPr="00C835AB" w:rsidRDefault="3126F98E" w:rsidP="00D823D0">
      <w:pPr>
        <w:pStyle w:val="ZUSTzmustartykuempunktem"/>
        <w:ind w:left="0" w:firstLine="720"/>
        <w:rPr>
          <w:rFonts w:ascii="Times New Roman" w:hAnsi="Times New Roman" w:cs="Times New Roman"/>
          <w:b/>
          <w:bCs/>
          <w:szCs w:val="24"/>
          <w:shd w:val="clear" w:color="auto" w:fill="FFFFFF"/>
        </w:rPr>
      </w:pPr>
      <w:r w:rsidRPr="00C835AB">
        <w:rPr>
          <w:rFonts w:ascii="Times New Roman" w:hAnsi="Times New Roman" w:cs="Times New Roman"/>
          <w:b/>
          <w:bCs/>
          <w:szCs w:val="24"/>
          <w:shd w:val="clear" w:color="auto" w:fill="FFFFFF"/>
        </w:rPr>
        <w:t>A</w:t>
      </w:r>
      <w:r w:rsidR="1D6AACFF" w:rsidRPr="00C835AB">
        <w:rPr>
          <w:rFonts w:ascii="Times New Roman" w:hAnsi="Times New Roman" w:cs="Times New Roman"/>
          <w:b/>
          <w:bCs/>
          <w:szCs w:val="24"/>
          <w:shd w:val="clear" w:color="auto" w:fill="FFFFFF"/>
        </w:rPr>
        <w:t>rt. 332</w:t>
      </w:r>
      <w:r w:rsidR="00A30655" w:rsidRPr="00C835AB">
        <w:rPr>
          <w:rFonts w:ascii="Times New Roman" w:hAnsi="Times New Roman" w:cs="Times New Roman"/>
          <w:b/>
          <w:bCs/>
          <w:szCs w:val="24"/>
          <w:shd w:val="clear" w:color="auto" w:fill="FFFFFF"/>
        </w:rPr>
        <w:t xml:space="preserve"> § 1 pkt 1 k.p.k. </w:t>
      </w:r>
    </w:p>
    <w:p w14:paraId="095AD595" w14:textId="29CEC9E5" w:rsidR="75ACD5D6" w:rsidRPr="00C835AB" w:rsidRDefault="00491FA9" w:rsidP="00D823D0">
      <w:pPr>
        <w:pStyle w:val="ZUSTzmustartykuempunktem"/>
        <w:ind w:left="0" w:firstLine="720"/>
        <w:rPr>
          <w:rFonts w:ascii="Times New Roman" w:hAnsi="Times New Roman" w:cs="Times New Roman"/>
          <w:szCs w:val="24"/>
        </w:rPr>
      </w:pPr>
      <w:r w:rsidRPr="00C835AB">
        <w:rPr>
          <w:rFonts w:ascii="Times New Roman" w:hAnsi="Times New Roman" w:cs="Times New Roman"/>
          <w:szCs w:val="24"/>
        </w:rPr>
        <w:t>Projektowane z</w:t>
      </w:r>
      <w:r w:rsidR="75ACD5D6" w:rsidRPr="00C835AB">
        <w:rPr>
          <w:rFonts w:ascii="Times New Roman" w:hAnsi="Times New Roman" w:cs="Times New Roman"/>
          <w:szCs w:val="24"/>
        </w:rPr>
        <w:t xml:space="preserve">miany art. 332 § 1 k.p.k. mają charakter dostosowujący. </w:t>
      </w:r>
      <w:r w:rsidRPr="00C835AB">
        <w:rPr>
          <w:rFonts w:ascii="Times New Roman" w:hAnsi="Times New Roman" w:cs="Times New Roman"/>
          <w:szCs w:val="24"/>
        </w:rPr>
        <w:t xml:space="preserve">W ocenie projektodawcy </w:t>
      </w:r>
      <w:r w:rsidR="27619CCE" w:rsidRPr="00C835AB">
        <w:rPr>
          <w:rFonts w:ascii="Times New Roman" w:hAnsi="Times New Roman" w:cs="Times New Roman"/>
          <w:szCs w:val="24"/>
        </w:rPr>
        <w:t xml:space="preserve">w akcie oskarżenia </w:t>
      </w:r>
      <w:r w:rsidR="3EAE7BAD" w:rsidRPr="00C835AB">
        <w:rPr>
          <w:rFonts w:ascii="Times New Roman" w:hAnsi="Times New Roman" w:cs="Times New Roman"/>
          <w:szCs w:val="24"/>
        </w:rPr>
        <w:t xml:space="preserve">(pkt 1) </w:t>
      </w:r>
      <w:r w:rsidR="27619CCE" w:rsidRPr="00C835AB">
        <w:rPr>
          <w:rFonts w:ascii="Times New Roman" w:hAnsi="Times New Roman" w:cs="Times New Roman"/>
          <w:szCs w:val="24"/>
        </w:rPr>
        <w:t>powinna zostać zawarta informacja nie tylko o</w:t>
      </w:r>
      <w:r w:rsidR="00A76A6B" w:rsidRPr="00C835AB">
        <w:rPr>
          <w:rFonts w:ascii="Times New Roman" w:hAnsi="Times New Roman" w:cs="Times New Roman"/>
          <w:szCs w:val="24"/>
        </w:rPr>
        <w:t> </w:t>
      </w:r>
      <w:r w:rsidR="56963C96" w:rsidRPr="00C835AB">
        <w:rPr>
          <w:rFonts w:ascii="Times New Roman" w:hAnsi="Times New Roman" w:cs="Times New Roman"/>
          <w:szCs w:val="24"/>
        </w:rPr>
        <w:t>zastosowaniu środka zapobiegawczego</w:t>
      </w:r>
      <w:r w:rsidR="6AB9C5E0" w:rsidRPr="00C835AB">
        <w:rPr>
          <w:rFonts w:ascii="Times New Roman" w:hAnsi="Times New Roman" w:cs="Times New Roman"/>
          <w:szCs w:val="24"/>
        </w:rPr>
        <w:t xml:space="preserve"> i zabezpieczenia majątkowego</w:t>
      </w:r>
      <w:r w:rsidR="56963C96" w:rsidRPr="00C835AB">
        <w:rPr>
          <w:rFonts w:ascii="Times New Roman" w:hAnsi="Times New Roman" w:cs="Times New Roman"/>
          <w:szCs w:val="24"/>
        </w:rPr>
        <w:t xml:space="preserve">, ale również </w:t>
      </w:r>
      <w:r w:rsidR="27619CCE" w:rsidRPr="00C835AB">
        <w:rPr>
          <w:rFonts w:ascii="Times New Roman" w:hAnsi="Times New Roman" w:cs="Times New Roman"/>
          <w:szCs w:val="24"/>
        </w:rPr>
        <w:t>o</w:t>
      </w:r>
      <w:r w:rsidR="00A76A6B" w:rsidRPr="00C835AB">
        <w:rPr>
          <w:rFonts w:ascii="Times New Roman" w:hAnsi="Times New Roman" w:cs="Times New Roman"/>
          <w:szCs w:val="24"/>
        </w:rPr>
        <w:t> </w:t>
      </w:r>
      <w:r w:rsidR="35C88781" w:rsidRPr="00C835AB">
        <w:rPr>
          <w:rFonts w:ascii="Times New Roman" w:hAnsi="Times New Roman" w:cs="Times New Roman"/>
          <w:szCs w:val="24"/>
        </w:rPr>
        <w:t>zatrzymani</w:t>
      </w:r>
      <w:r w:rsidR="000B7A29" w:rsidRPr="00C835AB">
        <w:rPr>
          <w:rFonts w:ascii="Times New Roman" w:hAnsi="Times New Roman" w:cs="Times New Roman"/>
          <w:szCs w:val="24"/>
        </w:rPr>
        <w:t>u</w:t>
      </w:r>
      <w:r w:rsidR="6E4C02D1" w:rsidRPr="00C835AB">
        <w:rPr>
          <w:rFonts w:ascii="Times New Roman" w:hAnsi="Times New Roman" w:cs="Times New Roman"/>
          <w:szCs w:val="24"/>
        </w:rPr>
        <w:t xml:space="preserve"> z uwagi na jego konsekwencje dla oskarżonego i znaczenie w kontekście uzyskania statusu podejrzanego</w:t>
      </w:r>
      <w:r w:rsidR="35C88781" w:rsidRPr="00C835AB">
        <w:rPr>
          <w:rFonts w:ascii="Times New Roman" w:hAnsi="Times New Roman" w:cs="Times New Roman"/>
          <w:szCs w:val="24"/>
        </w:rPr>
        <w:t>.</w:t>
      </w:r>
      <w:r w:rsidR="0B1C2E97" w:rsidRPr="00C835AB">
        <w:rPr>
          <w:rFonts w:ascii="Times New Roman" w:hAnsi="Times New Roman" w:cs="Times New Roman"/>
          <w:szCs w:val="24"/>
        </w:rPr>
        <w:t xml:space="preserve"> </w:t>
      </w:r>
    </w:p>
    <w:p w14:paraId="28924ADD" w14:textId="3D92F8CA" w:rsidR="44357A46" w:rsidRPr="00C835AB" w:rsidRDefault="44357A46" w:rsidP="00D823D0">
      <w:pPr>
        <w:pStyle w:val="ZUSTzmustartykuempunktem"/>
        <w:ind w:left="0" w:firstLine="720"/>
        <w:rPr>
          <w:rFonts w:ascii="Times New Roman" w:hAnsi="Times New Roman" w:cs="Times New Roman"/>
          <w:b/>
          <w:bCs/>
          <w:szCs w:val="24"/>
        </w:rPr>
      </w:pPr>
    </w:p>
    <w:p w14:paraId="785F1EAD" w14:textId="615B866A" w:rsidR="00C74583" w:rsidRPr="00C835AB" w:rsidRDefault="27619CCE" w:rsidP="00D823D0">
      <w:pPr>
        <w:ind w:firstLine="720"/>
        <w:rPr>
          <w:rFonts w:ascii="Times New Roman" w:hAnsi="Times New Roman" w:cs="Times New Roman"/>
          <w:b/>
          <w:bCs/>
          <w:color w:val="auto"/>
          <w:sz w:val="24"/>
        </w:rPr>
      </w:pPr>
      <w:r w:rsidRPr="00C835AB">
        <w:rPr>
          <w:rFonts w:ascii="Times New Roman" w:hAnsi="Times New Roman" w:cs="Times New Roman"/>
          <w:b/>
          <w:bCs/>
          <w:color w:val="auto"/>
          <w:sz w:val="24"/>
        </w:rPr>
        <w:t>A</w:t>
      </w:r>
      <w:r w:rsidR="1D6AACFF" w:rsidRPr="00C835AB">
        <w:rPr>
          <w:rFonts w:ascii="Times New Roman" w:hAnsi="Times New Roman" w:cs="Times New Roman"/>
          <w:b/>
          <w:bCs/>
          <w:color w:val="auto"/>
          <w:sz w:val="24"/>
        </w:rPr>
        <w:t>rt. 333</w:t>
      </w:r>
      <w:r w:rsidR="00A30655" w:rsidRPr="00C835AB">
        <w:rPr>
          <w:rFonts w:ascii="Times New Roman" w:hAnsi="Times New Roman" w:cs="Times New Roman"/>
          <w:b/>
          <w:bCs/>
          <w:color w:val="auto"/>
          <w:sz w:val="24"/>
        </w:rPr>
        <w:t xml:space="preserve"> § 1a k.p.k.</w:t>
      </w:r>
    </w:p>
    <w:p w14:paraId="3E58C2CC" w14:textId="6B76CC93" w:rsidR="00517097" w:rsidRPr="00C835AB" w:rsidRDefault="00491FA9" w:rsidP="00D823D0">
      <w:pPr>
        <w:ind w:firstLine="720"/>
        <w:rPr>
          <w:rFonts w:ascii="Times New Roman" w:hAnsi="Times New Roman" w:cs="Times New Roman"/>
          <w:color w:val="auto"/>
          <w:sz w:val="24"/>
        </w:rPr>
      </w:pPr>
      <w:r w:rsidRPr="00C835AB">
        <w:rPr>
          <w:rFonts w:ascii="Times New Roman" w:hAnsi="Times New Roman" w:cs="Times New Roman"/>
          <w:color w:val="auto"/>
          <w:sz w:val="24"/>
        </w:rPr>
        <w:t>Projektowane w</w:t>
      </w:r>
      <w:r w:rsidR="50166A11" w:rsidRPr="00C835AB">
        <w:rPr>
          <w:rFonts w:ascii="Times New Roman" w:hAnsi="Times New Roman" w:cs="Times New Roman"/>
          <w:color w:val="auto"/>
          <w:sz w:val="24"/>
        </w:rPr>
        <w:t xml:space="preserve">prowadzenie art. 333 </w:t>
      </w:r>
      <w:r w:rsidR="00E0058B" w:rsidRPr="00C835AB">
        <w:rPr>
          <w:rFonts w:ascii="Times New Roman" w:hAnsi="Times New Roman" w:cs="Times New Roman"/>
          <w:color w:val="auto"/>
          <w:sz w:val="24"/>
        </w:rPr>
        <w:t xml:space="preserve">§ </w:t>
      </w:r>
      <w:r w:rsidR="50166A11" w:rsidRPr="00C835AB">
        <w:rPr>
          <w:rFonts w:ascii="Times New Roman" w:hAnsi="Times New Roman" w:cs="Times New Roman"/>
          <w:color w:val="auto"/>
          <w:sz w:val="24"/>
        </w:rPr>
        <w:t>1a</w:t>
      </w:r>
      <w:r w:rsidR="00E0058B" w:rsidRPr="00C835AB">
        <w:rPr>
          <w:rFonts w:ascii="Times New Roman" w:hAnsi="Times New Roman" w:cs="Times New Roman"/>
          <w:color w:val="auto"/>
          <w:sz w:val="24"/>
        </w:rPr>
        <w:t xml:space="preserve"> k.p.k.</w:t>
      </w:r>
      <w:r w:rsidR="50166A11" w:rsidRPr="00C835AB">
        <w:rPr>
          <w:rFonts w:ascii="Times New Roman" w:hAnsi="Times New Roman" w:cs="Times New Roman"/>
          <w:color w:val="auto"/>
          <w:sz w:val="24"/>
        </w:rPr>
        <w:t xml:space="preserve"> poszerza wymogi dotyczące treści aktu oskarżenia. Obok wymienienia w nim listy osób, których wezwania oskarżyciel żąda i wykazu innych dowodów, których przeprowadzenia na rozprawie głównej się domaga (art. 333 § 1</w:t>
      </w:r>
      <w:r w:rsidR="00312965" w:rsidRPr="00C835AB">
        <w:rPr>
          <w:rFonts w:ascii="Times New Roman" w:hAnsi="Times New Roman" w:cs="Times New Roman"/>
          <w:color w:val="auto"/>
          <w:sz w:val="24"/>
        </w:rPr>
        <w:t xml:space="preserve"> k.p</w:t>
      </w:r>
      <w:r w:rsidRPr="00C835AB">
        <w:rPr>
          <w:rFonts w:ascii="Times New Roman" w:hAnsi="Times New Roman" w:cs="Times New Roman"/>
          <w:color w:val="auto"/>
          <w:sz w:val="24"/>
        </w:rPr>
        <w:t>.</w:t>
      </w:r>
      <w:r w:rsidR="00312965" w:rsidRPr="00C835AB">
        <w:rPr>
          <w:rFonts w:ascii="Times New Roman" w:hAnsi="Times New Roman" w:cs="Times New Roman"/>
          <w:color w:val="auto"/>
          <w:sz w:val="24"/>
        </w:rPr>
        <w:t>k.</w:t>
      </w:r>
      <w:r w:rsidR="50166A11" w:rsidRPr="00C835AB">
        <w:rPr>
          <w:rFonts w:ascii="Times New Roman" w:hAnsi="Times New Roman" w:cs="Times New Roman"/>
          <w:color w:val="auto"/>
          <w:sz w:val="24"/>
        </w:rPr>
        <w:t xml:space="preserve">), w </w:t>
      </w:r>
      <w:r w:rsidR="00FC445F" w:rsidRPr="00C835AB">
        <w:rPr>
          <w:rFonts w:ascii="Times New Roman" w:hAnsi="Times New Roman" w:cs="Times New Roman"/>
          <w:color w:val="auto"/>
          <w:sz w:val="24"/>
        </w:rPr>
        <w:t xml:space="preserve">projektowanym art. 333 § </w:t>
      </w:r>
      <w:r w:rsidR="50166A11" w:rsidRPr="00C835AB">
        <w:rPr>
          <w:rFonts w:ascii="Times New Roman" w:hAnsi="Times New Roman" w:cs="Times New Roman"/>
          <w:color w:val="auto"/>
          <w:sz w:val="24"/>
        </w:rPr>
        <w:t>1a</w:t>
      </w:r>
      <w:r w:rsidR="00FC445F" w:rsidRPr="00C835AB">
        <w:rPr>
          <w:rFonts w:ascii="Times New Roman" w:hAnsi="Times New Roman" w:cs="Times New Roman"/>
          <w:color w:val="auto"/>
          <w:sz w:val="24"/>
        </w:rPr>
        <w:t xml:space="preserve"> k.p.k.</w:t>
      </w:r>
      <w:r w:rsidR="50166A11" w:rsidRPr="00C835AB">
        <w:rPr>
          <w:rFonts w:ascii="Times New Roman" w:hAnsi="Times New Roman" w:cs="Times New Roman"/>
          <w:color w:val="auto"/>
          <w:sz w:val="24"/>
        </w:rPr>
        <w:t xml:space="preserve"> zobowiązano oskarżyciela do sformułowania </w:t>
      </w:r>
      <w:r w:rsidR="00312965" w:rsidRPr="00C835AB">
        <w:rPr>
          <w:rFonts w:ascii="Times New Roman" w:hAnsi="Times New Roman" w:cs="Times New Roman"/>
          <w:color w:val="auto"/>
          <w:sz w:val="24"/>
        </w:rPr>
        <w:t>tez</w:t>
      </w:r>
      <w:r w:rsidR="00FC445F" w:rsidRPr="00C835AB">
        <w:rPr>
          <w:rFonts w:ascii="Times New Roman" w:hAnsi="Times New Roman" w:cs="Times New Roman"/>
          <w:color w:val="auto"/>
          <w:sz w:val="24"/>
        </w:rPr>
        <w:t xml:space="preserve"> </w:t>
      </w:r>
      <w:r w:rsidR="00312965" w:rsidRPr="00C835AB">
        <w:rPr>
          <w:rFonts w:ascii="Times New Roman" w:hAnsi="Times New Roman" w:cs="Times New Roman"/>
          <w:color w:val="auto"/>
          <w:sz w:val="24"/>
        </w:rPr>
        <w:t>dowodowych w</w:t>
      </w:r>
      <w:r w:rsidR="50166A11" w:rsidRPr="00C835AB">
        <w:rPr>
          <w:rFonts w:ascii="Times New Roman" w:hAnsi="Times New Roman" w:cs="Times New Roman"/>
          <w:color w:val="auto"/>
          <w:sz w:val="24"/>
        </w:rPr>
        <w:t xml:space="preserve"> odniesieniu do wnioskowanych dowodów, to jest do wskazania okoliczności, które mają być udowodnione. Zauważyć należy, że jest to wymóg dotyczący każdego wniosku dowodowego, wynikający z art. 169</w:t>
      </w:r>
      <w:r w:rsidR="00312965" w:rsidRPr="00C835AB">
        <w:rPr>
          <w:rFonts w:ascii="Times New Roman" w:hAnsi="Times New Roman" w:cs="Times New Roman"/>
          <w:color w:val="auto"/>
          <w:sz w:val="24"/>
        </w:rPr>
        <w:t xml:space="preserve"> k.p.k</w:t>
      </w:r>
      <w:r w:rsidR="50166A11" w:rsidRPr="00C835AB">
        <w:rPr>
          <w:rFonts w:ascii="Times New Roman" w:hAnsi="Times New Roman" w:cs="Times New Roman"/>
          <w:color w:val="auto"/>
          <w:sz w:val="24"/>
        </w:rPr>
        <w:t>. Wprowadzenie obowiązku formułowania tez</w:t>
      </w:r>
      <w:r w:rsidR="1C60F32C" w:rsidRPr="00C835AB">
        <w:rPr>
          <w:rFonts w:ascii="Times New Roman" w:hAnsi="Times New Roman" w:cs="Times New Roman"/>
          <w:color w:val="auto"/>
          <w:sz w:val="24"/>
        </w:rPr>
        <w:t xml:space="preserve"> </w:t>
      </w:r>
      <w:r w:rsidR="50166A11" w:rsidRPr="00C835AB">
        <w:rPr>
          <w:rFonts w:ascii="Times New Roman" w:hAnsi="Times New Roman" w:cs="Times New Roman"/>
          <w:color w:val="auto"/>
          <w:sz w:val="24"/>
        </w:rPr>
        <w:t>dowodowych w</w:t>
      </w:r>
      <w:r w:rsidR="3661573B" w:rsidRPr="00C835AB">
        <w:rPr>
          <w:rFonts w:ascii="Times New Roman" w:hAnsi="Times New Roman" w:cs="Times New Roman"/>
          <w:color w:val="auto"/>
          <w:sz w:val="24"/>
        </w:rPr>
        <w:t xml:space="preserve"> </w:t>
      </w:r>
      <w:r w:rsidR="50166A11" w:rsidRPr="00C835AB">
        <w:rPr>
          <w:rFonts w:ascii="Times New Roman" w:hAnsi="Times New Roman" w:cs="Times New Roman"/>
          <w:color w:val="auto"/>
          <w:sz w:val="24"/>
        </w:rPr>
        <w:t>odniesieniu do poszczególnych dowodów także w akcie oskarżenia prowadzi do realizacji zasady równości stron, poszerza możliwości przygotowania się stron do rozprawy i powinno spowodować ograniczenie praktyki automatycznego wnioskowania o</w:t>
      </w:r>
      <w:r w:rsidR="00A76A6B" w:rsidRPr="00C835AB">
        <w:rPr>
          <w:rFonts w:ascii="Times New Roman" w:hAnsi="Times New Roman" w:cs="Times New Roman"/>
          <w:color w:val="auto"/>
          <w:sz w:val="24"/>
        </w:rPr>
        <w:t> </w:t>
      </w:r>
      <w:r w:rsidR="50166A11" w:rsidRPr="00C835AB">
        <w:rPr>
          <w:rFonts w:ascii="Times New Roman" w:hAnsi="Times New Roman" w:cs="Times New Roman"/>
          <w:color w:val="auto"/>
          <w:sz w:val="24"/>
        </w:rPr>
        <w:t xml:space="preserve">przeprowadzenie na rozprawie głównej wszystkich dowodów z postępowania przygotowawczego. Autor aktu oskarżenia, zobowiązany do formułowania tez dowodowych, </w:t>
      </w:r>
      <w:r w:rsidR="00FC445F" w:rsidRPr="00C835AB">
        <w:rPr>
          <w:rFonts w:ascii="Times New Roman" w:hAnsi="Times New Roman" w:cs="Times New Roman"/>
          <w:color w:val="auto"/>
          <w:sz w:val="24"/>
        </w:rPr>
        <w:t xml:space="preserve">powinien </w:t>
      </w:r>
      <w:r w:rsidR="50166A11" w:rsidRPr="00C835AB">
        <w:rPr>
          <w:rFonts w:ascii="Times New Roman" w:hAnsi="Times New Roman" w:cs="Times New Roman"/>
          <w:color w:val="auto"/>
          <w:sz w:val="24"/>
        </w:rPr>
        <w:t>przeprowadzić rodzaj selekcji wniosków dowodowych, ograniczając się do składania ich w sytuacjach rzeczywiście uzasadnionych.</w:t>
      </w:r>
    </w:p>
    <w:p w14:paraId="5B609D29" w14:textId="77777777" w:rsidR="00517097" w:rsidRPr="00C835AB" w:rsidRDefault="00517097" w:rsidP="00D823D0">
      <w:pPr>
        <w:pStyle w:val="ZUSTzmustartykuempunktem"/>
        <w:ind w:left="0" w:firstLine="720"/>
        <w:rPr>
          <w:rFonts w:ascii="Times New Roman" w:hAnsi="Times New Roman" w:cs="Times New Roman"/>
          <w:b/>
          <w:bCs/>
          <w:szCs w:val="24"/>
          <w:shd w:val="clear" w:color="auto" w:fill="FFFFFF"/>
        </w:rPr>
      </w:pPr>
    </w:p>
    <w:p w14:paraId="3256ACF9" w14:textId="64017A04" w:rsidR="0037634E" w:rsidRPr="00C835AB" w:rsidRDefault="677929DD" w:rsidP="00D823D0">
      <w:pPr>
        <w:ind w:firstLine="720"/>
        <w:rPr>
          <w:rFonts w:ascii="Times New Roman" w:hAnsi="Times New Roman" w:cs="Times New Roman"/>
          <w:b/>
          <w:bCs/>
          <w:color w:val="auto"/>
          <w:sz w:val="24"/>
        </w:rPr>
      </w:pPr>
      <w:r w:rsidRPr="00C835AB">
        <w:rPr>
          <w:rFonts w:ascii="Times New Roman" w:hAnsi="Times New Roman" w:cs="Times New Roman"/>
          <w:b/>
          <w:bCs/>
          <w:color w:val="auto"/>
          <w:sz w:val="24"/>
        </w:rPr>
        <w:t>Art. 339</w:t>
      </w:r>
      <w:r w:rsidR="00FC445F" w:rsidRPr="00C835AB">
        <w:rPr>
          <w:rFonts w:ascii="Times New Roman" w:hAnsi="Times New Roman" w:cs="Times New Roman"/>
          <w:b/>
          <w:bCs/>
          <w:color w:val="auto"/>
          <w:sz w:val="24"/>
        </w:rPr>
        <w:t xml:space="preserve"> § 3 pkt </w:t>
      </w:r>
      <w:r w:rsidR="00244CE7" w:rsidRPr="00C835AB">
        <w:rPr>
          <w:rFonts w:ascii="Times New Roman" w:hAnsi="Times New Roman" w:cs="Times New Roman"/>
          <w:b/>
          <w:bCs/>
          <w:color w:val="auto"/>
          <w:sz w:val="24"/>
        </w:rPr>
        <w:t>8</w:t>
      </w:r>
      <w:r w:rsidR="00FC445F" w:rsidRPr="00C835AB">
        <w:rPr>
          <w:rFonts w:ascii="Times New Roman" w:hAnsi="Times New Roman" w:cs="Times New Roman"/>
          <w:b/>
          <w:bCs/>
          <w:color w:val="auto"/>
          <w:sz w:val="24"/>
        </w:rPr>
        <w:t>, § 3b i § 5 k.p.k.</w:t>
      </w:r>
      <w:r w:rsidR="0591185B" w:rsidRPr="00C835AB">
        <w:rPr>
          <w:rFonts w:ascii="Times New Roman" w:hAnsi="Times New Roman" w:cs="Times New Roman"/>
          <w:b/>
          <w:bCs/>
          <w:color w:val="auto"/>
          <w:sz w:val="24"/>
        </w:rPr>
        <w:t xml:space="preserve"> </w:t>
      </w:r>
      <w:r w:rsidR="00312965" w:rsidRPr="00C835AB">
        <w:rPr>
          <w:rFonts w:ascii="Times New Roman" w:hAnsi="Times New Roman" w:cs="Times New Roman"/>
          <w:b/>
          <w:bCs/>
          <w:color w:val="auto"/>
          <w:sz w:val="24"/>
        </w:rPr>
        <w:t>oraz</w:t>
      </w:r>
      <w:r w:rsidR="0591185B" w:rsidRPr="00C835AB">
        <w:rPr>
          <w:rFonts w:ascii="Times New Roman" w:hAnsi="Times New Roman" w:cs="Times New Roman"/>
          <w:b/>
          <w:bCs/>
          <w:color w:val="auto"/>
          <w:sz w:val="24"/>
        </w:rPr>
        <w:t xml:space="preserve"> art. 368a</w:t>
      </w:r>
      <w:r w:rsidR="00FC445F" w:rsidRPr="00C835AB">
        <w:rPr>
          <w:rFonts w:ascii="Times New Roman" w:hAnsi="Times New Roman" w:cs="Times New Roman"/>
          <w:b/>
          <w:bCs/>
          <w:color w:val="auto"/>
          <w:sz w:val="24"/>
        </w:rPr>
        <w:t xml:space="preserve"> k.p.k.</w:t>
      </w:r>
    </w:p>
    <w:p w14:paraId="4236ACE4" w14:textId="0E63EC0E" w:rsidR="0037634E" w:rsidRPr="00C835AB" w:rsidRDefault="677929DD" w:rsidP="00D823D0">
      <w:pPr>
        <w:ind w:firstLine="720"/>
        <w:rPr>
          <w:rFonts w:ascii="Times New Roman" w:eastAsia="Times New Roman" w:hAnsi="Times New Roman" w:cs="Times New Roman"/>
          <w:color w:val="auto"/>
          <w:kern w:val="0"/>
          <w:sz w:val="24"/>
          <w:lang w:eastAsia="pl-PL"/>
          <w14:ligatures w14:val="none"/>
        </w:rPr>
      </w:pPr>
      <w:r w:rsidRPr="00C835AB">
        <w:rPr>
          <w:rFonts w:ascii="Times New Roman" w:hAnsi="Times New Roman" w:cs="Times New Roman"/>
          <w:color w:val="auto"/>
          <w:sz w:val="24"/>
        </w:rPr>
        <w:lastRenderedPageBreak/>
        <w:t>Zgodnie z art. 79 § 4 k.p.k., „</w:t>
      </w:r>
      <w:r w:rsidRPr="00C835AB">
        <w:rPr>
          <w:rFonts w:ascii="Times New Roman" w:hAnsi="Times New Roman" w:cs="Times New Roman"/>
          <w:color w:val="auto"/>
          <w:sz w:val="24"/>
          <w:shd w:val="clear" w:color="auto" w:fill="FFFFFF"/>
        </w:rPr>
        <w:t>Uznając za uzasadnioną opinię biegłych lekarzy psychiatrów, że czyn oskarżonego nie został popełniony w warunkach wyłączenia lub</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znacznego ograniczenia zdolności rozpoznania znaczenia czynu lub kierowania swoim postępowaniem i że stan zdrowia psychicznego oskarżonego pozwala na udział w</w:t>
      </w:r>
      <w:r w:rsidR="00A76A6B"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postępowaniu i prowadzenie obrony w sposób samodzielny i rozsądny, sąd orzeka, że udział obrońcy nie jest obowiązkowy. Prezes sądu albo sąd zwalnia wówczas obrońcę z jego obowiązków, chyba że zachodzą inne okoliczności przemawiające za tym, aby oskarżony miał obrońcę wyznaczonego z urzędu”. W rezultacie obrona obligatoryjna zapoczątkowana powstaniem wątpliwości co do poczytalności ustaje dopiero z momentem wydania przez sąd „orzeczenia, że udział obrońcy [w sprawie] nie jest obowiązkowy”. Celem tego przepisu jest wyraźne podkreślenie, że to dopiero sądowa ocena, mianowicie „uznanie opinii biegłych lekarzy psychiatrów za uzasadnioną” pozwala sądowi orzec o ustaniu obrony obligatoryjnej. Samo zatem złożenie do akt sprawy opinii biegłych, z której wynika brak przesłanek do obrony obligatoryjnej z art. 79 § 1 pkt 3 i 4 k.p.k.</w:t>
      </w:r>
      <w:r w:rsidR="00491FA9" w:rsidRPr="00C835AB">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 xml:space="preserve"> nie powoduje ustania stanu obrony obowiązkowej. Niestety w praktyce sądy niejednokrotnie „zapominają” o konieczności zbadania opinii i</w:t>
      </w:r>
      <w:r w:rsidR="00A76A6B"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wydania orzeczenia, o którym mowa w art. 79 § 4 k.p.k. (zdanie pierwsze in fine) lub</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nie</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 xml:space="preserve">dostrzegają, że przepis wyraźnie uzależnia ustanie obrony obligatoryjnej od wydania takiego orzeczenia. W rezultacie niejednokrotnie dochodzi w takich sprawach do prowadzenia rozprawy pod nieobecność obrońcy, co skutkuje zaistnieniem bezwzględnej podstawy odwoławczej z art. 439 § 1 pkt 10 k.p.k. i koniecznością uchylenia wyroku wydanego w takich okolicznościach (por. m.in.: postanowienie SN z dnia 18 maja 2022 r., I KZP 10/21, OSNK 2022, z. 6, poz. 23; wyroki SN: z dnia 7 kwietnia 2022 r., II </w:t>
      </w:r>
      <w:r w:rsidR="00DC6CC1" w:rsidRPr="00C835AB">
        <w:rPr>
          <w:rFonts w:ascii="Times New Roman" w:hAnsi="Times New Roman" w:cs="Times New Roman"/>
          <w:color w:val="auto"/>
          <w:sz w:val="24"/>
          <w:shd w:val="clear" w:color="auto" w:fill="FFFFFF"/>
        </w:rPr>
        <w:t>KK</w:t>
      </w:r>
      <w:r w:rsidRPr="00C835AB">
        <w:rPr>
          <w:rFonts w:ascii="Times New Roman" w:hAnsi="Times New Roman" w:cs="Times New Roman"/>
          <w:color w:val="auto"/>
          <w:sz w:val="24"/>
          <w:shd w:val="clear" w:color="auto" w:fill="FFFFFF"/>
        </w:rPr>
        <w:t xml:space="preserve"> 59/22; z dnia 21 kwietnia 2021 r., III </w:t>
      </w:r>
      <w:r w:rsidR="00DC6CC1" w:rsidRPr="00C835AB">
        <w:rPr>
          <w:rFonts w:ascii="Times New Roman" w:hAnsi="Times New Roman" w:cs="Times New Roman"/>
          <w:color w:val="auto"/>
          <w:sz w:val="24"/>
          <w:shd w:val="clear" w:color="auto" w:fill="FFFFFF"/>
        </w:rPr>
        <w:t>KK</w:t>
      </w:r>
      <w:r w:rsidRPr="00C835AB">
        <w:rPr>
          <w:rFonts w:ascii="Times New Roman" w:hAnsi="Times New Roman" w:cs="Times New Roman"/>
          <w:color w:val="auto"/>
          <w:sz w:val="24"/>
          <w:shd w:val="clear" w:color="auto" w:fill="FFFFFF"/>
        </w:rPr>
        <w:t xml:space="preserve"> 114/21; z dnia 13 października 2021 r., III </w:t>
      </w:r>
      <w:r w:rsidR="00DC6CC1" w:rsidRPr="00C835AB">
        <w:rPr>
          <w:rFonts w:ascii="Times New Roman" w:hAnsi="Times New Roman" w:cs="Times New Roman"/>
          <w:color w:val="auto"/>
          <w:sz w:val="24"/>
          <w:shd w:val="clear" w:color="auto" w:fill="FFFFFF"/>
        </w:rPr>
        <w:t>KK</w:t>
      </w:r>
      <w:r w:rsidRPr="00C835AB">
        <w:rPr>
          <w:rFonts w:ascii="Times New Roman" w:hAnsi="Times New Roman" w:cs="Times New Roman"/>
          <w:color w:val="auto"/>
          <w:sz w:val="24"/>
          <w:shd w:val="clear" w:color="auto" w:fill="FFFFFF"/>
        </w:rPr>
        <w:t xml:space="preserve"> 334/21; z dnia 27 lutego 2020 r., III </w:t>
      </w:r>
      <w:r w:rsidR="00DC6CC1" w:rsidRPr="00C835AB">
        <w:rPr>
          <w:rFonts w:ascii="Times New Roman" w:hAnsi="Times New Roman" w:cs="Times New Roman"/>
          <w:color w:val="auto"/>
          <w:sz w:val="24"/>
          <w:shd w:val="clear" w:color="auto" w:fill="FFFFFF"/>
        </w:rPr>
        <w:t>KK</w:t>
      </w:r>
      <w:r w:rsidRPr="00C835AB">
        <w:rPr>
          <w:rFonts w:ascii="Times New Roman" w:hAnsi="Times New Roman" w:cs="Times New Roman"/>
          <w:color w:val="auto"/>
          <w:sz w:val="24"/>
          <w:shd w:val="clear" w:color="auto" w:fill="FFFFFF"/>
        </w:rPr>
        <w:t xml:space="preserve"> 643/19; z dnia 1 września 2020 r., IV </w:t>
      </w:r>
      <w:r w:rsidR="00DC6CC1" w:rsidRPr="00C835AB">
        <w:rPr>
          <w:rFonts w:ascii="Times New Roman" w:hAnsi="Times New Roman" w:cs="Times New Roman"/>
          <w:color w:val="auto"/>
          <w:sz w:val="24"/>
          <w:shd w:val="clear" w:color="auto" w:fill="FFFFFF"/>
        </w:rPr>
        <w:t>KK</w:t>
      </w:r>
      <w:r w:rsidRPr="00C835AB">
        <w:rPr>
          <w:rFonts w:ascii="Times New Roman" w:hAnsi="Times New Roman" w:cs="Times New Roman"/>
          <w:color w:val="auto"/>
          <w:sz w:val="24"/>
          <w:shd w:val="clear" w:color="auto" w:fill="FFFFFF"/>
        </w:rPr>
        <w:t xml:space="preserve"> 741/19; z dnia 8 stycznia 2019 r., III </w:t>
      </w:r>
      <w:r w:rsidR="00DC6CC1" w:rsidRPr="00C835AB">
        <w:rPr>
          <w:rFonts w:ascii="Times New Roman" w:hAnsi="Times New Roman" w:cs="Times New Roman"/>
          <w:color w:val="auto"/>
          <w:sz w:val="24"/>
          <w:shd w:val="clear" w:color="auto" w:fill="FFFFFF"/>
        </w:rPr>
        <w:t>KK</w:t>
      </w:r>
      <w:r w:rsidRPr="00C835AB">
        <w:rPr>
          <w:rFonts w:ascii="Times New Roman" w:hAnsi="Times New Roman" w:cs="Times New Roman"/>
          <w:color w:val="auto"/>
          <w:sz w:val="24"/>
          <w:shd w:val="clear" w:color="auto" w:fill="FFFFFF"/>
        </w:rPr>
        <w:t xml:space="preserve"> 662/18; z dnia 11 kwietnia 2019 r., V </w:t>
      </w:r>
      <w:r w:rsidR="00DC6CC1" w:rsidRPr="00C835AB">
        <w:rPr>
          <w:rFonts w:ascii="Times New Roman" w:hAnsi="Times New Roman" w:cs="Times New Roman"/>
          <w:color w:val="auto"/>
          <w:sz w:val="24"/>
          <w:shd w:val="clear" w:color="auto" w:fill="FFFFFF"/>
        </w:rPr>
        <w:t>KK</w:t>
      </w:r>
      <w:r w:rsidRPr="00C835AB">
        <w:rPr>
          <w:rFonts w:ascii="Times New Roman" w:hAnsi="Times New Roman" w:cs="Times New Roman"/>
          <w:color w:val="auto"/>
          <w:sz w:val="24"/>
          <w:shd w:val="clear" w:color="auto" w:fill="FFFFFF"/>
        </w:rPr>
        <w:t xml:space="preserve"> 160/19; z dnia 13 czerwca 2019 r., IV </w:t>
      </w:r>
      <w:r w:rsidR="00DC6CC1" w:rsidRPr="00C835AB">
        <w:rPr>
          <w:rFonts w:ascii="Times New Roman" w:hAnsi="Times New Roman" w:cs="Times New Roman"/>
          <w:color w:val="auto"/>
          <w:sz w:val="24"/>
          <w:shd w:val="clear" w:color="auto" w:fill="FFFFFF"/>
        </w:rPr>
        <w:t>KK</w:t>
      </w:r>
      <w:r w:rsidRPr="00C835AB">
        <w:rPr>
          <w:rFonts w:ascii="Times New Roman" w:hAnsi="Times New Roman" w:cs="Times New Roman"/>
          <w:color w:val="auto"/>
          <w:sz w:val="24"/>
          <w:shd w:val="clear" w:color="auto" w:fill="FFFFFF"/>
        </w:rPr>
        <w:t xml:space="preserve"> 235/18; z dnia 16</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stycznia 2018 r.,</w:t>
      </w:r>
      <w:r w:rsidR="00280BD8" w:rsidRPr="00C835AB">
        <w:rPr>
          <w:rFonts w:ascii="Times New Roman" w:hAnsi="Times New Roman" w:cs="Times New Roman"/>
          <w:color w:val="auto"/>
          <w:sz w:val="24"/>
          <w:shd w:val="clear" w:color="auto" w:fill="FFFFFF"/>
        </w:rPr>
        <w:t xml:space="preserve"> </w:t>
      </w:r>
      <w:r w:rsidRPr="00C835AB">
        <w:rPr>
          <w:rFonts w:ascii="Times New Roman" w:hAnsi="Times New Roman" w:cs="Times New Roman"/>
          <w:color w:val="auto"/>
          <w:sz w:val="24"/>
          <w:shd w:val="clear" w:color="auto" w:fill="FFFFFF"/>
        </w:rPr>
        <w:t xml:space="preserve">V </w:t>
      </w:r>
      <w:r w:rsidR="00DC6CC1" w:rsidRPr="00C835AB">
        <w:rPr>
          <w:rFonts w:ascii="Times New Roman" w:hAnsi="Times New Roman" w:cs="Times New Roman"/>
          <w:color w:val="auto"/>
          <w:sz w:val="24"/>
          <w:shd w:val="clear" w:color="auto" w:fill="FFFFFF"/>
        </w:rPr>
        <w:t>KK</w:t>
      </w:r>
      <w:r w:rsidRPr="00C835AB">
        <w:rPr>
          <w:rFonts w:ascii="Times New Roman" w:hAnsi="Times New Roman" w:cs="Times New Roman"/>
          <w:color w:val="auto"/>
          <w:sz w:val="24"/>
          <w:shd w:val="clear" w:color="auto" w:fill="FFFFFF"/>
        </w:rPr>
        <w:t xml:space="preserve"> 450/17; z dnia 5 grudnia 2018 r., V </w:t>
      </w:r>
      <w:r w:rsidR="00DC6CC1" w:rsidRPr="00C835AB">
        <w:rPr>
          <w:rFonts w:ascii="Times New Roman" w:hAnsi="Times New Roman" w:cs="Times New Roman"/>
          <w:color w:val="auto"/>
          <w:sz w:val="24"/>
          <w:shd w:val="clear" w:color="auto" w:fill="FFFFFF"/>
        </w:rPr>
        <w:t>KK</w:t>
      </w:r>
      <w:r w:rsidRPr="00C835AB">
        <w:rPr>
          <w:rFonts w:ascii="Times New Roman" w:hAnsi="Times New Roman" w:cs="Times New Roman"/>
          <w:color w:val="auto"/>
          <w:sz w:val="24"/>
          <w:shd w:val="clear" w:color="auto" w:fill="FFFFFF"/>
        </w:rPr>
        <w:t xml:space="preserve"> 506/17; z</w:t>
      </w:r>
      <w:r w:rsidRPr="00C835AB">
        <w:rPr>
          <w:rFonts w:ascii="Times New Roman" w:eastAsia="Times New Roman" w:hAnsi="Times New Roman" w:cs="Times New Roman"/>
          <w:color w:val="auto"/>
          <w:kern w:val="0"/>
          <w:sz w:val="24"/>
          <w:lang w:eastAsia="pl-PL"/>
          <w14:ligatures w14:val="none"/>
        </w:rPr>
        <w:t xml:space="preserve"> dnia</w:t>
      </w:r>
      <w:r w:rsidR="00280BD8" w:rsidRPr="00C835AB">
        <w:rPr>
          <w:rFonts w:ascii="Times New Roman" w:eastAsia="Times New Roman" w:hAnsi="Times New Roman" w:cs="Times New Roman"/>
          <w:color w:val="auto"/>
          <w:kern w:val="0"/>
          <w:sz w:val="24"/>
          <w:lang w:eastAsia="pl-PL"/>
          <w14:ligatures w14:val="none"/>
        </w:rPr>
        <w:t xml:space="preserve"> </w:t>
      </w:r>
      <w:r w:rsidRPr="00C835AB">
        <w:rPr>
          <w:rFonts w:ascii="Times New Roman" w:eastAsia="Times New Roman" w:hAnsi="Times New Roman" w:cs="Times New Roman"/>
          <w:color w:val="auto"/>
          <w:kern w:val="0"/>
          <w:sz w:val="24"/>
          <w:lang w:eastAsia="pl-PL"/>
          <w14:ligatures w14:val="none"/>
        </w:rPr>
        <w:t>25 stycznia 2024 r.</w:t>
      </w:r>
      <w:r w:rsidR="000E6647" w:rsidRPr="00C835AB">
        <w:rPr>
          <w:rFonts w:ascii="Times New Roman" w:eastAsia="Times New Roman" w:hAnsi="Times New Roman" w:cs="Times New Roman"/>
          <w:color w:val="auto"/>
          <w:kern w:val="0"/>
          <w:sz w:val="24"/>
          <w:lang w:eastAsia="pl-PL"/>
          <w14:ligatures w14:val="none"/>
        </w:rPr>
        <w:t>,</w:t>
      </w:r>
      <w:r w:rsidRPr="00C835AB">
        <w:rPr>
          <w:rFonts w:ascii="Times New Roman" w:eastAsia="Times New Roman" w:hAnsi="Times New Roman" w:cs="Times New Roman"/>
          <w:color w:val="auto"/>
          <w:kern w:val="0"/>
          <w:sz w:val="24"/>
          <w:lang w:eastAsia="pl-PL"/>
          <w14:ligatures w14:val="none"/>
        </w:rPr>
        <w:t xml:space="preserve"> III </w:t>
      </w:r>
      <w:r w:rsidR="00DC6CC1" w:rsidRPr="00C835AB">
        <w:rPr>
          <w:rFonts w:ascii="Times New Roman" w:eastAsia="Times New Roman" w:hAnsi="Times New Roman" w:cs="Times New Roman"/>
          <w:color w:val="auto"/>
          <w:kern w:val="0"/>
          <w:sz w:val="24"/>
          <w:lang w:eastAsia="pl-PL"/>
          <w14:ligatures w14:val="none"/>
        </w:rPr>
        <w:t>KK</w:t>
      </w:r>
      <w:r w:rsidRPr="00C835AB">
        <w:rPr>
          <w:rFonts w:ascii="Times New Roman" w:eastAsia="Times New Roman" w:hAnsi="Times New Roman" w:cs="Times New Roman"/>
          <w:color w:val="auto"/>
          <w:kern w:val="0"/>
          <w:sz w:val="24"/>
          <w:lang w:eastAsia="pl-PL"/>
          <w14:ligatures w14:val="none"/>
        </w:rPr>
        <w:t xml:space="preserve"> 562/23). Wobec tego proponuje się wprowadzenie do art. 339 § 3 k.p.k. obowiązku skierowania sprawy na posiedzenie przez prezesa sądu w celu wydania</w:t>
      </w:r>
      <w:r w:rsidRPr="00C835AB">
        <w:rPr>
          <w:rFonts w:ascii="Times New Roman" w:hAnsi="Times New Roman" w:cs="Times New Roman"/>
          <w:color w:val="auto"/>
          <w:sz w:val="24"/>
        </w:rPr>
        <w:t xml:space="preserve"> „postanowienia w</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przedmiocie uznania udziału obrońcy w postępowaniu za nieobowiązkowy wobec treści opinii biegłych psychiatrów i spełniania warunków określonych w art. 79 § 4.”</w:t>
      </w:r>
      <w:r w:rsidRPr="00C835AB">
        <w:rPr>
          <w:rFonts w:ascii="Times New Roman" w:eastAsia="Times New Roman" w:hAnsi="Times New Roman" w:cs="Times New Roman"/>
          <w:color w:val="auto"/>
          <w:kern w:val="0"/>
          <w:sz w:val="24"/>
          <w:lang w:eastAsia="pl-PL"/>
          <w14:ligatures w14:val="none"/>
        </w:rPr>
        <w:t>, o</w:t>
      </w:r>
      <w:r w:rsidR="00DA6B6A">
        <w:rPr>
          <w:rFonts w:ascii="Times New Roman" w:eastAsia="Times New Roman" w:hAnsi="Times New Roman" w:cs="Times New Roman"/>
          <w:color w:val="auto"/>
          <w:kern w:val="0"/>
          <w:sz w:val="24"/>
          <w:lang w:eastAsia="pl-PL"/>
          <w14:ligatures w14:val="none"/>
        </w:rPr>
        <w:t> </w:t>
      </w:r>
      <w:r w:rsidRPr="00C835AB">
        <w:rPr>
          <w:rFonts w:ascii="Times New Roman" w:eastAsia="Times New Roman" w:hAnsi="Times New Roman" w:cs="Times New Roman"/>
          <w:color w:val="auto"/>
          <w:kern w:val="0"/>
          <w:sz w:val="24"/>
          <w:lang w:eastAsia="pl-PL"/>
          <w14:ligatures w14:val="none"/>
        </w:rPr>
        <w:t>ile oczywiście takie postanowienie nie zostało wydane na wcześniejszym etapie postępowania. Wprowadzenie tego obowiązku uporządkuje procedowanie, bowiem przed</w:t>
      </w:r>
      <w:r w:rsidR="00DA6B6A">
        <w:rPr>
          <w:rFonts w:ascii="Times New Roman" w:eastAsia="Times New Roman" w:hAnsi="Times New Roman" w:cs="Times New Roman"/>
          <w:color w:val="auto"/>
          <w:kern w:val="0"/>
          <w:sz w:val="24"/>
          <w:lang w:eastAsia="pl-PL"/>
          <w14:ligatures w14:val="none"/>
        </w:rPr>
        <w:t> </w:t>
      </w:r>
      <w:r w:rsidRPr="00C835AB">
        <w:rPr>
          <w:rFonts w:ascii="Times New Roman" w:eastAsia="Times New Roman" w:hAnsi="Times New Roman" w:cs="Times New Roman"/>
          <w:color w:val="auto"/>
          <w:kern w:val="0"/>
          <w:sz w:val="24"/>
          <w:lang w:eastAsia="pl-PL"/>
          <w14:ligatures w14:val="none"/>
        </w:rPr>
        <w:t>przystąpieniem do merytorycznego rozpoznania sprawy na rozprawie lub na posiedzeniu, w</w:t>
      </w:r>
      <w:r w:rsidR="00DA6B6A">
        <w:rPr>
          <w:rFonts w:ascii="Times New Roman" w:eastAsia="Times New Roman" w:hAnsi="Times New Roman" w:cs="Times New Roman"/>
          <w:color w:val="auto"/>
          <w:kern w:val="0"/>
          <w:sz w:val="24"/>
          <w:lang w:eastAsia="pl-PL"/>
          <w14:ligatures w14:val="none"/>
        </w:rPr>
        <w:t> </w:t>
      </w:r>
      <w:r w:rsidRPr="00C835AB">
        <w:rPr>
          <w:rFonts w:ascii="Times New Roman" w:eastAsia="Times New Roman" w:hAnsi="Times New Roman" w:cs="Times New Roman"/>
          <w:color w:val="auto"/>
          <w:kern w:val="0"/>
          <w:sz w:val="24"/>
          <w:lang w:eastAsia="pl-PL"/>
          <w14:ligatures w14:val="none"/>
        </w:rPr>
        <w:t xml:space="preserve">którym udział obrońcy obligatoryjnego jest obowiązkowy, sąd przesądzi, czy nadal trwa stan </w:t>
      </w:r>
      <w:r w:rsidRPr="00C835AB">
        <w:rPr>
          <w:rFonts w:ascii="Times New Roman" w:eastAsia="Times New Roman" w:hAnsi="Times New Roman" w:cs="Times New Roman"/>
          <w:color w:val="auto"/>
          <w:kern w:val="0"/>
          <w:sz w:val="24"/>
          <w:lang w:eastAsia="pl-PL"/>
          <w14:ligatures w14:val="none"/>
        </w:rPr>
        <w:lastRenderedPageBreak/>
        <w:t>obrony obligatoryjnej wywołany powołaniem biegłych psychiatrów w celu wydania opinii o</w:t>
      </w:r>
      <w:r w:rsidR="00DA6B6A">
        <w:rPr>
          <w:rFonts w:ascii="Times New Roman" w:eastAsia="Times New Roman" w:hAnsi="Times New Roman" w:cs="Times New Roman"/>
          <w:color w:val="auto"/>
          <w:kern w:val="0"/>
          <w:sz w:val="24"/>
          <w:lang w:eastAsia="pl-PL"/>
          <w14:ligatures w14:val="none"/>
        </w:rPr>
        <w:t> </w:t>
      </w:r>
      <w:r w:rsidRPr="00C835AB">
        <w:rPr>
          <w:rFonts w:ascii="Times New Roman" w:eastAsia="Times New Roman" w:hAnsi="Times New Roman" w:cs="Times New Roman"/>
          <w:color w:val="auto"/>
          <w:kern w:val="0"/>
          <w:sz w:val="24"/>
          <w:lang w:eastAsia="pl-PL"/>
          <w14:ligatures w14:val="none"/>
        </w:rPr>
        <w:t>stanie zdrowia psychicznego oskarżonego, czy też wobec treści tej opinii stan obrony obligatoryjnej ustał. Proponowana zmiana ma w rezultacie zapobiec wydaniu orzeczeń dotkniętych uchybieniem o randze bezwzględnej przyczyny odwoławczej z art. 439 § 1 pkt 10 k.p.k.</w:t>
      </w:r>
      <w:r w:rsidR="00662587" w:rsidRPr="00C835AB">
        <w:rPr>
          <w:rFonts w:ascii="Times New Roman" w:eastAsia="Times New Roman" w:hAnsi="Times New Roman" w:cs="Times New Roman"/>
          <w:color w:val="auto"/>
          <w:kern w:val="0"/>
          <w:sz w:val="24"/>
          <w:lang w:eastAsia="pl-PL"/>
          <w14:ligatures w14:val="none"/>
        </w:rPr>
        <w:t xml:space="preserve"> </w:t>
      </w:r>
    </w:p>
    <w:p w14:paraId="23F52E2F" w14:textId="1F95CF89" w:rsidR="000B40B2" w:rsidRPr="00C835AB" w:rsidRDefault="6EA0537B" w:rsidP="00D823D0">
      <w:pPr>
        <w:ind w:firstLine="720"/>
        <w:rPr>
          <w:rFonts w:ascii="Times New Roman" w:eastAsia="Times New Roman" w:hAnsi="Times New Roman" w:cs="Times New Roman"/>
          <w:color w:val="auto"/>
          <w:sz w:val="24"/>
          <w:lang w:eastAsia="pl-PL"/>
        </w:rPr>
      </w:pPr>
      <w:r w:rsidRPr="00C835AB">
        <w:rPr>
          <w:rFonts w:ascii="Times New Roman" w:eastAsia="Times New Roman" w:hAnsi="Times New Roman" w:cs="Times New Roman"/>
          <w:color w:val="auto"/>
          <w:sz w:val="24"/>
          <w:lang w:eastAsia="pl-PL"/>
        </w:rPr>
        <w:t>Przepisy art. 339 § 3b</w:t>
      </w:r>
      <w:r w:rsidR="00604531" w:rsidRPr="00C835AB">
        <w:rPr>
          <w:rFonts w:ascii="Times New Roman" w:eastAsia="Times New Roman" w:hAnsi="Times New Roman" w:cs="Times New Roman"/>
          <w:color w:val="auto"/>
          <w:sz w:val="24"/>
          <w:lang w:eastAsia="pl-PL"/>
        </w:rPr>
        <w:t xml:space="preserve"> k.p.k.</w:t>
      </w:r>
      <w:r w:rsidRPr="00C835AB">
        <w:rPr>
          <w:rFonts w:ascii="Times New Roman" w:eastAsia="Times New Roman" w:hAnsi="Times New Roman" w:cs="Times New Roman"/>
          <w:color w:val="auto"/>
          <w:sz w:val="24"/>
          <w:lang w:eastAsia="pl-PL"/>
        </w:rPr>
        <w:t xml:space="preserve"> i 368a </w:t>
      </w:r>
      <w:r w:rsidR="00312965" w:rsidRPr="00C835AB">
        <w:rPr>
          <w:rFonts w:ascii="Times New Roman" w:eastAsia="Times New Roman" w:hAnsi="Times New Roman" w:cs="Times New Roman"/>
          <w:color w:val="auto"/>
          <w:sz w:val="24"/>
          <w:lang w:eastAsia="pl-PL"/>
        </w:rPr>
        <w:t xml:space="preserve">k.p.k. </w:t>
      </w:r>
      <w:r w:rsidRPr="00C835AB">
        <w:rPr>
          <w:rFonts w:ascii="Times New Roman" w:eastAsia="Times New Roman" w:hAnsi="Times New Roman" w:cs="Times New Roman"/>
          <w:color w:val="auto"/>
          <w:sz w:val="24"/>
          <w:lang w:eastAsia="pl-PL"/>
        </w:rPr>
        <w:t xml:space="preserve">regulują kwestię rozpoznania wniosku oskarżonego o umorzenie postępowania z oskarżenia subsydiarnego z uwagi na brak skargi uprawnionego oskarżyciela, składanego na określonym etapie postępowania sądowego: przed rozprawą (art. 339 § 3b k.p.k.) i w toku rozprawy (art. 368a k.p.k.). Rozwiązania te należy uznać za zbędne, gdyż przed wejściem </w:t>
      </w:r>
      <w:r w:rsidR="00671E22" w:rsidRPr="00C835AB">
        <w:rPr>
          <w:rFonts w:ascii="Times New Roman" w:eastAsia="Times New Roman" w:hAnsi="Times New Roman" w:cs="Times New Roman"/>
          <w:color w:val="auto"/>
          <w:sz w:val="24"/>
          <w:lang w:eastAsia="pl-PL"/>
        </w:rPr>
        <w:t>w życie ustawy</w:t>
      </w:r>
      <w:r w:rsidRPr="00C835AB">
        <w:rPr>
          <w:rFonts w:ascii="Times New Roman" w:eastAsia="Times New Roman" w:hAnsi="Times New Roman" w:cs="Times New Roman"/>
          <w:color w:val="auto"/>
          <w:sz w:val="24"/>
          <w:lang w:eastAsia="pl-PL"/>
        </w:rPr>
        <w:t xml:space="preserve"> z </w:t>
      </w:r>
      <w:r w:rsidR="00CF61BA" w:rsidRPr="00C835AB">
        <w:rPr>
          <w:rFonts w:ascii="Times New Roman" w:eastAsia="Times New Roman" w:hAnsi="Times New Roman" w:cs="Times New Roman"/>
          <w:color w:val="auto"/>
          <w:sz w:val="24"/>
          <w:lang w:eastAsia="pl-PL"/>
        </w:rPr>
        <w:t xml:space="preserve">dnia </w:t>
      </w:r>
      <w:r w:rsidRPr="00C835AB">
        <w:rPr>
          <w:rFonts w:ascii="Times New Roman" w:eastAsia="Times New Roman" w:hAnsi="Times New Roman" w:cs="Times New Roman"/>
          <w:color w:val="auto"/>
          <w:sz w:val="24"/>
          <w:lang w:eastAsia="pl-PL"/>
        </w:rPr>
        <w:t>7 lipca 2023 r. oskarżonemu przysługiwało na ogólnych zasadach prawo do złożenia takiego wniosku. Ponadto, zgodnie z</w:t>
      </w:r>
      <w:r w:rsidR="00A76A6B" w:rsidRPr="00C835AB">
        <w:rPr>
          <w:rFonts w:ascii="Times New Roman" w:eastAsia="Times New Roman" w:hAnsi="Times New Roman" w:cs="Times New Roman"/>
          <w:color w:val="auto"/>
          <w:sz w:val="24"/>
          <w:lang w:eastAsia="pl-PL"/>
        </w:rPr>
        <w:t> </w:t>
      </w:r>
      <w:r w:rsidRPr="00C835AB">
        <w:rPr>
          <w:rFonts w:ascii="Times New Roman" w:eastAsia="Times New Roman" w:hAnsi="Times New Roman" w:cs="Times New Roman"/>
          <w:color w:val="auto"/>
          <w:sz w:val="24"/>
          <w:lang w:eastAsia="pl-PL"/>
        </w:rPr>
        <w:t>art. 56 § 2 k.p.k., jeśli sąd stwierdzi, że oskarżyciel posiłkowy nie jest osobą uprawnioną, wówczas orzeka, ż</w:t>
      </w:r>
      <w:r w:rsidR="002D10CF" w:rsidRPr="00C835AB">
        <w:rPr>
          <w:rFonts w:ascii="Times New Roman" w:eastAsia="Times New Roman" w:hAnsi="Times New Roman" w:cs="Times New Roman"/>
          <w:color w:val="auto"/>
          <w:sz w:val="24"/>
          <w:lang w:eastAsia="pl-PL"/>
        </w:rPr>
        <w:t>e</w:t>
      </w:r>
      <w:r w:rsidRPr="00C835AB">
        <w:rPr>
          <w:rFonts w:ascii="Times New Roman" w:eastAsia="Times New Roman" w:hAnsi="Times New Roman" w:cs="Times New Roman"/>
          <w:color w:val="auto"/>
          <w:sz w:val="24"/>
          <w:lang w:eastAsia="pl-PL"/>
        </w:rPr>
        <w:t xml:space="preserve"> nie może on brać udziału w postępowaniu, a jeśli wszczął już postępowanie sądowe, wówczas powinien je umorzyć na podstawie art. 17 § 1 pkt 9 k.p.k.</w:t>
      </w:r>
    </w:p>
    <w:p w14:paraId="6478B438" w14:textId="66ED8F38" w:rsidR="6EA0537B" w:rsidRDefault="000B40B2" w:rsidP="00D823D0">
      <w:pPr>
        <w:ind w:firstLine="720"/>
        <w:rPr>
          <w:rFonts w:ascii="Times New Roman" w:eastAsia="Times New Roman" w:hAnsi="Times New Roman" w:cs="Times New Roman"/>
          <w:color w:val="auto"/>
          <w:sz w:val="24"/>
          <w:lang w:eastAsia="pl-PL"/>
        </w:rPr>
      </w:pPr>
      <w:r w:rsidRPr="00C835AB">
        <w:rPr>
          <w:rStyle w:val="cf01"/>
          <w:rFonts w:ascii="Times New Roman" w:hAnsi="Times New Roman" w:cs="Times New Roman"/>
          <w:color w:val="auto"/>
          <w:sz w:val="24"/>
          <w:szCs w:val="24"/>
        </w:rPr>
        <w:t xml:space="preserve">Zmiana art. 339 § 5 k.p.k. ma charakter wynikowy w związku z </w:t>
      </w:r>
      <w:r w:rsidR="002D10CF" w:rsidRPr="00C835AB">
        <w:rPr>
          <w:rStyle w:val="cf01"/>
          <w:rFonts w:ascii="Times New Roman" w:hAnsi="Times New Roman" w:cs="Times New Roman"/>
          <w:color w:val="auto"/>
          <w:sz w:val="24"/>
          <w:szCs w:val="24"/>
        </w:rPr>
        <w:t xml:space="preserve">projektowanym </w:t>
      </w:r>
      <w:r w:rsidRPr="00C835AB">
        <w:rPr>
          <w:rStyle w:val="cf01"/>
          <w:rFonts w:ascii="Times New Roman" w:hAnsi="Times New Roman" w:cs="Times New Roman"/>
          <w:color w:val="auto"/>
          <w:sz w:val="24"/>
          <w:szCs w:val="24"/>
        </w:rPr>
        <w:t>uchyleniem art. 339 § 3b k.p.k.</w:t>
      </w:r>
      <w:r w:rsidR="00671E22" w:rsidRPr="00C835AB">
        <w:rPr>
          <w:rFonts w:ascii="Times New Roman" w:eastAsia="Times New Roman" w:hAnsi="Times New Roman" w:cs="Times New Roman"/>
          <w:color w:val="auto"/>
          <w:sz w:val="24"/>
          <w:lang w:eastAsia="pl-PL"/>
        </w:rPr>
        <w:t xml:space="preserve"> </w:t>
      </w:r>
    </w:p>
    <w:p w14:paraId="09C5AA13" w14:textId="77777777" w:rsidR="004703C3" w:rsidRDefault="004703C3" w:rsidP="00D823D0">
      <w:pPr>
        <w:ind w:firstLine="720"/>
        <w:rPr>
          <w:rFonts w:ascii="Times New Roman" w:eastAsia="Times New Roman" w:hAnsi="Times New Roman" w:cs="Times New Roman"/>
          <w:color w:val="auto"/>
          <w:sz w:val="24"/>
          <w:lang w:eastAsia="pl-PL"/>
        </w:rPr>
      </w:pPr>
    </w:p>
    <w:p w14:paraId="72312E78" w14:textId="5236FAC5" w:rsidR="004703C3" w:rsidRDefault="004703C3" w:rsidP="004703C3">
      <w:pPr>
        <w:pStyle w:val="PKTpunkt"/>
        <w:ind w:firstLine="210"/>
        <w:rPr>
          <w:rFonts w:ascii="Times New Roman" w:hAnsi="Times New Roman" w:cs="Times New Roman"/>
          <w:b/>
          <w:bCs w:val="0"/>
          <w:szCs w:val="24"/>
        </w:rPr>
      </w:pPr>
      <w:r w:rsidRPr="00C835AB">
        <w:rPr>
          <w:rFonts w:ascii="Times New Roman" w:hAnsi="Times New Roman" w:cs="Times New Roman"/>
          <w:b/>
          <w:bCs w:val="0"/>
          <w:szCs w:val="24"/>
        </w:rPr>
        <w:t>Art. 3</w:t>
      </w:r>
      <w:r>
        <w:rPr>
          <w:rFonts w:ascii="Times New Roman" w:hAnsi="Times New Roman" w:cs="Times New Roman"/>
          <w:b/>
          <w:bCs w:val="0"/>
          <w:szCs w:val="24"/>
        </w:rPr>
        <w:t>43 § 7</w:t>
      </w:r>
    </w:p>
    <w:p w14:paraId="4661281A" w14:textId="71C89F34" w:rsidR="006B07A7" w:rsidRPr="00A0500E" w:rsidRDefault="006B07A7" w:rsidP="004703C3">
      <w:pPr>
        <w:pStyle w:val="PKTpunkt"/>
        <w:ind w:firstLine="210"/>
        <w:rPr>
          <w:rFonts w:ascii="Times New Roman" w:hAnsi="Times New Roman" w:cs="Times New Roman"/>
          <w:szCs w:val="24"/>
        </w:rPr>
      </w:pPr>
      <w:r w:rsidRPr="00A0500E">
        <w:rPr>
          <w:rFonts w:ascii="Times New Roman" w:hAnsi="Times New Roman" w:cs="Times New Roman"/>
          <w:szCs w:val="24"/>
        </w:rPr>
        <w:t xml:space="preserve">Zmiana przepisu </w:t>
      </w:r>
      <w:r>
        <w:rPr>
          <w:rFonts w:ascii="Times New Roman" w:hAnsi="Times New Roman" w:cs="Times New Roman"/>
          <w:szCs w:val="24"/>
        </w:rPr>
        <w:t>wynika z konieczności uwzględnienia dodawanego § 1</w:t>
      </w:r>
      <w:r w:rsidR="00A704D9">
        <w:rPr>
          <w:rFonts w:ascii="Times New Roman" w:hAnsi="Times New Roman" w:cs="Times New Roman"/>
          <w:szCs w:val="24"/>
        </w:rPr>
        <w:t>a</w:t>
      </w:r>
      <w:r>
        <w:rPr>
          <w:rFonts w:ascii="Times New Roman" w:hAnsi="Times New Roman" w:cs="Times New Roman"/>
          <w:szCs w:val="24"/>
        </w:rPr>
        <w:t xml:space="preserve"> w art. 333</w:t>
      </w:r>
      <w:r w:rsidRPr="00A0500E">
        <w:rPr>
          <w:rFonts w:ascii="Times New Roman" w:hAnsi="Times New Roman" w:cs="Times New Roman"/>
          <w:szCs w:val="24"/>
        </w:rPr>
        <w:t xml:space="preserve">. </w:t>
      </w:r>
    </w:p>
    <w:p w14:paraId="469377E7" w14:textId="77777777" w:rsidR="0037634E" w:rsidRPr="00C835AB" w:rsidRDefault="0037634E" w:rsidP="00D823D0">
      <w:pPr>
        <w:rPr>
          <w:rFonts w:ascii="Times New Roman" w:hAnsi="Times New Roman" w:cs="Times New Roman"/>
          <w:color w:val="auto"/>
          <w:sz w:val="24"/>
          <w:shd w:val="clear" w:color="auto" w:fill="FFFFFF"/>
        </w:rPr>
      </w:pPr>
    </w:p>
    <w:p w14:paraId="226BA0ED" w14:textId="77777777" w:rsidR="0037634E" w:rsidRPr="00C835AB" w:rsidRDefault="0037634E" w:rsidP="00D823D0">
      <w:pPr>
        <w:pStyle w:val="PKTpunkt"/>
        <w:ind w:firstLine="210"/>
        <w:rPr>
          <w:rFonts w:ascii="Times New Roman" w:hAnsi="Times New Roman" w:cs="Times New Roman"/>
          <w:b/>
          <w:bCs w:val="0"/>
          <w:szCs w:val="24"/>
        </w:rPr>
      </w:pPr>
      <w:r w:rsidRPr="00C835AB">
        <w:rPr>
          <w:rFonts w:ascii="Times New Roman" w:hAnsi="Times New Roman" w:cs="Times New Roman"/>
          <w:b/>
          <w:bCs w:val="0"/>
          <w:szCs w:val="24"/>
        </w:rPr>
        <w:t>Art. 360</w:t>
      </w:r>
    </w:p>
    <w:p w14:paraId="648A6850" w14:textId="72CF7049" w:rsidR="00F108F4" w:rsidRPr="00C835AB" w:rsidRDefault="0037634E" w:rsidP="00D823D0">
      <w:pPr>
        <w:ind w:firstLine="720"/>
        <w:rPr>
          <w:rFonts w:ascii="Times New Roman" w:hAnsi="Times New Roman" w:cs="Times New Roman"/>
          <w:color w:val="auto"/>
          <w:sz w:val="24"/>
        </w:rPr>
      </w:pPr>
      <w:r w:rsidRPr="00C835AB">
        <w:rPr>
          <w:rFonts w:ascii="Times New Roman" w:hAnsi="Times New Roman" w:cs="Times New Roman"/>
          <w:color w:val="auto"/>
          <w:sz w:val="24"/>
        </w:rPr>
        <w:t xml:space="preserve">Proponuje się usunięcie przepisu wprowadzonego do </w:t>
      </w:r>
      <w:r w:rsidR="00312965" w:rsidRPr="00C835AB">
        <w:rPr>
          <w:rFonts w:ascii="Times New Roman" w:hAnsi="Times New Roman" w:cs="Times New Roman"/>
          <w:color w:val="auto"/>
          <w:sz w:val="24"/>
        </w:rPr>
        <w:t xml:space="preserve">Kodeksu postępowania karnego </w:t>
      </w:r>
      <w:r w:rsidRPr="00C835AB">
        <w:rPr>
          <w:rFonts w:ascii="Times New Roman" w:hAnsi="Times New Roman" w:cs="Times New Roman"/>
          <w:color w:val="auto"/>
          <w:sz w:val="24"/>
        </w:rPr>
        <w:t xml:space="preserve">w 2016 r., wyposażającego prokuratora w prawo zgłoszenia sprzeciwu wobec wyłączenia jawności rozprawy. Według uchylanego przepisu, sprzeciw prokuratora wobec wyłączenia jawności jest wiążący dla sądu, bowiem na skutek jego zgłoszenia rozprawa ma się odbywać jawnie. Przepis ten stanowi jawne naruszenie zasady równouprawnienia stron postępowania sądowego (bowiem stronie przeciwnej nie przyznano prawa zgłoszenia podobnego „sprzeciwu”) oraz zasady nadrzędności sądu nad stronami. Uprzywilejowanie prokuratora jako strony postępowania sądowego w tej kwestii nie znajduje żadnego racjonalnego uzasadnienia, dlatego proponuje się uchylenie </w:t>
      </w:r>
      <w:r w:rsidR="00312965" w:rsidRPr="00C835AB">
        <w:rPr>
          <w:rFonts w:ascii="Times New Roman" w:hAnsi="Times New Roman" w:cs="Times New Roman"/>
          <w:color w:val="auto"/>
          <w:sz w:val="24"/>
        </w:rPr>
        <w:t xml:space="preserve">w </w:t>
      </w:r>
      <w:r w:rsidRPr="00C835AB">
        <w:rPr>
          <w:rFonts w:ascii="Times New Roman" w:hAnsi="Times New Roman" w:cs="Times New Roman"/>
          <w:color w:val="auto"/>
          <w:sz w:val="24"/>
        </w:rPr>
        <w:t xml:space="preserve">art. 360 </w:t>
      </w:r>
      <w:r w:rsidR="00312965" w:rsidRPr="00C835AB">
        <w:rPr>
          <w:rFonts w:ascii="Times New Roman" w:hAnsi="Times New Roman" w:cs="Times New Roman"/>
          <w:color w:val="auto"/>
          <w:sz w:val="24"/>
        </w:rPr>
        <w:t xml:space="preserve">§ 2 </w:t>
      </w:r>
      <w:r w:rsidRPr="00C835AB">
        <w:rPr>
          <w:rFonts w:ascii="Times New Roman" w:hAnsi="Times New Roman" w:cs="Times New Roman"/>
          <w:color w:val="auto"/>
          <w:sz w:val="24"/>
        </w:rPr>
        <w:t xml:space="preserve">k.p.k. </w:t>
      </w:r>
    </w:p>
    <w:p w14:paraId="59AC6008" w14:textId="77777777" w:rsidR="00F108F4" w:rsidRPr="00C835AB" w:rsidRDefault="00F108F4" w:rsidP="00D823D0">
      <w:pPr>
        <w:pStyle w:val="PKTpunkt"/>
        <w:ind w:firstLine="720"/>
        <w:rPr>
          <w:rFonts w:ascii="Times New Roman" w:hAnsi="Times New Roman" w:cs="Times New Roman"/>
          <w:b/>
          <w:bCs w:val="0"/>
          <w:szCs w:val="24"/>
        </w:rPr>
      </w:pPr>
    </w:p>
    <w:p w14:paraId="02E2B923" w14:textId="55EC081D" w:rsidR="0037634E" w:rsidRPr="00C835AB" w:rsidRDefault="0037634E" w:rsidP="00D823D0">
      <w:pPr>
        <w:pStyle w:val="PKTpunkt"/>
        <w:ind w:firstLine="210"/>
        <w:rPr>
          <w:rFonts w:ascii="Times New Roman" w:eastAsia="Times New Roman" w:hAnsi="Times New Roman" w:cs="Times New Roman"/>
          <w:b/>
          <w:bCs w:val="0"/>
          <w:szCs w:val="24"/>
        </w:rPr>
      </w:pPr>
      <w:r w:rsidRPr="00C835AB">
        <w:rPr>
          <w:rFonts w:ascii="Times New Roman" w:eastAsia="Times New Roman" w:hAnsi="Times New Roman" w:cs="Times New Roman"/>
          <w:b/>
          <w:szCs w:val="24"/>
        </w:rPr>
        <w:t>Art. 374</w:t>
      </w:r>
      <w:r w:rsidR="00AD6100" w:rsidRPr="00C835AB">
        <w:rPr>
          <w:rFonts w:ascii="Times New Roman" w:eastAsia="Times New Roman" w:hAnsi="Times New Roman" w:cs="Times New Roman"/>
          <w:b/>
          <w:szCs w:val="24"/>
        </w:rPr>
        <w:t xml:space="preserve"> § 3 i </w:t>
      </w:r>
      <w:r w:rsidR="001D7C18" w:rsidRPr="00C835AB">
        <w:rPr>
          <w:rFonts w:ascii="Times New Roman" w:eastAsia="Times New Roman" w:hAnsi="Times New Roman" w:cs="Times New Roman"/>
          <w:b/>
          <w:szCs w:val="24"/>
        </w:rPr>
        <w:t xml:space="preserve">§ </w:t>
      </w:r>
      <w:r w:rsidR="00AD6100" w:rsidRPr="00C835AB">
        <w:rPr>
          <w:rFonts w:ascii="Times New Roman" w:eastAsia="Times New Roman" w:hAnsi="Times New Roman" w:cs="Times New Roman"/>
          <w:b/>
          <w:szCs w:val="24"/>
        </w:rPr>
        <w:t>7 k.p.k.</w:t>
      </w:r>
    </w:p>
    <w:p w14:paraId="4EE51343" w14:textId="47F3888D" w:rsidR="0037634E" w:rsidRPr="00C835AB" w:rsidRDefault="0037634E" w:rsidP="00D823D0">
      <w:pPr>
        <w:ind w:firstLine="720"/>
        <w:rPr>
          <w:rFonts w:ascii="Times New Roman" w:hAnsi="Times New Roman" w:cs="Times New Roman"/>
          <w:color w:val="auto"/>
          <w:sz w:val="24"/>
        </w:rPr>
      </w:pPr>
      <w:r w:rsidRPr="00C835AB">
        <w:rPr>
          <w:rFonts w:ascii="Times New Roman" w:hAnsi="Times New Roman" w:cs="Times New Roman"/>
          <w:color w:val="auto"/>
          <w:sz w:val="24"/>
        </w:rPr>
        <w:t>Pierwsza z proponowanych zmian art. 374</w:t>
      </w:r>
      <w:r w:rsidR="00312965" w:rsidRPr="00C835AB">
        <w:rPr>
          <w:rFonts w:ascii="Times New Roman" w:hAnsi="Times New Roman" w:cs="Times New Roman"/>
          <w:color w:val="auto"/>
          <w:sz w:val="24"/>
        </w:rPr>
        <w:t xml:space="preserve"> § 3</w:t>
      </w:r>
      <w:r w:rsidRPr="00C835AB">
        <w:rPr>
          <w:rFonts w:ascii="Times New Roman" w:hAnsi="Times New Roman" w:cs="Times New Roman"/>
          <w:color w:val="auto"/>
          <w:sz w:val="24"/>
        </w:rPr>
        <w:t xml:space="preserve"> k.p.k. ma na celu usunięcie uprzywilejowania prokuratora w związku z zastosowaniem procedury prowadzenia rozprawy </w:t>
      </w:r>
      <w:r w:rsidRPr="00C835AB">
        <w:rPr>
          <w:rFonts w:ascii="Times New Roman" w:hAnsi="Times New Roman" w:cs="Times New Roman"/>
          <w:color w:val="auto"/>
          <w:sz w:val="24"/>
        </w:rPr>
        <w:lastRenderedPageBreak/>
        <w:t>na odległość. Z obecnie obowiązującego brzmienia tego przepisu wynika, że przewodniczący, na wniosek prokuratora, musi wyrazić zgodę na udział prokuratora w rozprawie na odległość, z jednoczesnym bezpośrednim przekazem obrazu i dźwięku (verba legis: „wyraża zgodę”), a</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jedyną przesłanką nieuwzględnienia wniosku prokuratora są przeszkody techniczne. Tymczasem przewodniczący składu orzekającego powinien mieć swobodę decydowania, czy</w:t>
      </w:r>
      <w:r w:rsidR="00DA6B6A">
        <w:rPr>
          <w:rFonts w:ascii="Times New Roman" w:hAnsi="Times New Roman" w:cs="Times New Roman"/>
          <w:color w:val="auto"/>
          <w:sz w:val="24"/>
        </w:rPr>
        <w:t> </w:t>
      </w:r>
      <w:r w:rsidRPr="00C835AB">
        <w:rPr>
          <w:rFonts w:ascii="Times New Roman" w:hAnsi="Times New Roman" w:cs="Times New Roman"/>
          <w:color w:val="auto"/>
          <w:sz w:val="24"/>
        </w:rPr>
        <w:t>nie jest konieczny osobisty i „stacjonarny” udział prokuratora w rozprawie i nie może być w</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tym względzie związany wolą strony procesowej, jaką jest prokurator. Z tego powodu zawarty w tym przepisie zwrot „wyraża zgodę” należało zastąpić zwrotem „może wyrazić zgodę”, pozostawiając przewodniczącemu możliwość uwzględniania wniosku prokuratora.</w:t>
      </w:r>
      <w:r w:rsidR="00662587" w:rsidRPr="00C835AB">
        <w:rPr>
          <w:rFonts w:ascii="Times New Roman" w:hAnsi="Times New Roman" w:cs="Times New Roman"/>
          <w:color w:val="auto"/>
          <w:sz w:val="24"/>
        </w:rPr>
        <w:t xml:space="preserve"> </w:t>
      </w:r>
    </w:p>
    <w:p w14:paraId="0BB2D351" w14:textId="46048EEE" w:rsidR="0037634E" w:rsidRPr="00C835AB" w:rsidRDefault="00EC311C" w:rsidP="00D823D0">
      <w:pPr>
        <w:ind w:firstLine="720"/>
        <w:rPr>
          <w:rFonts w:ascii="Times New Roman" w:hAnsi="Times New Roman" w:cs="Times New Roman"/>
          <w:color w:val="auto"/>
          <w:sz w:val="24"/>
          <w:shd w:val="clear" w:color="auto" w:fill="FFFFFF"/>
        </w:rPr>
      </w:pPr>
      <w:r w:rsidRPr="00C835AB">
        <w:rPr>
          <w:rFonts w:ascii="Times New Roman" w:hAnsi="Times New Roman" w:cs="Times New Roman"/>
          <w:color w:val="auto"/>
          <w:sz w:val="24"/>
        </w:rPr>
        <w:t>Projektowana z</w:t>
      </w:r>
      <w:r w:rsidR="0037634E" w:rsidRPr="00C835AB">
        <w:rPr>
          <w:rFonts w:ascii="Times New Roman" w:hAnsi="Times New Roman" w:cs="Times New Roman"/>
          <w:color w:val="auto"/>
          <w:sz w:val="24"/>
        </w:rPr>
        <w:t>miana art. 374 § 7 k.p.k. ma na celu urealnienie realizacji prawa oskarżonego do obrony w toku rozprawy prowadzonej na odległość. W świetle obecnego brzmienia tego przepisu sąd „może zarządzić” przerwę w rozprawie na czas oznaczony, aby</w:t>
      </w:r>
      <w:r w:rsidR="00DA6B6A">
        <w:rPr>
          <w:rFonts w:ascii="Times New Roman" w:hAnsi="Times New Roman" w:cs="Times New Roman"/>
          <w:color w:val="auto"/>
          <w:sz w:val="24"/>
        </w:rPr>
        <w:t> </w:t>
      </w:r>
      <w:r w:rsidR="0037634E" w:rsidRPr="00C835AB">
        <w:rPr>
          <w:rFonts w:ascii="Times New Roman" w:hAnsi="Times New Roman" w:cs="Times New Roman"/>
          <w:color w:val="auto"/>
          <w:sz w:val="24"/>
        </w:rPr>
        <w:t xml:space="preserve">umożliwić kontakt telefoniczny oskarżonego z obrońcą wówczas, gdy </w:t>
      </w:r>
      <w:r w:rsidR="0037634E" w:rsidRPr="00C835AB">
        <w:rPr>
          <w:rFonts w:ascii="Times New Roman" w:hAnsi="Times New Roman" w:cs="Times New Roman"/>
          <w:color w:val="auto"/>
          <w:sz w:val="24"/>
          <w:shd w:val="clear" w:color="auto" w:fill="FFFFFF"/>
        </w:rPr>
        <w:t>obrońca bierze udział w</w:t>
      </w:r>
      <w:r w:rsidR="00A76A6B" w:rsidRPr="00C835AB">
        <w:rPr>
          <w:rFonts w:ascii="Times New Roman" w:hAnsi="Times New Roman" w:cs="Times New Roman"/>
          <w:color w:val="auto"/>
          <w:sz w:val="24"/>
          <w:shd w:val="clear" w:color="auto" w:fill="FFFFFF"/>
        </w:rPr>
        <w:t> </w:t>
      </w:r>
      <w:r w:rsidR="0037634E" w:rsidRPr="00C835AB">
        <w:rPr>
          <w:rFonts w:ascii="Times New Roman" w:hAnsi="Times New Roman" w:cs="Times New Roman"/>
          <w:color w:val="auto"/>
          <w:sz w:val="24"/>
          <w:shd w:val="clear" w:color="auto" w:fill="FFFFFF"/>
        </w:rPr>
        <w:t>rozprawie przebywając w innym miejscu niż oskarżony. Według proponowanego brzmienia tego przepisu sąd byłby zobligowany zarządzić taka przerwę (wprowadzenie zwrotu „sąd zarządza” w miejsce „sąd może zarządzić”), przy czym odmowa zarządzenia przerwy nadal może mieć miejsce wówczas, gdy „złożenie wniosku w sposób oczywisty nie służy realizacji prawa do obrony, a w szczególności zmierza do zakłócenia lub nieuzasadnionego przedłużenia rozprawy”.</w:t>
      </w:r>
    </w:p>
    <w:p w14:paraId="48247630" w14:textId="77777777" w:rsidR="0037634E" w:rsidRPr="00C835AB" w:rsidRDefault="0037634E" w:rsidP="00D823D0">
      <w:pPr>
        <w:rPr>
          <w:rFonts w:ascii="Times New Roman" w:hAnsi="Times New Roman" w:cs="Times New Roman"/>
          <w:b/>
          <w:bCs/>
          <w:color w:val="auto"/>
          <w:sz w:val="24"/>
        </w:rPr>
      </w:pPr>
    </w:p>
    <w:p w14:paraId="50432FCA" w14:textId="0BBF46D8" w:rsidR="00A56282" w:rsidRPr="00C835AB" w:rsidRDefault="00A56282"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Art. 378a</w:t>
      </w:r>
      <w:r w:rsidR="00AD6100" w:rsidRPr="00C835AB">
        <w:rPr>
          <w:rFonts w:ascii="Times New Roman" w:hAnsi="Times New Roman" w:cs="Times New Roman"/>
          <w:b/>
          <w:bCs/>
          <w:color w:val="auto"/>
          <w:sz w:val="24"/>
        </w:rPr>
        <w:t xml:space="preserve"> § 1, § 4</w:t>
      </w:r>
      <w:r w:rsidR="00796D23">
        <w:rPr>
          <w:rFonts w:ascii="Times New Roman" w:hAnsi="Times New Roman" w:cs="Times New Roman"/>
          <w:b/>
          <w:bCs/>
          <w:color w:val="auto"/>
          <w:sz w:val="24"/>
        </w:rPr>
        <w:t>–</w:t>
      </w:r>
      <w:r w:rsidR="00AD6100" w:rsidRPr="00C835AB">
        <w:rPr>
          <w:rFonts w:ascii="Times New Roman" w:hAnsi="Times New Roman" w:cs="Times New Roman"/>
          <w:b/>
          <w:bCs/>
          <w:color w:val="auto"/>
          <w:sz w:val="24"/>
        </w:rPr>
        <w:t>6 i § 7 k.p.k.</w:t>
      </w:r>
    </w:p>
    <w:p w14:paraId="3C8D3585" w14:textId="440D7CF3" w:rsidR="00A56282" w:rsidRPr="00C835AB" w:rsidRDefault="00A56282" w:rsidP="00D823D0">
      <w:pPr>
        <w:ind w:firstLine="708"/>
        <w:rPr>
          <w:rFonts w:ascii="Times New Roman" w:hAnsi="Times New Roman" w:cs="Times New Roman"/>
          <w:color w:val="auto"/>
          <w:sz w:val="24"/>
          <w:shd w:val="clear" w:color="auto" w:fill="FFFFFF"/>
        </w:rPr>
      </w:pPr>
      <w:r w:rsidRPr="00C835AB">
        <w:rPr>
          <w:rFonts w:ascii="Times New Roman" w:hAnsi="Times New Roman" w:cs="Times New Roman"/>
          <w:color w:val="auto"/>
          <w:sz w:val="24"/>
        </w:rPr>
        <w:t>Proponuje się zmiany art. 378a</w:t>
      </w:r>
      <w:r w:rsidR="00312965" w:rsidRPr="00C835AB">
        <w:rPr>
          <w:rFonts w:ascii="Times New Roman" w:hAnsi="Times New Roman" w:cs="Times New Roman"/>
          <w:color w:val="auto"/>
          <w:sz w:val="24"/>
        </w:rPr>
        <w:t xml:space="preserve"> k.p.k.</w:t>
      </w:r>
      <w:r w:rsidRPr="00C835AB">
        <w:rPr>
          <w:rFonts w:ascii="Times New Roman" w:hAnsi="Times New Roman" w:cs="Times New Roman"/>
          <w:color w:val="auto"/>
          <w:sz w:val="24"/>
        </w:rPr>
        <w:t>, wprowadzonego ustawą</w:t>
      </w:r>
      <w:r w:rsidRPr="00C835AB">
        <w:rPr>
          <w:rFonts w:ascii="Times New Roman" w:hAnsi="Times New Roman" w:cs="Times New Roman"/>
          <w:color w:val="auto"/>
          <w:sz w:val="24"/>
          <w:shd w:val="clear" w:color="auto" w:fill="FFFFFF"/>
        </w:rPr>
        <w:t xml:space="preserve"> z dnia 19 lipca 2019 r. i</w:t>
      </w:r>
      <w:r w:rsidR="00A76A6B"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 xml:space="preserve">obowiązującego od </w:t>
      </w:r>
      <w:r w:rsidR="002A6A21" w:rsidRPr="00C835AB">
        <w:rPr>
          <w:rFonts w:ascii="Times New Roman" w:hAnsi="Times New Roman" w:cs="Times New Roman"/>
          <w:color w:val="auto"/>
          <w:sz w:val="24"/>
          <w:shd w:val="clear" w:color="auto" w:fill="FFFFFF"/>
        </w:rPr>
        <w:t xml:space="preserve">dnia </w:t>
      </w:r>
      <w:r w:rsidRPr="00C835AB">
        <w:rPr>
          <w:rFonts w:ascii="Times New Roman" w:hAnsi="Times New Roman" w:cs="Times New Roman"/>
          <w:color w:val="auto"/>
          <w:sz w:val="24"/>
          <w:shd w:val="clear" w:color="auto" w:fill="FFFFFF"/>
        </w:rPr>
        <w:t>5 października 2019 r. Wprowadzenie tej instytucji istotnie ograniczającej prawo do obrony oskarżonego spotkało się z istotną krytyką, przede wszystkim ze względu na jego nadmierny rygoryzm prowadzący do możliwości utraty przez obronę możliwości udziału w postępowaniu dowodowym na rozprawie w części istotnej dla jej sytuacji procesowej. Celem obecnej zmiany jest złagodzenie tych skutków, a jednocześnie pozostawienie sądowi możliwości korzystania z tej możliwości przede wszystkim dla</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przeprowadzenia dowodów</w:t>
      </w:r>
      <w:r w:rsidR="001463C5" w:rsidRPr="00C835AB">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 xml:space="preserve"> które mogą być już dla sądu nieosiągalne w późniejszym okresie oraz przeciwdziałania obstrukcji procesowej związanej z udziałem w rozprawie</w:t>
      </w:r>
      <w:r w:rsidR="002A6A21" w:rsidRPr="00C835AB">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 xml:space="preserve"> w</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 xml:space="preserve">której udział oskarżonego i obrońcy nie jest obowiązkowy. Zgodnie ze zmienioną regułą </w:t>
      </w:r>
      <w:r w:rsidR="00600B2A" w:rsidRPr="00C835AB">
        <w:rPr>
          <w:rFonts w:ascii="Times New Roman" w:hAnsi="Times New Roman" w:cs="Times New Roman"/>
          <w:color w:val="auto"/>
          <w:sz w:val="24"/>
          <w:shd w:val="clear" w:color="auto" w:fill="FFFFFF"/>
        </w:rPr>
        <w:t>art.</w:t>
      </w:r>
      <w:r w:rsidR="00DA6B6A">
        <w:rPr>
          <w:rFonts w:ascii="Times New Roman" w:hAnsi="Times New Roman" w:cs="Times New Roman"/>
          <w:color w:val="auto"/>
          <w:sz w:val="24"/>
          <w:shd w:val="clear" w:color="auto" w:fill="FFFFFF"/>
        </w:rPr>
        <w:t> </w:t>
      </w:r>
      <w:r w:rsidR="00600B2A" w:rsidRPr="00C835AB">
        <w:rPr>
          <w:rFonts w:ascii="Times New Roman" w:hAnsi="Times New Roman" w:cs="Times New Roman"/>
          <w:color w:val="auto"/>
          <w:sz w:val="24"/>
          <w:shd w:val="clear" w:color="auto" w:fill="FFFFFF"/>
        </w:rPr>
        <w:t>378a</w:t>
      </w:r>
      <w:r w:rsidRPr="00C835AB">
        <w:rPr>
          <w:rFonts w:ascii="Times New Roman" w:hAnsi="Times New Roman" w:cs="Times New Roman"/>
          <w:color w:val="auto"/>
          <w:sz w:val="24"/>
          <w:shd w:val="clear" w:color="auto" w:fill="FFFFFF"/>
        </w:rPr>
        <w:t xml:space="preserve"> § 1 </w:t>
      </w:r>
      <w:r w:rsidR="00600B2A" w:rsidRPr="00C835AB">
        <w:rPr>
          <w:rFonts w:ascii="Times New Roman" w:hAnsi="Times New Roman" w:cs="Times New Roman"/>
          <w:color w:val="auto"/>
          <w:sz w:val="24"/>
          <w:shd w:val="clear" w:color="auto" w:fill="FFFFFF"/>
        </w:rPr>
        <w:t xml:space="preserve">k.p.k. </w:t>
      </w:r>
      <w:r w:rsidRPr="00C835AB">
        <w:rPr>
          <w:rFonts w:ascii="Times New Roman" w:hAnsi="Times New Roman" w:cs="Times New Roman"/>
          <w:color w:val="auto"/>
          <w:sz w:val="24"/>
          <w:shd w:val="clear" w:color="auto" w:fill="FFFFFF"/>
        </w:rPr>
        <w:t xml:space="preserve">sąd nadal będzie decydował – w szczególnie uzasadnionych wypadkach </w:t>
      </w:r>
      <w:r w:rsidR="001463C5" w:rsidRPr="00C835AB">
        <w:rPr>
          <w:rFonts w:ascii="Times New Roman" w:hAnsi="Times New Roman" w:cs="Times New Roman"/>
          <w:color w:val="auto"/>
          <w:sz w:val="24"/>
          <w:shd w:val="clear" w:color="auto" w:fill="FFFFFF"/>
        </w:rPr>
        <w:t>–</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o</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możliwości przeprowadzenia dowodów pod nieobecność oskarżonego lub obrońcy jako</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 xml:space="preserve">wyjątku od reguły, z tym że przesłuchanie świadka możliwe będzie wówczas, jeśli istnieje </w:t>
      </w:r>
      <w:r w:rsidRPr="00C835AB">
        <w:rPr>
          <w:rFonts w:ascii="Times New Roman" w:hAnsi="Times New Roman" w:cs="Times New Roman"/>
          <w:color w:val="auto"/>
          <w:sz w:val="24"/>
          <w:shd w:val="clear" w:color="auto" w:fill="FFFFFF"/>
        </w:rPr>
        <w:lastRenderedPageBreak/>
        <w:t>ponadto niebezpieczeństwo, że nie będzie go można przesłuchać w późniejszym terminie. Chodzi tu zatem o sytuacje w istocie wyjątkowe, m.in. jego stan zdrowia, w tym obłożną chorobę świadka, stan zagrożenia życia, czy wielokrotne wcześniejsze niestawiennictwo lub</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skuteczne doprowadzenie na rozprawę. Skorzystanie z tej możliwości będzie wyłączone w</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razie niestawiennictwa obrońcy</w:t>
      </w:r>
      <w:r w:rsidR="001463C5" w:rsidRPr="00C835AB">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 xml:space="preserve"> którego udział w rozprawie jest obowiązkowy, niezależnie od jej powodów, skoro obowiązkowa obrona oznacza nakaz obrony w toku całej rozprawy, a</w:t>
      </w:r>
      <w:r w:rsidR="00A76A6B"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prowadzenie jej bez udziału obrońcy choćby w części rodzi konsekwencje</w:t>
      </w:r>
      <w:r w:rsidR="001463C5" w:rsidRPr="00C835AB">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 xml:space="preserve"> o których mowa w art. 439 § 1 pkt 10</w:t>
      </w:r>
      <w:r w:rsidR="00312965" w:rsidRPr="00C835AB">
        <w:rPr>
          <w:rFonts w:ascii="Times New Roman" w:hAnsi="Times New Roman" w:cs="Times New Roman"/>
          <w:color w:val="auto"/>
          <w:sz w:val="24"/>
          <w:shd w:val="clear" w:color="auto" w:fill="FFFFFF"/>
        </w:rPr>
        <w:t xml:space="preserve"> k.p.k</w:t>
      </w:r>
      <w:r w:rsidRPr="00C835AB">
        <w:rPr>
          <w:rFonts w:ascii="Times New Roman" w:hAnsi="Times New Roman" w:cs="Times New Roman"/>
          <w:color w:val="auto"/>
          <w:sz w:val="24"/>
          <w:shd w:val="clear" w:color="auto" w:fill="FFFFFF"/>
        </w:rPr>
        <w:t>. Jest to regulacja zmierzająca do równoważenia interesów stron procesowych, w tym oskarżonego i dąż</w:t>
      </w:r>
      <w:r w:rsidR="00016111" w:rsidRPr="00C835AB">
        <w:rPr>
          <w:rFonts w:ascii="Times New Roman" w:hAnsi="Times New Roman" w:cs="Times New Roman"/>
          <w:color w:val="auto"/>
          <w:sz w:val="24"/>
          <w:shd w:val="clear" w:color="auto" w:fill="FFFFFF"/>
        </w:rPr>
        <w:t>ąca</w:t>
      </w:r>
      <w:r w:rsidRPr="00C835AB">
        <w:rPr>
          <w:rFonts w:ascii="Times New Roman" w:hAnsi="Times New Roman" w:cs="Times New Roman"/>
          <w:color w:val="auto"/>
          <w:sz w:val="24"/>
          <w:shd w:val="clear" w:color="auto" w:fill="FFFFFF"/>
        </w:rPr>
        <w:t xml:space="preserve"> do sprawnego rozpoznania sprawy, zapobieganiu nadużywania uprawnień procesowych przy szeroko określonej swobodzie udziału oskarżonego w rozprawie. Jednocześnie jednak obowiązujące dotąd rygoryzmy osłabione zosta</w:t>
      </w:r>
      <w:r w:rsidR="00AD6100" w:rsidRPr="00C835AB">
        <w:rPr>
          <w:rFonts w:ascii="Times New Roman" w:hAnsi="Times New Roman" w:cs="Times New Roman"/>
          <w:color w:val="auto"/>
          <w:sz w:val="24"/>
          <w:shd w:val="clear" w:color="auto" w:fill="FFFFFF"/>
        </w:rPr>
        <w:t>ną</w:t>
      </w:r>
      <w:r w:rsidRPr="00C835AB">
        <w:rPr>
          <w:rFonts w:ascii="Times New Roman" w:hAnsi="Times New Roman" w:cs="Times New Roman"/>
          <w:color w:val="auto"/>
          <w:sz w:val="24"/>
          <w:shd w:val="clear" w:color="auto" w:fill="FFFFFF"/>
        </w:rPr>
        <w:t xml:space="preserve"> przez</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usunięcie przepisów art. 387a</w:t>
      </w:r>
      <w:r w:rsidR="00312965" w:rsidRPr="00C835AB">
        <w:rPr>
          <w:rFonts w:ascii="Times New Roman" w:hAnsi="Times New Roman" w:cs="Times New Roman"/>
          <w:color w:val="auto"/>
          <w:sz w:val="24"/>
          <w:shd w:val="clear" w:color="auto" w:fill="FFFFFF"/>
        </w:rPr>
        <w:t xml:space="preserve"> § 4</w:t>
      </w:r>
      <w:r w:rsidR="00796D23">
        <w:rPr>
          <w:rFonts w:ascii="Times New Roman" w:hAnsi="Times New Roman" w:cs="Times New Roman"/>
          <w:color w:val="auto"/>
          <w:sz w:val="24"/>
          <w:shd w:val="clear" w:color="auto" w:fill="FFFFFF"/>
        </w:rPr>
        <w:t>–</w:t>
      </w:r>
      <w:r w:rsidR="00312965" w:rsidRPr="00C835AB">
        <w:rPr>
          <w:rFonts w:ascii="Times New Roman" w:hAnsi="Times New Roman" w:cs="Times New Roman"/>
          <w:color w:val="auto"/>
          <w:sz w:val="24"/>
          <w:shd w:val="clear" w:color="auto" w:fill="FFFFFF"/>
        </w:rPr>
        <w:t>6 k.p.k.</w:t>
      </w:r>
      <w:r w:rsidRPr="00C835AB">
        <w:rPr>
          <w:rFonts w:ascii="Times New Roman" w:hAnsi="Times New Roman" w:cs="Times New Roman"/>
          <w:color w:val="auto"/>
          <w:sz w:val="24"/>
          <w:shd w:val="clear" w:color="auto" w:fill="FFFFFF"/>
        </w:rPr>
        <w:t>, które niezasadnie wprowadzały prekluzję dowodową w zakresie żądania ponownego przeprowadzeni</w:t>
      </w:r>
      <w:r w:rsidR="00016111" w:rsidRPr="00C835AB">
        <w:rPr>
          <w:rFonts w:ascii="Times New Roman" w:hAnsi="Times New Roman" w:cs="Times New Roman"/>
          <w:color w:val="auto"/>
          <w:sz w:val="24"/>
          <w:shd w:val="clear" w:color="auto" w:fill="FFFFFF"/>
        </w:rPr>
        <w:t>a</w:t>
      </w:r>
      <w:r w:rsidRPr="00C835AB">
        <w:rPr>
          <w:rFonts w:ascii="Times New Roman" w:hAnsi="Times New Roman" w:cs="Times New Roman"/>
          <w:color w:val="auto"/>
          <w:sz w:val="24"/>
          <w:shd w:val="clear" w:color="auto" w:fill="FFFFFF"/>
        </w:rPr>
        <w:t xml:space="preserve"> dowodu z udziałem obrony. Wymogi wniosku dowodowego w tym zakresie zrównane zostały z ogólnymi warunkami wniosku dowodowego – przez usunięcie zwłaszcza nadmiernie rygorystycznego wymogu wykazania, że „sposób przeprowadzenia dowodu podczas jego nieobecności naruszał gwarancje procesowe, zwłaszcza prawo do obrony”. W praktyce procesowej dochodziło do</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niezasadnego oddalania wniosków dowodowych o takie ponowne przesłuchanie, czy</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uzupełniające przesłuchanie z powodu trudności w samym formułowaniu uzasadnienia potrzeby takiej czynności, a nie jej zbędności. Pozwoli to w sytuacji</w:t>
      </w:r>
      <w:r w:rsidR="001463C5" w:rsidRPr="00C835AB">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 xml:space="preserve"> w której dowód jest nadal dostępny</w:t>
      </w:r>
      <w:r w:rsidR="001463C5" w:rsidRPr="00C835AB">
        <w:rPr>
          <w:rFonts w:ascii="Times New Roman" w:hAnsi="Times New Roman" w:cs="Times New Roman"/>
          <w:color w:val="auto"/>
          <w:sz w:val="24"/>
          <w:shd w:val="clear" w:color="auto" w:fill="FFFFFF"/>
        </w:rPr>
        <w:t xml:space="preserve"> i</w:t>
      </w:r>
      <w:r w:rsidRPr="00C835AB">
        <w:rPr>
          <w:rFonts w:ascii="Times New Roman" w:hAnsi="Times New Roman" w:cs="Times New Roman"/>
          <w:color w:val="auto"/>
          <w:sz w:val="24"/>
          <w:shd w:val="clear" w:color="auto" w:fill="FFFFFF"/>
        </w:rPr>
        <w:t xml:space="preserve"> świadek ma możliwość się stawić</w:t>
      </w:r>
      <w:r w:rsidR="001463C5" w:rsidRPr="00C835AB">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 xml:space="preserve"> dokonanie przez sąd oceny zasadności wniosku na jego ogólnych podstawach i</w:t>
      </w:r>
      <w:r w:rsidR="00A76A6B"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z</w:t>
      </w:r>
      <w:r w:rsidR="00A76A6B"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uwzględnieniem warunków</w:t>
      </w:r>
      <w:r w:rsidR="001463C5" w:rsidRPr="00C835AB">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 xml:space="preserve"> w jakich został pierwotnie na</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 xml:space="preserve">rozprawie przeprowadzony. </w:t>
      </w:r>
      <w:r w:rsidR="00600B2A" w:rsidRPr="00C835AB">
        <w:rPr>
          <w:rFonts w:ascii="Times New Roman" w:hAnsi="Times New Roman" w:cs="Times New Roman"/>
          <w:color w:val="auto"/>
          <w:sz w:val="24"/>
          <w:shd w:val="clear" w:color="auto" w:fill="FFFFFF"/>
        </w:rPr>
        <w:t>W</w:t>
      </w:r>
      <w:r w:rsidR="00A76A6B" w:rsidRPr="00C835AB">
        <w:rPr>
          <w:rFonts w:ascii="Times New Roman" w:hAnsi="Times New Roman" w:cs="Times New Roman"/>
          <w:color w:val="auto"/>
          <w:sz w:val="24"/>
          <w:shd w:val="clear" w:color="auto" w:fill="FFFFFF"/>
        </w:rPr>
        <w:t> </w:t>
      </w:r>
      <w:r w:rsidR="00600B2A" w:rsidRPr="00C835AB">
        <w:rPr>
          <w:rFonts w:ascii="Times New Roman" w:hAnsi="Times New Roman" w:cs="Times New Roman"/>
          <w:color w:val="auto"/>
          <w:sz w:val="24"/>
          <w:shd w:val="clear" w:color="auto" w:fill="FFFFFF"/>
        </w:rPr>
        <w:t>projekcie u</w:t>
      </w:r>
      <w:r w:rsidRPr="00C835AB">
        <w:rPr>
          <w:rFonts w:ascii="Times New Roman" w:hAnsi="Times New Roman" w:cs="Times New Roman"/>
          <w:color w:val="auto"/>
          <w:sz w:val="24"/>
          <w:shd w:val="clear" w:color="auto" w:fill="FFFFFF"/>
        </w:rPr>
        <w:t>sunięto także nadmiernie rygorystyczną regułę z</w:t>
      </w:r>
      <w:r w:rsidR="00DA6B6A">
        <w:rPr>
          <w:rFonts w:ascii="Times New Roman" w:hAnsi="Times New Roman" w:cs="Times New Roman"/>
          <w:color w:val="auto"/>
          <w:sz w:val="24"/>
          <w:shd w:val="clear" w:color="auto" w:fill="FFFFFF"/>
        </w:rPr>
        <w:t> </w:t>
      </w:r>
      <w:r w:rsidR="00AD6100" w:rsidRPr="00C835AB">
        <w:rPr>
          <w:rFonts w:ascii="Times New Roman" w:hAnsi="Times New Roman" w:cs="Times New Roman"/>
          <w:color w:val="auto"/>
          <w:sz w:val="24"/>
          <w:shd w:val="clear" w:color="auto" w:fill="FFFFFF"/>
        </w:rPr>
        <w:t>art. 37</w:t>
      </w:r>
      <w:r w:rsidR="00915E43" w:rsidRPr="00C835AB">
        <w:rPr>
          <w:rFonts w:ascii="Times New Roman" w:hAnsi="Times New Roman" w:cs="Times New Roman"/>
          <w:color w:val="auto"/>
          <w:sz w:val="24"/>
          <w:shd w:val="clear" w:color="auto" w:fill="FFFFFF"/>
        </w:rPr>
        <w:t xml:space="preserve">8a </w:t>
      </w:r>
      <w:r w:rsidRPr="00C835AB">
        <w:rPr>
          <w:rFonts w:ascii="Times New Roman" w:hAnsi="Times New Roman" w:cs="Times New Roman"/>
          <w:color w:val="auto"/>
          <w:sz w:val="24"/>
          <w:shd w:val="clear" w:color="auto" w:fill="FFFFFF"/>
        </w:rPr>
        <w:t>§ 6</w:t>
      </w:r>
      <w:r w:rsidR="00915E43" w:rsidRPr="00C835AB">
        <w:rPr>
          <w:rFonts w:ascii="Times New Roman" w:hAnsi="Times New Roman" w:cs="Times New Roman"/>
          <w:color w:val="auto"/>
          <w:sz w:val="24"/>
          <w:shd w:val="clear" w:color="auto" w:fill="FFFFFF"/>
        </w:rPr>
        <w:t xml:space="preserve"> k.p.k.</w:t>
      </w:r>
      <w:r w:rsidRPr="00C835AB">
        <w:rPr>
          <w:rFonts w:ascii="Times New Roman" w:hAnsi="Times New Roman" w:cs="Times New Roman"/>
          <w:color w:val="auto"/>
          <w:sz w:val="24"/>
          <w:shd w:val="clear" w:color="auto" w:fill="FFFFFF"/>
        </w:rPr>
        <w:t>, nakazująca „uzupełniające prowadzenie ponownie dowodu jedynie w</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zakresie</w:t>
      </w:r>
      <w:r w:rsidR="001463C5" w:rsidRPr="00C835AB">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 xml:space="preserve"> w jakim strona wykazała naruszenie gwarancji procesowych”. Stosowanie tego przepisu wskazywało na niejednolitość jego wykładni prowadzącą do nadużywania tego ograniczenia ponad nakazy proporcjonalności tej wyjątkowej w istocie instytucji z art. 378a</w:t>
      </w:r>
      <w:r w:rsidR="00312965" w:rsidRPr="00C835AB">
        <w:rPr>
          <w:rFonts w:ascii="Times New Roman" w:hAnsi="Times New Roman" w:cs="Times New Roman"/>
          <w:color w:val="auto"/>
          <w:sz w:val="24"/>
          <w:shd w:val="clear" w:color="auto" w:fill="FFFFFF"/>
        </w:rPr>
        <w:t xml:space="preserve"> k.p.k</w:t>
      </w:r>
      <w:r w:rsidRPr="00C835AB">
        <w:rPr>
          <w:rFonts w:ascii="Times New Roman" w:hAnsi="Times New Roman" w:cs="Times New Roman"/>
          <w:color w:val="auto"/>
          <w:sz w:val="24"/>
          <w:shd w:val="clear" w:color="auto" w:fill="FFFFFF"/>
        </w:rPr>
        <w:t xml:space="preserve">. Zmieniony </w:t>
      </w:r>
      <w:r w:rsidR="00915E43" w:rsidRPr="00C835AB">
        <w:rPr>
          <w:rFonts w:ascii="Times New Roman" w:hAnsi="Times New Roman" w:cs="Times New Roman"/>
          <w:color w:val="auto"/>
          <w:sz w:val="24"/>
          <w:shd w:val="clear" w:color="auto" w:fill="FFFFFF"/>
        </w:rPr>
        <w:t xml:space="preserve">art. 378a </w:t>
      </w:r>
      <w:r w:rsidRPr="00C835AB">
        <w:rPr>
          <w:rFonts w:ascii="Times New Roman" w:hAnsi="Times New Roman" w:cs="Times New Roman"/>
          <w:color w:val="auto"/>
          <w:sz w:val="24"/>
          <w:shd w:val="clear" w:color="auto" w:fill="FFFFFF"/>
        </w:rPr>
        <w:t>§ 7</w:t>
      </w:r>
      <w:r w:rsidR="00915E43" w:rsidRPr="00C835AB">
        <w:rPr>
          <w:rFonts w:ascii="Times New Roman" w:hAnsi="Times New Roman" w:cs="Times New Roman"/>
          <w:color w:val="auto"/>
          <w:sz w:val="24"/>
          <w:shd w:val="clear" w:color="auto" w:fill="FFFFFF"/>
        </w:rPr>
        <w:t xml:space="preserve"> k.p.k.</w:t>
      </w:r>
      <w:r w:rsidRPr="00C835AB">
        <w:rPr>
          <w:rFonts w:ascii="Times New Roman" w:hAnsi="Times New Roman" w:cs="Times New Roman"/>
          <w:color w:val="auto"/>
          <w:sz w:val="24"/>
          <w:shd w:val="clear" w:color="auto" w:fill="FFFFFF"/>
        </w:rPr>
        <w:t xml:space="preserve"> zawiera pouczenie dla oskarżonego, który stawi się</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na</w:t>
      </w:r>
      <w:r w:rsidR="00DA6B6A">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kolejny termin rozprawy</w:t>
      </w:r>
      <w:r w:rsidR="001463C5" w:rsidRPr="00C835AB">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 xml:space="preserve"> o możliwości złożenia wniosku o uzupełniające przeprowadzenie dowodu, dostosowane do likwidacji ograniczeń z</w:t>
      </w:r>
      <w:r w:rsidR="00A76A6B" w:rsidRPr="00C835AB">
        <w:rPr>
          <w:rFonts w:ascii="Times New Roman" w:hAnsi="Times New Roman" w:cs="Times New Roman"/>
          <w:color w:val="auto"/>
          <w:sz w:val="24"/>
          <w:shd w:val="clear" w:color="auto" w:fill="FFFFFF"/>
        </w:rPr>
        <w:t> </w:t>
      </w:r>
      <w:r w:rsidR="00915E43" w:rsidRPr="00C835AB">
        <w:rPr>
          <w:rFonts w:ascii="Times New Roman" w:hAnsi="Times New Roman" w:cs="Times New Roman"/>
          <w:color w:val="auto"/>
          <w:sz w:val="24"/>
          <w:shd w:val="clear" w:color="auto" w:fill="FFFFFF"/>
        </w:rPr>
        <w:t xml:space="preserve">art. 378a </w:t>
      </w:r>
      <w:r w:rsidRPr="00C835AB">
        <w:rPr>
          <w:rFonts w:ascii="Times New Roman" w:hAnsi="Times New Roman" w:cs="Times New Roman"/>
          <w:color w:val="auto"/>
          <w:sz w:val="24"/>
          <w:shd w:val="clear" w:color="auto" w:fill="FFFFFF"/>
        </w:rPr>
        <w:t>§ 4 i 5</w:t>
      </w:r>
      <w:r w:rsidR="00915E43" w:rsidRPr="00C835AB">
        <w:rPr>
          <w:rFonts w:ascii="Times New Roman" w:hAnsi="Times New Roman" w:cs="Times New Roman"/>
          <w:color w:val="auto"/>
          <w:sz w:val="24"/>
          <w:shd w:val="clear" w:color="auto" w:fill="FFFFFF"/>
        </w:rPr>
        <w:t xml:space="preserve"> k.p.k</w:t>
      </w:r>
      <w:r w:rsidRPr="00C835AB">
        <w:rPr>
          <w:rFonts w:ascii="Times New Roman" w:hAnsi="Times New Roman" w:cs="Times New Roman"/>
          <w:color w:val="auto"/>
          <w:sz w:val="24"/>
          <w:shd w:val="clear" w:color="auto" w:fill="FFFFFF"/>
        </w:rPr>
        <w:t>.</w:t>
      </w:r>
    </w:p>
    <w:p w14:paraId="104B00B1" w14:textId="77777777" w:rsidR="00A56282" w:rsidRPr="00C835AB" w:rsidRDefault="00A56282" w:rsidP="00D823D0">
      <w:pPr>
        <w:rPr>
          <w:rFonts w:ascii="Times New Roman" w:hAnsi="Times New Roman" w:cs="Times New Roman"/>
          <w:b/>
          <w:i/>
          <w:iCs/>
          <w:color w:val="auto"/>
          <w:sz w:val="24"/>
        </w:rPr>
      </w:pPr>
    </w:p>
    <w:p w14:paraId="4F519141" w14:textId="76F04F06" w:rsidR="00A56282" w:rsidRPr="00C835AB" w:rsidRDefault="5DD453F5"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shd w:val="clear" w:color="auto" w:fill="FFFFFF"/>
        </w:rPr>
        <w:t>Art. 387</w:t>
      </w:r>
      <w:r w:rsidR="004D67CC" w:rsidRPr="00C835AB">
        <w:rPr>
          <w:rFonts w:ascii="Times New Roman" w:hAnsi="Times New Roman" w:cs="Times New Roman"/>
          <w:b/>
          <w:bCs/>
          <w:color w:val="auto"/>
          <w:sz w:val="24"/>
          <w:shd w:val="clear" w:color="auto" w:fill="FFFFFF"/>
        </w:rPr>
        <w:t xml:space="preserve"> § 2 k.p.k.</w:t>
      </w:r>
    </w:p>
    <w:p w14:paraId="798C5882" w14:textId="5C176DBB" w:rsidR="00C572CA" w:rsidRPr="00C835AB" w:rsidRDefault="00153D94"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Projektowana</w:t>
      </w:r>
      <w:r w:rsidR="00EC311C" w:rsidRPr="00C835AB">
        <w:rPr>
          <w:rFonts w:ascii="Times New Roman" w:hAnsi="Times New Roman" w:cs="Times New Roman"/>
          <w:color w:val="auto"/>
          <w:sz w:val="24"/>
        </w:rPr>
        <w:t xml:space="preserve"> z</w:t>
      </w:r>
      <w:r w:rsidR="5DD453F5" w:rsidRPr="00C835AB">
        <w:rPr>
          <w:rFonts w:ascii="Times New Roman" w:hAnsi="Times New Roman" w:cs="Times New Roman"/>
          <w:color w:val="auto"/>
          <w:sz w:val="24"/>
        </w:rPr>
        <w:t>miana art. 387 § 2</w:t>
      </w:r>
      <w:r w:rsidR="00312965" w:rsidRPr="00C835AB">
        <w:rPr>
          <w:rFonts w:ascii="Times New Roman" w:hAnsi="Times New Roman" w:cs="Times New Roman"/>
          <w:color w:val="auto"/>
          <w:sz w:val="24"/>
        </w:rPr>
        <w:t xml:space="preserve"> k.p.k.</w:t>
      </w:r>
      <w:r w:rsidR="5DD453F5" w:rsidRPr="00C835AB">
        <w:rPr>
          <w:rFonts w:ascii="Times New Roman" w:hAnsi="Times New Roman" w:cs="Times New Roman"/>
          <w:color w:val="auto"/>
          <w:sz w:val="24"/>
        </w:rPr>
        <w:t xml:space="preserve"> oznacza powrót do brzmienia tego przepisu sprzed zmiany dokonanej ustawą z dnia 7 lipca 2022 r., która obowiązuje od </w:t>
      </w:r>
      <w:r w:rsidR="002A6A21" w:rsidRPr="00C835AB">
        <w:rPr>
          <w:rFonts w:ascii="Times New Roman" w:hAnsi="Times New Roman" w:cs="Times New Roman"/>
          <w:color w:val="auto"/>
          <w:sz w:val="24"/>
        </w:rPr>
        <w:t xml:space="preserve">dnia </w:t>
      </w:r>
      <w:r w:rsidR="5DD453F5" w:rsidRPr="00C835AB">
        <w:rPr>
          <w:rFonts w:ascii="Times New Roman" w:hAnsi="Times New Roman" w:cs="Times New Roman"/>
          <w:color w:val="auto"/>
          <w:sz w:val="24"/>
        </w:rPr>
        <w:t xml:space="preserve">1 października </w:t>
      </w:r>
      <w:r w:rsidR="5DD453F5" w:rsidRPr="00C835AB">
        <w:rPr>
          <w:rFonts w:ascii="Times New Roman" w:hAnsi="Times New Roman" w:cs="Times New Roman"/>
          <w:color w:val="auto"/>
          <w:sz w:val="24"/>
        </w:rPr>
        <w:lastRenderedPageBreak/>
        <w:t>2023 r.</w:t>
      </w:r>
      <w:r w:rsidR="004D67CC" w:rsidRPr="00C835AB">
        <w:rPr>
          <w:rFonts w:ascii="Times New Roman" w:hAnsi="Times New Roman" w:cs="Times New Roman"/>
          <w:color w:val="auto"/>
          <w:sz w:val="24"/>
        </w:rPr>
        <w:t>,</w:t>
      </w:r>
      <w:r w:rsidR="5DD453F5" w:rsidRPr="00C835AB">
        <w:rPr>
          <w:rFonts w:ascii="Times New Roman" w:hAnsi="Times New Roman" w:cs="Times New Roman"/>
          <w:color w:val="auto"/>
          <w:sz w:val="24"/>
        </w:rPr>
        <w:t xml:space="preserve"> w zakresie roli prokuratora w rozpoznaniu wniosku z art. 387 § 1</w:t>
      </w:r>
      <w:r w:rsidR="00312965" w:rsidRPr="00C835AB">
        <w:rPr>
          <w:rFonts w:ascii="Times New Roman" w:hAnsi="Times New Roman" w:cs="Times New Roman"/>
          <w:color w:val="auto"/>
          <w:sz w:val="24"/>
        </w:rPr>
        <w:t xml:space="preserve"> k.p.k</w:t>
      </w:r>
      <w:r w:rsidR="5DD453F5" w:rsidRPr="00C835AB">
        <w:rPr>
          <w:rFonts w:ascii="Times New Roman" w:hAnsi="Times New Roman" w:cs="Times New Roman"/>
          <w:color w:val="auto"/>
          <w:sz w:val="24"/>
        </w:rPr>
        <w:t>. Sprowadza się</w:t>
      </w:r>
      <w:r w:rsidR="00505673">
        <w:rPr>
          <w:rFonts w:ascii="Times New Roman" w:hAnsi="Times New Roman" w:cs="Times New Roman"/>
          <w:color w:val="auto"/>
          <w:sz w:val="24"/>
        </w:rPr>
        <w:t> </w:t>
      </w:r>
      <w:r w:rsidR="5DD453F5" w:rsidRPr="00C835AB">
        <w:rPr>
          <w:rFonts w:ascii="Times New Roman" w:hAnsi="Times New Roman" w:cs="Times New Roman"/>
          <w:color w:val="auto"/>
          <w:sz w:val="24"/>
        </w:rPr>
        <w:t xml:space="preserve">do usunięcia wymogu udzielenia zgody przez prokuratora na uwzględnienie przez sąd wniosku o dobrowolne poddanie się karze przez oskarżonego i przywrócenie warunku polegającego na braku sprzeciwu. Jak wynika to z orzecznictwa Sądu Najwyższego sprzed </w:t>
      </w:r>
      <w:r w:rsidR="002A6A21" w:rsidRPr="00C835AB">
        <w:rPr>
          <w:rFonts w:ascii="Times New Roman" w:hAnsi="Times New Roman" w:cs="Times New Roman"/>
          <w:color w:val="auto"/>
          <w:sz w:val="24"/>
        </w:rPr>
        <w:t>dnia</w:t>
      </w:r>
      <w:r w:rsidR="00505673">
        <w:rPr>
          <w:rFonts w:ascii="Times New Roman" w:hAnsi="Times New Roman" w:cs="Times New Roman"/>
          <w:color w:val="auto"/>
          <w:sz w:val="24"/>
        </w:rPr>
        <w:t> </w:t>
      </w:r>
      <w:r w:rsidR="5DD453F5" w:rsidRPr="00C835AB">
        <w:rPr>
          <w:rFonts w:ascii="Times New Roman" w:hAnsi="Times New Roman" w:cs="Times New Roman"/>
          <w:color w:val="auto"/>
          <w:sz w:val="24"/>
        </w:rPr>
        <w:t xml:space="preserve">1 października 2023 r. (por. postanowienie SN z </w:t>
      </w:r>
      <w:r w:rsidR="00D643AA" w:rsidRPr="00C835AB">
        <w:rPr>
          <w:rFonts w:ascii="Times New Roman" w:hAnsi="Times New Roman" w:cs="Times New Roman"/>
          <w:color w:val="auto"/>
          <w:sz w:val="24"/>
        </w:rPr>
        <w:t xml:space="preserve">dnia </w:t>
      </w:r>
      <w:r w:rsidR="5DD453F5" w:rsidRPr="00C835AB">
        <w:rPr>
          <w:rFonts w:ascii="Times New Roman" w:hAnsi="Times New Roman" w:cs="Times New Roman"/>
          <w:color w:val="auto"/>
          <w:sz w:val="24"/>
        </w:rPr>
        <w:t xml:space="preserve">13 czerwca 2023 r., III </w:t>
      </w:r>
      <w:r w:rsidR="00DC6CC1" w:rsidRPr="00C835AB">
        <w:rPr>
          <w:rFonts w:ascii="Times New Roman" w:hAnsi="Times New Roman" w:cs="Times New Roman"/>
          <w:color w:val="auto"/>
          <w:sz w:val="24"/>
        </w:rPr>
        <w:t>KK</w:t>
      </w:r>
      <w:r w:rsidR="5DD453F5" w:rsidRPr="00C835AB">
        <w:rPr>
          <w:rFonts w:ascii="Times New Roman" w:hAnsi="Times New Roman" w:cs="Times New Roman"/>
          <w:color w:val="auto"/>
          <w:sz w:val="24"/>
        </w:rPr>
        <w:t xml:space="preserve"> 378/22), a obecnie także wprost z brzmienia zmienianego przepisu prokurator nie musi już wyrażać zgody, lecz warunkiem jest brak jego sprzeciwu wyrażony na rozprawie. Zatem sprzeciwu tego prokurator nie może też wyrażać niejako na zapas, przed rozprawą, czy wręcz przed złożeniem wniosku i</w:t>
      </w:r>
      <w:r w:rsidR="00A76A6B" w:rsidRPr="00C835AB">
        <w:rPr>
          <w:rFonts w:ascii="Times New Roman" w:hAnsi="Times New Roman" w:cs="Times New Roman"/>
          <w:color w:val="auto"/>
          <w:sz w:val="24"/>
        </w:rPr>
        <w:t> </w:t>
      </w:r>
      <w:r w:rsidR="5DD453F5" w:rsidRPr="00C835AB">
        <w:rPr>
          <w:rFonts w:ascii="Times New Roman" w:hAnsi="Times New Roman" w:cs="Times New Roman"/>
          <w:color w:val="auto"/>
          <w:sz w:val="24"/>
        </w:rPr>
        <w:t>poznaniem jego treści. Składanie takich wyprzedzających wniosek sprzeciwów pozostawałoby w sprzeczności z ideą konsensualnego postępowania w oparciu o porozumienie stron, a nadto przekazywałoby faktycznie decyzję o wydaniu wyroku w tym trybie w ręce prokuratora, który bez obowiązku obecności na rozprawie, a nawet znajomości wniosku mógłby zupełnie blokować swobodę sądu w rozpoznaniu wniosku oskarżonego, ew</w:t>
      </w:r>
      <w:r w:rsidR="004D67CC" w:rsidRPr="00C835AB">
        <w:rPr>
          <w:rFonts w:ascii="Times New Roman" w:hAnsi="Times New Roman" w:cs="Times New Roman"/>
          <w:color w:val="auto"/>
          <w:sz w:val="24"/>
        </w:rPr>
        <w:t xml:space="preserve">entualnie </w:t>
      </w:r>
      <w:r w:rsidR="5DD453F5" w:rsidRPr="00C835AB">
        <w:rPr>
          <w:rFonts w:ascii="Times New Roman" w:hAnsi="Times New Roman" w:cs="Times New Roman"/>
          <w:color w:val="auto"/>
          <w:sz w:val="24"/>
        </w:rPr>
        <w:t>pisemnie i wyprzedzająco określać w sposób wiążący dla sądu warunki porozumienia.</w:t>
      </w:r>
    </w:p>
    <w:p w14:paraId="57FD090B" w14:textId="77777777" w:rsidR="00C572CA" w:rsidRPr="00C835AB" w:rsidRDefault="00C572CA" w:rsidP="00D823D0">
      <w:pPr>
        <w:rPr>
          <w:rFonts w:ascii="Times New Roman" w:hAnsi="Times New Roman" w:cs="Times New Roman"/>
          <w:bCs/>
          <w:color w:val="auto"/>
          <w:sz w:val="24"/>
        </w:rPr>
      </w:pPr>
    </w:p>
    <w:p w14:paraId="13CB423B" w14:textId="74624C72" w:rsidR="0037634E" w:rsidRPr="00C835AB" w:rsidRDefault="00AD69F7" w:rsidP="00603A64">
      <w:pPr>
        <w:ind w:firstLine="720"/>
        <w:rPr>
          <w:rFonts w:ascii="Times New Roman" w:hAnsi="Times New Roman" w:cs="Times New Roman"/>
          <w:b/>
          <w:bCs/>
          <w:color w:val="auto"/>
          <w:sz w:val="24"/>
        </w:rPr>
      </w:pPr>
      <w:r w:rsidRPr="00C835AB">
        <w:rPr>
          <w:rFonts w:ascii="Times New Roman" w:hAnsi="Times New Roman" w:cs="Times New Roman"/>
          <w:b/>
          <w:bCs/>
          <w:color w:val="auto"/>
          <w:sz w:val="24"/>
        </w:rPr>
        <w:t>Art.</w:t>
      </w:r>
      <w:r w:rsidR="0037634E" w:rsidRPr="00C835AB">
        <w:rPr>
          <w:rFonts w:ascii="Times New Roman" w:hAnsi="Times New Roman" w:cs="Times New Roman"/>
          <w:b/>
          <w:bCs/>
          <w:color w:val="auto"/>
          <w:sz w:val="24"/>
        </w:rPr>
        <w:t xml:space="preserve"> 402 § 2a</w:t>
      </w:r>
      <w:r w:rsidR="004D67CC" w:rsidRPr="00C835AB">
        <w:rPr>
          <w:rFonts w:ascii="Times New Roman" w:hAnsi="Times New Roman" w:cs="Times New Roman"/>
          <w:b/>
          <w:bCs/>
          <w:color w:val="auto"/>
          <w:sz w:val="24"/>
        </w:rPr>
        <w:t xml:space="preserve"> k.p.k.</w:t>
      </w:r>
      <w:r w:rsidR="0037634E" w:rsidRPr="00C835AB">
        <w:rPr>
          <w:rFonts w:ascii="Times New Roman" w:hAnsi="Times New Roman" w:cs="Times New Roman"/>
          <w:b/>
          <w:bCs/>
          <w:color w:val="auto"/>
          <w:sz w:val="24"/>
        </w:rPr>
        <w:t>,</w:t>
      </w:r>
      <w:r w:rsidRPr="00C835AB">
        <w:rPr>
          <w:rFonts w:ascii="Times New Roman" w:hAnsi="Times New Roman" w:cs="Times New Roman"/>
          <w:b/>
          <w:bCs/>
          <w:color w:val="auto"/>
          <w:sz w:val="24"/>
        </w:rPr>
        <w:t xml:space="preserve"> art. </w:t>
      </w:r>
      <w:r w:rsidR="0037634E" w:rsidRPr="00C835AB">
        <w:rPr>
          <w:rFonts w:ascii="Times New Roman" w:hAnsi="Times New Roman" w:cs="Times New Roman"/>
          <w:b/>
          <w:bCs/>
          <w:color w:val="auto"/>
          <w:sz w:val="24"/>
        </w:rPr>
        <w:t>404 § 2a</w:t>
      </w:r>
      <w:r w:rsidR="004D67CC" w:rsidRPr="00C835AB">
        <w:rPr>
          <w:rFonts w:ascii="Times New Roman" w:hAnsi="Times New Roman" w:cs="Times New Roman"/>
          <w:b/>
          <w:bCs/>
          <w:color w:val="auto"/>
          <w:sz w:val="24"/>
        </w:rPr>
        <w:t xml:space="preserve"> k.p.k., </w:t>
      </w:r>
      <w:r w:rsidRPr="00C835AB">
        <w:rPr>
          <w:rFonts w:ascii="Times New Roman" w:hAnsi="Times New Roman" w:cs="Times New Roman"/>
          <w:b/>
          <w:bCs/>
          <w:color w:val="auto"/>
          <w:sz w:val="24"/>
        </w:rPr>
        <w:t>art. 4</w:t>
      </w:r>
      <w:r w:rsidR="0037634E" w:rsidRPr="00C835AB">
        <w:rPr>
          <w:rFonts w:ascii="Times New Roman" w:hAnsi="Times New Roman" w:cs="Times New Roman"/>
          <w:b/>
          <w:bCs/>
          <w:color w:val="auto"/>
          <w:sz w:val="24"/>
        </w:rPr>
        <w:t>04b</w:t>
      </w:r>
      <w:r w:rsidR="004D67CC" w:rsidRPr="00C835AB">
        <w:rPr>
          <w:rFonts w:ascii="Times New Roman" w:hAnsi="Times New Roman" w:cs="Times New Roman"/>
          <w:b/>
          <w:bCs/>
          <w:color w:val="auto"/>
          <w:sz w:val="24"/>
        </w:rPr>
        <w:t>k.p.k. i art. 439 § 1 pkt 2 k.p.k.</w:t>
      </w:r>
    </w:p>
    <w:p w14:paraId="77B899BC" w14:textId="27E446D0" w:rsidR="0037634E" w:rsidRPr="00C835AB" w:rsidRDefault="0037634E" w:rsidP="00603A64">
      <w:pPr>
        <w:ind w:firstLine="720"/>
        <w:rPr>
          <w:rFonts w:ascii="Times New Roman" w:hAnsi="Times New Roman" w:cs="Times New Roman"/>
          <w:color w:val="auto"/>
          <w:sz w:val="24"/>
          <w:shd w:val="clear" w:color="auto" w:fill="FFFFFF"/>
        </w:rPr>
      </w:pPr>
      <w:r w:rsidRPr="00C835AB">
        <w:rPr>
          <w:rFonts w:ascii="Times New Roman" w:hAnsi="Times New Roman" w:cs="Times New Roman"/>
          <w:color w:val="auto"/>
          <w:sz w:val="24"/>
          <w:shd w:val="clear" w:color="auto" w:fill="FFFFFF"/>
        </w:rPr>
        <w:t xml:space="preserve">Proponuje się </w:t>
      </w:r>
      <w:r w:rsidR="00A05115" w:rsidRPr="00C835AB">
        <w:rPr>
          <w:rFonts w:ascii="Times New Roman" w:hAnsi="Times New Roman" w:cs="Times New Roman"/>
          <w:color w:val="auto"/>
          <w:sz w:val="24"/>
          <w:shd w:val="clear" w:color="auto" w:fill="FFFFFF"/>
        </w:rPr>
        <w:t>uchylenie</w:t>
      </w:r>
      <w:r w:rsidRPr="00C835AB">
        <w:rPr>
          <w:rFonts w:ascii="Times New Roman" w:hAnsi="Times New Roman" w:cs="Times New Roman"/>
          <w:color w:val="auto"/>
          <w:sz w:val="24"/>
          <w:shd w:val="clear" w:color="auto" w:fill="FFFFFF"/>
        </w:rPr>
        <w:t xml:space="preserve"> obu, niemal jednobrzmiących przepisów – art. 402 § 2a k.p.k. oraz art. 404 § 2a k.p.k., które weszły w życie z dniem 14 marca 2024 r. i przewidują możliwość dalszego orzekania w sprawie po przerwie w rozprawie lub jej odroczeniu, w przypadku zmiany członka składu orzekającego w sprawie rozpoznawanej w składzie wieloosobowym. Regulacja ta narusza zasadę ciągłości składu orzekającego, stanowiąc jednocześnie kolejny nieuzasadniony wyłom w zasadzie bezpośredniości. </w:t>
      </w:r>
      <w:r w:rsidR="00A05115" w:rsidRPr="00C835AB">
        <w:rPr>
          <w:rFonts w:ascii="Times New Roman" w:hAnsi="Times New Roman" w:cs="Times New Roman"/>
          <w:color w:val="auto"/>
          <w:sz w:val="24"/>
          <w:shd w:val="clear" w:color="auto" w:fill="FFFFFF"/>
        </w:rPr>
        <w:t>Uchylenie</w:t>
      </w:r>
      <w:r w:rsidRPr="00C835AB">
        <w:rPr>
          <w:rFonts w:ascii="Times New Roman" w:hAnsi="Times New Roman" w:cs="Times New Roman"/>
          <w:color w:val="auto"/>
          <w:sz w:val="24"/>
          <w:shd w:val="clear" w:color="auto" w:fill="FFFFFF"/>
        </w:rPr>
        <w:t xml:space="preserve"> w</w:t>
      </w:r>
      <w:r w:rsidR="00600B2A" w:rsidRPr="00C835AB">
        <w:rPr>
          <w:rFonts w:ascii="Times New Roman" w:hAnsi="Times New Roman" w:cs="Times New Roman"/>
          <w:color w:val="auto"/>
          <w:sz w:val="24"/>
          <w:shd w:val="clear" w:color="auto" w:fill="FFFFFF"/>
        </w:rPr>
        <w:t>skazanych</w:t>
      </w:r>
      <w:r w:rsidRPr="00C835AB">
        <w:rPr>
          <w:rFonts w:ascii="Times New Roman" w:hAnsi="Times New Roman" w:cs="Times New Roman"/>
          <w:color w:val="auto"/>
          <w:sz w:val="24"/>
          <w:shd w:val="clear" w:color="auto" w:fill="FFFFFF"/>
        </w:rPr>
        <w:t xml:space="preserve"> przepisów skutkuje także koniecznością </w:t>
      </w:r>
      <w:r w:rsidR="00A05115" w:rsidRPr="00C835AB">
        <w:rPr>
          <w:rFonts w:ascii="Times New Roman" w:hAnsi="Times New Roman" w:cs="Times New Roman"/>
          <w:color w:val="auto"/>
          <w:sz w:val="24"/>
          <w:shd w:val="clear" w:color="auto" w:fill="FFFFFF"/>
        </w:rPr>
        <w:t>uchylenia</w:t>
      </w:r>
      <w:r w:rsidRPr="00C835AB">
        <w:rPr>
          <w:rFonts w:ascii="Times New Roman" w:hAnsi="Times New Roman" w:cs="Times New Roman"/>
          <w:color w:val="auto"/>
          <w:sz w:val="24"/>
          <w:shd w:val="clear" w:color="auto" w:fill="FFFFFF"/>
        </w:rPr>
        <w:t xml:space="preserve"> art. 404b k.p.k., w którym przewidziano możliwość powtórzenia czynności dowodowych przeprowadzonych przed zmianą składu orzekającego, jeżeli domaga się tego nowy członek tego składu orzekającego.</w:t>
      </w:r>
      <w:r w:rsidR="00662587" w:rsidRPr="00C835AB">
        <w:rPr>
          <w:rFonts w:ascii="Times New Roman" w:hAnsi="Times New Roman" w:cs="Times New Roman"/>
          <w:color w:val="auto"/>
          <w:sz w:val="24"/>
          <w:shd w:val="clear" w:color="auto" w:fill="FFFFFF"/>
        </w:rPr>
        <w:t xml:space="preserve"> </w:t>
      </w:r>
    </w:p>
    <w:p w14:paraId="61BD7713" w14:textId="54E793C7" w:rsidR="00784273" w:rsidRPr="00C835AB" w:rsidRDefault="0037634E" w:rsidP="00D823D0">
      <w:pPr>
        <w:ind w:firstLine="720"/>
        <w:rPr>
          <w:rFonts w:ascii="Times New Roman" w:hAnsi="Times New Roman" w:cs="Times New Roman"/>
          <w:color w:val="auto"/>
          <w:sz w:val="24"/>
          <w:shd w:val="clear" w:color="auto" w:fill="FFFFFF"/>
        </w:rPr>
      </w:pPr>
      <w:r w:rsidRPr="00C835AB">
        <w:rPr>
          <w:rFonts w:ascii="Times New Roman" w:hAnsi="Times New Roman" w:cs="Times New Roman"/>
          <w:color w:val="auto"/>
          <w:sz w:val="24"/>
          <w:shd w:val="clear" w:color="auto" w:fill="FFFFFF"/>
        </w:rPr>
        <w:t xml:space="preserve">Zasada ciągłości składu orzekającego niewątpliwie stanowi istotny element standardu rzetelnego procesu. Dostrzegając, że wprowadzenie omawianych regulacji do </w:t>
      </w:r>
      <w:r w:rsidR="004D67CC" w:rsidRPr="00C835AB">
        <w:rPr>
          <w:rFonts w:ascii="Times New Roman" w:hAnsi="Times New Roman" w:cs="Times New Roman"/>
          <w:color w:val="auto"/>
          <w:sz w:val="24"/>
          <w:shd w:val="clear" w:color="auto" w:fill="FFFFFF"/>
        </w:rPr>
        <w:t>Kodeksu postępowania karnego</w:t>
      </w:r>
      <w:r w:rsidRPr="00C835AB">
        <w:rPr>
          <w:rFonts w:ascii="Times New Roman" w:hAnsi="Times New Roman" w:cs="Times New Roman"/>
          <w:color w:val="auto"/>
          <w:sz w:val="24"/>
          <w:shd w:val="clear" w:color="auto" w:fill="FFFFFF"/>
        </w:rPr>
        <w:t xml:space="preserve"> było motywowane troską o sprawność orzekania, trzeba przypomnieć, że nie może ona być celem nadrzędnym nad rzetelnością procesu. Powtarzania przewodu sądowego z powodu zmiany składu orzekającego można uniknąć częściej korzystając z</w:t>
      </w:r>
      <w:r w:rsidR="00A76A6B"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instytucji sędziego dodatkowego. Dodatkowo nie sposób nie za</w:t>
      </w:r>
      <w:r w:rsidR="00B547B9" w:rsidRPr="00C835AB">
        <w:rPr>
          <w:rFonts w:ascii="Times New Roman" w:hAnsi="Times New Roman" w:cs="Times New Roman"/>
          <w:color w:val="auto"/>
          <w:sz w:val="24"/>
          <w:shd w:val="clear" w:color="auto" w:fill="FFFFFF"/>
        </w:rPr>
        <w:t>u</w:t>
      </w:r>
      <w:r w:rsidRPr="00C835AB">
        <w:rPr>
          <w:rFonts w:ascii="Times New Roman" w:hAnsi="Times New Roman" w:cs="Times New Roman"/>
          <w:color w:val="auto"/>
          <w:sz w:val="24"/>
          <w:shd w:val="clear" w:color="auto" w:fill="FFFFFF"/>
        </w:rPr>
        <w:t>ważyć, że także w</w:t>
      </w:r>
      <w:r w:rsidR="00A76A6B"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 xml:space="preserve">uchylanych przepisach zakładano ponowne przeprowadzenie dowodów przed nowym składem orzekającym, jeżeli wnioskowałby o to „nowy” członek tego składu orzekającego. Zatem zakładane przyspieszenie procedowania, jakie miało wynikać z wprowadzenia wyłomu </w:t>
      </w:r>
      <w:r w:rsidRPr="00C835AB">
        <w:rPr>
          <w:rFonts w:ascii="Times New Roman" w:hAnsi="Times New Roman" w:cs="Times New Roman"/>
          <w:color w:val="auto"/>
          <w:sz w:val="24"/>
          <w:shd w:val="clear" w:color="auto" w:fill="FFFFFF"/>
        </w:rPr>
        <w:lastRenderedPageBreak/>
        <w:t>w zasadzie ciągłości składu orzekającego i tak mogło nie zostać zrealizowane w wielu sprawach.</w:t>
      </w:r>
    </w:p>
    <w:p w14:paraId="0722EA6C" w14:textId="345AF00C" w:rsidR="0037634E" w:rsidRDefault="0037634E" w:rsidP="00603A64">
      <w:pPr>
        <w:ind w:firstLine="720"/>
        <w:rPr>
          <w:rFonts w:ascii="Times New Roman" w:hAnsi="Times New Roman" w:cs="Times New Roman"/>
          <w:color w:val="auto"/>
          <w:sz w:val="24"/>
          <w:shd w:val="clear" w:color="auto" w:fill="FFFFFF"/>
        </w:rPr>
      </w:pPr>
      <w:r w:rsidRPr="00C835AB">
        <w:rPr>
          <w:rFonts w:ascii="Times New Roman" w:hAnsi="Times New Roman" w:cs="Times New Roman"/>
          <w:color w:val="auto"/>
          <w:sz w:val="24"/>
          <w:shd w:val="clear" w:color="auto" w:fill="FFFFFF"/>
        </w:rPr>
        <w:t xml:space="preserve">Bezpośrednim następstwem </w:t>
      </w:r>
      <w:r w:rsidR="00A05115" w:rsidRPr="00C835AB">
        <w:rPr>
          <w:rFonts w:ascii="Times New Roman" w:hAnsi="Times New Roman" w:cs="Times New Roman"/>
          <w:color w:val="auto"/>
          <w:sz w:val="24"/>
          <w:shd w:val="clear" w:color="auto" w:fill="FFFFFF"/>
        </w:rPr>
        <w:t>uchylenia</w:t>
      </w:r>
      <w:r w:rsidRPr="00C835AB">
        <w:rPr>
          <w:rFonts w:ascii="Times New Roman" w:hAnsi="Times New Roman" w:cs="Times New Roman"/>
          <w:color w:val="auto"/>
          <w:sz w:val="24"/>
          <w:shd w:val="clear" w:color="auto" w:fill="FFFFFF"/>
        </w:rPr>
        <w:t xml:space="preserve"> przepisów art. 402 § 2a k.p.k. oraz art. 404 § 2a k.p.k. jest również </w:t>
      </w:r>
      <w:r w:rsidR="00497C14" w:rsidRPr="00C835AB">
        <w:rPr>
          <w:rFonts w:ascii="Times New Roman" w:hAnsi="Times New Roman" w:cs="Times New Roman"/>
          <w:color w:val="auto"/>
          <w:sz w:val="24"/>
          <w:shd w:val="clear" w:color="auto" w:fill="FFFFFF"/>
        </w:rPr>
        <w:t xml:space="preserve">projektowana </w:t>
      </w:r>
      <w:r w:rsidRPr="00C835AB">
        <w:rPr>
          <w:rFonts w:ascii="Times New Roman" w:hAnsi="Times New Roman" w:cs="Times New Roman"/>
          <w:color w:val="auto"/>
          <w:sz w:val="24"/>
          <w:shd w:val="clear" w:color="auto" w:fill="FFFFFF"/>
        </w:rPr>
        <w:t>zmiana art. 439 § 1 pkt 2 k.p.k., sprowadzająca się w istocie do powrotu do jego poprzedniego brzmienia.</w:t>
      </w:r>
      <w:r w:rsidR="00662587" w:rsidRPr="00C835AB">
        <w:rPr>
          <w:rFonts w:ascii="Times New Roman" w:hAnsi="Times New Roman" w:cs="Times New Roman"/>
          <w:color w:val="auto"/>
          <w:sz w:val="24"/>
          <w:shd w:val="clear" w:color="auto" w:fill="FFFFFF"/>
        </w:rPr>
        <w:t xml:space="preserve"> </w:t>
      </w:r>
    </w:p>
    <w:p w14:paraId="63D01A98" w14:textId="44D6108F" w:rsidR="005371DB" w:rsidRPr="00C835AB" w:rsidRDefault="005371DB" w:rsidP="008A3E23">
      <w:pPr>
        <w:ind w:firstLine="720"/>
        <w:rPr>
          <w:rFonts w:ascii="Times New Roman" w:hAnsi="Times New Roman" w:cs="Times New Roman"/>
          <w:color w:val="auto"/>
          <w:sz w:val="24"/>
          <w:shd w:val="clear" w:color="auto" w:fill="FFFFFF"/>
        </w:rPr>
      </w:pPr>
      <w:r w:rsidRPr="005371DB">
        <w:rPr>
          <w:rFonts w:ascii="Times New Roman" w:hAnsi="Times New Roman" w:cs="Times New Roman"/>
          <w:color w:val="auto"/>
          <w:sz w:val="24"/>
          <w:shd w:val="clear" w:color="auto" w:fill="FFFFFF"/>
        </w:rPr>
        <w:t>Można w tym miejscu wskazać, że projektodawca rozważał wprowadzenie przepisu przejściowego dotyczącego projektowanej regulacji, aby uniknąć potencjalnej potrzeby powtarzania procesów w których nastąpiła zmiana składu. Odstąpił jednak od tego, podzielając w tym zakresie stanowisko Komisji Kodyfikacyjnej Prawa Karnego, która na posiedzeniu w dniu 20 lutego 2025 r. wskazała, że „nie rekomenduje wprowadzanie szczególnego przepisu intertemporalnego dotyczącego przypadków zmiany składu sądu do której doszło na gruncie obecnie obowiązujących przepisów, z uwagi na przyjętą w projekcie generalną zasadę stałości składu do końca rozpoznawania sprawy w danej instancji. Zasada ta obejmie także sytuację, w której na podstawie art. 402 § 2a k.p.k. lub 404 § 2a k.p.k. doszło do zmiany składu. Mimo propozycji uchylenia tych przepisów nie dojdzie do spełnienia przesłanki z art. 439 § 1 pkt 2, bowiem zgodnie z przepisami poprzednio</w:t>
      </w:r>
      <w:r>
        <w:rPr>
          <w:rFonts w:ascii="Times New Roman" w:hAnsi="Times New Roman" w:cs="Times New Roman"/>
          <w:color w:val="auto"/>
          <w:sz w:val="24"/>
          <w:shd w:val="clear" w:color="auto" w:fill="FFFFFF"/>
        </w:rPr>
        <w:t xml:space="preserve"> </w:t>
      </w:r>
      <w:r w:rsidRPr="005371DB">
        <w:rPr>
          <w:rFonts w:ascii="Times New Roman" w:hAnsi="Times New Roman" w:cs="Times New Roman"/>
          <w:color w:val="auto"/>
          <w:sz w:val="24"/>
          <w:shd w:val="clear" w:color="auto" w:fill="FFFFFF"/>
        </w:rPr>
        <w:t>obowiązującymi (przed ich uchyleniem) skład był właściwy.”</w:t>
      </w:r>
    </w:p>
    <w:p w14:paraId="418F1D2D" w14:textId="77777777" w:rsidR="00AD69F7" w:rsidRPr="00C835AB" w:rsidRDefault="00AD69F7" w:rsidP="00603A64">
      <w:pPr>
        <w:rPr>
          <w:rFonts w:ascii="Times New Roman" w:hAnsi="Times New Roman" w:cs="Times New Roman"/>
          <w:color w:val="auto"/>
          <w:sz w:val="24"/>
          <w:shd w:val="clear" w:color="auto" w:fill="FFFFFF"/>
        </w:rPr>
      </w:pPr>
    </w:p>
    <w:p w14:paraId="6187F498" w14:textId="375AAA18" w:rsidR="0037634E" w:rsidRPr="00C835AB" w:rsidRDefault="0037634E" w:rsidP="00D823D0">
      <w:pPr>
        <w:ind w:firstLine="720"/>
        <w:rPr>
          <w:rFonts w:ascii="Times New Roman" w:hAnsi="Times New Roman" w:cs="Times New Roman"/>
          <w:b/>
          <w:bCs/>
          <w:color w:val="auto"/>
          <w:sz w:val="24"/>
        </w:rPr>
      </w:pPr>
      <w:r w:rsidRPr="00C835AB">
        <w:rPr>
          <w:rFonts w:ascii="Times New Roman" w:hAnsi="Times New Roman" w:cs="Times New Roman"/>
          <w:b/>
          <w:bCs/>
          <w:color w:val="auto"/>
          <w:sz w:val="24"/>
        </w:rPr>
        <w:t>Art. 404c</w:t>
      </w:r>
      <w:r w:rsidR="004D67CC" w:rsidRPr="00C835AB">
        <w:rPr>
          <w:rFonts w:ascii="Times New Roman" w:hAnsi="Times New Roman" w:cs="Times New Roman"/>
          <w:b/>
          <w:bCs/>
          <w:color w:val="auto"/>
          <w:sz w:val="24"/>
        </w:rPr>
        <w:t xml:space="preserve"> k.p.k. i art. 448 § 1a k.p.k.</w:t>
      </w:r>
    </w:p>
    <w:p w14:paraId="37BF505F" w14:textId="64754933" w:rsidR="0037634E" w:rsidRPr="00C835AB" w:rsidRDefault="0037634E" w:rsidP="00D823D0">
      <w:pPr>
        <w:ind w:firstLine="720"/>
        <w:rPr>
          <w:rFonts w:ascii="Times New Roman" w:hAnsi="Times New Roman" w:cs="Times New Roman"/>
          <w:color w:val="auto"/>
          <w:sz w:val="24"/>
          <w:shd w:val="clear" w:color="auto" w:fill="FFFFFF"/>
        </w:rPr>
      </w:pPr>
      <w:r w:rsidRPr="00C835AB">
        <w:rPr>
          <w:rFonts w:ascii="Times New Roman" w:hAnsi="Times New Roman" w:cs="Times New Roman"/>
          <w:color w:val="auto"/>
          <w:sz w:val="24"/>
        </w:rPr>
        <w:t xml:space="preserve">Proponuje się </w:t>
      </w:r>
      <w:r w:rsidR="004D67CC" w:rsidRPr="00C835AB">
        <w:rPr>
          <w:rFonts w:ascii="Times New Roman" w:hAnsi="Times New Roman" w:cs="Times New Roman"/>
          <w:color w:val="auto"/>
          <w:sz w:val="24"/>
        </w:rPr>
        <w:t>uchylenie</w:t>
      </w:r>
      <w:r w:rsidRPr="00C835AB">
        <w:rPr>
          <w:rFonts w:ascii="Times New Roman" w:hAnsi="Times New Roman" w:cs="Times New Roman"/>
          <w:color w:val="auto"/>
          <w:sz w:val="24"/>
        </w:rPr>
        <w:t xml:space="preserve"> art. 404c k.p.k.</w:t>
      </w:r>
      <w:r w:rsidR="00AC00D0"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który wszedł w życie z dniem 14 marca 2024 r. i wprowadził do </w:t>
      </w:r>
      <w:r w:rsidR="006C4943" w:rsidRPr="00C835AB">
        <w:rPr>
          <w:rFonts w:ascii="Times New Roman" w:hAnsi="Times New Roman" w:cs="Times New Roman"/>
          <w:color w:val="auto"/>
          <w:sz w:val="24"/>
        </w:rPr>
        <w:t>Kodeksu postępowania karnego</w:t>
      </w:r>
      <w:r w:rsidRPr="00C835AB">
        <w:rPr>
          <w:rFonts w:ascii="Times New Roman" w:hAnsi="Times New Roman" w:cs="Times New Roman"/>
          <w:color w:val="auto"/>
          <w:sz w:val="24"/>
        </w:rPr>
        <w:t xml:space="preserve"> zupełnie nową instytucj</w:t>
      </w:r>
      <w:r w:rsidR="006C4943" w:rsidRPr="00C835AB">
        <w:rPr>
          <w:rFonts w:ascii="Times New Roman" w:hAnsi="Times New Roman" w:cs="Times New Roman"/>
          <w:color w:val="auto"/>
          <w:sz w:val="24"/>
        </w:rPr>
        <w:t>ę</w:t>
      </w:r>
      <w:r w:rsidRPr="00C835AB">
        <w:rPr>
          <w:rFonts w:ascii="Times New Roman" w:hAnsi="Times New Roman" w:cs="Times New Roman"/>
          <w:color w:val="auto"/>
          <w:sz w:val="24"/>
        </w:rPr>
        <w:t xml:space="preserve"> „wstępnej narady” i „wyroku częściowego”. Wprowadzając tę nową instytucję do </w:t>
      </w:r>
      <w:r w:rsidR="00F74153" w:rsidRPr="00C835AB">
        <w:rPr>
          <w:rFonts w:ascii="Times New Roman" w:hAnsi="Times New Roman" w:cs="Times New Roman"/>
          <w:color w:val="auto"/>
          <w:sz w:val="24"/>
        </w:rPr>
        <w:t>Kodeksu postępowania karnego</w:t>
      </w:r>
      <w:r w:rsidRPr="00C835AB">
        <w:rPr>
          <w:rFonts w:ascii="Times New Roman" w:hAnsi="Times New Roman" w:cs="Times New Roman"/>
          <w:color w:val="auto"/>
          <w:sz w:val="24"/>
        </w:rPr>
        <w:t xml:space="preserve"> ustawodawca uzasadnił to następująco: „</w:t>
      </w:r>
      <w:r w:rsidRPr="00C835AB">
        <w:rPr>
          <w:rFonts w:ascii="Times New Roman" w:hAnsi="Times New Roman" w:cs="Times New Roman"/>
          <w:color w:val="auto"/>
          <w:sz w:val="24"/>
          <w:shd w:val="clear" w:color="auto" w:fill="FFFFFF"/>
        </w:rPr>
        <w:t>[...] w procesach o obszernym zakresie postępowania dowodowego wynikającym z łączności podmiotowej (wielość oskarżonych) i przedmiotowej (wielość zarzucanych przestępstw) na szybkie rozstrzygnięcie w przedmiocie odpowiedzialności karnej tych oskarżonych, wobec których możliwe będzie przeprowadzenie niezbędnych czynności dowodowych w sposób skoncentrowany. Stosowanie tych instytucji pozwoli na ograniczenie liczby osób uczestniczących w różnych rolach procesowych w</w:t>
      </w:r>
      <w:r w:rsidR="00A76A6B"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długotrwałym postępowaniu, istotne obniżenie kosztów i innych obciążeń ponoszonych przez strony postępowania oraz ograniczenie trudności organizacyjnych, m.in. związanych z</w:t>
      </w:r>
      <w:r w:rsidR="00A76A6B"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 xml:space="preserve">rezerwacją odpowiednio dużych </w:t>
      </w:r>
      <w:proofErr w:type="spellStart"/>
      <w:r w:rsidRPr="00C835AB">
        <w:rPr>
          <w:rFonts w:ascii="Times New Roman" w:hAnsi="Times New Roman" w:cs="Times New Roman"/>
          <w:color w:val="auto"/>
          <w:sz w:val="24"/>
          <w:shd w:val="clear" w:color="auto" w:fill="FFFFFF"/>
        </w:rPr>
        <w:t>sal</w:t>
      </w:r>
      <w:proofErr w:type="spellEnd"/>
      <w:r w:rsidRPr="00C835AB">
        <w:rPr>
          <w:rFonts w:ascii="Times New Roman" w:hAnsi="Times New Roman" w:cs="Times New Roman"/>
          <w:color w:val="auto"/>
          <w:sz w:val="24"/>
          <w:shd w:val="clear" w:color="auto" w:fill="FFFFFF"/>
        </w:rPr>
        <w:t xml:space="preserve"> rozpraw oraz zabezpieczeniem konwojów na rozprawę (art. 404c</w:t>
      </w:r>
      <w:r w:rsidR="00280BD8" w:rsidRPr="00C835AB">
        <w:rPr>
          <w:rFonts w:ascii="Times New Roman" w:hAnsi="Times New Roman" w:cs="Times New Roman"/>
          <w:color w:val="auto"/>
          <w:sz w:val="24"/>
          <w:shd w:val="clear" w:color="auto" w:fill="FFFFFF"/>
        </w:rPr>
        <w:t xml:space="preserve"> </w:t>
      </w:r>
      <w:r w:rsidRPr="00C835AB">
        <w:rPr>
          <w:rFonts w:ascii="Times New Roman" w:hAnsi="Times New Roman" w:cs="Times New Roman"/>
          <w:color w:val="auto"/>
          <w:sz w:val="24"/>
          <w:shd w:val="clear" w:color="auto" w:fill="FFFFFF"/>
        </w:rPr>
        <w:t xml:space="preserve">k.p.k.)” </w:t>
      </w:r>
      <w:r w:rsidR="008E44D1" w:rsidRPr="00C835AB">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 xml:space="preserve">druk </w:t>
      </w:r>
      <w:r w:rsidR="008E44D1" w:rsidRPr="00C835AB">
        <w:rPr>
          <w:rFonts w:ascii="Times New Roman" w:hAnsi="Times New Roman" w:cs="Times New Roman"/>
          <w:color w:val="auto"/>
          <w:sz w:val="24"/>
          <w:shd w:val="clear" w:color="auto" w:fill="FFFFFF"/>
        </w:rPr>
        <w:t>sejmowy</w:t>
      </w:r>
      <w:r w:rsidRPr="00C835AB">
        <w:rPr>
          <w:rFonts w:ascii="Times New Roman" w:hAnsi="Times New Roman" w:cs="Times New Roman"/>
          <w:color w:val="auto"/>
          <w:sz w:val="24"/>
          <w:shd w:val="clear" w:color="auto" w:fill="FFFFFF"/>
        </w:rPr>
        <w:t xml:space="preserve"> nr 3216 Sejm </w:t>
      </w:r>
      <w:r w:rsidR="008E44D1" w:rsidRPr="00C835AB">
        <w:rPr>
          <w:rFonts w:ascii="Times New Roman" w:hAnsi="Times New Roman" w:cs="Times New Roman"/>
          <w:color w:val="auto"/>
          <w:sz w:val="24"/>
          <w:shd w:val="clear" w:color="auto" w:fill="FFFFFF"/>
        </w:rPr>
        <w:t xml:space="preserve">RP </w:t>
      </w:r>
      <w:r w:rsidRPr="00C835AB">
        <w:rPr>
          <w:rFonts w:ascii="Times New Roman" w:hAnsi="Times New Roman" w:cs="Times New Roman"/>
          <w:color w:val="auto"/>
          <w:sz w:val="24"/>
          <w:shd w:val="clear" w:color="auto" w:fill="FFFFFF"/>
        </w:rPr>
        <w:t>IX kadencji, s. 59</w:t>
      </w:r>
      <w:r w:rsidR="008E44D1" w:rsidRPr="00C835AB">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 Nie można podzielić oceny autorów tej nowelizacji, że istotnie przyczyni się ona do przyspieszenia postępowań i</w:t>
      </w:r>
      <w:r w:rsidR="00A76A6B"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 xml:space="preserve">rozwiąże szereg trudności organizacyjnych, zwłaszcza jeżeli uwzględni się zakres katalogu </w:t>
      </w:r>
      <w:r w:rsidRPr="00C835AB">
        <w:rPr>
          <w:rFonts w:ascii="Times New Roman" w:hAnsi="Times New Roman" w:cs="Times New Roman"/>
          <w:color w:val="auto"/>
          <w:sz w:val="24"/>
          <w:shd w:val="clear" w:color="auto" w:fill="FFFFFF"/>
        </w:rPr>
        <w:lastRenderedPageBreak/>
        <w:t>wyjątków od stosowania instytucji wyroku częściowego. Nie przedstawiono, a przynajmniej nie wskazano w uzasadnieniu projektu, badań, które potwierdzałyby takie założenia. Jednocześnie trzeba zauważyć, że wprowadzone instytucje są niespójne systemowo</w:t>
      </w:r>
      <w:r w:rsidR="006C4943" w:rsidRPr="00C835AB">
        <w:rPr>
          <w:rFonts w:ascii="Times New Roman" w:hAnsi="Times New Roman" w:cs="Times New Roman"/>
          <w:color w:val="auto"/>
          <w:sz w:val="24"/>
          <w:shd w:val="clear" w:color="auto" w:fill="FFFFFF"/>
        </w:rPr>
        <w:t>,</w:t>
      </w:r>
      <w:r w:rsidRPr="00C835AB">
        <w:rPr>
          <w:rFonts w:ascii="Times New Roman" w:hAnsi="Times New Roman" w:cs="Times New Roman"/>
          <w:color w:val="auto"/>
          <w:sz w:val="24"/>
          <w:shd w:val="clear" w:color="auto" w:fill="FFFFFF"/>
        </w:rPr>
        <w:t xml:space="preserve"> chociażby z treścią art. 34 § 3 k.p.k. oraz antygwarancyjne (por. krytyczne uwagi C. Kuleszy w: Kodeks postępowania karnego. Komentarz, wyd. III, red. K. Dudka; WKP 2023, komentarz do art. 404c k.p.k.). Słusznie podkreśla się w piśmiennictwie, że brak rękojmi bezstronności sędziego, który wydał wyrok częściowy, w sprawie pozostałych oskarżonych nieobjętych tym wyrokiem, w</w:t>
      </w:r>
      <w:r w:rsidR="00A76A6B"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praktyce będzie stanowił główny czynnik ograniczający stosowanie tej instytucji (por.</w:t>
      </w:r>
      <w:r w:rsidR="00505673">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J.</w:t>
      </w:r>
      <w:r w:rsidR="00A76A6B"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 xml:space="preserve">Zagrodnik, w: Kodeks postępowania karnego. Komentarz, red. J. Skorupka, </w:t>
      </w:r>
      <w:proofErr w:type="spellStart"/>
      <w:r w:rsidRPr="00C835AB">
        <w:rPr>
          <w:rFonts w:ascii="Times New Roman" w:hAnsi="Times New Roman" w:cs="Times New Roman"/>
          <w:color w:val="auto"/>
          <w:sz w:val="24"/>
          <w:shd w:val="clear" w:color="auto" w:fill="FFFFFF"/>
        </w:rPr>
        <w:t>Legalis</w:t>
      </w:r>
      <w:proofErr w:type="spellEnd"/>
      <w:r w:rsidRPr="00C835AB">
        <w:rPr>
          <w:rFonts w:ascii="Times New Roman" w:hAnsi="Times New Roman" w:cs="Times New Roman"/>
          <w:color w:val="auto"/>
          <w:sz w:val="24"/>
          <w:shd w:val="clear" w:color="auto" w:fill="FFFFFF"/>
        </w:rPr>
        <w:t xml:space="preserve"> 2023, komentarz do art. 404c k.p.k., nb. 10). Wobec wskazanych argumentów </w:t>
      </w:r>
      <w:r w:rsidR="00A05115" w:rsidRPr="00C835AB">
        <w:rPr>
          <w:rFonts w:ascii="Times New Roman" w:hAnsi="Times New Roman" w:cs="Times New Roman"/>
          <w:color w:val="auto"/>
          <w:sz w:val="24"/>
          <w:shd w:val="clear" w:color="auto" w:fill="FFFFFF"/>
        </w:rPr>
        <w:t>uchylenie</w:t>
      </w:r>
      <w:r w:rsidRPr="00C835AB">
        <w:rPr>
          <w:rFonts w:ascii="Times New Roman" w:hAnsi="Times New Roman" w:cs="Times New Roman"/>
          <w:color w:val="auto"/>
          <w:sz w:val="24"/>
          <w:shd w:val="clear" w:color="auto" w:fill="FFFFFF"/>
        </w:rPr>
        <w:t xml:space="preserve"> art.</w:t>
      </w:r>
      <w:r w:rsidR="00505673">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404c k.p.k. należy uznać za uzasadnione.</w:t>
      </w:r>
      <w:r w:rsidR="00662587" w:rsidRPr="00C835AB">
        <w:rPr>
          <w:rFonts w:ascii="Times New Roman" w:hAnsi="Times New Roman" w:cs="Times New Roman"/>
          <w:color w:val="auto"/>
          <w:sz w:val="24"/>
          <w:shd w:val="clear" w:color="auto" w:fill="FFFFFF"/>
        </w:rPr>
        <w:t xml:space="preserve"> </w:t>
      </w:r>
    </w:p>
    <w:p w14:paraId="417B2E98" w14:textId="0C82FD2E" w:rsidR="0037634E" w:rsidRPr="00C835AB" w:rsidRDefault="0037634E" w:rsidP="00D823D0">
      <w:pPr>
        <w:ind w:firstLine="720"/>
        <w:rPr>
          <w:rFonts w:ascii="Times New Roman" w:hAnsi="Times New Roman" w:cs="Times New Roman"/>
          <w:color w:val="auto"/>
          <w:sz w:val="24"/>
        </w:rPr>
      </w:pPr>
      <w:r w:rsidRPr="00C835AB">
        <w:rPr>
          <w:rFonts w:ascii="Times New Roman" w:hAnsi="Times New Roman" w:cs="Times New Roman"/>
          <w:color w:val="auto"/>
          <w:sz w:val="24"/>
          <w:shd w:val="clear" w:color="auto" w:fill="FFFFFF"/>
        </w:rPr>
        <w:t xml:space="preserve">Bezpośrednią i konieczną konsekwencją proponowanej zmiany jest także propozycja </w:t>
      </w:r>
      <w:r w:rsidR="008E44D1" w:rsidRPr="00C835AB">
        <w:rPr>
          <w:rFonts w:ascii="Times New Roman" w:hAnsi="Times New Roman" w:cs="Times New Roman"/>
          <w:color w:val="auto"/>
          <w:sz w:val="24"/>
          <w:shd w:val="clear" w:color="auto" w:fill="FFFFFF"/>
        </w:rPr>
        <w:t xml:space="preserve">uchylenia </w:t>
      </w:r>
      <w:r w:rsidRPr="00C835AB">
        <w:rPr>
          <w:rFonts w:ascii="Times New Roman" w:hAnsi="Times New Roman" w:cs="Times New Roman"/>
          <w:color w:val="auto"/>
          <w:sz w:val="24"/>
          <w:shd w:val="clear" w:color="auto" w:fill="FFFFFF"/>
        </w:rPr>
        <w:t>art. 448 § 1a k.p.k.</w:t>
      </w:r>
      <w:r w:rsidR="00662587" w:rsidRPr="00C835AB">
        <w:rPr>
          <w:rFonts w:ascii="Times New Roman" w:hAnsi="Times New Roman" w:cs="Times New Roman"/>
          <w:color w:val="auto"/>
          <w:sz w:val="24"/>
          <w:shd w:val="clear" w:color="auto" w:fill="FFFFFF"/>
        </w:rPr>
        <w:t xml:space="preserve"> </w:t>
      </w:r>
    </w:p>
    <w:p w14:paraId="2DB74E25" w14:textId="77777777" w:rsidR="0037634E" w:rsidRPr="00C835AB" w:rsidRDefault="0037634E" w:rsidP="00D823D0">
      <w:pPr>
        <w:rPr>
          <w:rFonts w:ascii="Times New Roman" w:hAnsi="Times New Roman" w:cs="Times New Roman"/>
          <w:b/>
          <w:color w:val="auto"/>
          <w:sz w:val="24"/>
        </w:rPr>
      </w:pPr>
    </w:p>
    <w:p w14:paraId="6C3D9B82" w14:textId="5DE75459" w:rsidR="0037634E" w:rsidRPr="00C835AB" w:rsidRDefault="0037634E" w:rsidP="00D823D0">
      <w:pPr>
        <w:ind w:firstLine="720"/>
        <w:rPr>
          <w:rFonts w:ascii="Times New Roman" w:hAnsi="Times New Roman" w:cs="Times New Roman"/>
          <w:b/>
          <w:color w:val="auto"/>
          <w:sz w:val="24"/>
        </w:rPr>
      </w:pPr>
      <w:r w:rsidRPr="00C835AB">
        <w:rPr>
          <w:rFonts w:ascii="Times New Roman" w:hAnsi="Times New Roman" w:cs="Times New Roman"/>
          <w:b/>
          <w:color w:val="auto"/>
          <w:sz w:val="24"/>
        </w:rPr>
        <w:t>Art. 422 § 2a</w:t>
      </w:r>
      <w:r w:rsidR="00497C14" w:rsidRPr="00C835AB">
        <w:rPr>
          <w:rFonts w:ascii="Times New Roman" w:hAnsi="Times New Roman" w:cs="Times New Roman"/>
          <w:b/>
          <w:color w:val="auto"/>
          <w:sz w:val="24"/>
        </w:rPr>
        <w:t xml:space="preserve"> k.p.k.</w:t>
      </w:r>
    </w:p>
    <w:p w14:paraId="1283C1AA" w14:textId="7C579964" w:rsidR="0037634E" w:rsidRPr="00C835AB" w:rsidRDefault="4A27BC66" w:rsidP="00D823D0">
      <w:pPr>
        <w:ind w:firstLine="720"/>
        <w:rPr>
          <w:rFonts w:ascii="Times New Roman" w:hAnsi="Times New Roman" w:cs="Times New Roman"/>
          <w:color w:val="auto"/>
          <w:sz w:val="24"/>
        </w:rPr>
      </w:pPr>
      <w:r w:rsidRPr="00C835AB">
        <w:rPr>
          <w:rFonts w:ascii="Times New Roman" w:hAnsi="Times New Roman" w:cs="Times New Roman"/>
          <w:color w:val="auto"/>
          <w:sz w:val="24"/>
        </w:rPr>
        <w:t>W pro</w:t>
      </w:r>
      <w:r w:rsidR="00497C14" w:rsidRPr="00C835AB">
        <w:rPr>
          <w:rFonts w:ascii="Times New Roman" w:hAnsi="Times New Roman" w:cs="Times New Roman"/>
          <w:color w:val="auto"/>
          <w:sz w:val="24"/>
        </w:rPr>
        <w:t>jektowanym</w:t>
      </w:r>
      <w:r w:rsidRPr="00C835AB">
        <w:rPr>
          <w:rFonts w:ascii="Times New Roman" w:hAnsi="Times New Roman" w:cs="Times New Roman"/>
          <w:color w:val="auto"/>
          <w:sz w:val="24"/>
        </w:rPr>
        <w:t xml:space="preserve"> nowym brzmieniu art. 422 § 2a k.p.k. proponuje się ograniczenie warunków, które muszą być kumulatywnie spełnione, aby doszło do doręczenia wyroku oskarżonemu pozbawionemu wolności i liczenia terminu do złożenia wniosku o sporządzenie uzasadnienia tego wyroku nie od daty jego ogłoszenia, ale właśnie od daty jego doręczenia. Obecnie przepis ten przewiduje aż trzy warunki, które musz</w:t>
      </w:r>
      <w:r w:rsidR="00016111" w:rsidRPr="00C835AB">
        <w:rPr>
          <w:rFonts w:ascii="Times New Roman" w:hAnsi="Times New Roman" w:cs="Times New Roman"/>
          <w:color w:val="auto"/>
          <w:sz w:val="24"/>
        </w:rPr>
        <w:t>ą</w:t>
      </w:r>
      <w:r w:rsidRPr="00C835AB">
        <w:rPr>
          <w:rFonts w:ascii="Times New Roman" w:hAnsi="Times New Roman" w:cs="Times New Roman"/>
          <w:color w:val="auto"/>
          <w:sz w:val="24"/>
        </w:rPr>
        <w:t xml:space="preserve"> być spełnione, aby pozbawiony wolności oskarżony miał doręczony wyrok wydany na rozprawie: 1) nieposiadanie obrońcy; 2) złożenie przez oskarżonego wniosku o doprowadzenie go na termin rozprawy, na którym został ogłoszony wyrok; 3) nieobecność oskarżonego podczas ogłoszenia wyroku. Proponowana zmiana art. 422 § 2a k.p.k. ogranicza te warunki do dwóch, eliminując wysoce dysfunkcjonalny i budzący wątpliwości interpretacyjne wymóg złożenia wniosku o doprowadzenie na termin rozprawy, na którym został ogłoszony wyrok. Po wejściu w życie proponowanych zmian oskarżonemu pozbawionemu wolności będzie doręczany wyrok ogłaszany na rozprawie, jeżeli nie ma on obrońcy (co przecież w przypadku obrony z urzędu następuje z chwilą ogłoszenia wyroku kończącego postępowanie na rozprawie apelacyjnej – por. art. 84 § 2 k.p.k.) i nie był obecny podczas ogłoszenia tego wyroku. W rezultacie to od daty doręczenia takiemu oskarżonemu wyrok rozpocznie swój bieg termin zawity na złożenie wniosku o doręczenie wyroku z uzasadnieniem. Po wprowadzeniu proponowanych zmian dojdzie w istocie do</w:t>
      </w:r>
      <w:r w:rsidR="00505673">
        <w:rPr>
          <w:rFonts w:ascii="Times New Roman" w:hAnsi="Times New Roman" w:cs="Times New Roman"/>
          <w:color w:val="auto"/>
          <w:sz w:val="24"/>
        </w:rPr>
        <w:t> </w:t>
      </w:r>
      <w:r w:rsidRPr="00C835AB">
        <w:rPr>
          <w:rFonts w:ascii="Times New Roman" w:hAnsi="Times New Roman" w:cs="Times New Roman"/>
          <w:color w:val="auto"/>
          <w:sz w:val="24"/>
        </w:rPr>
        <w:t xml:space="preserve">przywrócenia w omawianym zakresie standardu, jaki obowiązywał przed wejściem w życie dużej nowelizacji </w:t>
      </w:r>
      <w:r w:rsidR="002F1398" w:rsidRPr="00C835AB">
        <w:rPr>
          <w:rFonts w:ascii="Times New Roman" w:hAnsi="Times New Roman" w:cs="Times New Roman"/>
          <w:color w:val="auto"/>
          <w:sz w:val="24"/>
        </w:rPr>
        <w:t>Kodeksu postępowania karnego</w:t>
      </w:r>
      <w:r w:rsidRPr="00C835AB">
        <w:rPr>
          <w:rFonts w:ascii="Times New Roman" w:hAnsi="Times New Roman" w:cs="Times New Roman"/>
          <w:color w:val="auto"/>
          <w:sz w:val="24"/>
        </w:rPr>
        <w:t xml:space="preserve"> z 2013 r., czyli do dnia 30 czerwca 2015 r., </w:t>
      </w:r>
      <w:r w:rsidRPr="00C835AB">
        <w:rPr>
          <w:rFonts w:ascii="Times New Roman" w:hAnsi="Times New Roman" w:cs="Times New Roman"/>
          <w:color w:val="auto"/>
          <w:sz w:val="24"/>
        </w:rPr>
        <w:lastRenderedPageBreak/>
        <w:t>kiedy to art. 419 § 2 k.p.k. przewidywał, że jeżeli oskarżony pozbawiony wolności nie był obecny przy ogłoszeniu na rozprawie orzeczenia kończącego postępowanie w sprawie, a</w:t>
      </w:r>
      <w:r w:rsidR="00505673">
        <w:rPr>
          <w:rFonts w:ascii="Times New Roman" w:hAnsi="Times New Roman" w:cs="Times New Roman"/>
          <w:color w:val="auto"/>
          <w:sz w:val="24"/>
        </w:rPr>
        <w:t> </w:t>
      </w:r>
      <w:r w:rsidRPr="00C835AB">
        <w:rPr>
          <w:rFonts w:ascii="Times New Roman" w:hAnsi="Times New Roman" w:cs="Times New Roman"/>
          <w:color w:val="auto"/>
          <w:sz w:val="24"/>
        </w:rPr>
        <w:t>nie</w:t>
      </w:r>
      <w:r w:rsidR="00505673">
        <w:rPr>
          <w:rFonts w:ascii="Times New Roman" w:hAnsi="Times New Roman" w:cs="Times New Roman"/>
          <w:color w:val="auto"/>
          <w:sz w:val="24"/>
        </w:rPr>
        <w:t> </w:t>
      </w:r>
      <w:r w:rsidRPr="00C835AB">
        <w:rPr>
          <w:rFonts w:ascii="Times New Roman" w:hAnsi="Times New Roman" w:cs="Times New Roman"/>
          <w:color w:val="auto"/>
          <w:sz w:val="24"/>
        </w:rPr>
        <w:t>miał obrońcy, orzeczenie to doręcza się oskarżonemu. Należy przypomnieć, że z dniem 1</w:t>
      </w:r>
      <w:r w:rsidR="00505673">
        <w:rPr>
          <w:rFonts w:ascii="Times New Roman" w:hAnsi="Times New Roman" w:cs="Times New Roman"/>
          <w:color w:val="auto"/>
          <w:sz w:val="24"/>
        </w:rPr>
        <w:t> </w:t>
      </w:r>
      <w:r w:rsidRPr="00C835AB">
        <w:rPr>
          <w:rFonts w:ascii="Times New Roman" w:hAnsi="Times New Roman" w:cs="Times New Roman"/>
          <w:color w:val="auto"/>
          <w:sz w:val="24"/>
        </w:rPr>
        <w:t xml:space="preserve">lipca 2015 r. wprowadzono do </w:t>
      </w:r>
      <w:r w:rsidR="00B2413F" w:rsidRPr="00C835AB">
        <w:rPr>
          <w:rFonts w:ascii="Times New Roman" w:hAnsi="Times New Roman" w:cs="Times New Roman"/>
          <w:color w:val="auto"/>
          <w:sz w:val="24"/>
        </w:rPr>
        <w:t>Kodeksu postępowania karnego</w:t>
      </w:r>
      <w:r w:rsidRPr="00C835AB">
        <w:rPr>
          <w:rFonts w:ascii="Times New Roman" w:hAnsi="Times New Roman" w:cs="Times New Roman"/>
          <w:color w:val="auto"/>
          <w:sz w:val="24"/>
        </w:rPr>
        <w:t xml:space="preserve"> ogólną regułę doręczania wyroków stronom nieobecnym przy ich ogłoszeniu (art. 100 § 3 k.p.k. w wersji obowiązującej do dnia 14 kwietnia 2016 r.), która została zniesiona właśnie z dniem 15 kwietnia 2016 r. i</w:t>
      </w:r>
      <w:r w:rsidR="00505673">
        <w:rPr>
          <w:rFonts w:ascii="Times New Roman" w:hAnsi="Times New Roman" w:cs="Times New Roman"/>
          <w:color w:val="auto"/>
          <w:sz w:val="24"/>
        </w:rPr>
        <w:t> </w:t>
      </w:r>
      <w:r w:rsidRPr="00C835AB">
        <w:rPr>
          <w:rFonts w:ascii="Times New Roman" w:hAnsi="Times New Roman" w:cs="Times New Roman"/>
          <w:color w:val="auto"/>
          <w:sz w:val="24"/>
        </w:rPr>
        <w:t xml:space="preserve">zastąpiona treścią art. 422 § 2a k.p.k. </w:t>
      </w:r>
    </w:p>
    <w:p w14:paraId="3EB5AA3E" w14:textId="4CC33F39" w:rsidR="0037634E" w:rsidRPr="00C835AB" w:rsidRDefault="0037634E" w:rsidP="00D823D0">
      <w:pPr>
        <w:ind w:firstLine="720"/>
        <w:rPr>
          <w:rFonts w:ascii="Times New Roman" w:hAnsi="Times New Roman" w:cs="Times New Roman"/>
          <w:color w:val="auto"/>
          <w:sz w:val="24"/>
        </w:rPr>
      </w:pPr>
      <w:r w:rsidRPr="00C835AB">
        <w:rPr>
          <w:rFonts w:ascii="Times New Roman" w:hAnsi="Times New Roman" w:cs="Times New Roman"/>
          <w:color w:val="auto"/>
          <w:sz w:val="24"/>
        </w:rPr>
        <w:t>Podsumowując proponowana zmiana ma na celu zapewnienie pozbawionym wolności oskarżonym realne praw</w:t>
      </w:r>
      <w:r w:rsidR="00DC6CC1" w:rsidRPr="00C835AB">
        <w:rPr>
          <w:rFonts w:ascii="Times New Roman" w:hAnsi="Times New Roman" w:cs="Times New Roman"/>
          <w:color w:val="auto"/>
          <w:sz w:val="24"/>
        </w:rPr>
        <w:t>o</w:t>
      </w:r>
      <w:r w:rsidRPr="00C835AB">
        <w:rPr>
          <w:rFonts w:ascii="Times New Roman" w:hAnsi="Times New Roman" w:cs="Times New Roman"/>
          <w:color w:val="auto"/>
          <w:sz w:val="24"/>
        </w:rPr>
        <w:t xml:space="preserve"> do zapoznania się z treścią wyroku i jego zaskarżenia.</w:t>
      </w:r>
    </w:p>
    <w:p w14:paraId="78372DFC" w14:textId="77777777" w:rsidR="00DC6CC1" w:rsidRPr="00C835AB" w:rsidRDefault="00DC6CC1" w:rsidP="00D823D0">
      <w:pPr>
        <w:rPr>
          <w:rFonts w:ascii="Times New Roman" w:hAnsi="Times New Roman" w:cs="Times New Roman"/>
          <w:color w:val="auto"/>
          <w:sz w:val="24"/>
        </w:rPr>
      </w:pPr>
    </w:p>
    <w:p w14:paraId="31D7E59D" w14:textId="3CE665C9" w:rsidR="00C74583" w:rsidRPr="00C835AB" w:rsidRDefault="00270BD4" w:rsidP="00D823D0">
      <w:pPr>
        <w:ind w:firstLine="720"/>
        <w:rPr>
          <w:rFonts w:ascii="Times New Roman" w:hAnsi="Times New Roman" w:cs="Times New Roman"/>
          <w:b/>
          <w:bCs/>
          <w:color w:val="auto"/>
          <w:sz w:val="24"/>
        </w:rPr>
      </w:pPr>
      <w:r w:rsidRPr="00C835AB">
        <w:rPr>
          <w:rFonts w:ascii="Times New Roman" w:hAnsi="Times New Roman" w:cs="Times New Roman"/>
          <w:b/>
          <w:bCs/>
          <w:color w:val="auto"/>
          <w:sz w:val="24"/>
        </w:rPr>
        <w:t>A</w:t>
      </w:r>
      <w:r w:rsidR="0D1E5233" w:rsidRPr="00C835AB">
        <w:rPr>
          <w:rFonts w:ascii="Times New Roman" w:hAnsi="Times New Roman" w:cs="Times New Roman"/>
          <w:b/>
          <w:bCs/>
          <w:color w:val="auto"/>
          <w:sz w:val="24"/>
        </w:rPr>
        <w:t xml:space="preserve">rt. 427 </w:t>
      </w:r>
      <w:r w:rsidR="008E44D1" w:rsidRPr="00C835AB">
        <w:rPr>
          <w:rFonts w:ascii="Times New Roman" w:hAnsi="Times New Roman" w:cs="Times New Roman"/>
          <w:b/>
          <w:bCs/>
          <w:color w:val="auto"/>
          <w:sz w:val="24"/>
        </w:rPr>
        <w:t>§ 3a k.p.k.</w:t>
      </w:r>
    </w:p>
    <w:p w14:paraId="28BB69C7" w14:textId="5D2EA70D" w:rsidR="00C74583" w:rsidRPr="00C835AB" w:rsidRDefault="002E7486"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W ocenie projektodawcy uzasadnione jest </w:t>
      </w:r>
      <w:r w:rsidR="008E44D1" w:rsidRPr="00C835AB">
        <w:rPr>
          <w:rFonts w:ascii="Times New Roman" w:hAnsi="Times New Roman" w:cs="Times New Roman"/>
          <w:color w:val="auto"/>
          <w:sz w:val="24"/>
        </w:rPr>
        <w:t>uchyl</w:t>
      </w:r>
      <w:r w:rsidRPr="00C835AB">
        <w:rPr>
          <w:rFonts w:ascii="Times New Roman" w:hAnsi="Times New Roman" w:cs="Times New Roman"/>
          <w:color w:val="auto"/>
          <w:sz w:val="24"/>
        </w:rPr>
        <w:t>enie</w:t>
      </w:r>
      <w:r w:rsidR="11711DAE" w:rsidRPr="00C835AB">
        <w:rPr>
          <w:rFonts w:ascii="Times New Roman" w:hAnsi="Times New Roman" w:cs="Times New Roman"/>
          <w:color w:val="auto"/>
          <w:sz w:val="24"/>
        </w:rPr>
        <w:t xml:space="preserve"> art. 427 § 3a</w:t>
      </w:r>
      <w:r w:rsidR="00270BD4" w:rsidRPr="00C835AB">
        <w:rPr>
          <w:rFonts w:ascii="Times New Roman" w:hAnsi="Times New Roman" w:cs="Times New Roman"/>
          <w:color w:val="auto"/>
          <w:sz w:val="24"/>
        </w:rPr>
        <w:t xml:space="preserve"> k.p.k.</w:t>
      </w:r>
      <w:r w:rsidR="11711DAE" w:rsidRPr="00C835AB">
        <w:rPr>
          <w:rFonts w:ascii="Times New Roman" w:hAnsi="Times New Roman" w:cs="Times New Roman"/>
          <w:color w:val="auto"/>
          <w:sz w:val="24"/>
        </w:rPr>
        <w:t>, który tylko pozornie stanowi próbę przeciwdziałania możliwym działaniom obstrukcyjnym, polegającym na bierności dowodowej stron na forum sądu pierwszej instancji i formułowaniu w środku odwoławczym zarzutów, a tym samym sugeruje wzmocnienie kontradyktoryjności postępowania sądowego. Jednak zakres wyłączenia spod tego zakazu jest tak szeroki, że</w:t>
      </w:r>
      <w:r w:rsidR="00505673">
        <w:rPr>
          <w:rFonts w:ascii="Times New Roman" w:hAnsi="Times New Roman" w:cs="Times New Roman"/>
          <w:color w:val="auto"/>
          <w:sz w:val="24"/>
        </w:rPr>
        <w:t> </w:t>
      </w:r>
      <w:r w:rsidR="11711DAE" w:rsidRPr="00C835AB">
        <w:rPr>
          <w:rFonts w:ascii="Times New Roman" w:hAnsi="Times New Roman" w:cs="Times New Roman"/>
          <w:color w:val="auto"/>
          <w:sz w:val="24"/>
        </w:rPr>
        <w:t>przyjęcie tej regulacji niewiele zmienia w inkwizycyjnym modelu postępowania sądowego (por. D. Świ</w:t>
      </w:r>
      <w:r w:rsidR="00016111" w:rsidRPr="00C835AB">
        <w:rPr>
          <w:rFonts w:ascii="Times New Roman" w:hAnsi="Times New Roman" w:cs="Times New Roman"/>
          <w:color w:val="auto"/>
          <w:sz w:val="24"/>
        </w:rPr>
        <w:t>e</w:t>
      </w:r>
      <w:r w:rsidR="11711DAE" w:rsidRPr="00C835AB">
        <w:rPr>
          <w:rFonts w:ascii="Times New Roman" w:hAnsi="Times New Roman" w:cs="Times New Roman"/>
          <w:color w:val="auto"/>
          <w:sz w:val="24"/>
        </w:rPr>
        <w:t>cki, (w:) D. Świecki (red.), Kodeks postępowania karnego. Komentarz. Tom II, Warszawa 2024, Lex, Komentarz do art. 427 k.p.k.). Zakaz stawiania zarzutu nieprzeprowadzenia przez sąd dowodu z urzędu nie dotyczy okoliczności odnoszących się</w:t>
      </w:r>
      <w:r w:rsidR="00505673">
        <w:rPr>
          <w:rFonts w:ascii="Times New Roman" w:hAnsi="Times New Roman" w:cs="Times New Roman"/>
          <w:color w:val="auto"/>
          <w:sz w:val="24"/>
        </w:rPr>
        <w:t> </w:t>
      </w:r>
      <w:r w:rsidR="11711DAE" w:rsidRPr="00C835AB">
        <w:rPr>
          <w:rFonts w:ascii="Times New Roman" w:hAnsi="Times New Roman" w:cs="Times New Roman"/>
          <w:color w:val="auto"/>
          <w:sz w:val="24"/>
        </w:rPr>
        <w:t>do</w:t>
      </w:r>
      <w:r w:rsidR="00505673">
        <w:rPr>
          <w:rFonts w:ascii="Times New Roman" w:hAnsi="Times New Roman" w:cs="Times New Roman"/>
          <w:color w:val="auto"/>
          <w:sz w:val="24"/>
        </w:rPr>
        <w:t> </w:t>
      </w:r>
      <w:r w:rsidR="11711DAE" w:rsidRPr="00C835AB">
        <w:rPr>
          <w:rFonts w:ascii="Times New Roman" w:hAnsi="Times New Roman" w:cs="Times New Roman"/>
          <w:color w:val="auto"/>
          <w:sz w:val="24"/>
        </w:rPr>
        <w:t>tego, czy został popełniony czyn zabroniony, czy stanowi on przestępstwo i jakie, czy</w:t>
      </w:r>
      <w:r w:rsidR="00505673">
        <w:rPr>
          <w:rFonts w:ascii="Times New Roman" w:hAnsi="Times New Roman" w:cs="Times New Roman"/>
          <w:color w:val="auto"/>
          <w:sz w:val="24"/>
        </w:rPr>
        <w:t> </w:t>
      </w:r>
      <w:r w:rsidR="11711DAE" w:rsidRPr="00C835AB">
        <w:rPr>
          <w:rFonts w:ascii="Times New Roman" w:hAnsi="Times New Roman" w:cs="Times New Roman"/>
          <w:color w:val="auto"/>
          <w:sz w:val="24"/>
        </w:rPr>
        <w:t>czyn zabroniony został popełniony w warunkach, o których mowa w art. 64</w:t>
      </w:r>
      <w:r w:rsidRPr="00C835AB">
        <w:rPr>
          <w:rFonts w:ascii="Times New Roman" w:hAnsi="Times New Roman" w:cs="Times New Roman"/>
          <w:color w:val="auto"/>
          <w:sz w:val="24"/>
        </w:rPr>
        <w:t xml:space="preserve"> k.k.</w:t>
      </w:r>
      <w:r w:rsidR="11711DAE" w:rsidRPr="00C835AB">
        <w:rPr>
          <w:rFonts w:ascii="Times New Roman" w:hAnsi="Times New Roman" w:cs="Times New Roman"/>
          <w:color w:val="auto"/>
          <w:sz w:val="24"/>
        </w:rPr>
        <w:t xml:space="preserve"> lub 65 k.k., lub czy zachodzą warunki do orzeczenia pobytu w zakładzie psychiatrycznym na</w:t>
      </w:r>
      <w:r w:rsidR="00505673">
        <w:rPr>
          <w:rFonts w:ascii="Times New Roman" w:hAnsi="Times New Roman" w:cs="Times New Roman"/>
          <w:color w:val="auto"/>
          <w:sz w:val="24"/>
        </w:rPr>
        <w:t> </w:t>
      </w:r>
      <w:r w:rsidR="11711DAE" w:rsidRPr="00C835AB">
        <w:rPr>
          <w:rFonts w:ascii="Times New Roman" w:hAnsi="Times New Roman" w:cs="Times New Roman"/>
          <w:color w:val="auto"/>
          <w:sz w:val="24"/>
        </w:rPr>
        <w:t>podstawie art. 93g k.k. W konsekwencji art. 427 § 3a</w:t>
      </w:r>
      <w:r w:rsidR="1C68D664" w:rsidRPr="00C835AB">
        <w:rPr>
          <w:rFonts w:ascii="Times New Roman" w:hAnsi="Times New Roman" w:cs="Times New Roman"/>
          <w:color w:val="auto"/>
          <w:sz w:val="24"/>
        </w:rPr>
        <w:t xml:space="preserve"> </w:t>
      </w:r>
      <w:r w:rsidR="11711DAE" w:rsidRPr="00C835AB">
        <w:rPr>
          <w:rFonts w:ascii="Times New Roman" w:hAnsi="Times New Roman" w:cs="Times New Roman"/>
          <w:color w:val="auto"/>
          <w:sz w:val="24"/>
        </w:rPr>
        <w:t xml:space="preserve">k.p.k. nie stanowi istotnej przeszkody dla podnoszenia zarzutu obrazy art. 167 </w:t>
      </w:r>
      <w:r w:rsidR="008E44D1" w:rsidRPr="00C835AB">
        <w:rPr>
          <w:rFonts w:ascii="Times New Roman" w:hAnsi="Times New Roman" w:cs="Times New Roman"/>
          <w:color w:val="auto"/>
          <w:sz w:val="24"/>
        </w:rPr>
        <w:t xml:space="preserve">k.p.k. </w:t>
      </w:r>
      <w:r w:rsidR="11711DAE" w:rsidRPr="00C835AB">
        <w:rPr>
          <w:rFonts w:ascii="Times New Roman" w:hAnsi="Times New Roman" w:cs="Times New Roman"/>
          <w:color w:val="auto"/>
          <w:sz w:val="24"/>
        </w:rPr>
        <w:t>i art. 366 § 1 k.p.k., gdyż wystarczy sformułowanie zarzutu naruszenia tych przepisów w odniesieniu do tezy dowodowej, która miałaby prowadzić do ustalenia odnoszącego się do tych okoliczności, a którego to dowodu sąd z urzędu nie przeprowadził, by zarzut taki był dopuszczalny.</w:t>
      </w:r>
    </w:p>
    <w:p w14:paraId="34250A02" w14:textId="77777777" w:rsidR="00270BD4" w:rsidRPr="00C835AB" w:rsidRDefault="00270BD4" w:rsidP="00D823D0">
      <w:pPr>
        <w:rPr>
          <w:rFonts w:ascii="Times New Roman" w:hAnsi="Times New Roman" w:cs="Times New Roman"/>
          <w:color w:val="auto"/>
          <w:sz w:val="24"/>
        </w:rPr>
      </w:pPr>
    </w:p>
    <w:p w14:paraId="7CC590AB" w14:textId="3B604EAA" w:rsidR="00C74583" w:rsidRPr="00C835AB" w:rsidRDefault="00C74583" w:rsidP="00D823D0">
      <w:pPr>
        <w:ind w:firstLine="708"/>
        <w:rPr>
          <w:rFonts w:ascii="Times New Roman" w:hAnsi="Times New Roman" w:cs="Times New Roman"/>
          <w:b/>
          <w:color w:val="auto"/>
          <w:sz w:val="24"/>
        </w:rPr>
      </w:pPr>
      <w:r w:rsidRPr="00C835AB">
        <w:rPr>
          <w:rFonts w:ascii="Times New Roman" w:hAnsi="Times New Roman" w:cs="Times New Roman"/>
          <w:b/>
          <w:bCs/>
          <w:color w:val="auto"/>
          <w:sz w:val="24"/>
        </w:rPr>
        <w:t>Art. 445</w:t>
      </w:r>
      <w:r w:rsidR="008E44D1" w:rsidRPr="00C835AB">
        <w:rPr>
          <w:rFonts w:ascii="Times New Roman" w:hAnsi="Times New Roman" w:cs="Times New Roman"/>
          <w:b/>
          <w:bCs/>
          <w:color w:val="auto"/>
          <w:sz w:val="24"/>
        </w:rPr>
        <w:t xml:space="preserve"> § 1a </w:t>
      </w:r>
      <w:r w:rsidR="007D151D" w:rsidRPr="00C835AB">
        <w:rPr>
          <w:rFonts w:ascii="Times New Roman" w:hAnsi="Times New Roman" w:cs="Times New Roman"/>
          <w:b/>
          <w:bCs/>
          <w:color w:val="auto"/>
          <w:sz w:val="24"/>
        </w:rPr>
        <w:t xml:space="preserve">i § 2 </w:t>
      </w:r>
      <w:r w:rsidR="008E44D1" w:rsidRPr="00C835AB">
        <w:rPr>
          <w:rFonts w:ascii="Times New Roman" w:hAnsi="Times New Roman" w:cs="Times New Roman"/>
          <w:b/>
          <w:bCs/>
          <w:color w:val="auto"/>
          <w:sz w:val="24"/>
        </w:rPr>
        <w:t>k.p.k.</w:t>
      </w:r>
    </w:p>
    <w:p w14:paraId="424BE037" w14:textId="55FB9DE1" w:rsidR="00C74583" w:rsidRPr="00C835AB" w:rsidRDefault="00C74583" w:rsidP="00D823D0">
      <w:pPr>
        <w:ind w:firstLine="708"/>
        <w:rPr>
          <w:rFonts w:ascii="Times New Roman" w:hAnsi="Times New Roman" w:cs="Times New Roman"/>
          <w:b/>
          <w:bCs/>
          <w:color w:val="auto"/>
          <w:sz w:val="24"/>
        </w:rPr>
      </w:pPr>
      <w:r w:rsidRPr="00C835AB">
        <w:rPr>
          <w:rFonts w:ascii="Times New Roman" w:hAnsi="Times New Roman" w:cs="Times New Roman"/>
          <w:bCs/>
          <w:color w:val="auto"/>
          <w:sz w:val="24"/>
        </w:rPr>
        <w:t xml:space="preserve">Propozycja nowego </w:t>
      </w:r>
      <w:r w:rsidR="008E44D1" w:rsidRPr="00C835AB">
        <w:rPr>
          <w:rFonts w:ascii="Times New Roman" w:hAnsi="Times New Roman" w:cs="Times New Roman"/>
          <w:bCs/>
          <w:color w:val="auto"/>
          <w:sz w:val="24"/>
        </w:rPr>
        <w:t xml:space="preserve">art. 445 </w:t>
      </w:r>
      <w:r w:rsidRPr="00C835AB">
        <w:rPr>
          <w:rFonts w:ascii="Times New Roman" w:hAnsi="Times New Roman" w:cs="Times New Roman"/>
          <w:bCs/>
          <w:color w:val="auto"/>
          <w:sz w:val="24"/>
        </w:rPr>
        <w:t>§ 1a</w:t>
      </w:r>
      <w:r w:rsidR="008E44D1" w:rsidRPr="00C835AB">
        <w:rPr>
          <w:rFonts w:ascii="Times New Roman" w:hAnsi="Times New Roman" w:cs="Times New Roman"/>
          <w:bCs/>
          <w:color w:val="auto"/>
          <w:sz w:val="24"/>
        </w:rPr>
        <w:t xml:space="preserve"> k.p.k.</w:t>
      </w:r>
      <w:r w:rsidRPr="00C835AB">
        <w:rPr>
          <w:rFonts w:ascii="Times New Roman" w:hAnsi="Times New Roman" w:cs="Times New Roman"/>
          <w:bCs/>
          <w:color w:val="auto"/>
          <w:sz w:val="24"/>
        </w:rPr>
        <w:t xml:space="preserve"> jest wynikiem oceny praktyki sporządzania środka zaskarżenia w procesie karnym, między innymi w sprawach skomplikowanych, wielotomowych i wieloosobowych. W sytuacji przedłużenia, na wniosek sędziego</w:t>
      </w:r>
      <w:r w:rsidR="00B2413F" w:rsidRPr="00C835AB">
        <w:rPr>
          <w:rFonts w:ascii="Times New Roman" w:hAnsi="Times New Roman" w:cs="Times New Roman"/>
          <w:bCs/>
          <w:color w:val="auto"/>
          <w:sz w:val="24"/>
        </w:rPr>
        <w:t>,</w:t>
      </w:r>
      <w:r w:rsidRPr="00C835AB">
        <w:rPr>
          <w:rFonts w:ascii="Times New Roman" w:hAnsi="Times New Roman" w:cs="Times New Roman"/>
          <w:bCs/>
          <w:color w:val="auto"/>
          <w:sz w:val="24"/>
        </w:rPr>
        <w:t xml:space="preserve"> czasu na</w:t>
      </w:r>
      <w:r w:rsidR="00505673">
        <w:rPr>
          <w:rFonts w:ascii="Times New Roman" w:hAnsi="Times New Roman" w:cs="Times New Roman"/>
          <w:bCs/>
          <w:color w:val="auto"/>
          <w:sz w:val="24"/>
        </w:rPr>
        <w:t> </w:t>
      </w:r>
      <w:r w:rsidRPr="00C835AB">
        <w:rPr>
          <w:rFonts w:ascii="Times New Roman" w:hAnsi="Times New Roman" w:cs="Times New Roman"/>
          <w:bCs/>
          <w:color w:val="auto"/>
          <w:sz w:val="24"/>
        </w:rPr>
        <w:t xml:space="preserve">sporządzenie uzasadnienia wyroku, proponuje się, że czas przeznaczony na przygotowanie </w:t>
      </w:r>
      <w:r w:rsidRPr="00C835AB">
        <w:rPr>
          <w:rFonts w:ascii="Times New Roman" w:hAnsi="Times New Roman" w:cs="Times New Roman"/>
          <w:bCs/>
          <w:color w:val="auto"/>
          <w:sz w:val="24"/>
        </w:rPr>
        <w:lastRenderedPageBreak/>
        <w:t>apelacji zostanie również wydłużony dla stron i ich profesjonalnych przedstawicieli i wynosić będzie 30 dni od chwili doręczenia uzasadnienia.</w:t>
      </w:r>
    </w:p>
    <w:p w14:paraId="33F4C91A" w14:textId="77777777" w:rsidR="00B57CC6" w:rsidRDefault="00C74583" w:rsidP="00B57CC6">
      <w:pPr>
        <w:ind w:firstLine="708"/>
        <w:rPr>
          <w:rFonts w:ascii="Times New Roman" w:hAnsi="Times New Roman" w:cs="Times New Roman"/>
          <w:bCs/>
          <w:color w:val="auto"/>
          <w:sz w:val="24"/>
        </w:rPr>
      </w:pPr>
      <w:r w:rsidRPr="00C835AB">
        <w:rPr>
          <w:rFonts w:ascii="Times New Roman" w:hAnsi="Times New Roman" w:cs="Times New Roman"/>
          <w:bCs/>
          <w:color w:val="auto"/>
          <w:sz w:val="24"/>
        </w:rPr>
        <w:t>Przepis stanowi realizację postulatu środowisk prawniczych ostatnich lat, uwzgledniających rzeczywisty nakład pracy w sprawach karnych</w:t>
      </w:r>
      <w:r w:rsidR="00B2413F" w:rsidRPr="00C835AB">
        <w:rPr>
          <w:rFonts w:ascii="Times New Roman" w:hAnsi="Times New Roman" w:cs="Times New Roman"/>
          <w:bCs/>
          <w:color w:val="auto"/>
          <w:sz w:val="24"/>
        </w:rPr>
        <w:t>,</w:t>
      </w:r>
      <w:r w:rsidRPr="00C835AB">
        <w:rPr>
          <w:rFonts w:ascii="Times New Roman" w:hAnsi="Times New Roman" w:cs="Times New Roman"/>
          <w:bCs/>
          <w:color w:val="auto"/>
          <w:sz w:val="24"/>
        </w:rPr>
        <w:t xml:space="preserve"> w tym szczególnie zawiłych. Uwzględniono, że termin 14 dni, zwłaszcza przy wydłużonym czasie dla sądu przygotowującego uzasadnienie, nie gwarantuje w pełni możliwości rzetelnego przygotowania środka zaskarżenia przez stronę lub jej pełnomocnika czy obrońcę. </w:t>
      </w:r>
    </w:p>
    <w:p w14:paraId="73E56DA0" w14:textId="0FE47887" w:rsidR="00C74583" w:rsidRPr="00C835AB" w:rsidRDefault="00B57CC6" w:rsidP="00B57CC6">
      <w:pPr>
        <w:ind w:firstLine="708"/>
        <w:rPr>
          <w:rFonts w:ascii="Times New Roman" w:hAnsi="Times New Roman" w:cs="Times New Roman"/>
          <w:bCs/>
          <w:color w:val="auto"/>
          <w:sz w:val="24"/>
        </w:rPr>
      </w:pPr>
      <w:r>
        <w:rPr>
          <w:rFonts w:ascii="Times New Roman" w:hAnsi="Times New Roman" w:cs="Times New Roman"/>
          <w:bCs/>
          <w:color w:val="auto"/>
          <w:sz w:val="24"/>
        </w:rPr>
        <w:t xml:space="preserve">Zdanie drugie i trzecie projektowanego przepisu </w:t>
      </w:r>
      <w:r w:rsidRPr="008007A1">
        <w:rPr>
          <w:rFonts w:ascii="Times New Roman" w:hAnsi="Times New Roman" w:cs="Times New Roman"/>
          <w:bCs/>
          <w:color w:val="auto"/>
          <w:sz w:val="24"/>
        </w:rPr>
        <w:t>zapewni spójność regulacji procesowych zawartych w K</w:t>
      </w:r>
      <w:r>
        <w:rPr>
          <w:rFonts w:ascii="Times New Roman" w:hAnsi="Times New Roman" w:cs="Times New Roman"/>
          <w:bCs/>
          <w:color w:val="auto"/>
          <w:sz w:val="24"/>
        </w:rPr>
        <w:t>odeksie postępowania karnego</w:t>
      </w:r>
      <w:r w:rsidRPr="008007A1">
        <w:rPr>
          <w:rFonts w:ascii="Times New Roman" w:hAnsi="Times New Roman" w:cs="Times New Roman"/>
          <w:bCs/>
          <w:color w:val="auto"/>
          <w:sz w:val="24"/>
        </w:rPr>
        <w:t xml:space="preserve"> i </w:t>
      </w:r>
      <w:r>
        <w:rPr>
          <w:rFonts w:ascii="Times New Roman" w:hAnsi="Times New Roman" w:cs="Times New Roman"/>
          <w:bCs/>
          <w:color w:val="auto"/>
          <w:sz w:val="24"/>
        </w:rPr>
        <w:t>a</w:t>
      </w:r>
      <w:r w:rsidRPr="00B57CC6">
        <w:rPr>
          <w:rFonts w:ascii="Times New Roman" w:hAnsi="Times New Roman" w:cs="Times New Roman"/>
          <w:bCs/>
          <w:color w:val="auto"/>
          <w:sz w:val="24"/>
        </w:rPr>
        <w:t xml:space="preserve">rt. 369 </w:t>
      </w:r>
      <w:r w:rsidR="00A704D9">
        <w:rPr>
          <w:rFonts w:ascii="Times New Roman" w:hAnsi="Times New Roman" w:cs="Times New Roman"/>
          <w:bCs/>
          <w:color w:val="auto"/>
          <w:sz w:val="24"/>
        </w:rPr>
        <w:t>Kodeksu postępowania cywilnego.</w:t>
      </w:r>
      <w:r>
        <w:rPr>
          <w:rFonts w:ascii="Times New Roman" w:hAnsi="Times New Roman" w:cs="Times New Roman"/>
          <w:bCs/>
          <w:color w:val="auto"/>
          <w:sz w:val="24"/>
        </w:rPr>
        <w:t xml:space="preserve"> Jednocześnie należy zauważyć, że regulacja </w:t>
      </w:r>
      <w:r w:rsidRPr="008007A1">
        <w:rPr>
          <w:rFonts w:ascii="Times New Roman" w:hAnsi="Times New Roman" w:cs="Times New Roman"/>
          <w:bCs/>
          <w:color w:val="auto"/>
          <w:sz w:val="24"/>
        </w:rPr>
        <w:t>zawarta w art. 100 § 8 k.p.k. nie zawsze może być wystarczająca z uwagi na przyjęty powszechnie pogląd, że nie ma potrzeby pouczania o terminach zaskarżenia podmiotów profesjonalnych (vide: uchwała SN z dnia 1 października 2013 r. I KZP 6/13).</w:t>
      </w:r>
    </w:p>
    <w:p w14:paraId="5D0D6AAB" w14:textId="20166C88" w:rsidR="007D151D" w:rsidRPr="00C835AB" w:rsidRDefault="004F61C0" w:rsidP="00D823D0">
      <w:pPr>
        <w:ind w:firstLine="708"/>
        <w:rPr>
          <w:rFonts w:ascii="Times New Roman" w:hAnsi="Times New Roman" w:cs="Times New Roman"/>
          <w:bCs/>
          <w:color w:val="auto"/>
          <w:sz w:val="24"/>
        </w:rPr>
      </w:pPr>
      <w:r w:rsidRPr="00C835AB">
        <w:rPr>
          <w:rFonts w:ascii="Times New Roman" w:hAnsi="Times New Roman" w:cs="Times New Roman"/>
          <w:bCs/>
          <w:color w:val="auto"/>
          <w:sz w:val="24"/>
        </w:rPr>
        <w:t xml:space="preserve">Wydłużenie terminu do sporządzenia apelacji nastąpi również w sytuacji, w której sąd </w:t>
      </w:r>
      <w:r w:rsidR="00FF6D5F" w:rsidRPr="00C835AB">
        <w:rPr>
          <w:rFonts w:ascii="Times New Roman" w:hAnsi="Times New Roman" w:cs="Times New Roman"/>
          <w:bCs/>
          <w:color w:val="auto"/>
          <w:sz w:val="24"/>
        </w:rPr>
        <w:t xml:space="preserve">przed wejściem w życie niniejszej ustawy </w:t>
      </w:r>
      <w:r w:rsidRPr="00C835AB">
        <w:rPr>
          <w:rFonts w:ascii="Times New Roman" w:hAnsi="Times New Roman" w:cs="Times New Roman"/>
          <w:bCs/>
          <w:color w:val="auto"/>
          <w:sz w:val="24"/>
        </w:rPr>
        <w:t>doręczył odpis wyroku wraz z uzasadnieniem w</w:t>
      </w:r>
      <w:r w:rsidR="00A76A6B" w:rsidRPr="00C835AB">
        <w:rPr>
          <w:rFonts w:ascii="Times New Roman" w:hAnsi="Times New Roman" w:cs="Times New Roman"/>
          <w:bCs/>
          <w:color w:val="auto"/>
          <w:sz w:val="24"/>
        </w:rPr>
        <w:t> </w:t>
      </w:r>
      <w:r w:rsidRPr="00C835AB">
        <w:rPr>
          <w:rFonts w:ascii="Times New Roman" w:hAnsi="Times New Roman" w:cs="Times New Roman"/>
          <w:bCs/>
          <w:color w:val="auto"/>
          <w:sz w:val="24"/>
        </w:rPr>
        <w:t>sprawie</w:t>
      </w:r>
      <w:r w:rsidR="00FF6D5F" w:rsidRPr="00C835AB">
        <w:rPr>
          <w:rFonts w:ascii="Times New Roman" w:hAnsi="Times New Roman" w:cs="Times New Roman"/>
          <w:bCs/>
          <w:color w:val="auto"/>
          <w:sz w:val="24"/>
        </w:rPr>
        <w:t xml:space="preserve">, </w:t>
      </w:r>
      <w:r w:rsidRPr="00C835AB">
        <w:rPr>
          <w:rFonts w:ascii="Times New Roman" w:hAnsi="Times New Roman" w:cs="Times New Roman"/>
          <w:bCs/>
          <w:color w:val="auto"/>
          <w:sz w:val="24"/>
        </w:rPr>
        <w:t>w której doszło do przedłużenia terminu do sporządzenia uzasadnienia, a nie upłynął jeszcze</w:t>
      </w:r>
      <w:r w:rsidR="00FF6D5F" w:rsidRPr="00C835AB">
        <w:rPr>
          <w:rFonts w:ascii="Times New Roman" w:hAnsi="Times New Roman" w:cs="Times New Roman"/>
          <w:bCs/>
          <w:color w:val="auto"/>
          <w:sz w:val="24"/>
        </w:rPr>
        <w:t xml:space="preserve"> </w:t>
      </w:r>
      <w:r w:rsidRPr="00C835AB">
        <w:rPr>
          <w:rFonts w:ascii="Times New Roman" w:hAnsi="Times New Roman" w:cs="Times New Roman"/>
          <w:bCs/>
          <w:color w:val="auto"/>
          <w:sz w:val="24"/>
        </w:rPr>
        <w:t>14-dniowy termin do wniesienia apelacji.</w:t>
      </w:r>
      <w:r w:rsidR="00FF6D5F" w:rsidRPr="00C835AB">
        <w:rPr>
          <w:rFonts w:ascii="Times New Roman" w:hAnsi="Times New Roman" w:cs="Times New Roman"/>
          <w:bCs/>
          <w:color w:val="auto"/>
          <w:sz w:val="24"/>
        </w:rPr>
        <w:t xml:space="preserve"> Wynika to z przyjęcia zasady bezpośredniego stosowania ustawy nowej</w:t>
      </w:r>
      <w:r w:rsidR="002D42A5" w:rsidRPr="00C835AB">
        <w:rPr>
          <w:rFonts w:ascii="Times New Roman" w:hAnsi="Times New Roman" w:cs="Times New Roman"/>
          <w:bCs/>
          <w:color w:val="auto"/>
          <w:sz w:val="24"/>
        </w:rPr>
        <w:t>.</w:t>
      </w:r>
      <w:r w:rsidR="00FF6D5F" w:rsidRPr="00C835AB">
        <w:rPr>
          <w:rFonts w:ascii="Times New Roman" w:hAnsi="Times New Roman" w:cs="Times New Roman"/>
          <w:bCs/>
          <w:color w:val="auto"/>
          <w:sz w:val="24"/>
        </w:rPr>
        <w:t xml:space="preserve"> </w:t>
      </w:r>
      <w:r w:rsidR="007D151D" w:rsidRPr="00C835AB">
        <w:rPr>
          <w:rFonts w:ascii="Times New Roman" w:hAnsi="Times New Roman" w:cs="Times New Roman"/>
          <w:bCs/>
          <w:color w:val="auto"/>
          <w:sz w:val="24"/>
        </w:rPr>
        <w:t>Projektowana zmiana art. 445 § 2 k.p.k. ma charakter wynikowy wobec dodanego art.</w:t>
      </w:r>
      <w:r w:rsidR="00A76A6B" w:rsidRPr="00C835AB">
        <w:rPr>
          <w:rFonts w:ascii="Times New Roman" w:hAnsi="Times New Roman" w:cs="Times New Roman"/>
          <w:bCs/>
          <w:color w:val="auto"/>
          <w:sz w:val="24"/>
        </w:rPr>
        <w:t> </w:t>
      </w:r>
      <w:r w:rsidR="007D151D" w:rsidRPr="00C835AB">
        <w:rPr>
          <w:rFonts w:ascii="Times New Roman" w:hAnsi="Times New Roman" w:cs="Times New Roman"/>
          <w:bCs/>
          <w:color w:val="auto"/>
          <w:sz w:val="24"/>
        </w:rPr>
        <w:t xml:space="preserve">445 § 1a k.p.k. </w:t>
      </w:r>
    </w:p>
    <w:p w14:paraId="2E968745" w14:textId="77777777" w:rsidR="00C74583" w:rsidRPr="00C835AB" w:rsidRDefault="00C74583" w:rsidP="00D823D0">
      <w:pPr>
        <w:ind w:firstLine="708"/>
        <w:rPr>
          <w:rFonts w:ascii="Times New Roman" w:hAnsi="Times New Roman" w:cs="Times New Roman"/>
          <w:bCs/>
          <w:color w:val="auto"/>
          <w:sz w:val="24"/>
        </w:rPr>
      </w:pPr>
    </w:p>
    <w:p w14:paraId="18C3A2A2" w14:textId="283BD05A" w:rsidR="3A66648A" w:rsidRPr="00C835AB" w:rsidRDefault="3A66648A"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 xml:space="preserve"> </w:t>
      </w:r>
      <w:r w:rsidR="00270BD4" w:rsidRPr="00C835AB">
        <w:rPr>
          <w:rFonts w:ascii="Times New Roman" w:hAnsi="Times New Roman" w:cs="Times New Roman"/>
          <w:b/>
          <w:bCs/>
          <w:color w:val="auto"/>
          <w:sz w:val="24"/>
        </w:rPr>
        <w:t>Art.</w:t>
      </w:r>
      <w:r w:rsidRPr="00C835AB">
        <w:rPr>
          <w:rFonts w:ascii="Times New Roman" w:hAnsi="Times New Roman" w:cs="Times New Roman"/>
          <w:b/>
          <w:bCs/>
          <w:color w:val="auto"/>
          <w:sz w:val="24"/>
        </w:rPr>
        <w:t xml:space="preserve"> 452 § 2 </w:t>
      </w:r>
      <w:r w:rsidR="00270BD4" w:rsidRPr="00C835AB">
        <w:rPr>
          <w:rFonts w:ascii="Times New Roman" w:hAnsi="Times New Roman" w:cs="Times New Roman"/>
          <w:b/>
          <w:bCs/>
          <w:color w:val="auto"/>
          <w:sz w:val="24"/>
        </w:rPr>
        <w:t>i</w:t>
      </w:r>
      <w:r w:rsidRPr="00C835AB">
        <w:rPr>
          <w:rFonts w:ascii="Times New Roman" w:hAnsi="Times New Roman" w:cs="Times New Roman"/>
          <w:b/>
          <w:bCs/>
          <w:color w:val="auto"/>
          <w:sz w:val="24"/>
        </w:rPr>
        <w:t xml:space="preserve"> </w:t>
      </w:r>
      <w:r w:rsidR="006A278E" w:rsidRPr="00C835AB">
        <w:rPr>
          <w:rFonts w:ascii="Times New Roman" w:hAnsi="Times New Roman" w:cs="Times New Roman"/>
          <w:b/>
          <w:bCs/>
          <w:color w:val="auto"/>
          <w:sz w:val="24"/>
        </w:rPr>
        <w:t xml:space="preserve">§ </w:t>
      </w:r>
      <w:r w:rsidRPr="00C835AB">
        <w:rPr>
          <w:rFonts w:ascii="Times New Roman" w:hAnsi="Times New Roman" w:cs="Times New Roman"/>
          <w:b/>
          <w:bCs/>
          <w:color w:val="auto"/>
          <w:sz w:val="24"/>
        </w:rPr>
        <w:t>3</w:t>
      </w:r>
      <w:r w:rsidR="008E44D1" w:rsidRPr="00C835AB">
        <w:rPr>
          <w:rFonts w:ascii="Times New Roman" w:hAnsi="Times New Roman" w:cs="Times New Roman"/>
          <w:b/>
          <w:bCs/>
          <w:color w:val="auto"/>
          <w:sz w:val="24"/>
        </w:rPr>
        <w:t xml:space="preserve"> k.p.k.</w:t>
      </w:r>
    </w:p>
    <w:p w14:paraId="147FC036" w14:textId="73070D9D" w:rsidR="3A66648A" w:rsidRPr="00C835AB" w:rsidRDefault="3A66648A"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Proponowana zmiana art. 452 § 2</w:t>
      </w:r>
      <w:r w:rsidR="00270BD4" w:rsidRPr="00C835AB">
        <w:rPr>
          <w:rFonts w:ascii="Times New Roman" w:hAnsi="Times New Roman" w:cs="Times New Roman"/>
          <w:color w:val="auto"/>
          <w:sz w:val="24"/>
        </w:rPr>
        <w:t xml:space="preserve"> k.p.k.</w:t>
      </w:r>
      <w:r w:rsidRPr="00C835AB">
        <w:rPr>
          <w:rFonts w:ascii="Times New Roman" w:hAnsi="Times New Roman" w:cs="Times New Roman"/>
          <w:color w:val="auto"/>
          <w:sz w:val="24"/>
        </w:rPr>
        <w:t xml:space="preserve"> ma na celu powrócenie do treści tego przepisu nadanego </w:t>
      </w:r>
      <w:r w:rsidR="001F698E" w:rsidRPr="00C835AB">
        <w:rPr>
          <w:rFonts w:ascii="Times New Roman" w:hAnsi="Times New Roman" w:cs="Times New Roman"/>
          <w:color w:val="auto"/>
          <w:sz w:val="24"/>
        </w:rPr>
        <w:t>na mocy ustawy z dnia 11 marca</w:t>
      </w:r>
      <w:r w:rsidRPr="00C835AB">
        <w:rPr>
          <w:rFonts w:ascii="Times New Roman" w:hAnsi="Times New Roman" w:cs="Times New Roman"/>
          <w:color w:val="auto"/>
          <w:sz w:val="24"/>
        </w:rPr>
        <w:t xml:space="preserve"> z 2016</w:t>
      </w:r>
      <w:r w:rsidR="00B2413F" w:rsidRPr="00C835AB">
        <w:rPr>
          <w:rFonts w:ascii="Times New Roman" w:hAnsi="Times New Roman" w:cs="Times New Roman"/>
          <w:color w:val="auto"/>
          <w:sz w:val="24"/>
        </w:rPr>
        <w:t xml:space="preserve"> r.</w:t>
      </w:r>
      <w:r w:rsidRPr="00C835AB">
        <w:rPr>
          <w:rFonts w:ascii="Times New Roman" w:hAnsi="Times New Roman" w:cs="Times New Roman"/>
          <w:color w:val="auto"/>
          <w:sz w:val="24"/>
        </w:rPr>
        <w:t xml:space="preserve">, a tym samym ograniczyć katalog przesłanek oddalenia wniosku dowodowego przez sąd odwoławczy, który został poszerzony </w:t>
      </w:r>
      <w:r w:rsidR="007D151D" w:rsidRPr="00C835AB">
        <w:rPr>
          <w:rFonts w:ascii="Times New Roman" w:hAnsi="Times New Roman" w:cs="Times New Roman"/>
          <w:color w:val="auto"/>
          <w:sz w:val="24"/>
        </w:rPr>
        <w:t xml:space="preserve">ustawą z dnia 19 lipca 2019 r. </w:t>
      </w:r>
      <w:r w:rsidRPr="00C835AB">
        <w:rPr>
          <w:rFonts w:ascii="Times New Roman" w:hAnsi="Times New Roman" w:cs="Times New Roman"/>
          <w:color w:val="auto"/>
          <w:sz w:val="24"/>
        </w:rPr>
        <w:t xml:space="preserve">W brzmieniu obowiązującym od </w:t>
      </w:r>
      <w:r w:rsidR="00D860B2" w:rsidRPr="00C835AB">
        <w:rPr>
          <w:rFonts w:ascii="Times New Roman" w:hAnsi="Times New Roman" w:cs="Times New Roman"/>
          <w:color w:val="auto"/>
          <w:sz w:val="24"/>
        </w:rPr>
        <w:t xml:space="preserve">dnia </w:t>
      </w:r>
      <w:r w:rsidRPr="00C835AB">
        <w:rPr>
          <w:rFonts w:ascii="Times New Roman" w:hAnsi="Times New Roman" w:cs="Times New Roman"/>
          <w:color w:val="auto"/>
          <w:sz w:val="24"/>
        </w:rPr>
        <w:t xml:space="preserve">15 kwietnia 2016 r., przepis art. 452 § 2 </w:t>
      </w:r>
      <w:r w:rsidR="00270BD4" w:rsidRPr="00C835AB">
        <w:rPr>
          <w:rFonts w:ascii="Times New Roman" w:hAnsi="Times New Roman" w:cs="Times New Roman"/>
          <w:color w:val="auto"/>
          <w:sz w:val="24"/>
        </w:rPr>
        <w:t xml:space="preserve">k.p.k. </w:t>
      </w:r>
      <w:r w:rsidRPr="00C835AB">
        <w:rPr>
          <w:rFonts w:ascii="Times New Roman" w:hAnsi="Times New Roman" w:cs="Times New Roman"/>
          <w:color w:val="auto"/>
          <w:sz w:val="24"/>
        </w:rPr>
        <w:t>stanowił samodzielną podstawę oddalenia wniosku dowodowego, jeżeli przeprowadzenie dowodu przez sąd odwoławczy byłoby niecelowe z przyczyn określonych w</w:t>
      </w:r>
      <w:r w:rsidR="00A76A6B" w:rsidRPr="00C835AB">
        <w:rPr>
          <w:rFonts w:ascii="Times New Roman" w:hAnsi="Times New Roman" w:cs="Times New Roman"/>
          <w:color w:val="auto"/>
          <w:sz w:val="24"/>
        </w:rPr>
        <w:t> </w:t>
      </w:r>
      <w:r w:rsidRPr="00C835AB">
        <w:rPr>
          <w:rFonts w:ascii="Times New Roman" w:hAnsi="Times New Roman" w:cs="Times New Roman"/>
          <w:color w:val="auto"/>
          <w:sz w:val="24"/>
        </w:rPr>
        <w:t>art. 437 § 2 zd</w:t>
      </w:r>
      <w:r w:rsidR="00497C14" w:rsidRPr="00C835AB">
        <w:rPr>
          <w:rFonts w:ascii="Times New Roman" w:hAnsi="Times New Roman" w:cs="Times New Roman"/>
          <w:color w:val="auto"/>
          <w:sz w:val="24"/>
        </w:rPr>
        <w:t>anie</w:t>
      </w:r>
      <w:r w:rsidRPr="00C835AB">
        <w:rPr>
          <w:rFonts w:ascii="Times New Roman" w:hAnsi="Times New Roman" w:cs="Times New Roman"/>
          <w:color w:val="auto"/>
          <w:sz w:val="24"/>
        </w:rPr>
        <w:t xml:space="preserve"> drugie k.p.k. Odwołanie się do treści art. 437 § 2 </w:t>
      </w:r>
      <w:r w:rsidR="00270BD4" w:rsidRPr="00C835AB">
        <w:rPr>
          <w:rFonts w:ascii="Times New Roman" w:hAnsi="Times New Roman" w:cs="Times New Roman"/>
          <w:color w:val="auto"/>
          <w:sz w:val="24"/>
        </w:rPr>
        <w:t>zd</w:t>
      </w:r>
      <w:r w:rsidR="00497C14" w:rsidRPr="00C835AB">
        <w:rPr>
          <w:rFonts w:ascii="Times New Roman" w:hAnsi="Times New Roman" w:cs="Times New Roman"/>
          <w:color w:val="auto"/>
          <w:sz w:val="24"/>
        </w:rPr>
        <w:t>anie</w:t>
      </w:r>
      <w:r w:rsidRPr="00C835AB">
        <w:rPr>
          <w:rFonts w:ascii="Times New Roman" w:hAnsi="Times New Roman" w:cs="Times New Roman"/>
          <w:color w:val="auto"/>
          <w:sz w:val="24"/>
        </w:rPr>
        <w:t xml:space="preserve"> drugie k.p.k. oznaczało, że podstawy uchylenia orzeczenia i przekazania sprawy do ponownego rozpoznania stanowią także podstawy oddalenia wniosku dowodowego w instancji odwoławczej.</w:t>
      </w:r>
    </w:p>
    <w:p w14:paraId="6EC19703" w14:textId="4F669647" w:rsidR="0037634E" w:rsidRPr="00C835AB" w:rsidRDefault="00E4389E"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Zastrzeżenia co do prekluzji dowodowej opisane przy omawianiu proponowanych zmiany do art. 170 k.p.k. pozostają aktualne. </w:t>
      </w:r>
      <w:r w:rsidR="3A66648A" w:rsidRPr="00C835AB">
        <w:rPr>
          <w:rFonts w:ascii="Times New Roman" w:hAnsi="Times New Roman" w:cs="Times New Roman"/>
          <w:color w:val="auto"/>
          <w:sz w:val="24"/>
        </w:rPr>
        <w:t xml:space="preserve">Rezygnacja z prekluzji dowodowej w art. 452 § 2 pkt 2 </w:t>
      </w:r>
      <w:r w:rsidR="00270BD4" w:rsidRPr="00C835AB">
        <w:rPr>
          <w:rFonts w:ascii="Times New Roman" w:hAnsi="Times New Roman" w:cs="Times New Roman"/>
          <w:color w:val="auto"/>
          <w:sz w:val="24"/>
        </w:rPr>
        <w:t xml:space="preserve">k.p.k. </w:t>
      </w:r>
      <w:r w:rsidR="3A66648A" w:rsidRPr="00C835AB">
        <w:rPr>
          <w:rFonts w:ascii="Times New Roman" w:hAnsi="Times New Roman" w:cs="Times New Roman"/>
          <w:color w:val="auto"/>
          <w:sz w:val="24"/>
        </w:rPr>
        <w:t>rodzi koni</w:t>
      </w:r>
      <w:r w:rsidR="00B2413F" w:rsidRPr="00C835AB">
        <w:rPr>
          <w:rFonts w:ascii="Times New Roman" w:hAnsi="Times New Roman" w:cs="Times New Roman"/>
          <w:color w:val="auto"/>
          <w:sz w:val="24"/>
        </w:rPr>
        <w:t>e</w:t>
      </w:r>
      <w:r w:rsidR="3A66648A" w:rsidRPr="00C835AB">
        <w:rPr>
          <w:rFonts w:ascii="Times New Roman" w:hAnsi="Times New Roman" w:cs="Times New Roman"/>
          <w:color w:val="auto"/>
          <w:sz w:val="24"/>
        </w:rPr>
        <w:t xml:space="preserve">czność uchylenia art. 452 § 3 k.p.k. który określa wyjątki od niej. Chodzi tu o wnioski dowodowe składane w instancji odwoławczej co do dowodu, który nie był </w:t>
      </w:r>
      <w:r w:rsidR="3A66648A" w:rsidRPr="00C835AB">
        <w:rPr>
          <w:rFonts w:ascii="Times New Roman" w:hAnsi="Times New Roman" w:cs="Times New Roman"/>
          <w:color w:val="auto"/>
          <w:sz w:val="24"/>
        </w:rPr>
        <w:lastRenderedPageBreak/>
        <w:t xml:space="preserve">powołany przed sądem pierwszej instancji, pomimo że składający wniosek mógł go wówczas powołać, oraz o fakty, niebędące przedmiotem postępowania przed tym sądem, gdy składający wniosek mógł je wówczas wskazać, gdy fakty lub dowody dotyczą tego, czy został popełniony czyn zabroniony, czy stanowi on przestępstwo i jakie, czy czyn zabroniony został popełniony w warunkach, o których mowa w art. 64 </w:t>
      </w:r>
      <w:r w:rsidR="00497C14" w:rsidRPr="00C835AB">
        <w:rPr>
          <w:rFonts w:ascii="Times New Roman" w:hAnsi="Times New Roman" w:cs="Times New Roman"/>
          <w:color w:val="auto"/>
          <w:sz w:val="24"/>
        </w:rPr>
        <w:t xml:space="preserve">k.k. </w:t>
      </w:r>
      <w:r w:rsidR="3A66648A" w:rsidRPr="00C835AB">
        <w:rPr>
          <w:rFonts w:ascii="Times New Roman" w:hAnsi="Times New Roman" w:cs="Times New Roman"/>
          <w:color w:val="auto"/>
          <w:sz w:val="24"/>
        </w:rPr>
        <w:t>lub 65 k.k., lub czy zachodzą warunki do</w:t>
      </w:r>
      <w:r w:rsidR="00505673">
        <w:rPr>
          <w:rFonts w:ascii="Times New Roman" w:hAnsi="Times New Roman" w:cs="Times New Roman"/>
          <w:color w:val="auto"/>
          <w:sz w:val="24"/>
        </w:rPr>
        <w:t> </w:t>
      </w:r>
      <w:r w:rsidR="3A66648A" w:rsidRPr="00C835AB">
        <w:rPr>
          <w:rFonts w:ascii="Times New Roman" w:hAnsi="Times New Roman" w:cs="Times New Roman"/>
          <w:color w:val="auto"/>
          <w:sz w:val="24"/>
        </w:rPr>
        <w:t>orzeczenia pobytu w zakładzie psychiatrycznym na podstawie art. 93g k.k.</w:t>
      </w:r>
    </w:p>
    <w:p w14:paraId="32986ED8" w14:textId="77777777" w:rsidR="00CB0CD6" w:rsidRPr="00C835AB" w:rsidRDefault="00CB0CD6" w:rsidP="00D823D0">
      <w:pPr>
        <w:rPr>
          <w:rFonts w:ascii="Times New Roman" w:hAnsi="Times New Roman" w:cs="Times New Roman"/>
          <w:color w:val="auto"/>
          <w:sz w:val="24"/>
        </w:rPr>
      </w:pPr>
    </w:p>
    <w:p w14:paraId="2150D027" w14:textId="5DADABF7" w:rsidR="00C572CA" w:rsidRPr="00C835AB" w:rsidRDefault="00C572CA"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Art. 454</w:t>
      </w:r>
      <w:r w:rsidR="00243DAF" w:rsidRPr="00C835AB">
        <w:rPr>
          <w:rFonts w:ascii="Times New Roman" w:hAnsi="Times New Roman" w:cs="Times New Roman"/>
          <w:b/>
          <w:bCs/>
          <w:color w:val="auto"/>
          <w:sz w:val="24"/>
        </w:rPr>
        <w:t xml:space="preserve"> § 1 i § 1a k.p.k.</w:t>
      </w:r>
    </w:p>
    <w:p w14:paraId="344E23E3" w14:textId="6789AB28" w:rsidR="00C572CA" w:rsidRPr="00C835AB" w:rsidRDefault="002E7486"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Projektowana</w:t>
      </w:r>
      <w:r w:rsidR="00C572CA" w:rsidRPr="00C835AB">
        <w:rPr>
          <w:rFonts w:ascii="Times New Roman" w:hAnsi="Times New Roman" w:cs="Times New Roman"/>
          <w:color w:val="auto"/>
          <w:sz w:val="24"/>
        </w:rPr>
        <w:t xml:space="preserve"> redakcja </w:t>
      </w:r>
      <w:r w:rsidR="00243DAF" w:rsidRPr="00C835AB">
        <w:rPr>
          <w:rFonts w:ascii="Times New Roman" w:hAnsi="Times New Roman" w:cs="Times New Roman"/>
          <w:color w:val="auto"/>
          <w:sz w:val="24"/>
        </w:rPr>
        <w:t xml:space="preserve">art. 454 </w:t>
      </w:r>
      <w:r w:rsidR="00C572CA" w:rsidRPr="00C835AB">
        <w:rPr>
          <w:rFonts w:ascii="Times New Roman" w:hAnsi="Times New Roman" w:cs="Times New Roman"/>
          <w:color w:val="auto"/>
          <w:sz w:val="24"/>
        </w:rPr>
        <w:t>§ 1</w:t>
      </w:r>
      <w:r w:rsidR="00243DAF" w:rsidRPr="00C835AB">
        <w:rPr>
          <w:rFonts w:ascii="Times New Roman" w:hAnsi="Times New Roman" w:cs="Times New Roman"/>
          <w:color w:val="auto"/>
          <w:sz w:val="24"/>
        </w:rPr>
        <w:t xml:space="preserve"> k.p.k. </w:t>
      </w:r>
      <w:r w:rsidR="00C572CA" w:rsidRPr="00C835AB">
        <w:rPr>
          <w:rFonts w:ascii="Times New Roman" w:hAnsi="Times New Roman" w:cs="Times New Roman"/>
          <w:color w:val="auto"/>
          <w:sz w:val="24"/>
        </w:rPr>
        <w:t xml:space="preserve">i </w:t>
      </w:r>
      <w:r w:rsidR="00243DAF" w:rsidRPr="00C835AB">
        <w:rPr>
          <w:rFonts w:ascii="Times New Roman" w:hAnsi="Times New Roman" w:cs="Times New Roman"/>
          <w:color w:val="auto"/>
          <w:sz w:val="24"/>
        </w:rPr>
        <w:t>dodanie § 1a tego przepisu</w:t>
      </w:r>
      <w:r w:rsidR="00C572CA" w:rsidRPr="00C835AB">
        <w:rPr>
          <w:rFonts w:ascii="Times New Roman" w:hAnsi="Times New Roman" w:cs="Times New Roman"/>
          <w:color w:val="auto"/>
          <w:sz w:val="24"/>
        </w:rPr>
        <w:t xml:space="preserve"> jest w istocie powrotem do ich brzmienia sprzed nowelizacji </w:t>
      </w:r>
      <w:r w:rsidR="00E140B9" w:rsidRPr="00C835AB">
        <w:rPr>
          <w:rFonts w:ascii="Times New Roman" w:hAnsi="Times New Roman" w:cs="Times New Roman"/>
          <w:color w:val="auto"/>
          <w:sz w:val="24"/>
        </w:rPr>
        <w:t>na mocy ustawy z</w:t>
      </w:r>
      <w:r w:rsidR="00C572CA" w:rsidRPr="00C835AB">
        <w:rPr>
          <w:rFonts w:ascii="Times New Roman" w:hAnsi="Times New Roman" w:cs="Times New Roman"/>
          <w:color w:val="auto"/>
          <w:sz w:val="24"/>
        </w:rPr>
        <w:t xml:space="preserve"> </w:t>
      </w:r>
      <w:r w:rsidR="00CF61BA" w:rsidRPr="00C835AB">
        <w:rPr>
          <w:rFonts w:ascii="Times New Roman" w:hAnsi="Times New Roman" w:cs="Times New Roman"/>
          <w:color w:val="auto"/>
          <w:sz w:val="24"/>
        </w:rPr>
        <w:t xml:space="preserve">dnia </w:t>
      </w:r>
      <w:r w:rsidR="00C572CA" w:rsidRPr="00C835AB">
        <w:rPr>
          <w:rFonts w:ascii="Times New Roman" w:hAnsi="Times New Roman" w:cs="Times New Roman"/>
          <w:color w:val="auto"/>
          <w:sz w:val="24"/>
        </w:rPr>
        <w:t>19 lipca 2019 r., któr</w:t>
      </w:r>
      <w:r w:rsidR="00B2413F" w:rsidRPr="00C835AB">
        <w:rPr>
          <w:rFonts w:ascii="Times New Roman" w:hAnsi="Times New Roman" w:cs="Times New Roman"/>
          <w:color w:val="auto"/>
          <w:sz w:val="24"/>
        </w:rPr>
        <w:t>a</w:t>
      </w:r>
      <w:r w:rsidR="00C572CA" w:rsidRPr="00C835AB">
        <w:rPr>
          <w:rFonts w:ascii="Times New Roman" w:hAnsi="Times New Roman" w:cs="Times New Roman"/>
          <w:color w:val="auto"/>
          <w:sz w:val="24"/>
        </w:rPr>
        <w:t xml:space="preserve"> zawęziła regułę </w:t>
      </w:r>
      <w:proofErr w:type="spellStart"/>
      <w:r w:rsidR="00C572CA" w:rsidRPr="00C835AB">
        <w:rPr>
          <w:rFonts w:ascii="Times New Roman" w:hAnsi="Times New Roman" w:cs="Times New Roman"/>
          <w:color w:val="auto"/>
          <w:sz w:val="24"/>
        </w:rPr>
        <w:t>ne</w:t>
      </w:r>
      <w:proofErr w:type="spellEnd"/>
      <w:r w:rsidR="00C572CA" w:rsidRPr="00C835AB">
        <w:rPr>
          <w:rFonts w:ascii="Times New Roman" w:hAnsi="Times New Roman" w:cs="Times New Roman"/>
          <w:color w:val="auto"/>
          <w:sz w:val="24"/>
        </w:rPr>
        <w:t xml:space="preserve"> </w:t>
      </w:r>
      <w:proofErr w:type="spellStart"/>
      <w:r w:rsidR="00C572CA" w:rsidRPr="00C835AB">
        <w:rPr>
          <w:rFonts w:ascii="Times New Roman" w:hAnsi="Times New Roman" w:cs="Times New Roman"/>
          <w:color w:val="auto"/>
          <w:sz w:val="24"/>
        </w:rPr>
        <w:t>peuis</w:t>
      </w:r>
      <w:proofErr w:type="spellEnd"/>
      <w:r w:rsidR="00C572CA" w:rsidRPr="00C835AB">
        <w:rPr>
          <w:rFonts w:ascii="Times New Roman" w:hAnsi="Times New Roman" w:cs="Times New Roman"/>
          <w:color w:val="auto"/>
          <w:sz w:val="24"/>
        </w:rPr>
        <w:t xml:space="preserve"> przewidując możliwość skazania przez sąd drugiej instancji zarówno w przypadku zaskarżenia wyroku warunkowo umarzającego</w:t>
      </w:r>
      <w:r w:rsidR="00B2413F" w:rsidRPr="00C835AB">
        <w:rPr>
          <w:rFonts w:ascii="Times New Roman" w:hAnsi="Times New Roman" w:cs="Times New Roman"/>
          <w:color w:val="auto"/>
          <w:sz w:val="24"/>
        </w:rPr>
        <w:t>,</w:t>
      </w:r>
      <w:r w:rsidR="00C572CA" w:rsidRPr="00C835AB">
        <w:rPr>
          <w:rFonts w:ascii="Times New Roman" w:hAnsi="Times New Roman" w:cs="Times New Roman"/>
          <w:color w:val="auto"/>
          <w:sz w:val="24"/>
        </w:rPr>
        <w:t xml:space="preserve"> jak i wymierzenie przez ten sąd kary dożywotniego pozbawienia wolności na wniosek zawarty w apelacji. Wobec potrzeby poszanowania zasad dwuinstancyjności oraz zasady ograniczenia sądu odwoławczego w</w:t>
      </w:r>
      <w:r w:rsidR="00A76A6B" w:rsidRPr="00C835AB">
        <w:rPr>
          <w:rFonts w:ascii="Times New Roman" w:hAnsi="Times New Roman" w:cs="Times New Roman"/>
          <w:color w:val="auto"/>
          <w:sz w:val="24"/>
        </w:rPr>
        <w:t> </w:t>
      </w:r>
      <w:r w:rsidR="00C572CA" w:rsidRPr="00C835AB">
        <w:rPr>
          <w:rFonts w:ascii="Times New Roman" w:hAnsi="Times New Roman" w:cs="Times New Roman"/>
          <w:color w:val="auto"/>
          <w:sz w:val="24"/>
        </w:rPr>
        <w:t xml:space="preserve">zakresie orzekania </w:t>
      </w:r>
      <w:proofErr w:type="spellStart"/>
      <w:r w:rsidR="00C572CA" w:rsidRPr="00C835AB">
        <w:rPr>
          <w:rFonts w:ascii="Times New Roman" w:hAnsi="Times New Roman" w:cs="Times New Roman"/>
          <w:color w:val="auto"/>
          <w:sz w:val="24"/>
        </w:rPr>
        <w:t>reformatoryjnego</w:t>
      </w:r>
      <w:proofErr w:type="spellEnd"/>
      <w:r w:rsidR="00C572CA" w:rsidRPr="00C835AB">
        <w:rPr>
          <w:rFonts w:ascii="Times New Roman" w:hAnsi="Times New Roman" w:cs="Times New Roman"/>
          <w:color w:val="auto"/>
          <w:sz w:val="24"/>
        </w:rPr>
        <w:t xml:space="preserve"> w przypadku wniesienia środka odwoławczego na</w:t>
      </w:r>
      <w:r w:rsidR="00505673">
        <w:rPr>
          <w:rFonts w:ascii="Times New Roman" w:hAnsi="Times New Roman" w:cs="Times New Roman"/>
          <w:color w:val="auto"/>
          <w:sz w:val="24"/>
        </w:rPr>
        <w:t> </w:t>
      </w:r>
      <w:r w:rsidR="00C572CA" w:rsidRPr="00C835AB">
        <w:rPr>
          <w:rFonts w:ascii="Times New Roman" w:hAnsi="Times New Roman" w:cs="Times New Roman"/>
          <w:color w:val="auto"/>
          <w:sz w:val="24"/>
        </w:rPr>
        <w:t xml:space="preserve">niekorzyść oskarżonego, obowiązujące obecnie przepisy jawią się jako sprzeczne z regułą </w:t>
      </w:r>
      <w:proofErr w:type="spellStart"/>
      <w:r w:rsidR="00C572CA" w:rsidRPr="00C835AB">
        <w:rPr>
          <w:rFonts w:ascii="Times New Roman" w:hAnsi="Times New Roman" w:cs="Times New Roman"/>
          <w:color w:val="auto"/>
          <w:sz w:val="24"/>
        </w:rPr>
        <w:t>ne</w:t>
      </w:r>
      <w:proofErr w:type="spellEnd"/>
      <w:r w:rsidR="00C572CA" w:rsidRPr="00C835AB">
        <w:rPr>
          <w:rFonts w:ascii="Times New Roman" w:hAnsi="Times New Roman" w:cs="Times New Roman"/>
          <w:color w:val="auto"/>
          <w:sz w:val="24"/>
        </w:rPr>
        <w:t xml:space="preserve"> </w:t>
      </w:r>
      <w:proofErr w:type="spellStart"/>
      <w:r w:rsidR="00C572CA" w:rsidRPr="00C835AB">
        <w:rPr>
          <w:rFonts w:ascii="Times New Roman" w:hAnsi="Times New Roman" w:cs="Times New Roman"/>
          <w:color w:val="auto"/>
          <w:sz w:val="24"/>
        </w:rPr>
        <w:t>peuis</w:t>
      </w:r>
      <w:proofErr w:type="spellEnd"/>
      <w:r w:rsidR="00C572CA" w:rsidRPr="00C835AB">
        <w:rPr>
          <w:rFonts w:ascii="Times New Roman" w:hAnsi="Times New Roman" w:cs="Times New Roman"/>
          <w:i/>
          <w:iCs/>
          <w:color w:val="auto"/>
          <w:sz w:val="24"/>
        </w:rPr>
        <w:t>.</w:t>
      </w:r>
      <w:r w:rsidR="00C572CA" w:rsidRPr="00C835AB">
        <w:rPr>
          <w:rFonts w:ascii="Times New Roman" w:hAnsi="Times New Roman" w:cs="Times New Roman"/>
          <w:color w:val="auto"/>
          <w:sz w:val="24"/>
        </w:rPr>
        <w:t xml:space="preserve"> W przypadku wyroku warunkowo umarzającego postępowanie, niebędącego skazaniem, który bywa często efektem porozumienia między oskarżonym a oskarżycielem, zaskarżenie rozstrzygnięcia i orzeczenie skazujące przez sąd odwoławczy jest przejawem swoistej nielojalności państwa wobec obywatela i odstąpienia od poczynionych ustaleń</w:t>
      </w:r>
      <w:r w:rsidR="00B2413F" w:rsidRPr="00C835AB">
        <w:rPr>
          <w:rFonts w:ascii="Times New Roman" w:hAnsi="Times New Roman" w:cs="Times New Roman"/>
          <w:color w:val="auto"/>
          <w:sz w:val="24"/>
        </w:rPr>
        <w:t>,</w:t>
      </w:r>
      <w:r w:rsidR="00C572CA" w:rsidRPr="00C835AB">
        <w:rPr>
          <w:rFonts w:ascii="Times New Roman" w:hAnsi="Times New Roman" w:cs="Times New Roman"/>
          <w:color w:val="auto"/>
          <w:sz w:val="24"/>
        </w:rPr>
        <w:t xml:space="preserve"> w</w:t>
      </w:r>
      <w:r w:rsidR="00505673">
        <w:rPr>
          <w:rFonts w:ascii="Times New Roman" w:hAnsi="Times New Roman" w:cs="Times New Roman"/>
          <w:color w:val="auto"/>
          <w:sz w:val="24"/>
        </w:rPr>
        <w:t> </w:t>
      </w:r>
      <w:r w:rsidR="00C572CA" w:rsidRPr="00C835AB">
        <w:rPr>
          <w:rFonts w:ascii="Times New Roman" w:hAnsi="Times New Roman" w:cs="Times New Roman"/>
          <w:color w:val="auto"/>
          <w:sz w:val="24"/>
        </w:rPr>
        <w:t>tym</w:t>
      </w:r>
      <w:r w:rsidR="00505673">
        <w:rPr>
          <w:rFonts w:ascii="Times New Roman" w:hAnsi="Times New Roman" w:cs="Times New Roman"/>
          <w:color w:val="auto"/>
          <w:sz w:val="24"/>
        </w:rPr>
        <w:t> </w:t>
      </w:r>
      <w:r w:rsidR="00C572CA" w:rsidRPr="00C835AB">
        <w:rPr>
          <w:rFonts w:ascii="Times New Roman" w:hAnsi="Times New Roman" w:cs="Times New Roman"/>
          <w:color w:val="auto"/>
          <w:sz w:val="24"/>
        </w:rPr>
        <w:t xml:space="preserve">np. naprawienia szkody. Jednocześnie regulacja taka wyklucza możliwość kontroli instancyjnej skazania. </w:t>
      </w:r>
      <w:r w:rsidR="00016111" w:rsidRPr="00C835AB">
        <w:rPr>
          <w:rFonts w:ascii="Times New Roman" w:hAnsi="Times New Roman" w:cs="Times New Roman"/>
          <w:color w:val="auto"/>
          <w:sz w:val="24"/>
        </w:rPr>
        <w:t>Dalsze u</w:t>
      </w:r>
      <w:r w:rsidR="00C572CA" w:rsidRPr="00C835AB">
        <w:rPr>
          <w:rFonts w:ascii="Times New Roman" w:hAnsi="Times New Roman" w:cs="Times New Roman"/>
          <w:color w:val="auto"/>
          <w:sz w:val="24"/>
        </w:rPr>
        <w:t>trzymanie przepisu w tym brzmieniu godzić będzie w gwarancje procesowe oskarżonego</w:t>
      </w:r>
      <w:r w:rsidR="00B2413F" w:rsidRPr="00C835AB">
        <w:rPr>
          <w:rFonts w:ascii="Times New Roman" w:hAnsi="Times New Roman" w:cs="Times New Roman"/>
          <w:color w:val="auto"/>
          <w:sz w:val="24"/>
        </w:rPr>
        <w:t>,</w:t>
      </w:r>
      <w:r w:rsidR="00C572CA" w:rsidRPr="00C835AB">
        <w:rPr>
          <w:rFonts w:ascii="Times New Roman" w:hAnsi="Times New Roman" w:cs="Times New Roman"/>
          <w:color w:val="auto"/>
          <w:sz w:val="24"/>
        </w:rPr>
        <w:t xml:space="preserve"> ale też może znacząco osłabić zastosowanie warunkowego umorzenia jako często stosowanego w praktyce środka probacyjnego.</w:t>
      </w:r>
    </w:p>
    <w:p w14:paraId="34C38C63" w14:textId="451C9259" w:rsidR="00C572CA" w:rsidRPr="00C835AB" w:rsidRDefault="00C572CA"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W wyniku tej samej nowelizacji doszło do uchylenia reguły </w:t>
      </w:r>
      <w:proofErr w:type="spellStart"/>
      <w:r w:rsidRPr="00C835AB">
        <w:rPr>
          <w:rFonts w:ascii="Times New Roman" w:hAnsi="Times New Roman" w:cs="Times New Roman"/>
          <w:color w:val="auto"/>
          <w:sz w:val="24"/>
        </w:rPr>
        <w:t>ne</w:t>
      </w:r>
      <w:proofErr w:type="spellEnd"/>
      <w:r w:rsidRPr="00C835AB">
        <w:rPr>
          <w:rFonts w:ascii="Times New Roman" w:hAnsi="Times New Roman" w:cs="Times New Roman"/>
          <w:color w:val="auto"/>
          <w:sz w:val="24"/>
        </w:rPr>
        <w:t xml:space="preserve"> </w:t>
      </w:r>
      <w:proofErr w:type="spellStart"/>
      <w:r w:rsidRPr="00C835AB">
        <w:rPr>
          <w:rFonts w:ascii="Times New Roman" w:hAnsi="Times New Roman" w:cs="Times New Roman"/>
          <w:color w:val="auto"/>
          <w:sz w:val="24"/>
        </w:rPr>
        <w:t>peuis</w:t>
      </w:r>
      <w:proofErr w:type="spellEnd"/>
      <w:r w:rsidRPr="00C835AB">
        <w:rPr>
          <w:rFonts w:ascii="Times New Roman" w:hAnsi="Times New Roman" w:cs="Times New Roman"/>
          <w:color w:val="auto"/>
          <w:sz w:val="24"/>
        </w:rPr>
        <w:t xml:space="preserve"> gwarantującej zakaz zaostrzenia przez sąd odwoławczy kary, przez wymierzenie dożywotniego pozbawienia wolności. Jako argument wskazano na potrzebę sprawności postępowania i brak argumentów przemawiających za utrzymaniem dotychczasowego stanu rzeczy. Z orzecznictwa Trybunału Konstytucyjnego wynika, że konstytucyjna zasada kontroli instancyjnej nie stoi w opozycji do</w:t>
      </w:r>
      <w:r w:rsidR="00505673">
        <w:rPr>
          <w:rFonts w:ascii="Times New Roman" w:hAnsi="Times New Roman" w:cs="Times New Roman"/>
          <w:color w:val="auto"/>
          <w:sz w:val="24"/>
        </w:rPr>
        <w:t> </w:t>
      </w:r>
      <w:proofErr w:type="spellStart"/>
      <w:r w:rsidRPr="00C835AB">
        <w:rPr>
          <w:rFonts w:ascii="Times New Roman" w:hAnsi="Times New Roman" w:cs="Times New Roman"/>
          <w:color w:val="auto"/>
          <w:sz w:val="24"/>
        </w:rPr>
        <w:t>reformatoryjnego</w:t>
      </w:r>
      <w:proofErr w:type="spellEnd"/>
      <w:r w:rsidRPr="00C835AB">
        <w:rPr>
          <w:rFonts w:ascii="Times New Roman" w:hAnsi="Times New Roman" w:cs="Times New Roman"/>
          <w:color w:val="auto"/>
          <w:sz w:val="24"/>
        </w:rPr>
        <w:t xml:space="preserve"> orzekania na niekorzyść oskarżonego przez sąd drugiej instancji. Jednak Trybunał jednocześnie przesądził, że decyzje sądu o pozbawieniu wolności wymagają stosownej sądowej weryfikacji i kontroli. Zakaz dotyczący nieorzekania kary dożywotniego pozbawienia wolności miał charakter bezwzględny. Powrót zatem do przepisu wcześniej obowiązującego wydaje się konieczny a wiąże się z rodzajem kary i możliwym zakresem </w:t>
      </w:r>
      <w:r w:rsidRPr="00C835AB">
        <w:rPr>
          <w:rFonts w:ascii="Times New Roman" w:hAnsi="Times New Roman" w:cs="Times New Roman"/>
          <w:color w:val="auto"/>
          <w:sz w:val="24"/>
        </w:rPr>
        <w:lastRenderedPageBreak/>
        <w:t>kontroli kasacyjnej przed Sądem Najwyższym, wykluczającym samoistny zarzut dotyczący surowości kary. Dlatego, na skutek powrotu do obowiązujących przed wejściem w życie nowelizacji przepisów, sąd odwoławczy w przypadku ustalenia powodów do orzeczenia kary dożywotniego pozbawienia wolności winien wyrok sądu pierwszej instancji uchylić i przekazać do ponownego rozpoznania sądowi pierwszej instancji.</w:t>
      </w:r>
    </w:p>
    <w:p w14:paraId="79F3B01F" w14:textId="77777777" w:rsidR="00C572CA" w:rsidRPr="00C835AB" w:rsidRDefault="00C572CA" w:rsidP="00D823D0">
      <w:pPr>
        <w:rPr>
          <w:rFonts w:ascii="Times New Roman" w:hAnsi="Times New Roman" w:cs="Times New Roman"/>
          <w:color w:val="auto"/>
          <w:sz w:val="24"/>
        </w:rPr>
      </w:pPr>
    </w:p>
    <w:p w14:paraId="18147992" w14:textId="08EE6178" w:rsidR="007F11B8" w:rsidRPr="00C835AB" w:rsidRDefault="54BC4CDE"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A</w:t>
      </w:r>
      <w:r w:rsidR="5EB82134" w:rsidRPr="00C835AB">
        <w:rPr>
          <w:rFonts w:ascii="Times New Roman" w:hAnsi="Times New Roman" w:cs="Times New Roman"/>
          <w:b/>
          <w:bCs/>
          <w:color w:val="auto"/>
          <w:sz w:val="24"/>
        </w:rPr>
        <w:t>rt. 457 § 2</w:t>
      </w:r>
      <w:r w:rsidR="00243DAF" w:rsidRPr="00C835AB">
        <w:rPr>
          <w:rFonts w:ascii="Times New Roman" w:hAnsi="Times New Roman" w:cs="Times New Roman"/>
          <w:b/>
          <w:bCs/>
          <w:color w:val="auto"/>
          <w:sz w:val="24"/>
        </w:rPr>
        <w:t xml:space="preserve"> k.p.k.</w:t>
      </w:r>
    </w:p>
    <w:p w14:paraId="7295926D" w14:textId="22791E6E" w:rsidR="1CC87492" w:rsidRPr="00C835AB" w:rsidRDefault="1CC87492"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Konsekwencją </w:t>
      </w:r>
      <w:r w:rsidR="00243DAF" w:rsidRPr="00C835AB">
        <w:rPr>
          <w:rFonts w:ascii="Times New Roman" w:hAnsi="Times New Roman" w:cs="Times New Roman"/>
          <w:color w:val="auto"/>
          <w:sz w:val="24"/>
        </w:rPr>
        <w:t xml:space="preserve">projektowanych </w:t>
      </w:r>
      <w:r w:rsidRPr="00C835AB">
        <w:rPr>
          <w:rFonts w:ascii="Times New Roman" w:hAnsi="Times New Roman" w:cs="Times New Roman"/>
          <w:color w:val="auto"/>
          <w:sz w:val="24"/>
        </w:rPr>
        <w:t xml:space="preserve">zmian art. 114 k.p.k. jest powrót w art. 457 § 2 </w:t>
      </w:r>
      <w:r w:rsidR="00270BD4" w:rsidRPr="00C835AB">
        <w:rPr>
          <w:rFonts w:ascii="Times New Roman" w:hAnsi="Times New Roman" w:cs="Times New Roman"/>
          <w:color w:val="auto"/>
          <w:sz w:val="24"/>
        </w:rPr>
        <w:t>k.p.k.</w:t>
      </w:r>
      <w:r w:rsidRPr="00C835AB">
        <w:rPr>
          <w:rFonts w:ascii="Times New Roman" w:hAnsi="Times New Roman" w:cs="Times New Roman"/>
          <w:color w:val="auto"/>
          <w:sz w:val="24"/>
        </w:rPr>
        <w:t xml:space="preserve"> do zasady, że sąd odwoławczy z urzędu sporządza uzasadnienie wyroku utrzymującego w mocy lub wyroku zmieniającego, jeżeli zgłoszono zdanie odrębne.</w:t>
      </w:r>
      <w:r w:rsidR="00DC6CC1" w:rsidRPr="00C835AB">
        <w:rPr>
          <w:rFonts w:ascii="Times New Roman" w:hAnsi="Times New Roman" w:cs="Times New Roman"/>
          <w:color w:val="auto"/>
          <w:sz w:val="24"/>
        </w:rPr>
        <w:t xml:space="preserve"> Oznacza to zatem powrót do stanu prawnego sprzed </w:t>
      </w:r>
      <w:r w:rsidR="002A6A21" w:rsidRPr="00C835AB">
        <w:rPr>
          <w:rFonts w:ascii="Times New Roman" w:hAnsi="Times New Roman" w:cs="Times New Roman"/>
          <w:color w:val="auto"/>
          <w:sz w:val="24"/>
        </w:rPr>
        <w:t xml:space="preserve">dnia </w:t>
      </w:r>
      <w:r w:rsidR="00DC6CC1" w:rsidRPr="00C835AB">
        <w:rPr>
          <w:rFonts w:ascii="Times New Roman" w:hAnsi="Times New Roman" w:cs="Times New Roman"/>
          <w:color w:val="auto"/>
          <w:sz w:val="24"/>
        </w:rPr>
        <w:t>1 października 2023 r. i jest wyrazem uprzednio już ugruntowanego przekonania, że ujawnione rozbieżności ocen prowadzące do zgłoszenia votum separatum przez członka składu orzekającego w sądzie odwoławczym stanowią okoliczności doniosłe dla</w:t>
      </w:r>
      <w:r w:rsidR="00505673">
        <w:rPr>
          <w:rFonts w:ascii="Times New Roman" w:hAnsi="Times New Roman" w:cs="Times New Roman"/>
          <w:color w:val="auto"/>
          <w:sz w:val="24"/>
        </w:rPr>
        <w:t> </w:t>
      </w:r>
      <w:r w:rsidR="00DC6CC1" w:rsidRPr="00C835AB">
        <w:rPr>
          <w:rFonts w:ascii="Times New Roman" w:hAnsi="Times New Roman" w:cs="Times New Roman"/>
          <w:color w:val="auto"/>
          <w:sz w:val="24"/>
        </w:rPr>
        <w:t>sprawy oraz uzasadniają potrzebę ich przedstawienia w formie pisemnego uzasadnienia niezależnie od wniosku strony.</w:t>
      </w:r>
    </w:p>
    <w:p w14:paraId="6D4D3A8D" w14:textId="70011669" w:rsidR="0FF4DE2E" w:rsidRPr="00C835AB" w:rsidRDefault="0FF4DE2E" w:rsidP="00D823D0">
      <w:pPr>
        <w:pStyle w:val="Akapitzlist"/>
        <w:rPr>
          <w:rFonts w:ascii="Times New Roman" w:eastAsia="Times New Roman" w:hAnsi="Times New Roman" w:cs="Times New Roman"/>
          <w:color w:val="auto"/>
          <w:sz w:val="24"/>
        </w:rPr>
      </w:pPr>
    </w:p>
    <w:p w14:paraId="58F860A7" w14:textId="298D9F8A" w:rsidR="00C74583" w:rsidRPr="00C835AB" w:rsidRDefault="2E16C916"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A</w:t>
      </w:r>
      <w:r w:rsidR="7DBB2EE9" w:rsidRPr="00C835AB">
        <w:rPr>
          <w:rFonts w:ascii="Times New Roman" w:hAnsi="Times New Roman" w:cs="Times New Roman"/>
          <w:b/>
          <w:bCs/>
          <w:color w:val="auto"/>
          <w:sz w:val="24"/>
        </w:rPr>
        <w:t>rt. 523 §</w:t>
      </w:r>
      <w:r w:rsidR="00270BD4" w:rsidRPr="00C835AB">
        <w:rPr>
          <w:rFonts w:ascii="Times New Roman" w:hAnsi="Times New Roman" w:cs="Times New Roman"/>
          <w:b/>
          <w:bCs/>
          <w:color w:val="auto"/>
          <w:sz w:val="24"/>
        </w:rPr>
        <w:t xml:space="preserve"> </w:t>
      </w:r>
      <w:r w:rsidR="7DBB2EE9" w:rsidRPr="00C835AB">
        <w:rPr>
          <w:rFonts w:ascii="Times New Roman" w:hAnsi="Times New Roman" w:cs="Times New Roman"/>
          <w:b/>
          <w:bCs/>
          <w:color w:val="auto"/>
          <w:sz w:val="24"/>
        </w:rPr>
        <w:t>1a</w:t>
      </w:r>
      <w:r w:rsidR="00243DAF" w:rsidRPr="00C835AB">
        <w:rPr>
          <w:rFonts w:ascii="Times New Roman" w:hAnsi="Times New Roman" w:cs="Times New Roman"/>
          <w:b/>
          <w:bCs/>
          <w:color w:val="auto"/>
          <w:sz w:val="24"/>
        </w:rPr>
        <w:t xml:space="preserve"> k.p.k.</w:t>
      </w:r>
    </w:p>
    <w:p w14:paraId="444852EE" w14:textId="59EFBE33" w:rsidR="00517097" w:rsidRPr="00C835AB" w:rsidRDefault="00243DAF"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Przepis a</w:t>
      </w:r>
      <w:r w:rsidR="5F48BDA9" w:rsidRPr="00C835AB">
        <w:rPr>
          <w:rFonts w:ascii="Times New Roman" w:hAnsi="Times New Roman" w:cs="Times New Roman"/>
          <w:color w:val="auto"/>
          <w:sz w:val="24"/>
        </w:rPr>
        <w:t xml:space="preserve">rt. 523 § 1a </w:t>
      </w:r>
      <w:r w:rsidR="00270BD4" w:rsidRPr="00C835AB">
        <w:rPr>
          <w:rFonts w:ascii="Times New Roman" w:hAnsi="Times New Roman" w:cs="Times New Roman"/>
          <w:color w:val="auto"/>
          <w:sz w:val="24"/>
        </w:rPr>
        <w:t xml:space="preserve">k.p.k. </w:t>
      </w:r>
      <w:r w:rsidR="5F48BDA9" w:rsidRPr="00C835AB">
        <w:rPr>
          <w:rFonts w:ascii="Times New Roman" w:hAnsi="Times New Roman" w:cs="Times New Roman"/>
          <w:color w:val="auto"/>
          <w:sz w:val="24"/>
        </w:rPr>
        <w:t xml:space="preserve">wprowadził możliwość wnoszenia przez Prokuratora Generalnego w sprawach o zbrodnie kasacji z powodu niewspółmierności wymierzonej kary (ustawa z </w:t>
      </w:r>
      <w:r w:rsidR="00AC00D0" w:rsidRPr="00C835AB">
        <w:rPr>
          <w:rFonts w:ascii="Times New Roman" w:hAnsi="Times New Roman" w:cs="Times New Roman"/>
          <w:color w:val="auto"/>
          <w:sz w:val="24"/>
        </w:rPr>
        <w:t xml:space="preserve">dnia </w:t>
      </w:r>
      <w:r w:rsidR="5F48BDA9" w:rsidRPr="00C835AB">
        <w:rPr>
          <w:rFonts w:ascii="Times New Roman" w:hAnsi="Times New Roman" w:cs="Times New Roman"/>
          <w:color w:val="auto"/>
          <w:sz w:val="24"/>
        </w:rPr>
        <w:t>11 marca 2016 r.). Projektowane uchylenie tego przepisu znajduje uzasadnienie w modelu postępowania kasacyjnego przyjętego w polskim procesie karnym. Zgodnie z</w:t>
      </w:r>
      <w:r w:rsidR="00A76A6B" w:rsidRPr="00C835AB">
        <w:rPr>
          <w:rFonts w:ascii="Times New Roman" w:hAnsi="Times New Roman" w:cs="Times New Roman"/>
          <w:color w:val="auto"/>
          <w:sz w:val="24"/>
        </w:rPr>
        <w:t> </w:t>
      </w:r>
      <w:r w:rsidR="5F48BDA9" w:rsidRPr="00C835AB">
        <w:rPr>
          <w:rFonts w:ascii="Times New Roman" w:hAnsi="Times New Roman" w:cs="Times New Roman"/>
          <w:color w:val="auto"/>
          <w:sz w:val="24"/>
        </w:rPr>
        <w:t xml:space="preserve">obowiązującymi przepisami kasacja może być oparta na wykazywaniu wystąpienia w toku postępowania bezwzględnej przesłanki odwoławczej z art. 439 § 1 </w:t>
      </w:r>
      <w:r w:rsidR="00270BD4" w:rsidRPr="00C835AB">
        <w:rPr>
          <w:rFonts w:ascii="Times New Roman" w:hAnsi="Times New Roman" w:cs="Times New Roman"/>
          <w:color w:val="auto"/>
          <w:sz w:val="24"/>
        </w:rPr>
        <w:t xml:space="preserve">k.p.k. </w:t>
      </w:r>
      <w:r w:rsidR="5F48BDA9" w:rsidRPr="00C835AB">
        <w:rPr>
          <w:rFonts w:ascii="Times New Roman" w:hAnsi="Times New Roman" w:cs="Times New Roman"/>
          <w:color w:val="auto"/>
          <w:sz w:val="24"/>
        </w:rPr>
        <w:t>lub innego rażącego naruszenia prawa, jeżeli mogło ono mieć istotny wpływ na treść orzeczenia. Zadaniem postępowania kasacyjnego jest zatem eliminowanie z obrotu prawnego orzeczeń, które zapadły w wyniku poważnych naruszeń prawa. W toku tego postępowania nie weryfikuje sią natomiast ocen, których dokonuje sąd i to między innymi w zakresie ustaleń faktycznych, także tych</w:t>
      </w:r>
      <w:r w:rsidR="003837BF" w:rsidRPr="00C835AB">
        <w:rPr>
          <w:rFonts w:ascii="Times New Roman" w:hAnsi="Times New Roman" w:cs="Times New Roman"/>
          <w:color w:val="auto"/>
          <w:sz w:val="24"/>
        </w:rPr>
        <w:t>,</w:t>
      </w:r>
      <w:r w:rsidR="5F48BDA9" w:rsidRPr="00C835AB">
        <w:rPr>
          <w:rFonts w:ascii="Times New Roman" w:hAnsi="Times New Roman" w:cs="Times New Roman"/>
          <w:color w:val="auto"/>
          <w:sz w:val="24"/>
        </w:rPr>
        <w:t xml:space="preserve"> które wpływają na wymiar kary. W art. 523 § 1 in fine</w:t>
      </w:r>
      <w:r w:rsidR="00662587" w:rsidRPr="00C835AB">
        <w:rPr>
          <w:rFonts w:ascii="Times New Roman" w:hAnsi="Times New Roman" w:cs="Times New Roman"/>
          <w:color w:val="auto"/>
          <w:sz w:val="24"/>
        </w:rPr>
        <w:t xml:space="preserve"> </w:t>
      </w:r>
      <w:r w:rsidR="00270BD4" w:rsidRPr="00C835AB">
        <w:rPr>
          <w:rFonts w:ascii="Times New Roman" w:hAnsi="Times New Roman" w:cs="Times New Roman"/>
          <w:color w:val="auto"/>
          <w:sz w:val="24"/>
        </w:rPr>
        <w:t xml:space="preserve">k.p.k. </w:t>
      </w:r>
      <w:r w:rsidR="5F48BDA9" w:rsidRPr="00C835AB">
        <w:rPr>
          <w:rFonts w:ascii="Times New Roman" w:hAnsi="Times New Roman" w:cs="Times New Roman"/>
          <w:color w:val="auto"/>
          <w:sz w:val="24"/>
        </w:rPr>
        <w:t xml:space="preserve">zawarty jest wprost zakaz wnoszenia kasacji z powodu niewspółmierności kary. </w:t>
      </w:r>
      <w:r w:rsidR="006A278E" w:rsidRPr="00C835AB">
        <w:rPr>
          <w:rFonts w:ascii="Times New Roman" w:hAnsi="Times New Roman" w:cs="Times New Roman"/>
          <w:color w:val="auto"/>
          <w:sz w:val="24"/>
        </w:rPr>
        <w:t>Przepis a</w:t>
      </w:r>
      <w:r w:rsidR="5F48BDA9" w:rsidRPr="00C835AB">
        <w:rPr>
          <w:rFonts w:ascii="Times New Roman" w:hAnsi="Times New Roman" w:cs="Times New Roman"/>
          <w:color w:val="auto"/>
          <w:sz w:val="24"/>
        </w:rPr>
        <w:t xml:space="preserve">rt. 523 § 1a </w:t>
      </w:r>
      <w:r w:rsidR="00270BD4" w:rsidRPr="00C835AB">
        <w:rPr>
          <w:rFonts w:ascii="Times New Roman" w:hAnsi="Times New Roman" w:cs="Times New Roman"/>
          <w:color w:val="auto"/>
          <w:sz w:val="24"/>
        </w:rPr>
        <w:t xml:space="preserve">k.p.k. </w:t>
      </w:r>
      <w:r w:rsidR="5F48BDA9" w:rsidRPr="00C835AB">
        <w:rPr>
          <w:rFonts w:ascii="Times New Roman" w:hAnsi="Times New Roman" w:cs="Times New Roman"/>
          <w:color w:val="auto"/>
          <w:sz w:val="24"/>
        </w:rPr>
        <w:t xml:space="preserve">wprowadzający wyjątek od tej zasady nie mieści się w modelu rozpoznawania nadzwyczajnego środka zaskarżenia od prawomocnego orzeczenia i powoduje, że Sąd Najwyższy de facto ponawia postępowanie apelacyjne w części dotyczącej wymiaru kary. Przepis ten kreuje przy tym dodatkową nierówność stron, przyznając jedynie Prokuratorowi Generalnemu takie uprawnienie. Kolejny argument przemawiający za uchyleniem tego przepisu stanowi jego </w:t>
      </w:r>
      <w:r w:rsidR="5F48BDA9" w:rsidRPr="00C835AB">
        <w:rPr>
          <w:rFonts w:ascii="Times New Roman" w:hAnsi="Times New Roman" w:cs="Times New Roman"/>
          <w:color w:val="auto"/>
          <w:sz w:val="24"/>
        </w:rPr>
        <w:lastRenderedPageBreak/>
        <w:t>strona redakcyjna. Zasadny wydaje się bowiem wniosek, wynikający z wykładni art. 523 § 1a</w:t>
      </w:r>
      <w:r w:rsidRPr="00C835AB">
        <w:rPr>
          <w:rFonts w:ascii="Times New Roman" w:hAnsi="Times New Roman" w:cs="Times New Roman"/>
          <w:color w:val="auto"/>
          <w:sz w:val="24"/>
        </w:rPr>
        <w:t xml:space="preserve"> k.p.k.</w:t>
      </w:r>
      <w:r w:rsidR="00662587" w:rsidRPr="00C835AB">
        <w:rPr>
          <w:rFonts w:ascii="Times New Roman" w:hAnsi="Times New Roman" w:cs="Times New Roman"/>
          <w:color w:val="auto"/>
          <w:sz w:val="24"/>
        </w:rPr>
        <w:t xml:space="preserve"> </w:t>
      </w:r>
      <w:r w:rsidR="5F48BDA9" w:rsidRPr="00C835AB">
        <w:rPr>
          <w:rFonts w:ascii="Times New Roman" w:hAnsi="Times New Roman" w:cs="Times New Roman"/>
          <w:color w:val="auto"/>
          <w:sz w:val="24"/>
        </w:rPr>
        <w:t>w zw. z art. 523 § 1</w:t>
      </w:r>
      <w:r w:rsidR="00270BD4" w:rsidRPr="00C835AB">
        <w:rPr>
          <w:rFonts w:ascii="Times New Roman" w:hAnsi="Times New Roman" w:cs="Times New Roman"/>
          <w:color w:val="auto"/>
          <w:sz w:val="24"/>
        </w:rPr>
        <w:t xml:space="preserve"> k.p.k.</w:t>
      </w:r>
      <w:r w:rsidR="5F48BDA9" w:rsidRPr="00C835AB">
        <w:rPr>
          <w:rFonts w:ascii="Times New Roman" w:hAnsi="Times New Roman" w:cs="Times New Roman"/>
          <w:color w:val="auto"/>
          <w:sz w:val="24"/>
        </w:rPr>
        <w:t>, że Prokurator Generalny, formułując wyłącznie zarzut niewspółmierności kary, powinien jednocześnie wykazać zaistnienie rażącego naruszenia prawa. Praktyka Prokuratora Generalnego dotycząca stosowania tego przepisu także przemawia za jego uchyleniem. Wszystkie kasacje Prokuratora Generalnego wniesione z</w:t>
      </w:r>
      <w:r w:rsidR="00A76A6B" w:rsidRPr="00C835AB">
        <w:rPr>
          <w:rFonts w:ascii="Times New Roman" w:hAnsi="Times New Roman" w:cs="Times New Roman"/>
          <w:color w:val="auto"/>
          <w:sz w:val="24"/>
        </w:rPr>
        <w:t> </w:t>
      </w:r>
      <w:r w:rsidR="5F48BDA9" w:rsidRPr="00C835AB">
        <w:rPr>
          <w:rFonts w:ascii="Times New Roman" w:hAnsi="Times New Roman" w:cs="Times New Roman"/>
          <w:color w:val="auto"/>
          <w:sz w:val="24"/>
        </w:rPr>
        <w:t>powodu niewspółmierności kary kwestionowały jej łagodność i zawierały wnioski o</w:t>
      </w:r>
      <w:r w:rsidR="00A76A6B" w:rsidRPr="00C835AB">
        <w:rPr>
          <w:rFonts w:ascii="Times New Roman" w:hAnsi="Times New Roman" w:cs="Times New Roman"/>
          <w:color w:val="auto"/>
          <w:sz w:val="24"/>
        </w:rPr>
        <w:t> </w:t>
      </w:r>
      <w:r w:rsidR="5F48BDA9" w:rsidRPr="00C835AB">
        <w:rPr>
          <w:rFonts w:ascii="Times New Roman" w:hAnsi="Times New Roman" w:cs="Times New Roman"/>
          <w:color w:val="auto"/>
          <w:sz w:val="24"/>
        </w:rPr>
        <w:t xml:space="preserve">zaostrzenie jej wymiaru. </w:t>
      </w:r>
    </w:p>
    <w:p w14:paraId="10FF0A11" w14:textId="77777777" w:rsidR="00011D7D" w:rsidRDefault="00011D7D" w:rsidP="00D823D0">
      <w:pPr>
        <w:rPr>
          <w:rFonts w:ascii="Times New Roman" w:hAnsi="Times New Roman" w:cs="Times New Roman"/>
          <w:b/>
          <w:bCs/>
          <w:color w:val="auto"/>
          <w:sz w:val="24"/>
        </w:rPr>
      </w:pPr>
    </w:p>
    <w:p w14:paraId="450FF8C4" w14:textId="74AE08E6" w:rsidR="000B13BA" w:rsidRPr="00C835AB" w:rsidRDefault="000B13BA" w:rsidP="000B13BA">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 xml:space="preserve">Art. </w:t>
      </w:r>
      <w:r>
        <w:rPr>
          <w:rFonts w:ascii="Times New Roman" w:hAnsi="Times New Roman" w:cs="Times New Roman"/>
          <w:b/>
          <w:bCs/>
          <w:color w:val="auto"/>
          <w:sz w:val="24"/>
        </w:rPr>
        <w:t>553</w:t>
      </w:r>
      <w:r w:rsidRPr="00C835AB">
        <w:rPr>
          <w:rFonts w:ascii="Times New Roman" w:hAnsi="Times New Roman" w:cs="Times New Roman"/>
          <w:b/>
          <w:bCs/>
          <w:color w:val="auto"/>
          <w:sz w:val="24"/>
        </w:rPr>
        <w:t xml:space="preserve"> § 2 k.p.k.</w:t>
      </w:r>
    </w:p>
    <w:p w14:paraId="73EB267B" w14:textId="33875401" w:rsidR="000B13BA" w:rsidRDefault="000B13BA" w:rsidP="00D823D0">
      <w:pPr>
        <w:rPr>
          <w:rFonts w:ascii="Times New Roman" w:hAnsi="Times New Roman" w:cs="Times New Roman"/>
          <w:color w:val="auto"/>
          <w:sz w:val="24"/>
        </w:rPr>
      </w:pPr>
      <w:r w:rsidRPr="00A0500E">
        <w:rPr>
          <w:rFonts w:ascii="Times New Roman" w:hAnsi="Times New Roman" w:cs="Times New Roman"/>
          <w:color w:val="auto"/>
          <w:sz w:val="24"/>
        </w:rPr>
        <w:tab/>
        <w:t>Proponowana zmiana</w:t>
      </w:r>
      <w:r>
        <w:rPr>
          <w:rFonts w:ascii="Times New Roman" w:hAnsi="Times New Roman" w:cs="Times New Roman"/>
          <w:color w:val="auto"/>
          <w:sz w:val="24"/>
        </w:rPr>
        <w:t xml:space="preserve"> stanowi konsekwencję dodania </w:t>
      </w:r>
      <w:r w:rsidR="00A704D9" w:rsidRPr="00C835AB">
        <w:rPr>
          <w:rFonts w:ascii="Times New Roman" w:hAnsi="Times New Roman" w:cs="Times New Roman"/>
          <w:color w:val="auto"/>
          <w:sz w:val="24"/>
        </w:rPr>
        <w:t>§</w:t>
      </w:r>
      <w:r w:rsidR="00A704D9">
        <w:rPr>
          <w:rFonts w:ascii="Times New Roman" w:hAnsi="Times New Roman" w:cs="Times New Roman"/>
          <w:color w:val="auto"/>
          <w:sz w:val="24"/>
        </w:rPr>
        <w:t xml:space="preserve"> 7a </w:t>
      </w:r>
      <w:r>
        <w:rPr>
          <w:rFonts w:ascii="Times New Roman" w:hAnsi="Times New Roman" w:cs="Times New Roman"/>
          <w:color w:val="auto"/>
          <w:sz w:val="24"/>
        </w:rPr>
        <w:t>w art. 171 k.p.k.</w:t>
      </w:r>
    </w:p>
    <w:p w14:paraId="525A1BC4" w14:textId="77777777" w:rsidR="000B13BA" w:rsidRPr="00A0500E" w:rsidRDefault="000B13BA" w:rsidP="00D823D0">
      <w:pPr>
        <w:rPr>
          <w:rFonts w:ascii="Times New Roman" w:hAnsi="Times New Roman" w:cs="Times New Roman"/>
          <w:color w:val="auto"/>
          <w:sz w:val="24"/>
        </w:rPr>
      </w:pPr>
    </w:p>
    <w:p w14:paraId="564B777B" w14:textId="685847E5" w:rsidR="00621B23" w:rsidRPr="00C835AB" w:rsidRDefault="6F9DEACE"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A</w:t>
      </w:r>
      <w:r w:rsidR="3E9074B7" w:rsidRPr="00C835AB">
        <w:rPr>
          <w:rFonts w:ascii="Times New Roman" w:hAnsi="Times New Roman" w:cs="Times New Roman"/>
          <w:b/>
          <w:bCs/>
          <w:color w:val="auto"/>
          <w:sz w:val="24"/>
        </w:rPr>
        <w:t>rt. 555</w:t>
      </w:r>
      <w:r w:rsidR="79FDAFBA" w:rsidRPr="00C835AB">
        <w:rPr>
          <w:rFonts w:ascii="Times New Roman" w:hAnsi="Times New Roman" w:cs="Times New Roman"/>
          <w:b/>
          <w:bCs/>
          <w:color w:val="auto"/>
          <w:sz w:val="24"/>
        </w:rPr>
        <w:t xml:space="preserve"> </w:t>
      </w:r>
      <w:r w:rsidR="00243DAF" w:rsidRPr="00C835AB">
        <w:rPr>
          <w:rFonts w:ascii="Times New Roman" w:hAnsi="Times New Roman" w:cs="Times New Roman"/>
          <w:b/>
          <w:bCs/>
          <w:color w:val="auto"/>
          <w:sz w:val="24"/>
        </w:rPr>
        <w:t>k.p.k.</w:t>
      </w:r>
    </w:p>
    <w:p w14:paraId="5451147B" w14:textId="5D4F5E76" w:rsidR="00E97D97" w:rsidRPr="00C835AB" w:rsidRDefault="00E97D97" w:rsidP="00D823D0">
      <w:pPr>
        <w:pStyle w:val="Tekstprzypisudolnego"/>
        <w:spacing w:line="360" w:lineRule="auto"/>
        <w:ind w:firstLine="708"/>
        <w:jc w:val="both"/>
        <w:rPr>
          <w:rFonts w:ascii="Times New Roman" w:hAnsi="Times New Roman" w:cs="Times New Roman"/>
          <w:sz w:val="24"/>
          <w:szCs w:val="24"/>
        </w:rPr>
      </w:pPr>
      <w:r w:rsidRPr="00C835AB">
        <w:rPr>
          <w:rFonts w:ascii="Times New Roman" w:hAnsi="Times New Roman" w:cs="Times New Roman"/>
          <w:sz w:val="24"/>
          <w:szCs w:val="24"/>
          <w:shd w:val="clear" w:color="auto" w:fill="FFFFFF"/>
        </w:rPr>
        <w:t xml:space="preserve">W art. 555 k.p.k. proponuje się wydłużenie terminu przedawnienia roszczeń wskazanych w tym przepisie do 3 lat. Stanowi to powrót do wcześniejszej wersji omawianego przepisu obowiązującej od </w:t>
      </w:r>
      <w:r w:rsidR="00CF61BA" w:rsidRPr="00C835AB">
        <w:rPr>
          <w:rFonts w:ascii="Times New Roman" w:hAnsi="Times New Roman" w:cs="Times New Roman"/>
          <w:sz w:val="24"/>
          <w:szCs w:val="24"/>
          <w:shd w:val="clear" w:color="auto" w:fill="FFFFFF"/>
        </w:rPr>
        <w:t xml:space="preserve">dnia </w:t>
      </w:r>
      <w:r w:rsidRPr="00C835AB">
        <w:rPr>
          <w:rFonts w:ascii="Times New Roman" w:hAnsi="Times New Roman" w:cs="Times New Roman"/>
          <w:sz w:val="24"/>
          <w:szCs w:val="24"/>
          <w:shd w:val="clear" w:color="auto" w:fill="FFFFFF"/>
        </w:rPr>
        <w:t>1 lipca 2015 r. Jest to okres optymalny, gwarantujący dochodzenie przez osoby uprawnione należnych im praw. W uzasadnieniu projektu ustawy z</w:t>
      </w:r>
      <w:r w:rsidR="00A76A6B" w:rsidRPr="00C835AB">
        <w:rPr>
          <w:rFonts w:ascii="Times New Roman" w:hAnsi="Times New Roman" w:cs="Times New Roman"/>
          <w:sz w:val="24"/>
          <w:szCs w:val="24"/>
          <w:shd w:val="clear" w:color="auto" w:fill="FFFFFF"/>
        </w:rPr>
        <w:t> </w:t>
      </w:r>
      <w:r w:rsidRPr="00C835AB">
        <w:rPr>
          <w:rFonts w:ascii="Times New Roman" w:hAnsi="Times New Roman" w:cs="Times New Roman"/>
          <w:sz w:val="24"/>
          <w:szCs w:val="24"/>
          <w:shd w:val="clear" w:color="auto" w:fill="FFFFFF"/>
        </w:rPr>
        <w:t>dnia 11 marca 2016 r., skracającej termin przedawnienia do roku</w:t>
      </w:r>
      <w:r w:rsidR="00AC00D0" w:rsidRPr="00C835AB">
        <w:rPr>
          <w:rFonts w:ascii="Times New Roman" w:hAnsi="Times New Roman" w:cs="Times New Roman"/>
          <w:sz w:val="24"/>
          <w:szCs w:val="24"/>
          <w:shd w:val="clear" w:color="auto" w:fill="FFFFFF"/>
        </w:rPr>
        <w:t>,</w:t>
      </w:r>
      <w:r w:rsidRPr="00C835AB">
        <w:rPr>
          <w:rFonts w:ascii="Times New Roman" w:hAnsi="Times New Roman" w:cs="Times New Roman"/>
          <w:sz w:val="24"/>
          <w:szCs w:val="24"/>
          <w:shd w:val="clear" w:color="auto" w:fill="FFFFFF"/>
        </w:rPr>
        <w:t xml:space="preserve"> nie wyjaśniono powodów takiej regulacji</w:t>
      </w:r>
      <w:r w:rsidR="00243DAF" w:rsidRPr="00C835AB">
        <w:rPr>
          <w:rFonts w:ascii="Times New Roman" w:hAnsi="Times New Roman" w:cs="Times New Roman"/>
          <w:sz w:val="24"/>
          <w:szCs w:val="24"/>
          <w:shd w:val="clear" w:color="auto" w:fill="FFFFFF"/>
        </w:rPr>
        <w:t xml:space="preserve"> (</w:t>
      </w:r>
      <w:r w:rsidR="00243DAF" w:rsidRPr="00C835AB">
        <w:rPr>
          <w:rFonts w:ascii="Times New Roman" w:hAnsi="Times New Roman" w:cs="Times New Roman"/>
          <w:sz w:val="24"/>
          <w:szCs w:val="24"/>
        </w:rPr>
        <w:t>druk sejmowy nr 207</w:t>
      </w:r>
      <w:r w:rsidR="004C3791" w:rsidRPr="00C835AB">
        <w:rPr>
          <w:rFonts w:ascii="Times New Roman" w:hAnsi="Times New Roman" w:cs="Times New Roman"/>
          <w:sz w:val="24"/>
          <w:szCs w:val="24"/>
        </w:rPr>
        <w:t xml:space="preserve"> Sejm RP VIII kadencji</w:t>
      </w:r>
      <w:r w:rsidR="004C3791" w:rsidRPr="00C835AB">
        <w:rPr>
          <w:rStyle w:val="Hipercze"/>
          <w:rFonts w:ascii="Times New Roman" w:hAnsi="Times New Roman" w:cs="Times New Roman"/>
          <w:color w:val="auto"/>
          <w:sz w:val="24"/>
          <w:szCs w:val="24"/>
          <w:u w:val="none"/>
        </w:rPr>
        <w:t>).</w:t>
      </w:r>
      <w:r w:rsidR="00413F12" w:rsidRPr="00C835AB">
        <w:rPr>
          <w:rStyle w:val="Hipercze"/>
          <w:rFonts w:ascii="Times New Roman" w:hAnsi="Times New Roman" w:cs="Times New Roman"/>
          <w:color w:val="auto"/>
          <w:sz w:val="24"/>
          <w:szCs w:val="24"/>
          <w:u w:val="none"/>
        </w:rPr>
        <w:t xml:space="preserve"> </w:t>
      </w:r>
      <w:r w:rsidRPr="00C835AB">
        <w:rPr>
          <w:rFonts w:ascii="Times New Roman" w:hAnsi="Times New Roman" w:cs="Times New Roman"/>
          <w:sz w:val="24"/>
          <w:szCs w:val="24"/>
          <w:shd w:val="clear" w:color="auto" w:fill="FFFFFF"/>
        </w:rPr>
        <w:t>Praktyka stosowania prawa pokazuje, że obecnie obowiązujący roczny termin przedawnienia, przewidziany w art. 555 k.p.k. nie zawsze był wystarczający.</w:t>
      </w:r>
    </w:p>
    <w:p w14:paraId="458B9391" w14:textId="71F44B0B" w:rsidR="00E97D97" w:rsidRPr="00C835AB" w:rsidRDefault="00E97D97" w:rsidP="00D823D0">
      <w:pPr>
        <w:ind w:firstLine="708"/>
        <w:rPr>
          <w:rFonts w:ascii="Times New Roman" w:hAnsi="Times New Roman" w:cs="Times New Roman"/>
          <w:color w:val="auto"/>
          <w:sz w:val="24"/>
          <w:shd w:val="clear" w:color="auto" w:fill="FFFFFF"/>
        </w:rPr>
      </w:pPr>
      <w:r w:rsidRPr="00C835AB">
        <w:rPr>
          <w:rFonts w:ascii="Times New Roman" w:hAnsi="Times New Roman" w:cs="Times New Roman"/>
          <w:color w:val="auto"/>
          <w:sz w:val="24"/>
          <w:shd w:val="clear" w:color="auto" w:fill="FFFFFF"/>
        </w:rPr>
        <w:t>Na gruncie prawa cywilnego wskazuje się, że r</w:t>
      </w:r>
      <w:r w:rsidRPr="00C835AB">
        <w:rPr>
          <w:rFonts w:ascii="Times New Roman" w:eastAsia="Times New Roman" w:hAnsi="Times New Roman" w:cs="Times New Roman"/>
          <w:color w:val="auto"/>
          <w:kern w:val="0"/>
          <w:sz w:val="24"/>
          <w:lang w:eastAsia="pl-PL"/>
          <w14:ligatures w14:val="none"/>
        </w:rPr>
        <w:t>oszczenie o naprawienie szkody wyrządzonej czynem niedozwolonym ulega przedawnieniu z upływem lat trzech od dnia, w</w:t>
      </w:r>
      <w:r w:rsidR="00A76A6B" w:rsidRPr="00C835AB">
        <w:rPr>
          <w:rFonts w:ascii="Times New Roman" w:eastAsia="Times New Roman" w:hAnsi="Times New Roman" w:cs="Times New Roman"/>
          <w:color w:val="auto"/>
          <w:kern w:val="0"/>
          <w:sz w:val="24"/>
          <w:lang w:eastAsia="pl-PL"/>
          <w14:ligatures w14:val="none"/>
        </w:rPr>
        <w:t> </w:t>
      </w:r>
      <w:r w:rsidRPr="00C835AB">
        <w:rPr>
          <w:rFonts w:ascii="Times New Roman" w:eastAsia="Times New Roman" w:hAnsi="Times New Roman" w:cs="Times New Roman"/>
          <w:color w:val="auto"/>
          <w:kern w:val="0"/>
          <w:sz w:val="24"/>
          <w:lang w:eastAsia="pl-PL"/>
          <w14:ligatures w14:val="none"/>
        </w:rPr>
        <w:t>którym poszkodowany dowiedział się albo przy zachowaniu należytej staranności mógł się</w:t>
      </w:r>
      <w:r w:rsidR="00DA5E3E">
        <w:rPr>
          <w:rFonts w:ascii="Times New Roman" w:eastAsia="Times New Roman" w:hAnsi="Times New Roman" w:cs="Times New Roman"/>
          <w:color w:val="auto"/>
          <w:kern w:val="0"/>
          <w:sz w:val="24"/>
          <w:lang w:eastAsia="pl-PL"/>
          <w14:ligatures w14:val="none"/>
        </w:rPr>
        <w:t> </w:t>
      </w:r>
      <w:r w:rsidRPr="00C835AB">
        <w:rPr>
          <w:rFonts w:ascii="Times New Roman" w:eastAsia="Times New Roman" w:hAnsi="Times New Roman" w:cs="Times New Roman"/>
          <w:color w:val="auto"/>
          <w:kern w:val="0"/>
          <w:sz w:val="24"/>
          <w:lang w:eastAsia="pl-PL"/>
          <w14:ligatures w14:val="none"/>
        </w:rPr>
        <w:t>dowiedzieć o szkodzie i o osobie obowiązanej do jej naprawienia (art. 442</w:t>
      </w:r>
      <w:r w:rsidRPr="00C835AB">
        <w:rPr>
          <w:rFonts w:ascii="Times New Roman" w:eastAsia="Times New Roman" w:hAnsi="Times New Roman" w:cs="Times New Roman"/>
          <w:color w:val="auto"/>
          <w:kern w:val="0"/>
          <w:sz w:val="24"/>
          <w:vertAlign w:val="superscript"/>
          <w:lang w:eastAsia="pl-PL"/>
          <w14:ligatures w14:val="none"/>
        </w:rPr>
        <w:t>1</w:t>
      </w:r>
      <w:r w:rsidRPr="00C835AB">
        <w:rPr>
          <w:rFonts w:ascii="Times New Roman" w:eastAsia="Times New Roman" w:hAnsi="Times New Roman" w:cs="Times New Roman"/>
          <w:color w:val="auto"/>
          <w:kern w:val="0"/>
          <w:sz w:val="24"/>
          <w:lang w:eastAsia="pl-PL"/>
          <w14:ligatures w14:val="none"/>
        </w:rPr>
        <w:t xml:space="preserve"> </w:t>
      </w:r>
      <w:r w:rsidR="00413F12" w:rsidRPr="00C835AB">
        <w:rPr>
          <w:rFonts w:ascii="Times New Roman" w:eastAsia="Times New Roman" w:hAnsi="Times New Roman" w:cs="Times New Roman"/>
          <w:color w:val="auto"/>
          <w:kern w:val="0"/>
          <w:sz w:val="24"/>
          <w:lang w:eastAsia="pl-PL"/>
          <w14:ligatures w14:val="none"/>
        </w:rPr>
        <w:t>ustawy z dnia 23</w:t>
      </w:r>
      <w:r w:rsidR="00505673">
        <w:rPr>
          <w:rFonts w:ascii="Times New Roman" w:eastAsia="Times New Roman" w:hAnsi="Times New Roman" w:cs="Times New Roman"/>
          <w:color w:val="auto"/>
          <w:kern w:val="0"/>
          <w:sz w:val="24"/>
          <w:lang w:eastAsia="pl-PL"/>
          <w14:ligatures w14:val="none"/>
        </w:rPr>
        <w:t> </w:t>
      </w:r>
      <w:r w:rsidR="00413F12" w:rsidRPr="00C835AB">
        <w:rPr>
          <w:rFonts w:ascii="Times New Roman" w:eastAsia="Times New Roman" w:hAnsi="Times New Roman" w:cs="Times New Roman"/>
          <w:color w:val="auto"/>
          <w:kern w:val="0"/>
          <w:sz w:val="24"/>
          <w:lang w:eastAsia="pl-PL"/>
          <w14:ligatures w14:val="none"/>
        </w:rPr>
        <w:t xml:space="preserve">kwietnia 1964 r. – </w:t>
      </w:r>
      <w:r w:rsidRPr="00C835AB">
        <w:rPr>
          <w:rFonts w:ascii="Times New Roman" w:eastAsia="Times New Roman" w:hAnsi="Times New Roman" w:cs="Times New Roman"/>
          <w:color w:val="auto"/>
          <w:kern w:val="0"/>
          <w:sz w:val="24"/>
          <w:lang w:eastAsia="pl-PL"/>
          <w14:ligatures w14:val="none"/>
        </w:rPr>
        <w:t>Kodeks cywiln</w:t>
      </w:r>
      <w:r w:rsidR="00413F12" w:rsidRPr="00C835AB">
        <w:rPr>
          <w:rFonts w:ascii="Times New Roman" w:eastAsia="Times New Roman" w:hAnsi="Times New Roman" w:cs="Times New Roman"/>
          <w:color w:val="auto"/>
          <w:kern w:val="0"/>
          <w:sz w:val="24"/>
          <w:lang w:eastAsia="pl-PL"/>
          <w14:ligatures w14:val="none"/>
        </w:rPr>
        <w:t xml:space="preserve">y, Dz. U. </w:t>
      </w:r>
      <w:r w:rsidR="00DB3E21" w:rsidRPr="00C835AB">
        <w:rPr>
          <w:rFonts w:ascii="Times New Roman" w:eastAsia="Times New Roman" w:hAnsi="Times New Roman" w:cs="Times New Roman"/>
          <w:color w:val="auto"/>
          <w:kern w:val="0"/>
          <w:sz w:val="24"/>
          <w:lang w:eastAsia="pl-PL"/>
          <w14:ligatures w14:val="none"/>
        </w:rPr>
        <w:t>z 2024 r. poz. 1061</w:t>
      </w:r>
      <w:r w:rsidR="006A278E" w:rsidRPr="00C835AB">
        <w:rPr>
          <w:rFonts w:ascii="Times New Roman" w:eastAsia="Times New Roman" w:hAnsi="Times New Roman" w:cs="Times New Roman"/>
          <w:color w:val="auto"/>
          <w:kern w:val="0"/>
          <w:sz w:val="24"/>
          <w:lang w:eastAsia="pl-PL"/>
          <w14:ligatures w14:val="none"/>
        </w:rPr>
        <w:t xml:space="preserve">, z </w:t>
      </w:r>
      <w:proofErr w:type="spellStart"/>
      <w:r w:rsidR="006A278E" w:rsidRPr="00C835AB">
        <w:rPr>
          <w:rFonts w:ascii="Times New Roman" w:eastAsia="Times New Roman" w:hAnsi="Times New Roman" w:cs="Times New Roman"/>
          <w:color w:val="auto"/>
          <w:kern w:val="0"/>
          <w:sz w:val="24"/>
          <w:lang w:eastAsia="pl-PL"/>
          <w14:ligatures w14:val="none"/>
        </w:rPr>
        <w:t>późn</w:t>
      </w:r>
      <w:proofErr w:type="spellEnd"/>
      <w:r w:rsidR="006A278E" w:rsidRPr="00C835AB">
        <w:rPr>
          <w:rFonts w:ascii="Times New Roman" w:eastAsia="Times New Roman" w:hAnsi="Times New Roman" w:cs="Times New Roman"/>
          <w:color w:val="auto"/>
          <w:kern w:val="0"/>
          <w:sz w:val="24"/>
          <w:lang w:eastAsia="pl-PL"/>
          <w14:ligatures w14:val="none"/>
        </w:rPr>
        <w:t>. zm.</w:t>
      </w:r>
      <w:r w:rsidRPr="00C835AB">
        <w:rPr>
          <w:rFonts w:ascii="Times New Roman" w:eastAsia="Times New Roman" w:hAnsi="Times New Roman" w:cs="Times New Roman"/>
          <w:color w:val="auto"/>
          <w:kern w:val="0"/>
          <w:sz w:val="24"/>
          <w:lang w:eastAsia="pl-PL"/>
          <w14:ligatures w14:val="none"/>
        </w:rPr>
        <w:t>).</w:t>
      </w:r>
      <w:r w:rsidRPr="00C835AB">
        <w:rPr>
          <w:rFonts w:ascii="Times New Roman" w:hAnsi="Times New Roman" w:cs="Times New Roman"/>
          <w:color w:val="auto"/>
          <w:sz w:val="24"/>
          <w:shd w:val="clear" w:color="auto" w:fill="FFFFFF"/>
        </w:rPr>
        <w:t xml:space="preserve"> Trzyletni okres przedawnienia stanowi standard ogólnie akceptowalny na gruncie prawa cywilnego. Proponowana zmiana zmierza do zachowania spójności systemowej przepisów o</w:t>
      </w:r>
      <w:r w:rsidR="00A76A6B" w:rsidRPr="00C835AB">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przedawnieniu roszczeń.</w:t>
      </w:r>
    </w:p>
    <w:p w14:paraId="001F03C3" w14:textId="61A4E5DC" w:rsidR="44357A46" w:rsidRPr="00C835AB" w:rsidRDefault="44357A46" w:rsidP="00D823D0">
      <w:pPr>
        <w:rPr>
          <w:rFonts w:ascii="Times New Roman" w:hAnsi="Times New Roman" w:cs="Times New Roman"/>
          <w:color w:val="auto"/>
          <w:sz w:val="24"/>
        </w:rPr>
      </w:pPr>
    </w:p>
    <w:p w14:paraId="6FE48043" w14:textId="12C71449" w:rsidR="00621B23" w:rsidRPr="00C835AB" w:rsidRDefault="7B8D44C9"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A</w:t>
      </w:r>
      <w:r w:rsidR="3E9074B7" w:rsidRPr="00C835AB">
        <w:rPr>
          <w:rFonts w:ascii="Times New Roman" w:hAnsi="Times New Roman" w:cs="Times New Roman"/>
          <w:b/>
          <w:bCs/>
          <w:color w:val="auto"/>
          <w:sz w:val="24"/>
        </w:rPr>
        <w:t>rt. 618b § 3</w:t>
      </w:r>
      <w:r w:rsidR="0069543A" w:rsidRPr="00C835AB">
        <w:rPr>
          <w:rFonts w:ascii="Times New Roman" w:hAnsi="Times New Roman" w:cs="Times New Roman"/>
          <w:b/>
          <w:bCs/>
          <w:color w:val="auto"/>
          <w:sz w:val="24"/>
        </w:rPr>
        <w:t xml:space="preserve"> k.p.k.</w:t>
      </w:r>
    </w:p>
    <w:p w14:paraId="67351DD0" w14:textId="547F3DC2" w:rsidR="00E97D97" w:rsidRDefault="002E7486" w:rsidP="00D823D0">
      <w:pPr>
        <w:pStyle w:val="Tekstprzypisudolnego"/>
        <w:spacing w:line="360" w:lineRule="auto"/>
        <w:ind w:firstLine="708"/>
        <w:jc w:val="both"/>
        <w:rPr>
          <w:rFonts w:ascii="Times New Roman" w:eastAsia="Calibri" w:hAnsi="Times New Roman" w:cs="Times New Roman"/>
          <w:sz w:val="24"/>
          <w:szCs w:val="24"/>
        </w:rPr>
      </w:pPr>
      <w:r w:rsidRPr="00C835AB">
        <w:rPr>
          <w:rFonts w:ascii="Times New Roman" w:hAnsi="Times New Roman" w:cs="Times New Roman"/>
          <w:sz w:val="24"/>
          <w:szCs w:val="24"/>
        </w:rPr>
        <w:t>Projektowana z</w:t>
      </w:r>
      <w:r w:rsidR="00E97D97" w:rsidRPr="00C835AB">
        <w:rPr>
          <w:rFonts w:ascii="Times New Roman" w:hAnsi="Times New Roman" w:cs="Times New Roman"/>
          <w:sz w:val="24"/>
          <w:szCs w:val="24"/>
        </w:rPr>
        <w:t xml:space="preserve">miana art. 618b § 3 k.p.k. polega na podniesieniu kwoty stanowiącej górną granicę należności dla świadka do równowartości </w:t>
      </w:r>
      <w:r w:rsidR="00EB5861" w:rsidRPr="00C835AB">
        <w:rPr>
          <w:rFonts w:ascii="Times New Roman" w:hAnsi="Times New Roman" w:cs="Times New Roman"/>
          <w:sz w:val="24"/>
          <w:szCs w:val="24"/>
        </w:rPr>
        <w:t>1</w:t>
      </w:r>
      <w:r w:rsidR="00EB5861">
        <w:rPr>
          <w:rFonts w:ascii="Times New Roman" w:hAnsi="Times New Roman" w:cs="Times New Roman"/>
          <w:sz w:val="24"/>
          <w:szCs w:val="24"/>
        </w:rPr>
        <w:t>2</w:t>
      </w:r>
      <w:r w:rsidR="00E97D97" w:rsidRPr="00C835AB">
        <w:rPr>
          <w:rFonts w:ascii="Times New Roman" w:hAnsi="Times New Roman" w:cs="Times New Roman"/>
          <w:sz w:val="24"/>
          <w:szCs w:val="24"/>
        </w:rPr>
        <w:t xml:space="preserve">% kwoty bazowej dla osób zajmujących kierownicze stanowiska państwowe. </w:t>
      </w:r>
      <w:r w:rsidR="00E97D97" w:rsidRPr="00C835AB">
        <w:rPr>
          <w:rFonts w:ascii="Times New Roman" w:eastAsia="Calibri" w:hAnsi="Times New Roman" w:cs="Times New Roman"/>
          <w:sz w:val="24"/>
          <w:szCs w:val="24"/>
        </w:rPr>
        <w:t>Zgodnie z art. 9 ust. 1 ustawy z dnia 23</w:t>
      </w:r>
      <w:r w:rsidR="00A76A6B" w:rsidRPr="00C835AB">
        <w:rPr>
          <w:rFonts w:ascii="Times New Roman" w:eastAsia="Calibri" w:hAnsi="Times New Roman" w:cs="Times New Roman"/>
          <w:sz w:val="24"/>
          <w:szCs w:val="24"/>
        </w:rPr>
        <w:t> </w:t>
      </w:r>
      <w:r w:rsidR="00E97D97" w:rsidRPr="00C835AB">
        <w:rPr>
          <w:rFonts w:ascii="Times New Roman" w:eastAsia="Calibri" w:hAnsi="Times New Roman" w:cs="Times New Roman"/>
          <w:sz w:val="24"/>
          <w:szCs w:val="24"/>
        </w:rPr>
        <w:t xml:space="preserve">grudnia 1999 r. o kształtowaniu wynagrodzeń w państwowej sferze budżetowej </w:t>
      </w:r>
      <w:r w:rsidR="00E97D97" w:rsidRPr="00C835AB">
        <w:rPr>
          <w:rFonts w:ascii="Times New Roman" w:eastAsia="Calibri" w:hAnsi="Times New Roman" w:cs="Times New Roman"/>
          <w:sz w:val="24"/>
          <w:szCs w:val="24"/>
        </w:rPr>
        <w:lastRenderedPageBreak/>
        <w:t>oraz</w:t>
      </w:r>
      <w:r w:rsidR="00BD5665">
        <w:rPr>
          <w:rFonts w:ascii="Times New Roman" w:eastAsia="Calibri" w:hAnsi="Times New Roman" w:cs="Times New Roman"/>
          <w:sz w:val="24"/>
          <w:szCs w:val="24"/>
        </w:rPr>
        <w:t> </w:t>
      </w:r>
      <w:r w:rsidR="00E97D97" w:rsidRPr="00C835AB">
        <w:rPr>
          <w:rFonts w:ascii="Times New Roman" w:eastAsia="Calibri" w:hAnsi="Times New Roman" w:cs="Times New Roman"/>
          <w:sz w:val="24"/>
          <w:szCs w:val="24"/>
        </w:rPr>
        <w:t>o</w:t>
      </w:r>
      <w:r w:rsidR="00A76A6B" w:rsidRPr="00C835AB">
        <w:rPr>
          <w:rFonts w:ascii="Times New Roman" w:eastAsia="Calibri" w:hAnsi="Times New Roman" w:cs="Times New Roman"/>
          <w:sz w:val="24"/>
          <w:szCs w:val="24"/>
        </w:rPr>
        <w:t> </w:t>
      </w:r>
      <w:r w:rsidR="00E97D97" w:rsidRPr="00C835AB">
        <w:rPr>
          <w:rFonts w:ascii="Times New Roman" w:eastAsia="Calibri" w:hAnsi="Times New Roman" w:cs="Times New Roman"/>
          <w:sz w:val="24"/>
          <w:szCs w:val="24"/>
        </w:rPr>
        <w:t xml:space="preserve">zmianie niektórych ustaw (Dz. U. z </w:t>
      </w:r>
      <w:r w:rsidR="00893E5E" w:rsidRPr="00C835AB">
        <w:rPr>
          <w:rFonts w:ascii="Times New Roman" w:eastAsia="Calibri" w:hAnsi="Times New Roman" w:cs="Times New Roman"/>
          <w:sz w:val="24"/>
          <w:szCs w:val="24"/>
        </w:rPr>
        <w:t>202</w:t>
      </w:r>
      <w:r w:rsidR="00893E5E">
        <w:rPr>
          <w:rFonts w:ascii="Times New Roman" w:eastAsia="Calibri" w:hAnsi="Times New Roman" w:cs="Times New Roman"/>
          <w:sz w:val="24"/>
          <w:szCs w:val="24"/>
        </w:rPr>
        <w:t>4</w:t>
      </w:r>
      <w:r w:rsidR="00893E5E" w:rsidRPr="00C835AB">
        <w:rPr>
          <w:rFonts w:ascii="Times New Roman" w:eastAsia="Calibri" w:hAnsi="Times New Roman" w:cs="Times New Roman"/>
          <w:sz w:val="24"/>
          <w:szCs w:val="24"/>
        </w:rPr>
        <w:t xml:space="preserve"> </w:t>
      </w:r>
      <w:r w:rsidR="00E97D97" w:rsidRPr="00C835AB">
        <w:rPr>
          <w:rFonts w:ascii="Times New Roman" w:eastAsia="Calibri" w:hAnsi="Times New Roman" w:cs="Times New Roman"/>
          <w:sz w:val="24"/>
          <w:szCs w:val="24"/>
        </w:rPr>
        <w:t xml:space="preserve">r. poz. </w:t>
      </w:r>
      <w:r w:rsidR="00893E5E">
        <w:rPr>
          <w:rFonts w:ascii="Times New Roman" w:eastAsia="Calibri" w:hAnsi="Times New Roman" w:cs="Times New Roman"/>
          <w:sz w:val="24"/>
          <w:szCs w:val="24"/>
        </w:rPr>
        <w:t>1356</w:t>
      </w:r>
      <w:r w:rsidR="00E97D97" w:rsidRPr="00C835AB">
        <w:rPr>
          <w:rFonts w:ascii="Times New Roman" w:eastAsia="Calibri" w:hAnsi="Times New Roman" w:cs="Times New Roman"/>
          <w:sz w:val="24"/>
          <w:szCs w:val="24"/>
        </w:rPr>
        <w:t xml:space="preserve">) </w:t>
      </w:r>
      <w:r w:rsidR="00CC0D29" w:rsidRPr="00C835AB">
        <w:rPr>
          <w:rFonts w:ascii="Times New Roman" w:eastAsia="Calibri" w:hAnsi="Times New Roman" w:cs="Times New Roman"/>
          <w:sz w:val="24"/>
          <w:szCs w:val="24"/>
        </w:rPr>
        <w:t>w ustawie budżetowej ustala się</w:t>
      </w:r>
      <w:r w:rsidR="00BD5665">
        <w:rPr>
          <w:rFonts w:ascii="Times New Roman" w:eastAsia="Calibri" w:hAnsi="Times New Roman" w:cs="Times New Roman"/>
          <w:sz w:val="24"/>
          <w:szCs w:val="24"/>
        </w:rPr>
        <w:t> </w:t>
      </w:r>
      <w:r w:rsidR="00CC0D29" w:rsidRPr="00C835AB">
        <w:rPr>
          <w:rFonts w:ascii="Times New Roman" w:eastAsia="Calibri" w:hAnsi="Times New Roman" w:cs="Times New Roman"/>
          <w:sz w:val="24"/>
          <w:szCs w:val="24"/>
        </w:rPr>
        <w:t>kwoty bazowe. W art. 9 ust</w:t>
      </w:r>
      <w:r w:rsidR="00796D23">
        <w:rPr>
          <w:rFonts w:ascii="Times New Roman" w:eastAsia="Calibri" w:hAnsi="Times New Roman" w:cs="Times New Roman"/>
          <w:sz w:val="24"/>
          <w:szCs w:val="24"/>
        </w:rPr>
        <w:t>.</w:t>
      </w:r>
      <w:r w:rsidR="00CC0D29" w:rsidRPr="00C835AB">
        <w:rPr>
          <w:rFonts w:ascii="Times New Roman" w:eastAsia="Calibri" w:hAnsi="Times New Roman" w:cs="Times New Roman"/>
          <w:sz w:val="24"/>
          <w:szCs w:val="24"/>
        </w:rPr>
        <w:t xml:space="preserve"> 1 pkt 2 lit. a ustawy budżetowej na rok </w:t>
      </w:r>
      <w:r w:rsidR="00893E5E" w:rsidRPr="00C835AB">
        <w:rPr>
          <w:rFonts w:ascii="Times New Roman" w:eastAsia="Calibri" w:hAnsi="Times New Roman" w:cs="Times New Roman"/>
          <w:sz w:val="24"/>
          <w:szCs w:val="24"/>
        </w:rPr>
        <w:t>202</w:t>
      </w:r>
      <w:r w:rsidR="00893E5E">
        <w:rPr>
          <w:rFonts w:ascii="Times New Roman" w:eastAsia="Calibri" w:hAnsi="Times New Roman" w:cs="Times New Roman"/>
          <w:sz w:val="24"/>
          <w:szCs w:val="24"/>
        </w:rPr>
        <w:t>5</w:t>
      </w:r>
      <w:r w:rsidR="00893E5E" w:rsidRPr="00C835AB">
        <w:rPr>
          <w:rFonts w:ascii="Times New Roman" w:eastAsia="Calibri" w:hAnsi="Times New Roman" w:cs="Times New Roman"/>
          <w:sz w:val="24"/>
          <w:szCs w:val="24"/>
        </w:rPr>
        <w:t xml:space="preserve"> </w:t>
      </w:r>
      <w:r w:rsidR="00CC0D29" w:rsidRPr="00C835AB">
        <w:rPr>
          <w:rFonts w:ascii="Times New Roman" w:eastAsia="Calibri" w:hAnsi="Times New Roman" w:cs="Times New Roman"/>
          <w:sz w:val="24"/>
          <w:szCs w:val="24"/>
        </w:rPr>
        <w:t>r. (Dz.</w:t>
      </w:r>
      <w:r w:rsidR="00173F47" w:rsidRPr="00C835AB">
        <w:rPr>
          <w:rFonts w:ascii="Times New Roman" w:eastAsia="Calibri" w:hAnsi="Times New Roman" w:cs="Times New Roman"/>
          <w:sz w:val="24"/>
          <w:szCs w:val="24"/>
        </w:rPr>
        <w:t xml:space="preserve"> </w:t>
      </w:r>
      <w:r w:rsidR="00CC0D29" w:rsidRPr="00C835AB">
        <w:rPr>
          <w:rFonts w:ascii="Times New Roman" w:eastAsia="Calibri" w:hAnsi="Times New Roman" w:cs="Times New Roman"/>
          <w:sz w:val="24"/>
          <w:szCs w:val="24"/>
        </w:rPr>
        <w:t xml:space="preserve">U. poz. </w:t>
      </w:r>
      <w:r w:rsidR="00EB5861">
        <w:rPr>
          <w:rFonts w:ascii="Times New Roman" w:eastAsia="Calibri" w:hAnsi="Times New Roman" w:cs="Times New Roman"/>
          <w:sz w:val="24"/>
          <w:szCs w:val="24"/>
        </w:rPr>
        <w:t>63</w:t>
      </w:r>
      <w:r w:rsidR="00CC0D29" w:rsidRPr="00C835AB">
        <w:rPr>
          <w:rFonts w:ascii="Times New Roman" w:eastAsia="Calibri" w:hAnsi="Times New Roman" w:cs="Times New Roman"/>
          <w:sz w:val="24"/>
          <w:szCs w:val="24"/>
        </w:rPr>
        <w:t xml:space="preserve">) wskazano, że </w:t>
      </w:r>
      <w:r w:rsidR="00E97D97" w:rsidRPr="00C835AB">
        <w:rPr>
          <w:rFonts w:ascii="Times New Roman" w:eastAsia="Calibri" w:hAnsi="Times New Roman" w:cs="Times New Roman"/>
          <w:sz w:val="24"/>
          <w:szCs w:val="24"/>
        </w:rPr>
        <w:t>kwota bazowa dla osób zajmujących kierownicze stanowiska państwowe wynosi 1.</w:t>
      </w:r>
      <w:r w:rsidR="00893E5E">
        <w:rPr>
          <w:rFonts w:ascii="Times New Roman" w:eastAsia="Calibri" w:hAnsi="Times New Roman" w:cs="Times New Roman"/>
          <w:sz w:val="24"/>
          <w:szCs w:val="24"/>
        </w:rPr>
        <w:t>878</w:t>
      </w:r>
      <w:r w:rsidR="00E97D97" w:rsidRPr="00C835AB">
        <w:rPr>
          <w:rFonts w:ascii="Times New Roman" w:eastAsia="Calibri" w:hAnsi="Times New Roman" w:cs="Times New Roman"/>
          <w:sz w:val="24"/>
          <w:szCs w:val="24"/>
        </w:rPr>
        <w:t>,</w:t>
      </w:r>
      <w:r w:rsidR="00893E5E">
        <w:rPr>
          <w:rFonts w:ascii="Times New Roman" w:eastAsia="Calibri" w:hAnsi="Times New Roman" w:cs="Times New Roman"/>
          <w:sz w:val="24"/>
          <w:szCs w:val="24"/>
        </w:rPr>
        <w:t>89 </w:t>
      </w:r>
      <w:r w:rsidR="00E97D97" w:rsidRPr="00C835AB">
        <w:rPr>
          <w:rFonts w:ascii="Times New Roman" w:eastAsia="Calibri" w:hAnsi="Times New Roman" w:cs="Times New Roman"/>
          <w:sz w:val="24"/>
          <w:szCs w:val="24"/>
        </w:rPr>
        <w:t>zł</w:t>
      </w:r>
      <w:r w:rsidR="00C964B0" w:rsidRPr="00C835AB">
        <w:rPr>
          <w:rFonts w:ascii="Times New Roman" w:eastAsia="Calibri" w:hAnsi="Times New Roman" w:cs="Times New Roman"/>
          <w:sz w:val="24"/>
          <w:szCs w:val="24"/>
        </w:rPr>
        <w:t>otych</w:t>
      </w:r>
      <w:r w:rsidR="00E97D97" w:rsidRPr="00C835AB">
        <w:rPr>
          <w:rFonts w:ascii="Times New Roman" w:eastAsia="Calibri" w:hAnsi="Times New Roman" w:cs="Times New Roman"/>
          <w:sz w:val="24"/>
          <w:szCs w:val="24"/>
        </w:rPr>
        <w:t>. W projekcie proponuje się podwyższenie górnego limitu należności dla</w:t>
      </w:r>
      <w:r w:rsidR="00BD5665">
        <w:rPr>
          <w:rFonts w:ascii="Times New Roman" w:eastAsia="Calibri" w:hAnsi="Times New Roman" w:cs="Times New Roman"/>
          <w:sz w:val="24"/>
          <w:szCs w:val="24"/>
        </w:rPr>
        <w:t> </w:t>
      </w:r>
      <w:r w:rsidR="00E97D97" w:rsidRPr="00C835AB">
        <w:rPr>
          <w:rFonts w:ascii="Times New Roman" w:eastAsia="Calibri" w:hAnsi="Times New Roman" w:cs="Times New Roman"/>
          <w:sz w:val="24"/>
          <w:szCs w:val="24"/>
        </w:rPr>
        <w:t>świadka z</w:t>
      </w:r>
      <w:r w:rsidR="001A3D13" w:rsidRPr="00C835AB">
        <w:rPr>
          <w:rFonts w:ascii="Times New Roman" w:eastAsia="Calibri" w:hAnsi="Times New Roman" w:cs="Times New Roman"/>
          <w:sz w:val="24"/>
          <w:szCs w:val="24"/>
        </w:rPr>
        <w:t> </w:t>
      </w:r>
      <w:r w:rsidR="00E97D97" w:rsidRPr="00C835AB">
        <w:rPr>
          <w:rFonts w:ascii="Times New Roman" w:eastAsia="Calibri" w:hAnsi="Times New Roman" w:cs="Times New Roman"/>
          <w:sz w:val="24"/>
          <w:szCs w:val="24"/>
        </w:rPr>
        <w:t>4,6% wskazanej kwoty bazowej (</w:t>
      </w:r>
      <w:r w:rsidR="00893E5E" w:rsidRPr="00C835AB">
        <w:rPr>
          <w:rFonts w:ascii="Times New Roman" w:eastAsia="Calibri" w:hAnsi="Times New Roman" w:cs="Times New Roman"/>
          <w:sz w:val="24"/>
          <w:szCs w:val="24"/>
        </w:rPr>
        <w:t>8</w:t>
      </w:r>
      <w:r w:rsidR="00893E5E">
        <w:rPr>
          <w:rFonts w:ascii="Times New Roman" w:eastAsia="Calibri" w:hAnsi="Times New Roman" w:cs="Times New Roman"/>
          <w:sz w:val="24"/>
          <w:szCs w:val="24"/>
        </w:rPr>
        <w:t>6</w:t>
      </w:r>
      <w:r w:rsidR="00E97D97" w:rsidRPr="00C835AB">
        <w:rPr>
          <w:rFonts w:ascii="Times New Roman" w:eastAsia="Calibri" w:hAnsi="Times New Roman" w:cs="Times New Roman"/>
          <w:sz w:val="24"/>
          <w:szCs w:val="24"/>
        </w:rPr>
        <w:t>,</w:t>
      </w:r>
      <w:r w:rsidR="00893E5E">
        <w:rPr>
          <w:rFonts w:ascii="Times New Roman" w:eastAsia="Calibri" w:hAnsi="Times New Roman" w:cs="Times New Roman"/>
          <w:sz w:val="24"/>
          <w:szCs w:val="24"/>
        </w:rPr>
        <w:t>43</w:t>
      </w:r>
      <w:r w:rsidR="00893E5E" w:rsidRPr="00C835AB">
        <w:rPr>
          <w:rFonts w:ascii="Times New Roman" w:eastAsia="Calibri" w:hAnsi="Times New Roman" w:cs="Times New Roman"/>
          <w:sz w:val="24"/>
          <w:szCs w:val="24"/>
        </w:rPr>
        <w:t xml:space="preserve"> </w:t>
      </w:r>
      <w:r w:rsidR="00E97D97" w:rsidRPr="00C835AB">
        <w:rPr>
          <w:rFonts w:ascii="Times New Roman" w:eastAsia="Calibri" w:hAnsi="Times New Roman" w:cs="Times New Roman"/>
          <w:sz w:val="24"/>
          <w:szCs w:val="24"/>
        </w:rPr>
        <w:t>zł</w:t>
      </w:r>
      <w:r w:rsidR="006A278E" w:rsidRPr="00C835AB">
        <w:rPr>
          <w:rFonts w:ascii="Times New Roman" w:eastAsia="Calibri" w:hAnsi="Times New Roman" w:cs="Times New Roman"/>
          <w:sz w:val="24"/>
          <w:szCs w:val="24"/>
        </w:rPr>
        <w:t>otych</w:t>
      </w:r>
      <w:r w:rsidR="00E97D97" w:rsidRPr="00C835AB">
        <w:rPr>
          <w:rFonts w:ascii="Times New Roman" w:eastAsia="Calibri" w:hAnsi="Times New Roman" w:cs="Times New Roman"/>
          <w:sz w:val="24"/>
          <w:szCs w:val="24"/>
        </w:rPr>
        <w:t xml:space="preserve">) do </w:t>
      </w:r>
      <w:r w:rsidR="00893E5E" w:rsidRPr="00C835AB">
        <w:rPr>
          <w:rFonts w:ascii="Times New Roman" w:eastAsia="Calibri" w:hAnsi="Times New Roman" w:cs="Times New Roman"/>
          <w:sz w:val="24"/>
          <w:szCs w:val="24"/>
        </w:rPr>
        <w:t>1</w:t>
      </w:r>
      <w:r w:rsidR="00893E5E">
        <w:rPr>
          <w:rFonts w:ascii="Times New Roman" w:eastAsia="Calibri" w:hAnsi="Times New Roman" w:cs="Times New Roman"/>
          <w:sz w:val="24"/>
          <w:szCs w:val="24"/>
        </w:rPr>
        <w:t>2</w:t>
      </w:r>
      <w:r w:rsidR="00E97D97" w:rsidRPr="00C835AB">
        <w:rPr>
          <w:rFonts w:ascii="Times New Roman" w:eastAsia="Calibri" w:hAnsi="Times New Roman" w:cs="Times New Roman"/>
          <w:sz w:val="24"/>
          <w:szCs w:val="24"/>
        </w:rPr>
        <w:t>% tej kwoty (</w:t>
      </w:r>
      <w:r w:rsidR="00EB5861">
        <w:rPr>
          <w:rFonts w:ascii="Times New Roman" w:eastAsia="Calibri" w:hAnsi="Times New Roman" w:cs="Times New Roman"/>
          <w:sz w:val="24"/>
          <w:szCs w:val="24"/>
        </w:rPr>
        <w:t>225</w:t>
      </w:r>
      <w:r w:rsidR="00E97D97" w:rsidRPr="00C835AB">
        <w:rPr>
          <w:rFonts w:ascii="Times New Roman" w:eastAsia="Calibri" w:hAnsi="Times New Roman" w:cs="Times New Roman"/>
          <w:sz w:val="24"/>
          <w:szCs w:val="24"/>
        </w:rPr>
        <w:t>,</w:t>
      </w:r>
      <w:r w:rsidR="00EB5861">
        <w:rPr>
          <w:rFonts w:ascii="Times New Roman" w:eastAsia="Calibri" w:hAnsi="Times New Roman" w:cs="Times New Roman"/>
          <w:sz w:val="24"/>
          <w:szCs w:val="24"/>
        </w:rPr>
        <w:t>47 </w:t>
      </w:r>
      <w:r w:rsidR="00E97D97" w:rsidRPr="00C835AB">
        <w:rPr>
          <w:rFonts w:ascii="Times New Roman" w:eastAsia="Calibri" w:hAnsi="Times New Roman" w:cs="Times New Roman"/>
          <w:sz w:val="24"/>
          <w:szCs w:val="24"/>
        </w:rPr>
        <w:t>zł</w:t>
      </w:r>
      <w:r w:rsidR="006A278E" w:rsidRPr="00C835AB">
        <w:rPr>
          <w:rFonts w:ascii="Times New Roman" w:eastAsia="Calibri" w:hAnsi="Times New Roman" w:cs="Times New Roman"/>
          <w:sz w:val="24"/>
          <w:szCs w:val="24"/>
        </w:rPr>
        <w:t>otych</w:t>
      </w:r>
      <w:r w:rsidR="00E97D97" w:rsidRPr="00C835AB">
        <w:rPr>
          <w:rFonts w:ascii="Times New Roman" w:eastAsia="Calibri" w:hAnsi="Times New Roman" w:cs="Times New Roman"/>
          <w:sz w:val="24"/>
          <w:szCs w:val="24"/>
        </w:rPr>
        <w:t xml:space="preserve">). Mając na uwadze, że od </w:t>
      </w:r>
      <w:r w:rsidR="00CF61BA" w:rsidRPr="00C835AB">
        <w:rPr>
          <w:rFonts w:ascii="Times New Roman" w:eastAsia="Calibri" w:hAnsi="Times New Roman" w:cs="Times New Roman"/>
          <w:sz w:val="24"/>
          <w:szCs w:val="24"/>
        </w:rPr>
        <w:t xml:space="preserve">dnia </w:t>
      </w:r>
      <w:r w:rsidR="00E97D97" w:rsidRPr="00C835AB">
        <w:rPr>
          <w:rFonts w:ascii="Times New Roman" w:eastAsia="Calibri" w:hAnsi="Times New Roman" w:cs="Times New Roman"/>
          <w:sz w:val="24"/>
          <w:szCs w:val="24"/>
        </w:rPr>
        <w:t xml:space="preserve">1 </w:t>
      </w:r>
      <w:r w:rsidR="00EB5861">
        <w:rPr>
          <w:rFonts w:ascii="Times New Roman" w:eastAsia="Calibri" w:hAnsi="Times New Roman" w:cs="Times New Roman"/>
          <w:sz w:val="24"/>
          <w:szCs w:val="24"/>
        </w:rPr>
        <w:t>stycznia</w:t>
      </w:r>
      <w:r w:rsidR="00EB5861" w:rsidRPr="00C835AB">
        <w:rPr>
          <w:rFonts w:ascii="Times New Roman" w:eastAsia="Calibri" w:hAnsi="Times New Roman" w:cs="Times New Roman"/>
          <w:sz w:val="24"/>
          <w:szCs w:val="24"/>
        </w:rPr>
        <w:t xml:space="preserve"> 202</w:t>
      </w:r>
      <w:r w:rsidR="00EB5861">
        <w:rPr>
          <w:rFonts w:ascii="Times New Roman" w:eastAsia="Calibri" w:hAnsi="Times New Roman" w:cs="Times New Roman"/>
          <w:sz w:val="24"/>
          <w:szCs w:val="24"/>
        </w:rPr>
        <w:t>5</w:t>
      </w:r>
      <w:r w:rsidR="00EB5861" w:rsidRPr="00C835AB">
        <w:rPr>
          <w:rFonts w:ascii="Times New Roman" w:eastAsia="Calibri" w:hAnsi="Times New Roman" w:cs="Times New Roman"/>
          <w:sz w:val="24"/>
          <w:szCs w:val="24"/>
        </w:rPr>
        <w:t xml:space="preserve"> </w:t>
      </w:r>
      <w:r w:rsidR="00E97D97" w:rsidRPr="00C835AB">
        <w:rPr>
          <w:rFonts w:ascii="Times New Roman" w:eastAsia="Calibri" w:hAnsi="Times New Roman" w:cs="Times New Roman"/>
          <w:sz w:val="24"/>
          <w:szCs w:val="24"/>
        </w:rPr>
        <w:t>r. minimalne wynagrodzenie za</w:t>
      </w:r>
      <w:r w:rsidR="00BD5665">
        <w:rPr>
          <w:rFonts w:ascii="Times New Roman" w:eastAsia="Calibri" w:hAnsi="Times New Roman" w:cs="Times New Roman"/>
          <w:sz w:val="24"/>
          <w:szCs w:val="24"/>
        </w:rPr>
        <w:t> </w:t>
      </w:r>
      <w:r w:rsidR="00E97D97" w:rsidRPr="00C835AB">
        <w:rPr>
          <w:rFonts w:ascii="Times New Roman" w:eastAsia="Calibri" w:hAnsi="Times New Roman" w:cs="Times New Roman"/>
          <w:sz w:val="24"/>
          <w:szCs w:val="24"/>
        </w:rPr>
        <w:t xml:space="preserve">pracę wynosi </w:t>
      </w:r>
      <w:r w:rsidR="00EB5861" w:rsidRPr="00C835AB">
        <w:rPr>
          <w:rFonts w:ascii="Times New Roman" w:eastAsia="Calibri" w:hAnsi="Times New Roman" w:cs="Times New Roman"/>
          <w:sz w:val="24"/>
          <w:szCs w:val="24"/>
        </w:rPr>
        <w:t>4</w:t>
      </w:r>
      <w:r w:rsidR="00EB5861">
        <w:rPr>
          <w:rFonts w:ascii="Times New Roman" w:eastAsia="Calibri" w:hAnsi="Times New Roman" w:cs="Times New Roman"/>
          <w:sz w:val="24"/>
          <w:szCs w:val="24"/>
        </w:rPr>
        <w:t>666</w:t>
      </w:r>
      <w:r w:rsidR="00EB5861" w:rsidRPr="00C835AB">
        <w:rPr>
          <w:rFonts w:ascii="Times New Roman" w:eastAsia="Calibri" w:hAnsi="Times New Roman" w:cs="Times New Roman"/>
          <w:sz w:val="24"/>
          <w:szCs w:val="24"/>
        </w:rPr>
        <w:t xml:space="preserve"> </w:t>
      </w:r>
      <w:r w:rsidR="00C964B0" w:rsidRPr="00C835AB">
        <w:rPr>
          <w:rFonts w:ascii="Times New Roman" w:eastAsia="Calibri" w:hAnsi="Times New Roman" w:cs="Times New Roman"/>
          <w:sz w:val="24"/>
          <w:szCs w:val="24"/>
        </w:rPr>
        <w:t>złotych</w:t>
      </w:r>
      <w:r w:rsidR="00441CC6" w:rsidRPr="00C835AB">
        <w:rPr>
          <w:rFonts w:ascii="Times New Roman" w:hAnsi="Times New Roman" w:cs="Times New Roman"/>
          <w:sz w:val="24"/>
          <w:szCs w:val="24"/>
        </w:rPr>
        <w:t xml:space="preserve"> (§</w:t>
      </w:r>
      <w:r w:rsidR="00A76A6B" w:rsidRPr="00C835AB">
        <w:rPr>
          <w:rFonts w:ascii="Times New Roman" w:hAnsi="Times New Roman" w:cs="Times New Roman"/>
          <w:sz w:val="24"/>
          <w:szCs w:val="24"/>
        </w:rPr>
        <w:t> </w:t>
      </w:r>
      <w:r w:rsidR="00EB5861">
        <w:rPr>
          <w:rFonts w:ascii="Times New Roman" w:hAnsi="Times New Roman" w:cs="Times New Roman"/>
          <w:sz w:val="24"/>
          <w:szCs w:val="24"/>
        </w:rPr>
        <w:t>1</w:t>
      </w:r>
      <w:r w:rsidR="00EB5861" w:rsidRPr="00C835AB">
        <w:rPr>
          <w:rFonts w:ascii="Times New Roman" w:hAnsi="Times New Roman" w:cs="Times New Roman"/>
          <w:sz w:val="24"/>
          <w:szCs w:val="24"/>
        </w:rPr>
        <w:t xml:space="preserve"> </w:t>
      </w:r>
      <w:r w:rsidR="00441CC6" w:rsidRPr="00C835AB">
        <w:rPr>
          <w:rFonts w:ascii="Times New Roman" w:hAnsi="Times New Roman" w:cs="Times New Roman"/>
          <w:sz w:val="24"/>
          <w:szCs w:val="24"/>
        </w:rPr>
        <w:t xml:space="preserve">rozporządzenie Rady Ministrów </w:t>
      </w:r>
      <w:r w:rsidR="00847FEF" w:rsidRPr="00C835AB">
        <w:rPr>
          <w:rFonts w:ascii="Times New Roman" w:hAnsi="Times New Roman" w:cs="Times New Roman"/>
          <w:sz w:val="24"/>
          <w:szCs w:val="24"/>
        </w:rPr>
        <w:t xml:space="preserve">z dnia </w:t>
      </w:r>
      <w:r w:rsidR="00EB5861" w:rsidRPr="00C835AB">
        <w:rPr>
          <w:rFonts w:ascii="Times New Roman" w:hAnsi="Times New Roman" w:cs="Times New Roman"/>
          <w:sz w:val="24"/>
          <w:szCs w:val="24"/>
        </w:rPr>
        <w:t>1</w:t>
      </w:r>
      <w:r w:rsidR="00EB5861">
        <w:rPr>
          <w:rFonts w:ascii="Times New Roman" w:hAnsi="Times New Roman" w:cs="Times New Roman"/>
          <w:sz w:val="24"/>
          <w:szCs w:val="24"/>
        </w:rPr>
        <w:t>2</w:t>
      </w:r>
      <w:r w:rsidR="00EB5861" w:rsidRPr="00C835AB">
        <w:rPr>
          <w:rFonts w:ascii="Times New Roman" w:hAnsi="Times New Roman" w:cs="Times New Roman"/>
          <w:sz w:val="24"/>
          <w:szCs w:val="24"/>
        </w:rPr>
        <w:t xml:space="preserve"> </w:t>
      </w:r>
      <w:r w:rsidR="00847FEF" w:rsidRPr="00C835AB">
        <w:rPr>
          <w:rFonts w:ascii="Times New Roman" w:hAnsi="Times New Roman" w:cs="Times New Roman"/>
          <w:sz w:val="24"/>
          <w:szCs w:val="24"/>
        </w:rPr>
        <w:t xml:space="preserve">września </w:t>
      </w:r>
      <w:r w:rsidR="00EB5861" w:rsidRPr="00C835AB">
        <w:rPr>
          <w:rFonts w:ascii="Times New Roman" w:hAnsi="Times New Roman" w:cs="Times New Roman"/>
          <w:sz w:val="24"/>
          <w:szCs w:val="24"/>
        </w:rPr>
        <w:t>202</w:t>
      </w:r>
      <w:r w:rsidR="00EB5861">
        <w:rPr>
          <w:rFonts w:ascii="Times New Roman" w:hAnsi="Times New Roman" w:cs="Times New Roman"/>
          <w:sz w:val="24"/>
          <w:szCs w:val="24"/>
        </w:rPr>
        <w:t>4</w:t>
      </w:r>
      <w:r w:rsidR="00EB5861" w:rsidRPr="00C835AB">
        <w:rPr>
          <w:rFonts w:ascii="Times New Roman" w:hAnsi="Times New Roman" w:cs="Times New Roman"/>
          <w:sz w:val="24"/>
          <w:szCs w:val="24"/>
        </w:rPr>
        <w:t xml:space="preserve"> </w:t>
      </w:r>
      <w:r w:rsidR="00847FEF" w:rsidRPr="00C835AB">
        <w:rPr>
          <w:rFonts w:ascii="Times New Roman" w:hAnsi="Times New Roman" w:cs="Times New Roman"/>
          <w:sz w:val="24"/>
          <w:szCs w:val="24"/>
        </w:rPr>
        <w:t xml:space="preserve">r. </w:t>
      </w:r>
      <w:r w:rsidR="00441CC6" w:rsidRPr="00C835AB">
        <w:rPr>
          <w:rFonts w:ascii="Times New Roman" w:hAnsi="Times New Roman" w:cs="Times New Roman"/>
          <w:sz w:val="24"/>
          <w:szCs w:val="24"/>
        </w:rPr>
        <w:t>w sprawie wysokości minimalnego wynagrodzenia za pracę oraz wysokości minimalnej stawki godzinowej w</w:t>
      </w:r>
      <w:r w:rsidR="001A3D13" w:rsidRPr="00C835AB">
        <w:rPr>
          <w:rFonts w:ascii="Times New Roman" w:hAnsi="Times New Roman" w:cs="Times New Roman"/>
          <w:sz w:val="24"/>
          <w:szCs w:val="24"/>
        </w:rPr>
        <w:t> </w:t>
      </w:r>
      <w:r w:rsidR="00441CC6" w:rsidRPr="00C835AB">
        <w:rPr>
          <w:rFonts w:ascii="Times New Roman" w:hAnsi="Times New Roman" w:cs="Times New Roman"/>
          <w:sz w:val="24"/>
          <w:szCs w:val="24"/>
        </w:rPr>
        <w:t>202</w:t>
      </w:r>
      <w:r w:rsidR="00EB5861">
        <w:rPr>
          <w:rFonts w:ascii="Times New Roman" w:hAnsi="Times New Roman" w:cs="Times New Roman"/>
          <w:sz w:val="24"/>
          <w:szCs w:val="24"/>
        </w:rPr>
        <w:t>5</w:t>
      </w:r>
      <w:r w:rsidR="00441CC6" w:rsidRPr="00C835AB">
        <w:rPr>
          <w:rFonts w:ascii="Times New Roman" w:hAnsi="Times New Roman" w:cs="Times New Roman"/>
          <w:sz w:val="24"/>
          <w:szCs w:val="24"/>
        </w:rPr>
        <w:t xml:space="preserve"> r., Dz. U. poz. </w:t>
      </w:r>
      <w:r w:rsidR="00EB5861">
        <w:rPr>
          <w:rFonts w:ascii="Times New Roman" w:hAnsi="Times New Roman" w:cs="Times New Roman"/>
          <w:sz w:val="24"/>
          <w:szCs w:val="24"/>
        </w:rPr>
        <w:t>1362</w:t>
      </w:r>
      <w:r w:rsidR="00441CC6" w:rsidRPr="00C835AB">
        <w:rPr>
          <w:rFonts w:ascii="Times New Roman" w:hAnsi="Times New Roman" w:cs="Times New Roman"/>
          <w:sz w:val="24"/>
          <w:szCs w:val="24"/>
        </w:rPr>
        <w:t xml:space="preserve">), </w:t>
      </w:r>
      <w:r w:rsidR="00E97D97" w:rsidRPr="00C835AB">
        <w:rPr>
          <w:rFonts w:ascii="Times New Roman" w:eastAsia="Calibri" w:hAnsi="Times New Roman" w:cs="Times New Roman"/>
          <w:sz w:val="24"/>
          <w:szCs w:val="24"/>
        </w:rPr>
        <w:t xml:space="preserve">należy przyjąć, że średnie dzienne minimalne wynagrodzenie to </w:t>
      </w:r>
      <w:r w:rsidR="00EB5861">
        <w:rPr>
          <w:rFonts w:ascii="Times New Roman" w:eastAsia="Calibri" w:hAnsi="Times New Roman" w:cs="Times New Roman"/>
          <w:sz w:val="24"/>
          <w:szCs w:val="24"/>
        </w:rPr>
        <w:t>212,09</w:t>
      </w:r>
      <w:r w:rsidR="00E97D97" w:rsidRPr="00C835AB">
        <w:rPr>
          <w:rFonts w:ascii="Times New Roman" w:eastAsia="Calibri" w:hAnsi="Times New Roman" w:cs="Times New Roman"/>
          <w:sz w:val="24"/>
          <w:szCs w:val="24"/>
        </w:rPr>
        <w:t xml:space="preserve"> zł</w:t>
      </w:r>
      <w:r w:rsidR="00C964B0" w:rsidRPr="00C835AB">
        <w:rPr>
          <w:rFonts w:ascii="Times New Roman" w:eastAsia="Calibri" w:hAnsi="Times New Roman" w:cs="Times New Roman"/>
          <w:sz w:val="24"/>
          <w:szCs w:val="24"/>
        </w:rPr>
        <w:t>otych</w:t>
      </w:r>
      <w:r w:rsidR="00E97D97" w:rsidRPr="00C835AB">
        <w:rPr>
          <w:rFonts w:ascii="Times New Roman" w:eastAsia="Calibri" w:hAnsi="Times New Roman" w:cs="Times New Roman"/>
          <w:sz w:val="24"/>
          <w:szCs w:val="24"/>
        </w:rPr>
        <w:t xml:space="preserve"> (</w:t>
      </w:r>
      <w:r w:rsidR="00EB5861" w:rsidRPr="00C835AB">
        <w:rPr>
          <w:rFonts w:ascii="Times New Roman" w:eastAsia="Calibri" w:hAnsi="Times New Roman" w:cs="Times New Roman"/>
          <w:sz w:val="24"/>
          <w:szCs w:val="24"/>
        </w:rPr>
        <w:t>4</w:t>
      </w:r>
      <w:r w:rsidR="00EB5861">
        <w:rPr>
          <w:rFonts w:ascii="Times New Roman" w:eastAsia="Calibri" w:hAnsi="Times New Roman" w:cs="Times New Roman"/>
          <w:sz w:val="24"/>
          <w:szCs w:val="24"/>
        </w:rPr>
        <w:t>666</w:t>
      </w:r>
      <w:r w:rsidR="00EB5861" w:rsidRPr="00C835AB">
        <w:rPr>
          <w:rFonts w:ascii="Times New Roman" w:eastAsia="Calibri" w:hAnsi="Times New Roman" w:cs="Times New Roman"/>
          <w:sz w:val="24"/>
          <w:szCs w:val="24"/>
        </w:rPr>
        <w:t xml:space="preserve"> </w:t>
      </w:r>
      <w:r w:rsidR="00E97D97" w:rsidRPr="00C835AB">
        <w:rPr>
          <w:rFonts w:ascii="Times New Roman" w:eastAsia="Calibri" w:hAnsi="Times New Roman" w:cs="Times New Roman"/>
          <w:sz w:val="24"/>
          <w:szCs w:val="24"/>
        </w:rPr>
        <w:t>zł</w:t>
      </w:r>
      <w:r w:rsidR="00C964B0" w:rsidRPr="00C835AB">
        <w:rPr>
          <w:rFonts w:ascii="Times New Roman" w:eastAsia="Calibri" w:hAnsi="Times New Roman" w:cs="Times New Roman"/>
          <w:sz w:val="24"/>
          <w:szCs w:val="24"/>
        </w:rPr>
        <w:t>otych</w:t>
      </w:r>
      <w:r w:rsidR="00E97D97" w:rsidRPr="00C835AB">
        <w:rPr>
          <w:rFonts w:ascii="Times New Roman" w:eastAsia="Calibri" w:hAnsi="Times New Roman" w:cs="Times New Roman"/>
          <w:sz w:val="24"/>
          <w:szCs w:val="24"/>
        </w:rPr>
        <w:t>: 22 dni robocze). Obecnie obowiązujący maksymalny pułap zwrotu utraconego zarobku nie sięga zatem nawet połowy równowartości wynagrodzenia minimalnego. Proponowana nowelizacja ma na celu podwyższenie górnej granicy należności dla świadka do poziomu odpowiadającego minimalnemu wynagrodzeniu za dzień roboczy. Jednocześnie, pozostawiona zostaje zasada, że</w:t>
      </w:r>
      <w:r w:rsidR="00BD5665">
        <w:rPr>
          <w:rFonts w:ascii="Times New Roman" w:eastAsia="Calibri" w:hAnsi="Times New Roman" w:cs="Times New Roman"/>
          <w:sz w:val="24"/>
          <w:szCs w:val="24"/>
        </w:rPr>
        <w:t> </w:t>
      </w:r>
      <w:r w:rsidR="00E97D97" w:rsidRPr="00C835AB">
        <w:rPr>
          <w:rFonts w:ascii="Times New Roman" w:eastAsia="Calibri" w:hAnsi="Times New Roman" w:cs="Times New Roman"/>
          <w:sz w:val="24"/>
          <w:szCs w:val="24"/>
        </w:rPr>
        <w:t>w przypadku utracenia zarobków niższej wartości, zwrotowi będą podlegały zarobki faktycznie utracone.</w:t>
      </w:r>
    </w:p>
    <w:p w14:paraId="62277BD7" w14:textId="77777777" w:rsidR="00223FF3" w:rsidRDefault="00223FF3" w:rsidP="00D823D0">
      <w:pPr>
        <w:pStyle w:val="Tekstprzypisudolnego"/>
        <w:spacing w:line="360" w:lineRule="auto"/>
        <w:ind w:firstLine="708"/>
        <w:jc w:val="both"/>
        <w:rPr>
          <w:rFonts w:ascii="Times New Roman" w:eastAsia="Calibri" w:hAnsi="Times New Roman" w:cs="Times New Roman"/>
          <w:sz w:val="24"/>
          <w:szCs w:val="24"/>
        </w:rPr>
      </w:pPr>
    </w:p>
    <w:p w14:paraId="5BB881CA" w14:textId="4C9A6A76" w:rsidR="00223FF3" w:rsidRPr="00C835AB" w:rsidRDefault="00223FF3" w:rsidP="00223FF3">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 xml:space="preserve">Art. </w:t>
      </w:r>
      <w:r>
        <w:rPr>
          <w:rFonts w:ascii="Times New Roman" w:hAnsi="Times New Roman" w:cs="Times New Roman"/>
          <w:b/>
          <w:bCs/>
          <w:color w:val="auto"/>
          <w:sz w:val="24"/>
        </w:rPr>
        <w:t>666</w:t>
      </w:r>
      <w:r w:rsidRPr="00C835AB">
        <w:rPr>
          <w:rFonts w:ascii="Times New Roman" w:hAnsi="Times New Roman" w:cs="Times New Roman"/>
          <w:b/>
          <w:bCs/>
          <w:color w:val="auto"/>
          <w:sz w:val="24"/>
        </w:rPr>
        <w:t xml:space="preserve"> § </w:t>
      </w:r>
      <w:r>
        <w:rPr>
          <w:rFonts w:ascii="Times New Roman" w:hAnsi="Times New Roman" w:cs="Times New Roman"/>
          <w:b/>
          <w:bCs/>
          <w:color w:val="auto"/>
          <w:sz w:val="24"/>
        </w:rPr>
        <w:t>1</w:t>
      </w:r>
      <w:r w:rsidRPr="00C835AB">
        <w:rPr>
          <w:rFonts w:ascii="Times New Roman" w:hAnsi="Times New Roman" w:cs="Times New Roman"/>
          <w:b/>
          <w:bCs/>
          <w:color w:val="auto"/>
          <w:sz w:val="24"/>
        </w:rPr>
        <w:t xml:space="preserve"> k.p.k.</w:t>
      </w:r>
    </w:p>
    <w:p w14:paraId="11A0EED2" w14:textId="7F7F1E7B" w:rsidR="006F2BE9" w:rsidRPr="00C835AB" w:rsidRDefault="006F2BE9" w:rsidP="002E0453">
      <w:pPr>
        <w:pStyle w:val="Tekstprzypisudolnego"/>
        <w:spacing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Projektowana zmiana </w:t>
      </w:r>
      <w:r w:rsidR="002E0453">
        <w:rPr>
          <w:rFonts w:ascii="Times New Roman" w:eastAsia="Calibri" w:hAnsi="Times New Roman" w:cs="Times New Roman"/>
          <w:sz w:val="24"/>
          <w:szCs w:val="24"/>
        </w:rPr>
        <w:t xml:space="preserve">związana jest z dostosowaniem katalogu przestępstw wskazanym w tym przepisie do regulacji zawartej w projektowanym art. 259 </w:t>
      </w:r>
      <w:r w:rsidR="002E0453" w:rsidRPr="006F2BE9">
        <w:rPr>
          <w:rFonts w:ascii="Times New Roman" w:eastAsia="Calibri" w:hAnsi="Times New Roman" w:cs="Times New Roman"/>
          <w:sz w:val="24"/>
          <w:szCs w:val="24"/>
        </w:rPr>
        <w:t>§</w:t>
      </w:r>
      <w:r w:rsidR="002E0453">
        <w:rPr>
          <w:rFonts w:ascii="Times New Roman" w:eastAsia="Calibri" w:hAnsi="Times New Roman" w:cs="Times New Roman"/>
          <w:sz w:val="24"/>
          <w:szCs w:val="24"/>
        </w:rPr>
        <w:t xml:space="preserve"> 3 k.p.k.</w:t>
      </w:r>
      <w:r w:rsidRPr="006F2BE9">
        <w:rPr>
          <w:rFonts w:ascii="Times New Roman" w:eastAsia="Calibri" w:hAnsi="Times New Roman" w:cs="Times New Roman"/>
          <w:sz w:val="24"/>
          <w:szCs w:val="24"/>
        </w:rPr>
        <w:t>, zgodnie z którym tymczasowe aresztowanie nie może być stosowane, jeżeli przestępstwo zagrożone jest karą pozbawienia wolności nieprzekracz</w:t>
      </w:r>
      <w:r w:rsidR="002E0453">
        <w:rPr>
          <w:rFonts w:ascii="Times New Roman" w:eastAsia="Calibri" w:hAnsi="Times New Roman" w:cs="Times New Roman"/>
          <w:sz w:val="24"/>
          <w:szCs w:val="24"/>
        </w:rPr>
        <w:t>a</w:t>
      </w:r>
      <w:r w:rsidRPr="006F2BE9">
        <w:rPr>
          <w:rFonts w:ascii="Times New Roman" w:eastAsia="Calibri" w:hAnsi="Times New Roman" w:cs="Times New Roman"/>
          <w:sz w:val="24"/>
          <w:szCs w:val="24"/>
        </w:rPr>
        <w:t>jącą 2 lat</w:t>
      </w:r>
      <w:r w:rsidR="002E0453">
        <w:rPr>
          <w:rFonts w:ascii="Times New Roman" w:eastAsia="Calibri" w:hAnsi="Times New Roman" w:cs="Times New Roman"/>
          <w:sz w:val="24"/>
          <w:szCs w:val="24"/>
        </w:rPr>
        <w:t>.</w:t>
      </w:r>
    </w:p>
    <w:p w14:paraId="56036A88" w14:textId="77777777" w:rsidR="00975886" w:rsidRPr="00C835AB" w:rsidRDefault="00975886" w:rsidP="00975886">
      <w:pPr>
        <w:pStyle w:val="Tekstprzypisudolnego"/>
        <w:spacing w:line="360" w:lineRule="auto"/>
        <w:jc w:val="both"/>
        <w:rPr>
          <w:rFonts w:ascii="Times New Roman" w:eastAsia="Calibri" w:hAnsi="Times New Roman" w:cs="Times New Roman"/>
          <w:sz w:val="24"/>
          <w:szCs w:val="24"/>
        </w:rPr>
      </w:pPr>
    </w:p>
    <w:p w14:paraId="147B4AFA" w14:textId="77777777" w:rsidR="00975886" w:rsidRPr="00C835AB" w:rsidRDefault="00975886" w:rsidP="00975886">
      <w:pPr>
        <w:rPr>
          <w:rFonts w:ascii="Times New Roman" w:hAnsi="Times New Roman" w:cs="Times New Roman"/>
          <w:b/>
          <w:bCs/>
          <w:color w:val="auto"/>
          <w:sz w:val="24"/>
          <w:u w:val="single"/>
        </w:rPr>
      </w:pPr>
      <w:r w:rsidRPr="00C835AB">
        <w:rPr>
          <w:rFonts w:ascii="Times New Roman" w:hAnsi="Times New Roman" w:cs="Times New Roman"/>
          <w:b/>
          <w:bCs/>
          <w:color w:val="auto"/>
          <w:sz w:val="24"/>
          <w:u w:val="single"/>
        </w:rPr>
        <w:t>Zmiany w Kodeksie wykroczeń</w:t>
      </w:r>
    </w:p>
    <w:p w14:paraId="58F8235F" w14:textId="77777777" w:rsidR="00975886" w:rsidRPr="00C835AB" w:rsidRDefault="00975886" w:rsidP="00975886">
      <w:pPr>
        <w:rPr>
          <w:rFonts w:ascii="Times New Roman" w:hAnsi="Times New Roman" w:cs="Times New Roman"/>
          <w:b/>
          <w:bCs/>
          <w:color w:val="auto"/>
          <w:sz w:val="24"/>
          <w:u w:val="single"/>
        </w:rPr>
      </w:pPr>
    </w:p>
    <w:p w14:paraId="4271E973" w14:textId="65BA0161" w:rsidR="00975886" w:rsidRPr="00C835AB" w:rsidRDefault="00975886" w:rsidP="00975886">
      <w:pPr>
        <w:ind w:firstLine="709"/>
        <w:rPr>
          <w:rFonts w:ascii="Times New Roman" w:hAnsi="Times New Roman" w:cs="Times New Roman"/>
          <w:color w:val="auto"/>
          <w:sz w:val="24"/>
        </w:rPr>
      </w:pPr>
      <w:r w:rsidRPr="00C835AB">
        <w:rPr>
          <w:rFonts w:ascii="Times New Roman" w:hAnsi="Times New Roman" w:cs="Times New Roman"/>
          <w:color w:val="auto"/>
          <w:sz w:val="24"/>
        </w:rPr>
        <w:t xml:space="preserve">Rządowy </w:t>
      </w:r>
      <w:r w:rsidRPr="00C835AB">
        <w:rPr>
          <w:rFonts w:ascii="Times New Roman" w:hAnsi="Times New Roman" w:cs="Times New Roman"/>
          <w:i/>
          <w:iCs/>
          <w:color w:val="auto"/>
          <w:sz w:val="24"/>
        </w:rPr>
        <w:t xml:space="preserve">projekt ustawy o zmianie ustawy – Kodeks karny oraz niektórych innych ustaw </w:t>
      </w:r>
      <w:r w:rsidRPr="00C835AB">
        <w:rPr>
          <w:rFonts w:ascii="Times New Roman" w:hAnsi="Times New Roman" w:cs="Times New Roman"/>
          <w:color w:val="auto"/>
          <w:sz w:val="24"/>
        </w:rPr>
        <w:t>(druk sejmowy nr 2024), który wpłynął do Sejmu RP w dniu 22 lutego 2022 r. i który był</w:t>
      </w:r>
      <w:r w:rsidR="00DA5E3E">
        <w:rPr>
          <w:rFonts w:ascii="Times New Roman" w:hAnsi="Times New Roman" w:cs="Times New Roman"/>
          <w:color w:val="auto"/>
          <w:sz w:val="24"/>
        </w:rPr>
        <w:t> </w:t>
      </w:r>
      <w:r w:rsidRPr="00C835AB">
        <w:rPr>
          <w:rFonts w:ascii="Times New Roman" w:hAnsi="Times New Roman" w:cs="Times New Roman"/>
          <w:color w:val="auto"/>
          <w:sz w:val="24"/>
        </w:rPr>
        <w:t xml:space="preserve">procedowany w I czytaniu w dniu 9 marca 2022 r., nie zawierał przepisów nowelizujących Kodeks wykroczeń dotyczących zmiany progu </w:t>
      </w:r>
      <w:proofErr w:type="spellStart"/>
      <w:r w:rsidRPr="00C835AB">
        <w:rPr>
          <w:rFonts w:ascii="Times New Roman" w:hAnsi="Times New Roman" w:cs="Times New Roman"/>
          <w:color w:val="auto"/>
          <w:sz w:val="24"/>
        </w:rPr>
        <w:t>kontrawencjonalizacji</w:t>
      </w:r>
      <w:proofErr w:type="spellEnd"/>
      <w:r w:rsidRPr="00C835AB">
        <w:rPr>
          <w:rFonts w:ascii="Times New Roman" w:hAnsi="Times New Roman" w:cs="Times New Roman"/>
          <w:color w:val="auto"/>
          <w:sz w:val="24"/>
        </w:rPr>
        <w:t xml:space="preserve"> kradzieży zwykłej, kradzieży leśnej, paserstwa oraz zniszczenia rzeczy (art. 119 § 1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xml:space="preserve">., art. 120 § 1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xml:space="preserve">., art. 122 § 1 i 2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xml:space="preserve">. oraz art. 124 § 1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xml:space="preserve">.) Przepisy nowelizujące wskazane powyżej regulacje, przez podniesienie progu przepołowienia z obecnych 500 złotych na 800 złotych, zostały zgłoszone dopiero po pierwszym czytaniu na etapie prac komisji sejmowej (zob. przebieg posiedzenia komisji nadzwyczajnej do spraw zmian w kodyfikacjach 9.06.2022 r., </w:t>
      </w:r>
      <w:hyperlink r:id="rId14">
        <w:r w:rsidRPr="00C835AB">
          <w:rPr>
            <w:rFonts w:ascii="Times New Roman" w:hAnsi="Times New Roman" w:cs="Times New Roman"/>
            <w:color w:val="auto"/>
            <w:sz w:val="24"/>
          </w:rPr>
          <w:t>https://www.sejm.gov.pl/Sejm9.nsf/biuletyn.xsp?skrnr=NK.K.-27</w:t>
        </w:r>
      </w:hyperlink>
      <w:r w:rsidRPr="00C835AB">
        <w:rPr>
          <w:rFonts w:ascii="Times New Roman" w:hAnsi="Times New Roman" w:cs="Times New Roman"/>
          <w:color w:val="auto"/>
          <w:sz w:val="24"/>
        </w:rPr>
        <w:t xml:space="preserve">; sprawozdanie Komisji </w:t>
      </w:r>
      <w:r w:rsidRPr="00C835AB">
        <w:rPr>
          <w:rFonts w:ascii="Times New Roman" w:hAnsi="Times New Roman" w:cs="Times New Roman"/>
          <w:color w:val="auto"/>
          <w:sz w:val="24"/>
        </w:rPr>
        <w:lastRenderedPageBreak/>
        <w:t>Nadzwyczajnej do spraw zmian w kodyfikacjach o rządowym projekcie ustawy o zmianie ustawy – Kodeks karny oraz niektórych innych ustaw z 9 czerwca 2022 r., druk sejmowy 2339).</w:t>
      </w:r>
    </w:p>
    <w:p w14:paraId="2715B6DF" w14:textId="4A143948" w:rsidR="00975886" w:rsidRPr="00C835AB" w:rsidRDefault="00975886" w:rsidP="00975886">
      <w:pPr>
        <w:ind w:firstLine="709"/>
        <w:rPr>
          <w:rFonts w:ascii="Times New Roman" w:hAnsi="Times New Roman" w:cs="Times New Roman"/>
          <w:color w:val="auto"/>
          <w:sz w:val="24"/>
        </w:rPr>
      </w:pPr>
      <w:r w:rsidRPr="00C835AB">
        <w:rPr>
          <w:rFonts w:ascii="Times New Roman" w:hAnsi="Times New Roman" w:cs="Times New Roman"/>
          <w:color w:val="auto"/>
          <w:sz w:val="24"/>
        </w:rPr>
        <w:t>Zgodnie z art. 119 ust. 1 Konstytucji RP Sejm rozpatruje projekt ustawy w trzech czytaniach. Przepis art. 119 ust. 2 Konstytucji RP stanowi zaś, że wnioskodawca, posłowie i</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Rada Ministrów są upoważnieni do wnoszenia poprawek do projektu ustawy w czasie jego rozpatrywania przez Sejm. Przez zgłoszenie już po pierwszym czytaniu ustawy nowelizującej propozycji zmian dodatkowych przepisów karnych, które nie spełniają cech „poprawki” do</w:t>
      </w:r>
      <w:r w:rsidR="00BD5665">
        <w:rPr>
          <w:rFonts w:ascii="Times New Roman" w:hAnsi="Times New Roman" w:cs="Times New Roman"/>
          <w:color w:val="auto"/>
          <w:sz w:val="24"/>
        </w:rPr>
        <w:t> </w:t>
      </w:r>
      <w:r w:rsidRPr="00C835AB">
        <w:rPr>
          <w:rFonts w:ascii="Times New Roman" w:hAnsi="Times New Roman" w:cs="Times New Roman"/>
          <w:color w:val="auto"/>
          <w:sz w:val="24"/>
        </w:rPr>
        <w:t>ustawy, mogło dojść do naruszenia art. 119 ust. 1 Konstytucji RP.</w:t>
      </w:r>
    </w:p>
    <w:p w14:paraId="0715578A" w14:textId="1B9AA4C9" w:rsidR="00975886" w:rsidRPr="00C835AB" w:rsidRDefault="00975886" w:rsidP="00975886">
      <w:pPr>
        <w:ind w:firstLine="709"/>
        <w:rPr>
          <w:rFonts w:ascii="Times New Roman" w:hAnsi="Times New Roman" w:cs="Times New Roman"/>
          <w:color w:val="auto"/>
          <w:sz w:val="24"/>
        </w:rPr>
      </w:pPr>
      <w:r w:rsidRPr="00C835AB">
        <w:rPr>
          <w:rFonts w:ascii="Times New Roman" w:hAnsi="Times New Roman" w:cs="Times New Roman"/>
          <w:color w:val="auto"/>
          <w:sz w:val="24"/>
        </w:rPr>
        <w:t>Trybunał Konstytucyjny wskazywał w swoim orzecznictwie, że w sensie technicznym poprawka może przybrać postać propozycji skreślenia pewnej części w tekście projektu ustawy, uzupełnienia go przez dopisanie pewnych elementów lub zastąpienia niektórych części tekstu projektu, zwłaszcza określonych wyrazów, innymi (por. wyrok TK z 24 marca 2004 r., K</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37/03). Poprawki polegające na uzupełnieniu ustawy powinny pozostawać w związku z</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projektem złożonym w Sejmie, nie tylko o charakterze formalnym, ale i merytorycznym, polegającym na tym – jak wskazywał Trybunał Konstytucyjny w wyroku z dnia 16 kwietnia 2009 r. (P 11/08) – „że konkretne poprawki odnoszące się do projektu powinny pozostawać w</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odpowiedniej relacji z jego treścią, zmierzając do modyfikacji pierwotnej treści projektu, a</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nie do stworzenia nowego projektu”.</w:t>
      </w:r>
    </w:p>
    <w:p w14:paraId="58CC0A65" w14:textId="77777777" w:rsidR="00975886" w:rsidRPr="00C835AB" w:rsidRDefault="00975886" w:rsidP="00975886">
      <w:pPr>
        <w:ind w:firstLine="709"/>
        <w:rPr>
          <w:rFonts w:ascii="Times New Roman" w:hAnsi="Times New Roman" w:cs="Times New Roman"/>
          <w:color w:val="auto"/>
          <w:sz w:val="24"/>
        </w:rPr>
      </w:pPr>
      <w:r w:rsidRPr="00C835AB">
        <w:rPr>
          <w:rFonts w:ascii="Times New Roman" w:hAnsi="Times New Roman" w:cs="Times New Roman"/>
          <w:color w:val="auto"/>
          <w:sz w:val="24"/>
        </w:rPr>
        <w:t xml:space="preserve">Wniesiony </w:t>
      </w:r>
      <w:r w:rsidRPr="00C835AB">
        <w:rPr>
          <w:rFonts w:ascii="Times New Roman" w:hAnsi="Times New Roman" w:cs="Times New Roman"/>
          <w:i/>
          <w:iCs/>
          <w:color w:val="auto"/>
          <w:sz w:val="24"/>
        </w:rPr>
        <w:t>projekt ustawy o zmianie ustawy – Kodeks karny oraz niektórych innych ustaw</w:t>
      </w:r>
      <w:r w:rsidRPr="00C835AB">
        <w:rPr>
          <w:rFonts w:ascii="Times New Roman" w:hAnsi="Times New Roman" w:cs="Times New Roman"/>
          <w:color w:val="auto"/>
          <w:sz w:val="24"/>
        </w:rPr>
        <w:t xml:space="preserve"> (druk sejmowy nr 2024) nie zawierał przepisów odnoszących się do tzw. typów przepołowionych. Dodane po pierwszym czytaniu regulacje, prowadzące do radykalnej zmiany reżimu odpowiedzialności całej kategorii </w:t>
      </w:r>
      <w:proofErr w:type="spellStart"/>
      <w:r w:rsidRPr="00C835AB">
        <w:rPr>
          <w:rFonts w:ascii="Times New Roman" w:hAnsi="Times New Roman" w:cs="Times New Roman"/>
          <w:color w:val="auto"/>
          <w:sz w:val="24"/>
        </w:rPr>
        <w:t>zachowań</w:t>
      </w:r>
      <w:proofErr w:type="spellEnd"/>
      <w:r w:rsidRPr="00C835AB">
        <w:rPr>
          <w:rFonts w:ascii="Times New Roman" w:hAnsi="Times New Roman" w:cs="Times New Roman"/>
          <w:color w:val="auto"/>
          <w:sz w:val="24"/>
        </w:rPr>
        <w:t xml:space="preserve">, mających przy tym olbrzymie znaczenie społeczne (przeniesienie części </w:t>
      </w:r>
      <w:proofErr w:type="spellStart"/>
      <w:r w:rsidRPr="00C835AB">
        <w:rPr>
          <w:rFonts w:ascii="Times New Roman" w:hAnsi="Times New Roman" w:cs="Times New Roman"/>
          <w:color w:val="auto"/>
          <w:sz w:val="24"/>
        </w:rPr>
        <w:t>zachowań</w:t>
      </w:r>
      <w:proofErr w:type="spellEnd"/>
      <w:r w:rsidRPr="00C835AB">
        <w:rPr>
          <w:rFonts w:ascii="Times New Roman" w:hAnsi="Times New Roman" w:cs="Times New Roman"/>
          <w:color w:val="auto"/>
          <w:sz w:val="24"/>
        </w:rPr>
        <w:t xml:space="preserve"> stanowiących dotychczas przestępstwa przeciwko mieniu do kategorii wykroczeń) muszą być zatem potraktowane jako nowa inicjatywa ustawodawcza. Ich uchwalenie poprzedzane być powinno trzema czytaniami. </w:t>
      </w:r>
    </w:p>
    <w:p w14:paraId="26B7A68D" w14:textId="1A2BCE1E" w:rsidR="00975886" w:rsidRPr="00C835AB" w:rsidRDefault="00975886" w:rsidP="00975886">
      <w:pPr>
        <w:ind w:firstLine="709"/>
        <w:rPr>
          <w:rFonts w:ascii="Times New Roman" w:hAnsi="Times New Roman" w:cs="Times New Roman"/>
          <w:color w:val="auto"/>
          <w:sz w:val="24"/>
        </w:rPr>
      </w:pPr>
      <w:r w:rsidRPr="00C835AB">
        <w:rPr>
          <w:rFonts w:ascii="Times New Roman" w:hAnsi="Times New Roman" w:cs="Times New Roman"/>
          <w:color w:val="auto"/>
          <w:sz w:val="24"/>
        </w:rPr>
        <w:t>Niespełnienie zasady trzech czytań rodzi spore prawdopodobieństwo uznania przez</w:t>
      </w:r>
      <w:r w:rsidR="00BD5665">
        <w:rPr>
          <w:rFonts w:ascii="Times New Roman" w:hAnsi="Times New Roman" w:cs="Times New Roman"/>
          <w:color w:val="auto"/>
          <w:sz w:val="24"/>
        </w:rPr>
        <w:t> </w:t>
      </w:r>
      <w:r w:rsidRPr="00C835AB">
        <w:rPr>
          <w:rFonts w:ascii="Times New Roman" w:hAnsi="Times New Roman" w:cs="Times New Roman"/>
          <w:color w:val="auto"/>
          <w:sz w:val="24"/>
        </w:rPr>
        <w:t xml:space="preserve">orzekające w sprawach sądy, że przepisy art. 119 § 1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xml:space="preserve">., art. 120 § 1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art. 122 § 1 i</w:t>
      </w:r>
      <w:r w:rsidR="00BD5665">
        <w:rPr>
          <w:rFonts w:ascii="Times New Roman" w:hAnsi="Times New Roman" w:cs="Times New Roman"/>
          <w:color w:val="auto"/>
          <w:sz w:val="24"/>
        </w:rPr>
        <w:t> </w:t>
      </w:r>
      <w:r w:rsidRPr="00C835AB">
        <w:rPr>
          <w:rFonts w:ascii="Times New Roman" w:hAnsi="Times New Roman" w:cs="Times New Roman"/>
          <w:color w:val="auto"/>
          <w:sz w:val="24"/>
        </w:rPr>
        <w:t xml:space="preserve">2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xml:space="preserve">. oraz art. 124 § 1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w brzmieniu nadanym ustawą z dnia 7 lipca 2022 r. mogą być dotknięte wadą niekonstytucyjności. Te wątpliwości co do zgodności z Konstytucją RP wskazanych przepisów mogą w procesie stosowania prawa uniemożliwić osądzanie sprawców wykroczeń polegających na kradzieży zwykłej, kradzieży leśnej, paserstwie i naruszeniu integralności rzeczy. Mogą pojawiać się też pytania, czy w przypadku, gdy wartość rzeczy stanowiących przedmiot czynności wykonawczych typów czynów zabronionych opisanych w</w:t>
      </w:r>
      <w:r w:rsidR="00BD5665">
        <w:rPr>
          <w:rFonts w:ascii="Times New Roman" w:hAnsi="Times New Roman" w:cs="Times New Roman"/>
          <w:color w:val="auto"/>
          <w:sz w:val="24"/>
        </w:rPr>
        <w:t> </w:t>
      </w:r>
      <w:r w:rsidRPr="00C835AB">
        <w:rPr>
          <w:rFonts w:ascii="Times New Roman" w:hAnsi="Times New Roman" w:cs="Times New Roman"/>
          <w:color w:val="auto"/>
          <w:sz w:val="24"/>
        </w:rPr>
        <w:t xml:space="preserve">art. 278 k.k., 288 k.k., 290 k.k. i 291 k.k. jest wyższa niż 500 złotych (poprzedni próg </w:t>
      </w:r>
      <w:proofErr w:type="spellStart"/>
      <w:r w:rsidRPr="00C835AB">
        <w:rPr>
          <w:rFonts w:ascii="Times New Roman" w:hAnsi="Times New Roman" w:cs="Times New Roman"/>
          <w:color w:val="auto"/>
          <w:sz w:val="24"/>
        </w:rPr>
        <w:lastRenderedPageBreak/>
        <w:t>kontrawencjonalizacji</w:t>
      </w:r>
      <w:proofErr w:type="spellEnd"/>
      <w:r w:rsidRPr="00C835AB">
        <w:rPr>
          <w:rFonts w:ascii="Times New Roman" w:hAnsi="Times New Roman" w:cs="Times New Roman"/>
          <w:color w:val="auto"/>
          <w:sz w:val="24"/>
        </w:rPr>
        <w:t>), a niższa niż 800 złotych, nie mamy do czynienia z przestępstwem. Sytuacja, w której sprawca kradzieży rzeczy wartości 600 złotych nie wie, czy jego zachowanie stanowi wykroczenie, czy przestępstwo, stanowi rażące naruszenie funkcji gwarancyjnej prawa karnego, mającej zakorzenienie w art. 42 ust. 1 Konstytucji RP. Stąd konieczność pilnej zmiany tych przepisów.</w:t>
      </w:r>
    </w:p>
    <w:p w14:paraId="6E7D2B3D" w14:textId="77777777" w:rsidR="00975886" w:rsidRPr="00C835AB" w:rsidRDefault="00975886" w:rsidP="00975886">
      <w:pPr>
        <w:ind w:firstLine="709"/>
        <w:rPr>
          <w:rFonts w:ascii="Times New Roman" w:hAnsi="Times New Roman" w:cs="Times New Roman"/>
          <w:color w:val="auto"/>
          <w:sz w:val="24"/>
        </w:rPr>
      </w:pPr>
      <w:r w:rsidRPr="00C835AB">
        <w:rPr>
          <w:rFonts w:ascii="Times New Roman" w:hAnsi="Times New Roman" w:cs="Times New Roman"/>
          <w:color w:val="auto"/>
          <w:sz w:val="24"/>
        </w:rPr>
        <w:t xml:space="preserve">Podkreślenia wymaga, że przewidziany w zmienianych przepisach próg </w:t>
      </w:r>
      <w:proofErr w:type="spellStart"/>
      <w:r w:rsidRPr="00C835AB">
        <w:rPr>
          <w:rFonts w:ascii="Times New Roman" w:hAnsi="Times New Roman" w:cs="Times New Roman"/>
          <w:color w:val="auto"/>
          <w:sz w:val="24"/>
        </w:rPr>
        <w:t>kontrawencjonalizacji</w:t>
      </w:r>
      <w:proofErr w:type="spellEnd"/>
      <w:r w:rsidRPr="00C835AB">
        <w:rPr>
          <w:rFonts w:ascii="Times New Roman" w:hAnsi="Times New Roman" w:cs="Times New Roman"/>
          <w:color w:val="auto"/>
          <w:sz w:val="24"/>
        </w:rPr>
        <w:t xml:space="preserve">, który wynosi 800 złotych, nie budzi wątpliwości z perspektywy konstytucyjnej, ani </w:t>
      </w:r>
      <w:proofErr w:type="spellStart"/>
      <w:r w:rsidRPr="00C835AB">
        <w:rPr>
          <w:rFonts w:ascii="Times New Roman" w:hAnsi="Times New Roman" w:cs="Times New Roman"/>
          <w:color w:val="auto"/>
          <w:sz w:val="24"/>
        </w:rPr>
        <w:t>kryminalnopolitycznej</w:t>
      </w:r>
      <w:proofErr w:type="spellEnd"/>
      <w:r w:rsidRPr="00C835AB">
        <w:rPr>
          <w:rFonts w:ascii="Times New Roman" w:hAnsi="Times New Roman" w:cs="Times New Roman"/>
          <w:color w:val="auto"/>
          <w:sz w:val="24"/>
        </w:rPr>
        <w:t xml:space="preserve">, a tym samym nie wymaga zmiany. </w:t>
      </w:r>
    </w:p>
    <w:p w14:paraId="52F0AFF5" w14:textId="38AA0683" w:rsidR="00975886" w:rsidRPr="00C835AB" w:rsidRDefault="00975886" w:rsidP="00975886">
      <w:pPr>
        <w:ind w:firstLine="709"/>
        <w:rPr>
          <w:rFonts w:ascii="Times New Roman" w:hAnsi="Times New Roman" w:cs="Times New Roman"/>
          <w:color w:val="auto"/>
          <w:sz w:val="24"/>
        </w:rPr>
      </w:pPr>
      <w:r w:rsidRPr="00C835AB">
        <w:rPr>
          <w:rFonts w:ascii="Times New Roman" w:hAnsi="Times New Roman" w:cs="Times New Roman"/>
          <w:color w:val="auto"/>
          <w:sz w:val="24"/>
        </w:rPr>
        <w:t>Nadanie przepisowi zmienianemu identycznej treści z poprzednio obowiązującą może jednak rodzić wątpliwości – także z zakresu techniki prawodawczej. Stąd proponuje się, by</w:t>
      </w:r>
      <w:r w:rsidR="00BD5665">
        <w:rPr>
          <w:rFonts w:ascii="Times New Roman" w:hAnsi="Times New Roman" w:cs="Times New Roman"/>
          <w:color w:val="auto"/>
          <w:sz w:val="24"/>
        </w:rPr>
        <w:t> </w:t>
      </w:r>
      <w:r w:rsidRPr="00C835AB">
        <w:rPr>
          <w:rFonts w:ascii="Times New Roman" w:hAnsi="Times New Roman" w:cs="Times New Roman"/>
          <w:color w:val="auto"/>
          <w:sz w:val="24"/>
        </w:rPr>
        <w:t xml:space="preserve">wyłączenie z zakresu zastosowania normy sankcjonującej wynikającej z art. 119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120</w:t>
      </w:r>
      <w:r w:rsidR="00BD5665">
        <w:rPr>
          <w:rFonts w:ascii="Times New Roman" w:hAnsi="Times New Roman" w:cs="Times New Roman"/>
          <w:color w:val="auto"/>
          <w:sz w:val="24"/>
        </w:rPr>
        <w:t>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xml:space="preserve">., 122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xml:space="preserve">. i 124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czynów zabronionych, których wartość przedmiotu czynności wykonawczej lub wartość wyrządzonej szkody przekracza 800 złotych, nastąpiło przez</w:t>
      </w:r>
      <w:r w:rsidR="00BD5665">
        <w:rPr>
          <w:rFonts w:ascii="Times New Roman" w:hAnsi="Times New Roman" w:cs="Times New Roman"/>
          <w:color w:val="auto"/>
          <w:sz w:val="24"/>
        </w:rPr>
        <w:t> </w:t>
      </w:r>
      <w:r w:rsidRPr="00C835AB">
        <w:rPr>
          <w:rFonts w:ascii="Times New Roman" w:hAnsi="Times New Roman" w:cs="Times New Roman"/>
          <w:color w:val="auto"/>
          <w:sz w:val="24"/>
        </w:rPr>
        <w:t xml:space="preserve">wykorzystanie konstrukcji przewidzianej w art. 130 § 1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xml:space="preserve">. Przepis ten opisuje przypadki, w których nie stosuje się art. 119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xml:space="preserve">., 122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xml:space="preserve">. i 124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Proponuje się zatem dodanie do niego kolejnego punktu (pkt 3), zgodnie z którym wskazane powyżej regulacje nie</w:t>
      </w:r>
      <w:r w:rsidR="00BD5665">
        <w:rPr>
          <w:rFonts w:ascii="Times New Roman" w:hAnsi="Times New Roman" w:cs="Times New Roman"/>
          <w:color w:val="auto"/>
          <w:sz w:val="24"/>
        </w:rPr>
        <w:t> </w:t>
      </w:r>
      <w:r w:rsidRPr="00C835AB">
        <w:rPr>
          <w:rFonts w:ascii="Times New Roman" w:hAnsi="Times New Roman" w:cs="Times New Roman"/>
          <w:color w:val="auto"/>
          <w:sz w:val="24"/>
        </w:rPr>
        <w:t>znajdą zastosowania, jeżeli wartość rzeczy lub mienia, o których mowa w tych przepisach, przekraczać będzie 800 złotych.</w:t>
      </w:r>
    </w:p>
    <w:p w14:paraId="769B19F3" w14:textId="5FE65B07" w:rsidR="00975886" w:rsidRPr="00C835AB" w:rsidRDefault="00975886" w:rsidP="00975886">
      <w:pPr>
        <w:ind w:firstLine="709"/>
        <w:rPr>
          <w:rFonts w:ascii="Times New Roman" w:hAnsi="Times New Roman" w:cs="Times New Roman"/>
          <w:color w:val="auto"/>
          <w:sz w:val="24"/>
        </w:rPr>
      </w:pPr>
      <w:r w:rsidRPr="00C835AB">
        <w:rPr>
          <w:rFonts w:ascii="Times New Roman" w:hAnsi="Times New Roman" w:cs="Times New Roman"/>
          <w:color w:val="auto"/>
          <w:sz w:val="24"/>
        </w:rPr>
        <w:t xml:space="preserve">Artykuł 130 § 1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xml:space="preserve">. nie odwołuje się do art. 120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który także objęty jest</w:t>
      </w:r>
      <w:r w:rsidR="0099355B">
        <w:rPr>
          <w:rFonts w:ascii="Times New Roman" w:hAnsi="Times New Roman" w:cs="Times New Roman"/>
          <w:color w:val="auto"/>
          <w:sz w:val="24"/>
        </w:rPr>
        <w:t> </w:t>
      </w:r>
      <w:proofErr w:type="spellStart"/>
      <w:r w:rsidRPr="00C835AB">
        <w:rPr>
          <w:rFonts w:ascii="Times New Roman" w:hAnsi="Times New Roman" w:cs="Times New Roman"/>
          <w:color w:val="auto"/>
          <w:sz w:val="24"/>
        </w:rPr>
        <w:t>kontrawencjonalizacją</w:t>
      </w:r>
      <w:proofErr w:type="spellEnd"/>
      <w:r w:rsidRPr="00C835AB">
        <w:rPr>
          <w:rFonts w:ascii="Times New Roman" w:hAnsi="Times New Roman" w:cs="Times New Roman"/>
          <w:color w:val="auto"/>
          <w:sz w:val="24"/>
        </w:rPr>
        <w:t xml:space="preserve">. W związku z tym konieczne jest dodanie do art. 130 § </w:t>
      </w:r>
      <w:proofErr w:type="spellStart"/>
      <w:r w:rsidRPr="00C835AB">
        <w:rPr>
          <w:rFonts w:ascii="Times New Roman" w:hAnsi="Times New Roman" w:cs="Times New Roman"/>
          <w:color w:val="auto"/>
          <w:sz w:val="24"/>
        </w:rPr>
        <w:t>1a</w:t>
      </w:r>
      <w:proofErr w:type="spellEnd"/>
      <w:r w:rsidRPr="00C835AB">
        <w:rPr>
          <w:rFonts w:ascii="Times New Roman" w:hAnsi="Times New Roman" w:cs="Times New Roman"/>
          <w:color w:val="auto"/>
          <w:sz w:val="24"/>
        </w:rPr>
        <w:t xml:space="preserve">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w</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brzmieniu „Przepisu art. 120 nie stosuje się, jeżeli wartość drzewa, o którym mowa w tym przepisie, przekracza 800 złotych”.</w:t>
      </w:r>
    </w:p>
    <w:p w14:paraId="373F7836" w14:textId="77777777" w:rsidR="00975886" w:rsidRPr="00C835AB" w:rsidRDefault="00975886" w:rsidP="00975886">
      <w:pPr>
        <w:ind w:firstLine="709"/>
        <w:rPr>
          <w:rFonts w:ascii="Times New Roman" w:hAnsi="Times New Roman" w:cs="Times New Roman"/>
          <w:color w:val="auto"/>
          <w:sz w:val="24"/>
        </w:rPr>
      </w:pPr>
      <w:r w:rsidRPr="00C835AB">
        <w:rPr>
          <w:rFonts w:ascii="Times New Roman" w:hAnsi="Times New Roman" w:cs="Times New Roman"/>
          <w:color w:val="auto"/>
          <w:sz w:val="24"/>
        </w:rPr>
        <w:t xml:space="preserve">Ponieważ próg </w:t>
      </w:r>
      <w:proofErr w:type="spellStart"/>
      <w:r w:rsidRPr="00C835AB">
        <w:rPr>
          <w:rFonts w:ascii="Times New Roman" w:hAnsi="Times New Roman" w:cs="Times New Roman"/>
          <w:color w:val="auto"/>
          <w:sz w:val="24"/>
        </w:rPr>
        <w:t>kontrawencjonalizacji</w:t>
      </w:r>
      <w:proofErr w:type="spellEnd"/>
      <w:r w:rsidRPr="00C835AB">
        <w:rPr>
          <w:rFonts w:ascii="Times New Roman" w:hAnsi="Times New Roman" w:cs="Times New Roman"/>
          <w:color w:val="auto"/>
          <w:sz w:val="24"/>
        </w:rPr>
        <w:t xml:space="preserve"> zawarty został w art. 130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xml:space="preserve">., należało zmienić dotychczasowe brzmienie art. 119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xml:space="preserve">., 120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xml:space="preserve">., 122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xml:space="preserve">. i 124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przez usunięcie z tych przepisów odniesienia do wartości rzeczy, mienia lub wyrządzonej szkody.</w:t>
      </w:r>
    </w:p>
    <w:p w14:paraId="18F3900D" w14:textId="47C85F26" w:rsidR="00975886" w:rsidRPr="00C835AB" w:rsidRDefault="00975886" w:rsidP="00975886">
      <w:pPr>
        <w:ind w:firstLine="709"/>
        <w:rPr>
          <w:rFonts w:ascii="Times New Roman" w:hAnsi="Times New Roman" w:cs="Times New Roman"/>
          <w:color w:val="auto"/>
          <w:sz w:val="24"/>
        </w:rPr>
      </w:pPr>
      <w:r w:rsidRPr="00C835AB">
        <w:rPr>
          <w:rFonts w:ascii="Times New Roman" w:hAnsi="Times New Roman" w:cs="Times New Roman"/>
          <w:color w:val="auto"/>
          <w:sz w:val="24"/>
        </w:rPr>
        <w:t xml:space="preserve">O ile nie budzi wątpliwości, że zawarte w art. 130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sformułowanie „nie stosuje się” oznacza niemożność pociągnięcia sprawcy kradzieży rzeczy, której wartość przekracza 800 złotych, do odpowiedzialności za wykroczenie, to pojawia się pytanie – także procesowe – o</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 xml:space="preserve">to, jaki warunek odpowiedzialności za wykroczenie nie został w ten sposób spełniony. Przychylić należy się do poglądu wyrażonego w doktrynie, zgodnie z którym w takim przypadku zachowanie sprawcy nie zawiera znamion wykroczenia (zob. P. </w:t>
      </w:r>
      <w:proofErr w:type="spellStart"/>
      <w:r w:rsidRPr="00C835AB">
        <w:rPr>
          <w:rFonts w:ascii="Times New Roman" w:hAnsi="Times New Roman" w:cs="Times New Roman"/>
          <w:color w:val="auto"/>
          <w:sz w:val="24"/>
        </w:rPr>
        <w:t>Gensikowski</w:t>
      </w:r>
      <w:proofErr w:type="spellEnd"/>
      <w:r w:rsidRPr="00C835AB">
        <w:rPr>
          <w:rFonts w:ascii="Times New Roman" w:hAnsi="Times New Roman" w:cs="Times New Roman"/>
          <w:color w:val="auto"/>
          <w:sz w:val="24"/>
        </w:rPr>
        <w:t xml:space="preserve">. W: Kodeks wykroczeń. Komentarz. Red. P. Daniluk, 2023 r., kom do art. 130, </w:t>
      </w:r>
      <w:proofErr w:type="spellStart"/>
      <w:r w:rsidRPr="00C835AB">
        <w:rPr>
          <w:rFonts w:ascii="Times New Roman" w:hAnsi="Times New Roman" w:cs="Times New Roman"/>
          <w:color w:val="auto"/>
          <w:sz w:val="24"/>
        </w:rPr>
        <w:t>nb</w:t>
      </w:r>
      <w:proofErr w:type="spellEnd"/>
      <w:r w:rsidRPr="00C835AB">
        <w:rPr>
          <w:rFonts w:ascii="Times New Roman" w:hAnsi="Times New Roman" w:cs="Times New Roman"/>
          <w:color w:val="auto"/>
          <w:sz w:val="24"/>
        </w:rPr>
        <w:t xml:space="preserve"> 19). Podobnie na</w:t>
      </w:r>
      <w:r w:rsidR="00BD5665">
        <w:rPr>
          <w:rFonts w:ascii="Times New Roman" w:hAnsi="Times New Roman" w:cs="Times New Roman"/>
          <w:color w:val="auto"/>
          <w:sz w:val="24"/>
        </w:rPr>
        <w:t> </w:t>
      </w:r>
      <w:r w:rsidRPr="00C835AB">
        <w:rPr>
          <w:rFonts w:ascii="Times New Roman" w:hAnsi="Times New Roman" w:cs="Times New Roman"/>
          <w:color w:val="auto"/>
          <w:sz w:val="24"/>
        </w:rPr>
        <w:t xml:space="preserve">płaszczyźnie znamion wykroczenia statuuje okoliczności wymienione w art. 130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M.</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Bojarski wskazując: „(o)</w:t>
      </w:r>
      <w:proofErr w:type="spellStart"/>
      <w:r w:rsidRPr="00C835AB">
        <w:rPr>
          <w:rFonts w:ascii="Times New Roman" w:hAnsi="Times New Roman" w:cs="Times New Roman"/>
          <w:color w:val="auto"/>
          <w:sz w:val="24"/>
        </w:rPr>
        <w:t>dgraniczenie</w:t>
      </w:r>
      <w:proofErr w:type="spellEnd"/>
      <w:r w:rsidRPr="00C835AB">
        <w:rPr>
          <w:rFonts w:ascii="Times New Roman" w:hAnsi="Times New Roman" w:cs="Times New Roman"/>
          <w:color w:val="auto"/>
          <w:sz w:val="24"/>
        </w:rPr>
        <w:t xml:space="preserve"> niektórych typów wykroczeń od przestępstw </w:t>
      </w:r>
      <w:r w:rsidRPr="00C835AB">
        <w:rPr>
          <w:rFonts w:ascii="Times New Roman" w:hAnsi="Times New Roman" w:cs="Times New Roman"/>
          <w:color w:val="auto"/>
          <w:sz w:val="24"/>
        </w:rPr>
        <w:lastRenderedPageBreak/>
        <w:t>nie</w:t>
      </w:r>
      <w:r w:rsidR="00BD5665">
        <w:rPr>
          <w:rFonts w:ascii="Times New Roman" w:hAnsi="Times New Roman" w:cs="Times New Roman"/>
          <w:color w:val="auto"/>
          <w:sz w:val="24"/>
        </w:rPr>
        <w:t> </w:t>
      </w:r>
      <w:r w:rsidRPr="00C835AB">
        <w:rPr>
          <w:rFonts w:ascii="Times New Roman" w:hAnsi="Times New Roman" w:cs="Times New Roman"/>
          <w:color w:val="auto"/>
          <w:sz w:val="24"/>
        </w:rPr>
        <w:t>zawsze jest uzależnione od wartości mienia, na które zostało skierowane działanie sprawcy. W</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 xml:space="preserve">myśl bowiem art. 130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nie jest wykroczeniem czyn skierowany na mienie, nawet niższej wartości 500 zł., jeżeli zaistnieją okoliczności, o których mowa w tym artykule” (zob.</w:t>
      </w:r>
      <w:r w:rsidR="00BD5665">
        <w:rPr>
          <w:rFonts w:ascii="Times New Roman" w:hAnsi="Times New Roman" w:cs="Times New Roman"/>
          <w:color w:val="auto"/>
          <w:sz w:val="24"/>
        </w:rPr>
        <w:t> </w:t>
      </w:r>
      <w:r w:rsidRPr="00C835AB">
        <w:rPr>
          <w:rFonts w:ascii="Times New Roman" w:hAnsi="Times New Roman" w:cs="Times New Roman"/>
          <w:color w:val="auto"/>
          <w:sz w:val="24"/>
        </w:rPr>
        <w:t>M.</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Bojarski, w: Kodeks wykroczeń. Komentarz. 2019 r., red. M. Bojarski, W. Radecki, 2019, kom. do art. 130 pkt 1). Oznacza to, że proponowana nowelizacja nie zmienia znamion wykroczenia kradzieży; zabór rzeczy wartości nieprzekraczającej 800 złotych w dalszym ciągu realizuje znamiona wykroczenia, nie przestępstwa, a kradzież (podobnie jak kradzież leśna, paserstwo czy uszkodzenie rzeczy) pozostają typami przepołowionymi.</w:t>
      </w:r>
    </w:p>
    <w:p w14:paraId="52EA13CB" w14:textId="6F172E61" w:rsidR="00975886" w:rsidRPr="00C835AB" w:rsidRDefault="00975886" w:rsidP="00975886">
      <w:pPr>
        <w:ind w:firstLine="709"/>
        <w:rPr>
          <w:rFonts w:ascii="Times New Roman" w:hAnsi="Times New Roman" w:cs="Times New Roman"/>
          <w:color w:val="auto"/>
          <w:sz w:val="24"/>
        </w:rPr>
      </w:pPr>
      <w:r w:rsidRPr="00C835AB">
        <w:rPr>
          <w:rFonts w:ascii="Times New Roman" w:hAnsi="Times New Roman" w:cs="Times New Roman"/>
          <w:color w:val="auto"/>
          <w:sz w:val="24"/>
        </w:rPr>
        <w:t>Postawiona powyżej teza znajduje uzasadnienie na gruncie przyjmowanej wykładni art.</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 xml:space="preserve">119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w sytuacji, w której przedmiotem czynności wykonawczej jest broń, amunicja czy</w:t>
      </w:r>
      <w:r w:rsidR="00BD5665">
        <w:rPr>
          <w:rFonts w:ascii="Times New Roman" w:hAnsi="Times New Roman" w:cs="Times New Roman"/>
          <w:color w:val="auto"/>
          <w:sz w:val="24"/>
        </w:rPr>
        <w:t> </w:t>
      </w:r>
      <w:r w:rsidRPr="00C835AB">
        <w:rPr>
          <w:rFonts w:ascii="Times New Roman" w:hAnsi="Times New Roman" w:cs="Times New Roman"/>
          <w:color w:val="auto"/>
          <w:sz w:val="24"/>
        </w:rPr>
        <w:t xml:space="preserve">materiały wybuchowe. W takim przypadku, zgodnie z art. 130 § 1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xml:space="preserve">., art. 119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nie</w:t>
      </w:r>
      <w:r w:rsidR="00BD5665">
        <w:rPr>
          <w:rFonts w:ascii="Times New Roman" w:hAnsi="Times New Roman" w:cs="Times New Roman"/>
          <w:color w:val="auto"/>
          <w:sz w:val="24"/>
        </w:rPr>
        <w:t> </w:t>
      </w:r>
      <w:r w:rsidRPr="00C835AB">
        <w:rPr>
          <w:rFonts w:ascii="Times New Roman" w:hAnsi="Times New Roman" w:cs="Times New Roman"/>
          <w:color w:val="auto"/>
          <w:sz w:val="24"/>
        </w:rPr>
        <w:t xml:space="preserve">stosuje się. Jak wskazuje się w doktrynie sformułowanie art. 130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pozwala przyjąć, że</w:t>
      </w:r>
      <w:r w:rsidR="00BD5665">
        <w:rPr>
          <w:rFonts w:ascii="Times New Roman" w:hAnsi="Times New Roman" w:cs="Times New Roman"/>
          <w:color w:val="auto"/>
          <w:sz w:val="24"/>
        </w:rPr>
        <w:t> </w:t>
      </w:r>
      <w:r w:rsidRPr="00C835AB">
        <w:rPr>
          <w:rFonts w:ascii="Times New Roman" w:hAnsi="Times New Roman" w:cs="Times New Roman"/>
          <w:color w:val="auto"/>
          <w:sz w:val="24"/>
        </w:rPr>
        <w:t>wskazane w</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 xml:space="preserve">§ 1 pkt 2 tego przepisu przedmioty nie stanowią przedmiotu czynności wykonawczej typu opisanego w art. 119 </w:t>
      </w:r>
      <w:proofErr w:type="spellStart"/>
      <w:r w:rsidRPr="00C835AB">
        <w:rPr>
          <w:rFonts w:ascii="Times New Roman" w:hAnsi="Times New Roman" w:cs="Times New Roman"/>
          <w:color w:val="auto"/>
          <w:sz w:val="24"/>
        </w:rPr>
        <w:t>k.w</w:t>
      </w:r>
      <w:proofErr w:type="spellEnd"/>
      <w:r w:rsidRPr="00C835AB">
        <w:rPr>
          <w:rFonts w:ascii="Times New Roman" w:hAnsi="Times New Roman" w:cs="Times New Roman"/>
          <w:color w:val="auto"/>
          <w:sz w:val="24"/>
        </w:rPr>
        <w:t>. Przychylić się należy do prezentowanego w</w:t>
      </w:r>
      <w:r w:rsidR="00BD5665">
        <w:rPr>
          <w:rFonts w:ascii="Times New Roman" w:hAnsi="Times New Roman" w:cs="Times New Roman"/>
          <w:color w:val="auto"/>
          <w:sz w:val="24"/>
        </w:rPr>
        <w:t> </w:t>
      </w:r>
      <w:r w:rsidRPr="00C835AB">
        <w:rPr>
          <w:rFonts w:ascii="Times New Roman" w:hAnsi="Times New Roman" w:cs="Times New Roman"/>
          <w:color w:val="auto"/>
          <w:sz w:val="24"/>
        </w:rPr>
        <w:t>doktrynie stanowiska, zgodnie z którym: „(w) takim przypadku mamy do czynienia ze</w:t>
      </w:r>
      <w:r w:rsidR="00BD5665">
        <w:rPr>
          <w:rFonts w:ascii="Times New Roman" w:hAnsi="Times New Roman" w:cs="Times New Roman"/>
          <w:color w:val="auto"/>
          <w:sz w:val="24"/>
        </w:rPr>
        <w:t> </w:t>
      </w:r>
      <w:r w:rsidRPr="00C835AB">
        <w:rPr>
          <w:rFonts w:ascii="Times New Roman" w:hAnsi="Times New Roman" w:cs="Times New Roman"/>
          <w:color w:val="auto"/>
          <w:sz w:val="24"/>
        </w:rPr>
        <w:t>znamionami o charakterze negatywnym, których zaistnienie powoduje, że czyn sprawcy nie</w:t>
      </w:r>
      <w:r w:rsidR="00BD5665">
        <w:rPr>
          <w:rFonts w:ascii="Times New Roman" w:hAnsi="Times New Roman" w:cs="Times New Roman"/>
          <w:color w:val="auto"/>
          <w:sz w:val="24"/>
        </w:rPr>
        <w:t> </w:t>
      </w:r>
      <w:r w:rsidRPr="00C835AB">
        <w:rPr>
          <w:rFonts w:ascii="Times New Roman" w:hAnsi="Times New Roman" w:cs="Times New Roman"/>
          <w:color w:val="auto"/>
          <w:sz w:val="24"/>
        </w:rPr>
        <w:t xml:space="preserve">stanowi wykroczenia, a zatem wypełnia znamiona przestępstwa” (zob. P. </w:t>
      </w:r>
      <w:proofErr w:type="spellStart"/>
      <w:r w:rsidRPr="00C835AB">
        <w:rPr>
          <w:rFonts w:ascii="Times New Roman" w:hAnsi="Times New Roman" w:cs="Times New Roman"/>
          <w:color w:val="auto"/>
          <w:sz w:val="24"/>
        </w:rPr>
        <w:t>Gensikowski</w:t>
      </w:r>
      <w:proofErr w:type="spellEnd"/>
      <w:r w:rsidRPr="00C835AB">
        <w:rPr>
          <w:rFonts w:ascii="Times New Roman" w:hAnsi="Times New Roman" w:cs="Times New Roman"/>
          <w:color w:val="auto"/>
          <w:sz w:val="24"/>
        </w:rPr>
        <w:t>, Wykroczenia przeciwko mieniu, w:</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Reforma Prawa Wykroczeń, tom I, red P. Daniluk, s. 516 i</w:t>
      </w:r>
      <w:r w:rsidR="00BD5665">
        <w:rPr>
          <w:rFonts w:ascii="Times New Roman" w:hAnsi="Times New Roman" w:cs="Times New Roman"/>
          <w:color w:val="auto"/>
          <w:sz w:val="24"/>
        </w:rPr>
        <w:t> </w:t>
      </w:r>
      <w:r w:rsidRPr="00C835AB">
        <w:rPr>
          <w:rFonts w:ascii="Times New Roman" w:hAnsi="Times New Roman" w:cs="Times New Roman"/>
          <w:color w:val="auto"/>
          <w:sz w:val="24"/>
        </w:rPr>
        <w:t>powołana tam literatura).</w:t>
      </w:r>
    </w:p>
    <w:p w14:paraId="5AF13D37" w14:textId="323BE832" w:rsidR="00975886" w:rsidRPr="00C835AB" w:rsidRDefault="00975886" w:rsidP="00975886">
      <w:pPr>
        <w:ind w:firstLine="709"/>
        <w:rPr>
          <w:rFonts w:ascii="Times New Roman" w:hAnsi="Times New Roman" w:cs="Times New Roman"/>
          <w:color w:val="auto"/>
          <w:sz w:val="24"/>
        </w:rPr>
      </w:pPr>
      <w:r w:rsidRPr="00C835AB">
        <w:rPr>
          <w:rFonts w:ascii="Times New Roman" w:hAnsi="Times New Roman" w:cs="Times New Roman"/>
          <w:color w:val="auto"/>
          <w:sz w:val="24"/>
        </w:rPr>
        <w:t>Prezentowane powyżej stanowisko ma istotne znaczenie także z perspektywy znamion przestępstw opisanych w art. 278 k.k., 284 k.k., 288 k.k., 290 k.k. czy 291 k.k. Przyjęcie, że</w:t>
      </w:r>
      <w:r w:rsidR="00BD5665">
        <w:rPr>
          <w:rFonts w:ascii="Times New Roman" w:hAnsi="Times New Roman" w:cs="Times New Roman"/>
          <w:color w:val="auto"/>
          <w:sz w:val="24"/>
        </w:rPr>
        <w:t> </w:t>
      </w:r>
      <w:r w:rsidRPr="00C835AB">
        <w:rPr>
          <w:rFonts w:ascii="Times New Roman" w:hAnsi="Times New Roman" w:cs="Times New Roman"/>
          <w:color w:val="auto"/>
          <w:sz w:val="24"/>
        </w:rPr>
        <w:t>wartość zabieranej, niszczonej czy wartość wyrządzonej szkody przestaje być znamieniem wykroczenia oznaczać może, że typy czynów zabronionych zawarte we wskazanych przepisach tracą charakter tzw. typów przepołowionych. Jakkolwiek sama konstrukcja od lat jest krytykowana w doktrynie, to – z ostrożności procesowej – podkreślić należy, że nie było zamierzeniem projektodawcy wprowadzenie jakichkolwiek zmian w zakresie znamion przestępstw przeciwko mieniu.</w:t>
      </w:r>
    </w:p>
    <w:p w14:paraId="1D696D21" w14:textId="77777777" w:rsidR="00975886" w:rsidRPr="00C835AB" w:rsidRDefault="00975886" w:rsidP="00975886">
      <w:pPr>
        <w:pStyle w:val="Tekstprzypisudolnego"/>
        <w:spacing w:line="360" w:lineRule="auto"/>
        <w:jc w:val="both"/>
        <w:rPr>
          <w:rFonts w:ascii="Times New Roman" w:eastAsia="Calibri" w:hAnsi="Times New Roman" w:cs="Times New Roman"/>
          <w:sz w:val="24"/>
          <w:szCs w:val="24"/>
        </w:rPr>
      </w:pPr>
    </w:p>
    <w:p w14:paraId="0C1D23AB" w14:textId="11E8804A" w:rsidR="00975886" w:rsidRPr="00C835AB" w:rsidRDefault="00975886" w:rsidP="00975886">
      <w:pPr>
        <w:pStyle w:val="Tekstprzypisudolnego"/>
        <w:spacing w:line="360" w:lineRule="auto"/>
        <w:jc w:val="both"/>
        <w:rPr>
          <w:rFonts w:ascii="Times New Roman" w:hAnsi="Times New Roman" w:cs="Times New Roman"/>
          <w:b/>
          <w:bCs/>
          <w:sz w:val="24"/>
          <w:szCs w:val="24"/>
          <w:u w:val="single"/>
        </w:rPr>
      </w:pPr>
      <w:r w:rsidRPr="00C835AB">
        <w:rPr>
          <w:rFonts w:ascii="Times New Roman" w:eastAsia="Calibri" w:hAnsi="Times New Roman" w:cs="Times New Roman"/>
          <w:b/>
          <w:bCs/>
          <w:sz w:val="24"/>
          <w:szCs w:val="24"/>
          <w:u w:val="single"/>
        </w:rPr>
        <w:t>Zmiany w</w:t>
      </w:r>
      <w:r w:rsidR="001C15B0">
        <w:rPr>
          <w:rFonts w:ascii="Times New Roman" w:eastAsia="Calibri" w:hAnsi="Times New Roman" w:cs="Times New Roman"/>
          <w:b/>
          <w:bCs/>
          <w:sz w:val="24"/>
          <w:szCs w:val="24"/>
          <w:u w:val="single"/>
        </w:rPr>
        <w:t xml:space="preserve"> ustawie</w:t>
      </w:r>
      <w:r w:rsidRPr="00C835AB">
        <w:rPr>
          <w:rFonts w:ascii="Times New Roman" w:eastAsia="Calibri" w:hAnsi="Times New Roman" w:cs="Times New Roman"/>
          <w:b/>
          <w:bCs/>
          <w:sz w:val="24"/>
          <w:szCs w:val="24"/>
          <w:u w:val="single"/>
        </w:rPr>
        <w:t xml:space="preserve"> </w:t>
      </w:r>
      <w:r w:rsidR="001C15B0" w:rsidRPr="001C15B0">
        <w:rPr>
          <w:rFonts w:ascii="Times New Roman" w:eastAsia="Calibri" w:hAnsi="Times New Roman" w:cs="Times New Roman"/>
          <w:b/>
          <w:bCs/>
          <w:sz w:val="24"/>
          <w:szCs w:val="24"/>
          <w:u w:val="single"/>
        </w:rPr>
        <w:t>z dnia 6 kwietnia 1990 r. o Policji</w:t>
      </w:r>
      <w:r w:rsidR="001C15B0">
        <w:rPr>
          <w:rFonts w:ascii="Times New Roman" w:eastAsia="Calibri" w:hAnsi="Times New Roman" w:cs="Times New Roman"/>
          <w:b/>
          <w:bCs/>
          <w:sz w:val="24"/>
          <w:szCs w:val="24"/>
          <w:u w:val="single"/>
        </w:rPr>
        <w:t>,</w:t>
      </w:r>
      <w:r w:rsidR="001C15B0" w:rsidRPr="001C15B0">
        <w:rPr>
          <w:rFonts w:ascii="Times New Roman" w:eastAsia="Calibri" w:hAnsi="Times New Roman" w:cs="Times New Roman"/>
          <w:b/>
          <w:bCs/>
          <w:sz w:val="24"/>
          <w:szCs w:val="24"/>
          <w:u w:val="single"/>
        </w:rPr>
        <w:t xml:space="preserve"> </w:t>
      </w:r>
      <w:r w:rsidRPr="00C835AB">
        <w:rPr>
          <w:rFonts w:ascii="Times New Roman" w:eastAsia="Calibri" w:hAnsi="Times New Roman" w:cs="Times New Roman"/>
          <w:b/>
          <w:bCs/>
          <w:sz w:val="24"/>
          <w:szCs w:val="24"/>
          <w:u w:val="single"/>
        </w:rPr>
        <w:t xml:space="preserve">ustawie </w:t>
      </w:r>
      <w:r w:rsidRPr="00C835AB">
        <w:rPr>
          <w:rFonts w:ascii="Times New Roman" w:hAnsi="Times New Roman" w:cs="Times New Roman"/>
          <w:b/>
          <w:bCs/>
          <w:sz w:val="24"/>
          <w:szCs w:val="24"/>
          <w:u w:val="single"/>
        </w:rPr>
        <w:t xml:space="preserve">z dnia 12 października 1990 r. o Straży Granicznej, </w:t>
      </w:r>
      <w:r w:rsidR="001C15B0" w:rsidRPr="001C15B0">
        <w:rPr>
          <w:rFonts w:ascii="Times New Roman" w:hAnsi="Times New Roman" w:cs="Times New Roman"/>
          <w:b/>
          <w:bCs/>
          <w:sz w:val="24"/>
          <w:szCs w:val="24"/>
          <w:u w:val="single"/>
        </w:rPr>
        <w:t>ustawie z dnia 21 czerwca 1996 r. o szczególnych formach sprawowania nadzoru przez ministra właściwego do spraw wewnętrznych</w:t>
      </w:r>
      <w:r w:rsidR="001C15B0">
        <w:rPr>
          <w:rFonts w:ascii="Times New Roman" w:hAnsi="Times New Roman" w:cs="Times New Roman"/>
          <w:b/>
          <w:bCs/>
          <w:sz w:val="24"/>
          <w:szCs w:val="24"/>
          <w:u w:val="single"/>
        </w:rPr>
        <w:t xml:space="preserve">, </w:t>
      </w:r>
      <w:r w:rsidR="00BD5665">
        <w:rPr>
          <w:rFonts w:ascii="Times New Roman" w:hAnsi="Times New Roman" w:cs="Times New Roman"/>
          <w:b/>
          <w:bCs/>
          <w:sz w:val="24"/>
          <w:szCs w:val="24"/>
          <w:u w:val="single"/>
        </w:rPr>
        <w:t xml:space="preserve">ustawie </w:t>
      </w:r>
      <w:r w:rsidRPr="00C835AB">
        <w:rPr>
          <w:rFonts w:ascii="Times New Roman" w:hAnsi="Times New Roman" w:cs="Times New Roman"/>
          <w:b/>
          <w:bCs/>
          <w:sz w:val="24"/>
          <w:szCs w:val="24"/>
          <w:u w:val="single"/>
        </w:rPr>
        <w:t>z dnia 30</w:t>
      </w:r>
      <w:r w:rsidR="00BD5665">
        <w:rPr>
          <w:rFonts w:ascii="Times New Roman" w:hAnsi="Times New Roman" w:cs="Times New Roman"/>
          <w:b/>
          <w:bCs/>
          <w:sz w:val="24"/>
          <w:szCs w:val="24"/>
          <w:u w:val="single"/>
        </w:rPr>
        <w:t> </w:t>
      </w:r>
      <w:r w:rsidRPr="00C835AB">
        <w:rPr>
          <w:rFonts w:ascii="Times New Roman" w:hAnsi="Times New Roman" w:cs="Times New Roman"/>
          <w:b/>
          <w:bCs/>
          <w:sz w:val="24"/>
          <w:szCs w:val="24"/>
          <w:u w:val="single"/>
        </w:rPr>
        <w:t xml:space="preserve">października 2002 r. o zaopatrzeniu z tytułu wypadków lub chorób zawodowych powstałych w szczególnych okolicznościach, </w:t>
      </w:r>
      <w:r w:rsidR="00BD5665">
        <w:rPr>
          <w:rFonts w:ascii="Times New Roman" w:hAnsi="Times New Roman" w:cs="Times New Roman"/>
          <w:b/>
          <w:bCs/>
          <w:sz w:val="24"/>
          <w:szCs w:val="24"/>
          <w:u w:val="single"/>
        </w:rPr>
        <w:t xml:space="preserve">ustawie </w:t>
      </w:r>
      <w:r w:rsidRPr="00C835AB">
        <w:rPr>
          <w:rFonts w:ascii="Times New Roman" w:hAnsi="Times New Roman" w:cs="Times New Roman"/>
          <w:b/>
          <w:bCs/>
          <w:sz w:val="24"/>
          <w:szCs w:val="24"/>
          <w:u w:val="single"/>
        </w:rPr>
        <w:t xml:space="preserve">z dnia 16 listopada 2016 r. </w:t>
      </w:r>
      <w:r w:rsidRPr="00C835AB">
        <w:rPr>
          <w:rFonts w:ascii="Times New Roman" w:hAnsi="Times New Roman" w:cs="Times New Roman"/>
          <w:b/>
          <w:bCs/>
          <w:sz w:val="24"/>
          <w:szCs w:val="24"/>
          <w:u w:val="single"/>
        </w:rPr>
        <w:lastRenderedPageBreak/>
        <w:t>o</w:t>
      </w:r>
      <w:r w:rsidR="00BD5665">
        <w:rPr>
          <w:rFonts w:ascii="Times New Roman" w:hAnsi="Times New Roman" w:cs="Times New Roman"/>
          <w:b/>
          <w:bCs/>
          <w:sz w:val="24"/>
          <w:szCs w:val="24"/>
          <w:u w:val="single"/>
        </w:rPr>
        <w:t> </w:t>
      </w:r>
      <w:r w:rsidRPr="00C835AB">
        <w:rPr>
          <w:rFonts w:ascii="Times New Roman" w:hAnsi="Times New Roman" w:cs="Times New Roman"/>
          <w:b/>
          <w:bCs/>
          <w:sz w:val="24"/>
          <w:szCs w:val="24"/>
          <w:u w:val="single"/>
        </w:rPr>
        <w:t>Krajowej Administracji Skarbowej</w:t>
      </w:r>
      <w:r w:rsidR="00D05EBF">
        <w:rPr>
          <w:rFonts w:ascii="Times New Roman" w:hAnsi="Times New Roman" w:cs="Times New Roman"/>
          <w:b/>
          <w:bCs/>
          <w:sz w:val="24"/>
          <w:szCs w:val="24"/>
          <w:u w:val="single"/>
        </w:rPr>
        <w:t xml:space="preserve">, </w:t>
      </w:r>
      <w:r w:rsidR="00D05EBF" w:rsidRPr="00D05EBF">
        <w:rPr>
          <w:rFonts w:ascii="Times New Roman" w:hAnsi="Times New Roman" w:cs="Times New Roman"/>
          <w:b/>
          <w:bCs/>
          <w:sz w:val="24"/>
          <w:szCs w:val="24"/>
          <w:u w:val="single"/>
        </w:rPr>
        <w:t xml:space="preserve">ustawie z dnia 8 grudnia 2017 r. o Służbie Ochrony Państwa </w:t>
      </w:r>
      <w:r w:rsidR="001E5DA7" w:rsidRPr="00C835AB">
        <w:rPr>
          <w:rFonts w:ascii="Times New Roman" w:hAnsi="Times New Roman" w:cs="Times New Roman"/>
          <w:b/>
          <w:bCs/>
          <w:sz w:val="24"/>
          <w:szCs w:val="24"/>
          <w:u w:val="single"/>
        </w:rPr>
        <w:t>oraz</w:t>
      </w:r>
      <w:r w:rsidR="00BD5665">
        <w:rPr>
          <w:rFonts w:ascii="Times New Roman" w:hAnsi="Times New Roman" w:cs="Times New Roman"/>
          <w:b/>
          <w:bCs/>
          <w:sz w:val="24"/>
          <w:szCs w:val="24"/>
          <w:u w:val="single"/>
        </w:rPr>
        <w:t xml:space="preserve"> ustawie</w:t>
      </w:r>
      <w:r w:rsidRPr="00C835AB">
        <w:rPr>
          <w:rFonts w:ascii="Times New Roman" w:hAnsi="Times New Roman" w:cs="Times New Roman"/>
          <w:b/>
          <w:bCs/>
          <w:sz w:val="24"/>
          <w:szCs w:val="24"/>
          <w:u w:val="single"/>
        </w:rPr>
        <w:t xml:space="preserve"> z dnia 11 marca 2022 r. o obronie Ojczyzny</w:t>
      </w:r>
    </w:p>
    <w:p w14:paraId="7DF78301" w14:textId="77777777" w:rsidR="00975886" w:rsidRPr="00C835AB" w:rsidRDefault="00975886" w:rsidP="00603A64">
      <w:pPr>
        <w:pStyle w:val="Tekstprzypisudolnego"/>
        <w:spacing w:line="360" w:lineRule="auto"/>
        <w:jc w:val="both"/>
        <w:rPr>
          <w:rFonts w:ascii="Times New Roman" w:eastAsia="Calibri" w:hAnsi="Times New Roman" w:cs="Times New Roman"/>
          <w:b/>
          <w:bCs/>
          <w:sz w:val="24"/>
          <w:szCs w:val="24"/>
          <w:u w:val="single"/>
        </w:rPr>
      </w:pPr>
    </w:p>
    <w:p w14:paraId="7279442C" w14:textId="59FDA74A" w:rsidR="00975886" w:rsidRPr="00C835AB" w:rsidRDefault="00F23DF8" w:rsidP="00603A64">
      <w:pPr>
        <w:ind w:firstLine="709"/>
        <w:rPr>
          <w:rFonts w:ascii="Times New Roman" w:hAnsi="Times New Roman" w:cs="Times New Roman"/>
          <w:sz w:val="24"/>
        </w:rPr>
      </w:pPr>
      <w:r w:rsidRPr="00C835AB">
        <w:rPr>
          <w:rFonts w:ascii="Times New Roman" w:hAnsi="Times New Roman" w:cs="Times New Roman"/>
          <w:sz w:val="24"/>
        </w:rPr>
        <w:t xml:space="preserve">Projektowane zmiany w </w:t>
      </w:r>
      <w:r w:rsidR="001C15B0">
        <w:rPr>
          <w:rFonts w:ascii="Times New Roman" w:hAnsi="Times New Roman" w:cs="Times New Roman"/>
          <w:sz w:val="24"/>
        </w:rPr>
        <w:t xml:space="preserve">art. 19 ust. 5 ustawy </w:t>
      </w:r>
      <w:r w:rsidR="001C15B0" w:rsidRPr="001C15B0">
        <w:rPr>
          <w:rFonts w:ascii="Times New Roman" w:hAnsi="Times New Roman" w:cs="Times New Roman"/>
          <w:sz w:val="24"/>
        </w:rPr>
        <w:t xml:space="preserve">z dnia 6 kwietnia 1990 r. o Policji </w:t>
      </w:r>
      <w:r w:rsidR="001C15B0">
        <w:rPr>
          <w:rFonts w:ascii="Times New Roman" w:hAnsi="Times New Roman" w:cs="Times New Roman"/>
          <w:sz w:val="24"/>
        </w:rPr>
        <w:t>(Dz. U. z 202</w:t>
      </w:r>
      <w:r w:rsidR="00A36936">
        <w:rPr>
          <w:rFonts w:ascii="Times New Roman" w:hAnsi="Times New Roman" w:cs="Times New Roman"/>
          <w:sz w:val="24"/>
        </w:rPr>
        <w:t>5</w:t>
      </w:r>
      <w:r w:rsidR="001C15B0">
        <w:rPr>
          <w:rFonts w:ascii="Times New Roman" w:hAnsi="Times New Roman" w:cs="Times New Roman"/>
          <w:sz w:val="24"/>
        </w:rPr>
        <w:t xml:space="preserve"> r. poz. </w:t>
      </w:r>
      <w:r w:rsidR="00A36936">
        <w:rPr>
          <w:rFonts w:ascii="Times New Roman" w:hAnsi="Times New Roman" w:cs="Times New Roman"/>
          <w:sz w:val="24"/>
        </w:rPr>
        <w:t>636</w:t>
      </w:r>
      <w:r w:rsidR="001C15B0">
        <w:rPr>
          <w:rFonts w:ascii="Times New Roman" w:hAnsi="Times New Roman" w:cs="Times New Roman"/>
          <w:sz w:val="24"/>
        </w:rPr>
        <w:t xml:space="preserve">, z </w:t>
      </w:r>
      <w:proofErr w:type="spellStart"/>
      <w:r w:rsidR="001C15B0">
        <w:rPr>
          <w:rFonts w:ascii="Times New Roman" w:hAnsi="Times New Roman" w:cs="Times New Roman"/>
          <w:sz w:val="24"/>
        </w:rPr>
        <w:t>późn</w:t>
      </w:r>
      <w:proofErr w:type="spellEnd"/>
      <w:r w:rsidR="001C15B0">
        <w:rPr>
          <w:rFonts w:ascii="Times New Roman" w:hAnsi="Times New Roman" w:cs="Times New Roman"/>
          <w:sz w:val="24"/>
        </w:rPr>
        <w:t xml:space="preserve">. zm.), </w:t>
      </w:r>
      <w:r w:rsidR="00975886" w:rsidRPr="00C835AB">
        <w:rPr>
          <w:rFonts w:ascii="Times New Roman" w:hAnsi="Times New Roman" w:cs="Times New Roman"/>
          <w:sz w:val="24"/>
        </w:rPr>
        <w:t xml:space="preserve">art. </w:t>
      </w:r>
      <w:r w:rsidR="001C15B0">
        <w:rPr>
          <w:rFonts w:ascii="Times New Roman" w:hAnsi="Times New Roman" w:cs="Times New Roman"/>
          <w:sz w:val="24"/>
        </w:rPr>
        <w:t xml:space="preserve">9e ust. 6 i art. </w:t>
      </w:r>
      <w:r w:rsidR="00975886" w:rsidRPr="00C835AB">
        <w:rPr>
          <w:rFonts w:ascii="Times New Roman" w:hAnsi="Times New Roman" w:cs="Times New Roman"/>
          <w:sz w:val="24"/>
        </w:rPr>
        <w:t>14 ust</w:t>
      </w:r>
      <w:r w:rsidR="00796D23">
        <w:rPr>
          <w:rFonts w:ascii="Times New Roman" w:hAnsi="Times New Roman" w:cs="Times New Roman"/>
          <w:sz w:val="24"/>
        </w:rPr>
        <w:t>.</w:t>
      </w:r>
      <w:r w:rsidR="00975886" w:rsidRPr="00C835AB">
        <w:rPr>
          <w:rFonts w:ascii="Times New Roman" w:hAnsi="Times New Roman" w:cs="Times New Roman"/>
          <w:sz w:val="24"/>
        </w:rPr>
        <w:t xml:space="preserve"> 1 pkt 2 ustawy z dnia 12 października 1990 r. o</w:t>
      </w:r>
      <w:r w:rsidR="001A3D13" w:rsidRPr="00C835AB">
        <w:rPr>
          <w:rFonts w:ascii="Times New Roman" w:hAnsi="Times New Roman" w:cs="Times New Roman"/>
          <w:sz w:val="24"/>
        </w:rPr>
        <w:t> </w:t>
      </w:r>
      <w:r w:rsidR="00975886" w:rsidRPr="00C835AB">
        <w:rPr>
          <w:rFonts w:ascii="Times New Roman" w:hAnsi="Times New Roman" w:cs="Times New Roman"/>
          <w:sz w:val="24"/>
        </w:rPr>
        <w:t xml:space="preserve">Straży Granicznej </w:t>
      </w:r>
      <w:r w:rsidR="00975886" w:rsidRPr="00C835AB">
        <w:rPr>
          <w:rFonts w:ascii="Times New Roman" w:eastAsia="Times New Roman" w:hAnsi="Times New Roman" w:cs="Times New Roman"/>
          <w:kern w:val="0"/>
          <w:sz w:val="24"/>
          <w:lang w:eastAsia="pl-PL"/>
          <w14:ligatures w14:val="none"/>
        </w:rPr>
        <w:t>(Dz. U. z 2024 r. poz. 915</w:t>
      </w:r>
      <w:r w:rsidR="00975886" w:rsidRPr="00C835AB">
        <w:rPr>
          <w:rFonts w:ascii="Times New Roman" w:hAnsi="Times New Roman" w:cs="Times New Roman"/>
          <w:sz w:val="24"/>
          <w:lang w:eastAsia="pl-PL"/>
        </w:rPr>
        <w:t xml:space="preserve">, z </w:t>
      </w:r>
      <w:proofErr w:type="spellStart"/>
      <w:r w:rsidR="00975886" w:rsidRPr="00C835AB">
        <w:rPr>
          <w:rFonts w:ascii="Times New Roman" w:hAnsi="Times New Roman" w:cs="Times New Roman"/>
          <w:sz w:val="24"/>
          <w:lang w:eastAsia="pl-PL"/>
        </w:rPr>
        <w:t>późn</w:t>
      </w:r>
      <w:proofErr w:type="spellEnd"/>
      <w:r w:rsidR="00975886" w:rsidRPr="00C835AB">
        <w:rPr>
          <w:rFonts w:ascii="Times New Roman" w:hAnsi="Times New Roman" w:cs="Times New Roman"/>
          <w:sz w:val="24"/>
          <w:lang w:eastAsia="pl-PL"/>
        </w:rPr>
        <w:t xml:space="preserve">. zm.), </w:t>
      </w:r>
      <w:r w:rsidR="001C15B0">
        <w:rPr>
          <w:rFonts w:ascii="Times New Roman" w:hAnsi="Times New Roman" w:cs="Times New Roman"/>
          <w:sz w:val="24"/>
          <w:lang w:eastAsia="pl-PL"/>
        </w:rPr>
        <w:t xml:space="preserve">art. 11n ust. 4 </w:t>
      </w:r>
      <w:r w:rsidR="001C15B0" w:rsidRPr="001C15B0">
        <w:rPr>
          <w:rFonts w:ascii="Times New Roman" w:hAnsi="Times New Roman" w:cs="Times New Roman"/>
          <w:sz w:val="24"/>
          <w:lang w:eastAsia="pl-PL"/>
        </w:rPr>
        <w:t>ustaw</w:t>
      </w:r>
      <w:r w:rsidR="001C15B0">
        <w:rPr>
          <w:rFonts w:ascii="Times New Roman" w:hAnsi="Times New Roman" w:cs="Times New Roman"/>
          <w:sz w:val="24"/>
          <w:lang w:eastAsia="pl-PL"/>
        </w:rPr>
        <w:t>y</w:t>
      </w:r>
      <w:r w:rsidR="001C15B0" w:rsidRPr="001C15B0">
        <w:rPr>
          <w:rFonts w:ascii="Times New Roman" w:hAnsi="Times New Roman" w:cs="Times New Roman"/>
          <w:sz w:val="24"/>
          <w:lang w:eastAsia="pl-PL"/>
        </w:rPr>
        <w:t xml:space="preserve"> z dnia 21 czerwca 1996 r. o szczególnych formach sprawowania nadzoru przez ministra właściwego do spraw wewnętrznych</w:t>
      </w:r>
      <w:r w:rsidR="001C15B0">
        <w:rPr>
          <w:rFonts w:ascii="Times New Roman" w:hAnsi="Times New Roman" w:cs="Times New Roman"/>
          <w:sz w:val="24"/>
          <w:lang w:eastAsia="pl-PL"/>
        </w:rPr>
        <w:t xml:space="preserve"> </w:t>
      </w:r>
      <w:r w:rsidR="001C15B0" w:rsidRPr="001C15B0">
        <w:rPr>
          <w:rFonts w:ascii="Times New Roman" w:hAnsi="Times New Roman" w:cs="Times New Roman"/>
          <w:sz w:val="24"/>
          <w:lang w:eastAsia="pl-PL"/>
        </w:rPr>
        <w:t>(Dz. U. z 202</w:t>
      </w:r>
      <w:r w:rsidR="00907844">
        <w:rPr>
          <w:rFonts w:ascii="Times New Roman" w:hAnsi="Times New Roman" w:cs="Times New Roman"/>
          <w:sz w:val="24"/>
          <w:lang w:eastAsia="pl-PL"/>
        </w:rPr>
        <w:t>5</w:t>
      </w:r>
      <w:r w:rsidR="001C15B0" w:rsidRPr="001C15B0">
        <w:rPr>
          <w:rFonts w:ascii="Times New Roman" w:hAnsi="Times New Roman" w:cs="Times New Roman"/>
          <w:sz w:val="24"/>
          <w:lang w:eastAsia="pl-PL"/>
        </w:rPr>
        <w:t xml:space="preserve"> r. poz.</w:t>
      </w:r>
      <w:r w:rsidR="00907844">
        <w:rPr>
          <w:rFonts w:ascii="Times New Roman" w:hAnsi="Times New Roman" w:cs="Times New Roman"/>
          <w:sz w:val="24"/>
          <w:lang w:eastAsia="pl-PL"/>
        </w:rPr>
        <w:t xml:space="preserve"> 529</w:t>
      </w:r>
      <w:r w:rsidR="001C15B0">
        <w:rPr>
          <w:rFonts w:ascii="Times New Roman" w:hAnsi="Times New Roman" w:cs="Times New Roman"/>
          <w:sz w:val="24"/>
          <w:lang w:eastAsia="pl-PL"/>
        </w:rPr>
        <w:t>),</w:t>
      </w:r>
      <w:r w:rsidR="001C15B0" w:rsidRPr="001C15B0">
        <w:rPr>
          <w:rFonts w:ascii="Times New Roman" w:hAnsi="Times New Roman" w:cs="Times New Roman"/>
          <w:sz w:val="24"/>
          <w:lang w:eastAsia="pl-PL"/>
        </w:rPr>
        <w:t xml:space="preserve"> </w:t>
      </w:r>
      <w:r w:rsidR="00975886" w:rsidRPr="00C835AB">
        <w:rPr>
          <w:rFonts w:ascii="Times New Roman" w:hAnsi="Times New Roman" w:cs="Times New Roman"/>
          <w:sz w:val="24"/>
        </w:rPr>
        <w:t xml:space="preserve">art. 2 ust. 1 pkt 4 ustawy z dnia 30 października 2002 r. o zaopatrzeniu z tytułu wypadków lub chorób zawodowych powstałych w szczególnych okolicznościach (Dz. U. z </w:t>
      </w:r>
      <w:r w:rsidR="00907844" w:rsidRPr="00C835AB">
        <w:rPr>
          <w:rFonts w:ascii="Times New Roman" w:hAnsi="Times New Roman" w:cs="Times New Roman"/>
          <w:sz w:val="24"/>
        </w:rPr>
        <w:t>202</w:t>
      </w:r>
      <w:r w:rsidR="00907844">
        <w:rPr>
          <w:rFonts w:ascii="Times New Roman" w:hAnsi="Times New Roman" w:cs="Times New Roman"/>
          <w:sz w:val="24"/>
        </w:rPr>
        <w:t>5</w:t>
      </w:r>
      <w:r w:rsidR="00907844" w:rsidRPr="00C835AB">
        <w:rPr>
          <w:rFonts w:ascii="Times New Roman" w:hAnsi="Times New Roman" w:cs="Times New Roman"/>
          <w:sz w:val="24"/>
        </w:rPr>
        <w:t xml:space="preserve"> </w:t>
      </w:r>
      <w:r w:rsidR="00975886" w:rsidRPr="00C835AB">
        <w:rPr>
          <w:rFonts w:ascii="Times New Roman" w:hAnsi="Times New Roman" w:cs="Times New Roman"/>
          <w:sz w:val="24"/>
        </w:rPr>
        <w:t xml:space="preserve">r. poz. </w:t>
      </w:r>
      <w:r w:rsidR="00907844">
        <w:rPr>
          <w:rFonts w:ascii="Times New Roman" w:hAnsi="Times New Roman" w:cs="Times New Roman"/>
          <w:sz w:val="24"/>
        </w:rPr>
        <w:t>173</w:t>
      </w:r>
      <w:r w:rsidR="007403CA">
        <w:rPr>
          <w:rFonts w:ascii="Times New Roman" w:hAnsi="Times New Roman" w:cs="Times New Roman"/>
          <w:sz w:val="24"/>
        </w:rPr>
        <w:t xml:space="preserve">, z </w:t>
      </w:r>
      <w:proofErr w:type="spellStart"/>
      <w:r w:rsidR="007403CA">
        <w:rPr>
          <w:rFonts w:ascii="Times New Roman" w:hAnsi="Times New Roman" w:cs="Times New Roman"/>
          <w:sz w:val="24"/>
        </w:rPr>
        <w:t>późn</w:t>
      </w:r>
      <w:proofErr w:type="spellEnd"/>
      <w:r w:rsidR="007403CA">
        <w:rPr>
          <w:rFonts w:ascii="Times New Roman" w:hAnsi="Times New Roman" w:cs="Times New Roman"/>
          <w:sz w:val="24"/>
        </w:rPr>
        <w:t>. zm.</w:t>
      </w:r>
      <w:r w:rsidR="00975886" w:rsidRPr="00C835AB">
        <w:rPr>
          <w:rFonts w:ascii="Times New Roman" w:hAnsi="Times New Roman" w:cs="Times New Roman"/>
          <w:sz w:val="24"/>
        </w:rPr>
        <w:t xml:space="preserve">), art. 136 ust. 3 pkt 2 ustawy z dnia 16 listopada 2016 r. o Krajowej Administracji Skarbowej </w:t>
      </w:r>
      <w:r w:rsidR="00975886" w:rsidRPr="00C835AB">
        <w:rPr>
          <w:rFonts w:ascii="Times New Roman" w:eastAsia="Times New Roman" w:hAnsi="Times New Roman" w:cs="Times New Roman"/>
          <w:kern w:val="0"/>
          <w:sz w:val="24"/>
          <w:lang w:eastAsia="pl-PL"/>
          <w14:ligatures w14:val="none"/>
        </w:rPr>
        <w:t>(Dz. U. z 2023 r. poz.</w:t>
      </w:r>
      <w:r w:rsidR="00BD5665">
        <w:rPr>
          <w:rFonts w:ascii="Times New Roman" w:eastAsia="Times New Roman" w:hAnsi="Times New Roman" w:cs="Times New Roman"/>
          <w:kern w:val="0"/>
          <w:sz w:val="24"/>
          <w:lang w:eastAsia="pl-PL"/>
          <w14:ligatures w14:val="none"/>
        </w:rPr>
        <w:t> </w:t>
      </w:r>
      <w:r w:rsidR="00975886" w:rsidRPr="00C835AB">
        <w:rPr>
          <w:rFonts w:ascii="Times New Roman" w:eastAsia="Times New Roman" w:hAnsi="Times New Roman" w:cs="Times New Roman"/>
          <w:kern w:val="0"/>
          <w:sz w:val="24"/>
          <w:lang w:eastAsia="pl-PL"/>
          <w14:ligatures w14:val="none"/>
        </w:rPr>
        <w:t xml:space="preserve">615, z </w:t>
      </w:r>
      <w:proofErr w:type="spellStart"/>
      <w:r w:rsidR="00975886" w:rsidRPr="00C835AB">
        <w:rPr>
          <w:rFonts w:ascii="Times New Roman" w:eastAsia="Times New Roman" w:hAnsi="Times New Roman" w:cs="Times New Roman"/>
          <w:kern w:val="0"/>
          <w:sz w:val="24"/>
          <w:lang w:eastAsia="pl-PL"/>
          <w14:ligatures w14:val="none"/>
        </w:rPr>
        <w:t>późn</w:t>
      </w:r>
      <w:proofErr w:type="spellEnd"/>
      <w:r w:rsidR="00975886" w:rsidRPr="00C835AB">
        <w:rPr>
          <w:rFonts w:ascii="Times New Roman" w:eastAsia="Times New Roman" w:hAnsi="Times New Roman" w:cs="Times New Roman"/>
          <w:kern w:val="0"/>
          <w:sz w:val="24"/>
          <w:lang w:eastAsia="pl-PL"/>
          <w14:ligatures w14:val="none"/>
        </w:rPr>
        <w:t>. zm.</w:t>
      </w:r>
      <w:r w:rsidR="00975886" w:rsidRPr="00C835AB">
        <w:rPr>
          <w:rFonts w:ascii="Times New Roman" w:hAnsi="Times New Roman" w:cs="Times New Roman"/>
          <w:sz w:val="24"/>
          <w:lang w:eastAsia="pl-PL"/>
        </w:rPr>
        <w:t>)</w:t>
      </w:r>
      <w:r w:rsidR="00975886" w:rsidRPr="00C835AB">
        <w:rPr>
          <w:rFonts w:ascii="Times New Roman" w:hAnsi="Times New Roman" w:cs="Times New Roman"/>
          <w:sz w:val="24"/>
        </w:rPr>
        <w:t xml:space="preserve">, </w:t>
      </w:r>
      <w:r w:rsidR="00D05EBF">
        <w:rPr>
          <w:rFonts w:ascii="Times New Roman" w:hAnsi="Times New Roman" w:cs="Times New Roman"/>
          <w:sz w:val="24"/>
        </w:rPr>
        <w:t xml:space="preserve">art. 42 ust. 5 </w:t>
      </w:r>
      <w:r w:rsidR="00D05EBF" w:rsidRPr="00D05EBF">
        <w:rPr>
          <w:rFonts w:ascii="Times New Roman" w:hAnsi="Times New Roman" w:cs="Times New Roman"/>
          <w:sz w:val="24"/>
        </w:rPr>
        <w:t>ustaw</w:t>
      </w:r>
      <w:r w:rsidR="00D05EBF">
        <w:rPr>
          <w:rFonts w:ascii="Times New Roman" w:hAnsi="Times New Roman" w:cs="Times New Roman"/>
          <w:sz w:val="24"/>
        </w:rPr>
        <w:t>y</w:t>
      </w:r>
      <w:r w:rsidR="00D05EBF" w:rsidRPr="00D05EBF">
        <w:rPr>
          <w:rFonts w:ascii="Times New Roman" w:hAnsi="Times New Roman" w:cs="Times New Roman"/>
          <w:sz w:val="24"/>
        </w:rPr>
        <w:t xml:space="preserve"> z dnia 8 grudnia 2017 r. o Służbie Ochrony Państwa (Dz. U. z 2025 r. poz. 34</w:t>
      </w:r>
      <w:r w:rsidR="00D05EBF">
        <w:rPr>
          <w:rFonts w:ascii="Times New Roman" w:hAnsi="Times New Roman" w:cs="Times New Roman"/>
          <w:sz w:val="24"/>
        </w:rPr>
        <w:t xml:space="preserve">, z </w:t>
      </w:r>
      <w:proofErr w:type="spellStart"/>
      <w:r w:rsidR="00D05EBF">
        <w:rPr>
          <w:rFonts w:ascii="Times New Roman" w:hAnsi="Times New Roman" w:cs="Times New Roman"/>
          <w:sz w:val="24"/>
        </w:rPr>
        <w:t>późn</w:t>
      </w:r>
      <w:proofErr w:type="spellEnd"/>
      <w:r w:rsidR="00D05EBF">
        <w:rPr>
          <w:rFonts w:ascii="Times New Roman" w:hAnsi="Times New Roman" w:cs="Times New Roman"/>
          <w:sz w:val="24"/>
        </w:rPr>
        <w:t>. zm.</w:t>
      </w:r>
      <w:r w:rsidR="00D05EBF" w:rsidRPr="00D05EBF">
        <w:rPr>
          <w:rFonts w:ascii="Times New Roman" w:hAnsi="Times New Roman" w:cs="Times New Roman"/>
          <w:sz w:val="24"/>
        </w:rPr>
        <w:t>)</w:t>
      </w:r>
      <w:r w:rsidR="00D05EBF">
        <w:rPr>
          <w:rFonts w:ascii="Times New Roman" w:hAnsi="Times New Roman" w:cs="Times New Roman"/>
          <w:sz w:val="24"/>
        </w:rPr>
        <w:t>,</w:t>
      </w:r>
      <w:r w:rsidR="00D05EBF" w:rsidRPr="00D05EBF">
        <w:rPr>
          <w:rFonts w:ascii="Times New Roman" w:hAnsi="Times New Roman" w:cs="Times New Roman"/>
          <w:sz w:val="24"/>
        </w:rPr>
        <w:t xml:space="preserve"> </w:t>
      </w:r>
      <w:r w:rsidR="00975886" w:rsidRPr="00C835AB">
        <w:rPr>
          <w:rFonts w:ascii="Times New Roman" w:hAnsi="Times New Roman" w:cs="Times New Roman"/>
          <w:sz w:val="24"/>
        </w:rPr>
        <w:t>art. 508 pkt 1 lit. d ustawy z dnia 11 marca 2022 r. o obronie Ojczyzny (Dz.</w:t>
      </w:r>
      <w:r w:rsidR="001A3D13" w:rsidRPr="00C835AB">
        <w:rPr>
          <w:rFonts w:ascii="Times New Roman" w:hAnsi="Times New Roman" w:cs="Times New Roman"/>
          <w:sz w:val="24"/>
        </w:rPr>
        <w:t> </w:t>
      </w:r>
      <w:r w:rsidR="00975886" w:rsidRPr="00C835AB">
        <w:rPr>
          <w:rFonts w:ascii="Times New Roman" w:hAnsi="Times New Roman" w:cs="Times New Roman"/>
          <w:sz w:val="24"/>
        </w:rPr>
        <w:t>U. z 202</w:t>
      </w:r>
      <w:r w:rsidR="00F74AD4">
        <w:rPr>
          <w:rFonts w:ascii="Times New Roman" w:hAnsi="Times New Roman" w:cs="Times New Roman"/>
          <w:sz w:val="24"/>
        </w:rPr>
        <w:t>5</w:t>
      </w:r>
      <w:r w:rsidR="00975886" w:rsidRPr="00C835AB">
        <w:rPr>
          <w:rFonts w:ascii="Times New Roman" w:hAnsi="Times New Roman" w:cs="Times New Roman"/>
          <w:sz w:val="24"/>
        </w:rPr>
        <w:t xml:space="preserve"> r. poz. </w:t>
      </w:r>
      <w:r w:rsidR="00F74AD4">
        <w:rPr>
          <w:rFonts w:ascii="Times New Roman" w:hAnsi="Times New Roman" w:cs="Times New Roman"/>
          <w:sz w:val="24"/>
        </w:rPr>
        <w:t>825</w:t>
      </w:r>
      <w:r w:rsidR="00975886" w:rsidRPr="00C835AB">
        <w:rPr>
          <w:rFonts w:ascii="Times New Roman" w:hAnsi="Times New Roman" w:cs="Times New Roman"/>
          <w:sz w:val="24"/>
        </w:rPr>
        <w:t>), w których posłużono się pojęciem „osoba podejrzana”</w:t>
      </w:r>
      <w:r w:rsidRPr="00C835AB">
        <w:rPr>
          <w:rFonts w:ascii="Times New Roman" w:hAnsi="Times New Roman" w:cs="Times New Roman"/>
          <w:sz w:val="24"/>
        </w:rPr>
        <w:t>, wynikają</w:t>
      </w:r>
      <w:r w:rsidR="00B0714E" w:rsidRPr="00C835AB">
        <w:rPr>
          <w:rFonts w:ascii="Times New Roman" w:hAnsi="Times New Roman" w:cs="Times New Roman"/>
          <w:sz w:val="24"/>
        </w:rPr>
        <w:t xml:space="preserve"> </w:t>
      </w:r>
      <w:r w:rsidRPr="00C835AB">
        <w:rPr>
          <w:rFonts w:ascii="Times New Roman" w:eastAsia="Aptos" w:hAnsi="Times New Roman" w:cs="Times New Roman"/>
          <w:bCs/>
          <w:color w:val="000000"/>
          <w:kern w:val="0"/>
          <w:sz w:val="24"/>
          <w14:ligatures w14:val="none"/>
        </w:rPr>
        <w:t>ze zmiany definicji podejrzanego, proponowanej w niniejszym projekcie i</w:t>
      </w:r>
      <w:r w:rsidR="001A3D13" w:rsidRPr="00C835AB">
        <w:rPr>
          <w:rFonts w:ascii="Times New Roman" w:eastAsia="Aptos" w:hAnsi="Times New Roman" w:cs="Times New Roman"/>
          <w:bCs/>
          <w:color w:val="000000"/>
          <w:kern w:val="0"/>
          <w:sz w:val="24"/>
          <w14:ligatures w14:val="none"/>
        </w:rPr>
        <w:t> </w:t>
      </w:r>
      <w:r w:rsidRPr="00C835AB">
        <w:rPr>
          <w:rFonts w:ascii="Times New Roman" w:eastAsia="Aptos" w:hAnsi="Times New Roman" w:cs="Times New Roman"/>
          <w:bCs/>
          <w:color w:val="000000"/>
          <w:kern w:val="0"/>
          <w:sz w:val="24"/>
          <w14:ligatures w14:val="none"/>
        </w:rPr>
        <w:t xml:space="preserve">konieczności ujednolicenia przyjętej terminologii. </w:t>
      </w:r>
    </w:p>
    <w:p w14:paraId="6BC4F06D" w14:textId="77777777" w:rsidR="005F350A" w:rsidRDefault="005F350A" w:rsidP="005F350A">
      <w:pPr>
        <w:rPr>
          <w:rFonts w:ascii="Times New Roman" w:hAnsi="Times New Roman" w:cs="Times New Roman"/>
          <w:b/>
          <w:bCs/>
          <w:color w:val="auto"/>
          <w:sz w:val="24"/>
          <w:u w:val="single"/>
        </w:rPr>
      </w:pPr>
    </w:p>
    <w:p w14:paraId="7D45E92B" w14:textId="463EA175" w:rsidR="005F350A" w:rsidRDefault="005F350A" w:rsidP="005F350A">
      <w:pPr>
        <w:rPr>
          <w:rFonts w:ascii="Times New Roman" w:hAnsi="Times New Roman" w:cs="Times New Roman"/>
          <w:b/>
          <w:bCs/>
          <w:color w:val="auto"/>
          <w:sz w:val="24"/>
          <w:u w:val="single"/>
        </w:rPr>
      </w:pPr>
      <w:r w:rsidRPr="00C835AB">
        <w:rPr>
          <w:rFonts w:ascii="Times New Roman" w:hAnsi="Times New Roman" w:cs="Times New Roman"/>
          <w:b/>
          <w:bCs/>
          <w:color w:val="auto"/>
          <w:sz w:val="24"/>
          <w:u w:val="single"/>
        </w:rPr>
        <w:t>Zmiany w Kodeksie karnym</w:t>
      </w:r>
    </w:p>
    <w:p w14:paraId="7E0F0EE1" w14:textId="77777777" w:rsidR="005F350A" w:rsidRPr="00C835AB" w:rsidRDefault="005F350A" w:rsidP="005F350A">
      <w:pPr>
        <w:rPr>
          <w:rFonts w:ascii="Times New Roman" w:hAnsi="Times New Roman" w:cs="Times New Roman"/>
          <w:color w:val="auto"/>
          <w:sz w:val="24"/>
        </w:rPr>
      </w:pPr>
    </w:p>
    <w:p w14:paraId="22BABC1C" w14:textId="77777777" w:rsidR="005F350A" w:rsidRPr="00C835AB" w:rsidRDefault="005F350A" w:rsidP="005F350A">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Art. 60 § 3 k.k.</w:t>
      </w:r>
    </w:p>
    <w:p w14:paraId="70CF4713" w14:textId="77777777" w:rsidR="005F350A" w:rsidRPr="00C835AB" w:rsidRDefault="005F350A" w:rsidP="005F350A">
      <w:pPr>
        <w:ind w:firstLine="708"/>
        <w:rPr>
          <w:rFonts w:ascii="Times New Roman" w:hAnsi="Times New Roman" w:cs="Times New Roman"/>
          <w:bCs/>
          <w:color w:val="auto"/>
          <w:sz w:val="24"/>
        </w:rPr>
      </w:pPr>
      <w:r w:rsidRPr="00C835AB">
        <w:rPr>
          <w:rFonts w:ascii="Times New Roman" w:hAnsi="Times New Roman" w:cs="Times New Roman"/>
          <w:color w:val="auto"/>
          <w:sz w:val="24"/>
        </w:rPr>
        <w:t>W art. 60 § 3 k.k. przewidziano powrót do rozwiązania sprzed dnia 1</w:t>
      </w:r>
      <w:r>
        <w:rPr>
          <w:rFonts w:ascii="Times New Roman" w:hAnsi="Times New Roman" w:cs="Times New Roman"/>
          <w:color w:val="auto"/>
          <w:sz w:val="24"/>
        </w:rPr>
        <w:t> </w:t>
      </w:r>
      <w:r w:rsidRPr="00C835AB">
        <w:rPr>
          <w:rFonts w:ascii="Times New Roman" w:hAnsi="Times New Roman" w:cs="Times New Roman"/>
          <w:color w:val="auto"/>
          <w:sz w:val="24"/>
        </w:rPr>
        <w:t>października</w:t>
      </w:r>
      <w:r>
        <w:rPr>
          <w:rFonts w:ascii="Times New Roman" w:hAnsi="Times New Roman" w:cs="Times New Roman"/>
          <w:color w:val="auto"/>
          <w:sz w:val="24"/>
        </w:rPr>
        <w:t> </w:t>
      </w:r>
      <w:r w:rsidRPr="00C835AB">
        <w:rPr>
          <w:rFonts w:ascii="Times New Roman" w:hAnsi="Times New Roman" w:cs="Times New Roman"/>
          <w:color w:val="auto"/>
          <w:sz w:val="24"/>
        </w:rPr>
        <w:t>2023</w:t>
      </w:r>
      <w:r>
        <w:rPr>
          <w:rFonts w:ascii="Times New Roman" w:hAnsi="Times New Roman" w:cs="Times New Roman"/>
          <w:color w:val="auto"/>
          <w:sz w:val="24"/>
        </w:rPr>
        <w:t> </w:t>
      </w:r>
      <w:r w:rsidRPr="00C835AB">
        <w:rPr>
          <w:rFonts w:ascii="Times New Roman" w:hAnsi="Times New Roman" w:cs="Times New Roman"/>
          <w:color w:val="auto"/>
          <w:sz w:val="24"/>
        </w:rPr>
        <w:t>r., czyli że decyzja o zastosowaniu nadzwyczajnego złagodzenia kary, a</w:t>
      </w:r>
      <w:r>
        <w:rPr>
          <w:rFonts w:ascii="Times New Roman" w:hAnsi="Times New Roman" w:cs="Times New Roman"/>
          <w:color w:val="auto"/>
          <w:sz w:val="24"/>
        </w:rPr>
        <w:t> </w:t>
      </w:r>
      <w:r w:rsidRPr="00C835AB">
        <w:rPr>
          <w:rFonts w:ascii="Times New Roman" w:hAnsi="Times New Roman" w:cs="Times New Roman"/>
          <w:color w:val="auto"/>
          <w:sz w:val="24"/>
        </w:rPr>
        <w:t>nawet możliwość warunkowego zawieszenia jej wykonanie w stosunku do sprawcy współdziałającego z innymi osobami w popełnieniu przestępstwa, jeżeli ujawnił on wobec organu powołanego do ścigania przestępstw informacje dotyczące osób uczestniczących w</w:t>
      </w:r>
      <w:r>
        <w:rPr>
          <w:rFonts w:ascii="Times New Roman" w:hAnsi="Times New Roman" w:cs="Times New Roman"/>
          <w:color w:val="auto"/>
          <w:sz w:val="24"/>
        </w:rPr>
        <w:t> </w:t>
      </w:r>
      <w:r w:rsidRPr="00C835AB">
        <w:rPr>
          <w:rFonts w:ascii="Times New Roman" w:hAnsi="Times New Roman" w:cs="Times New Roman"/>
          <w:color w:val="auto"/>
          <w:sz w:val="24"/>
        </w:rPr>
        <w:t>popełnieniu przestępstwa oraz istotne okoliczności jego popełnienia, będzie pozostawała w</w:t>
      </w:r>
      <w:r>
        <w:rPr>
          <w:rFonts w:ascii="Times New Roman" w:hAnsi="Times New Roman" w:cs="Times New Roman"/>
          <w:color w:val="auto"/>
          <w:sz w:val="24"/>
        </w:rPr>
        <w:t> </w:t>
      </w:r>
      <w:r w:rsidRPr="00C835AB">
        <w:rPr>
          <w:rFonts w:ascii="Times New Roman" w:hAnsi="Times New Roman" w:cs="Times New Roman"/>
          <w:color w:val="auto"/>
          <w:sz w:val="24"/>
        </w:rPr>
        <w:t>gestii sądu. Obowiązujące rozwiązanie ogranicza swobodę sądu i redukuje gwarancje podsądnego, ponieważ uzależnia zastosowanie tej instytucji od wniosku prokuratora. Tymczasem ograniczenie decyzyjności sądu na etapie postępowania jurysdykcyjnego, a</w:t>
      </w:r>
      <w:r>
        <w:rPr>
          <w:rFonts w:ascii="Times New Roman" w:hAnsi="Times New Roman" w:cs="Times New Roman"/>
          <w:color w:val="auto"/>
          <w:sz w:val="24"/>
        </w:rPr>
        <w:t> </w:t>
      </w:r>
      <w:r w:rsidRPr="00C835AB">
        <w:rPr>
          <w:rFonts w:ascii="Times New Roman" w:hAnsi="Times New Roman" w:cs="Times New Roman"/>
          <w:color w:val="auto"/>
          <w:sz w:val="24"/>
        </w:rPr>
        <w:t xml:space="preserve">zwłaszcza w procesie wymiaru kary, stanowiskiem prokuratora, wzbudza zasadnicze zastrzeżenia na płaszczyźnie konstytucyjnej, w szczególności z punktu widzenia zasad wyrażonych w art. 10 ust. 1 i art. 175 ust. 1 Konstytucji RP. W następstwie zmiany możliwym będzie zastosowanie wobec sprawcy nadzwyczajnego złagodzenia kary lub orzeczenie kary pozbawienia wolności z warunkowym zawieszeniem jej wykonania zarówno na wniosek </w:t>
      </w:r>
      <w:r w:rsidRPr="00C835AB">
        <w:rPr>
          <w:rFonts w:ascii="Times New Roman" w:hAnsi="Times New Roman" w:cs="Times New Roman"/>
          <w:color w:val="auto"/>
          <w:sz w:val="24"/>
        </w:rPr>
        <w:lastRenderedPageBreak/>
        <w:t>prokuratora, jak i z urzędu, gdy sąd dojdzie do przekonania materializacji przesłanek, o jakich mowa w art. 60 § 3 k.k.</w:t>
      </w:r>
    </w:p>
    <w:p w14:paraId="79E575F8" w14:textId="77777777" w:rsidR="005F350A" w:rsidRDefault="005F350A" w:rsidP="00B939A4">
      <w:pPr>
        <w:rPr>
          <w:rFonts w:ascii="Times New Roman" w:hAnsi="Times New Roman" w:cs="Times New Roman"/>
          <w:b/>
          <w:bCs/>
          <w:color w:val="auto"/>
          <w:sz w:val="24"/>
        </w:rPr>
      </w:pPr>
    </w:p>
    <w:p w14:paraId="3CB592ED" w14:textId="749B0396" w:rsidR="005F350A" w:rsidRPr="00C835AB" w:rsidRDefault="005F350A" w:rsidP="005F350A">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Art. 165a § 1 k.k.</w:t>
      </w:r>
    </w:p>
    <w:p w14:paraId="1CD26DA2" w14:textId="77777777" w:rsidR="005F350A" w:rsidRPr="00C835AB" w:rsidRDefault="005F350A" w:rsidP="005F350A">
      <w:pPr>
        <w:ind w:firstLine="708"/>
        <w:rPr>
          <w:rFonts w:ascii="Times New Roman" w:hAnsi="Times New Roman" w:cs="Times New Roman"/>
          <w:color w:val="auto"/>
          <w:sz w:val="24"/>
          <w:shd w:val="clear" w:color="auto" w:fill="FFFFFF"/>
        </w:rPr>
      </w:pPr>
      <w:r w:rsidRPr="00C835AB">
        <w:rPr>
          <w:rFonts w:ascii="Times New Roman" w:hAnsi="Times New Roman" w:cs="Times New Roman"/>
          <w:color w:val="auto"/>
          <w:sz w:val="24"/>
        </w:rPr>
        <w:t>Przepis ten przewiduje karę dla osoby, która gromadzi, przekazuje lub oferuje środki płatnicze, instrumenty finansowe, papiery wartościowe, wartości dewizowe, prawa majątkowe lub inne mienie ruchome lub nieruchomości w zamiarze sfinansowania przestępstwa o charakterze terrorystycznym lub przestępstwa, o którym mowa w art. 120 k.k., art. 121 k.k., art. 136 k.k., art. 166 k.k., art. 167 k.k., art. 171 k.k., art. 252 k.k., art. 255a k.k. lub art. 259a k.k.</w:t>
      </w:r>
      <w:r w:rsidRPr="00C835AB">
        <w:rPr>
          <w:rFonts w:ascii="Times New Roman" w:hAnsi="Times New Roman" w:cs="Times New Roman"/>
          <w:color w:val="auto"/>
          <w:sz w:val="24"/>
          <w:shd w:val="clear" w:color="auto" w:fill="FFFFFF"/>
        </w:rPr>
        <w:t> </w:t>
      </w:r>
    </w:p>
    <w:p w14:paraId="4FC4AA08" w14:textId="77777777" w:rsidR="005F350A" w:rsidRDefault="005F350A" w:rsidP="005F350A">
      <w:pPr>
        <w:ind w:firstLine="709"/>
        <w:rPr>
          <w:rFonts w:ascii="Times New Roman" w:hAnsi="Times New Roman" w:cs="Times New Roman"/>
          <w:color w:val="auto"/>
          <w:sz w:val="24"/>
        </w:rPr>
      </w:pPr>
      <w:r w:rsidRPr="00C835AB">
        <w:rPr>
          <w:rFonts w:ascii="Times New Roman" w:hAnsi="Times New Roman" w:cs="Times New Roman"/>
          <w:color w:val="auto"/>
          <w:sz w:val="24"/>
          <w:shd w:val="clear" w:color="auto" w:fill="FFFFFF"/>
        </w:rPr>
        <w:t xml:space="preserve">Proponowana zmiana polega na usunięcia z katalogu przestępstw wymienionych w tym przepisie czynów kwalifikowanych z art. 136 </w:t>
      </w:r>
      <w:r w:rsidRPr="00C835AB">
        <w:rPr>
          <w:rFonts w:ascii="Times New Roman" w:hAnsi="Times New Roman" w:cs="Times New Roman"/>
          <w:color w:val="auto"/>
          <w:sz w:val="24"/>
        </w:rPr>
        <w:t xml:space="preserve">§ 3 i 4 k.k. Dotyczą one publicznego znieważenia głowy </w:t>
      </w:r>
      <w:r w:rsidRPr="00C835AB">
        <w:rPr>
          <w:rFonts w:ascii="Times New Roman" w:hAnsi="Times New Roman" w:cs="Times New Roman"/>
          <w:color w:val="auto"/>
          <w:sz w:val="24"/>
          <w:shd w:val="clear" w:color="auto" w:fill="FFFFFF"/>
        </w:rPr>
        <w:t>obcego państwa lub akredytowanego szefa przedstawicielstwa dyplomatycznego takiego państwa albo osoby korzystającej z podobnej ochrony na mocy ustaw, </w:t>
      </w:r>
      <w:hyperlink r:id="rId15" w:history="1">
        <w:r w:rsidRPr="00C835AB">
          <w:rPr>
            <w:rStyle w:val="Hipercze"/>
            <w:rFonts w:ascii="Times New Roman" w:hAnsi="Times New Roman" w:cs="Times New Roman"/>
            <w:color w:val="auto"/>
            <w:sz w:val="24"/>
            <w:u w:val="none"/>
            <w:shd w:val="clear" w:color="auto" w:fill="FFFFFF"/>
          </w:rPr>
          <w:t>umów</w:t>
        </w:r>
      </w:hyperlink>
      <w:r w:rsidRPr="00C835AB">
        <w:rPr>
          <w:rFonts w:ascii="Times New Roman" w:hAnsi="Times New Roman" w:cs="Times New Roman"/>
          <w:color w:val="auto"/>
          <w:sz w:val="24"/>
          <w:shd w:val="clear" w:color="auto" w:fill="FFFFFF"/>
        </w:rPr>
        <w:t xml:space="preserve"> lub powszechnie uznanych zwyczajów międzynarodowych (art. 136 </w:t>
      </w:r>
      <w:r w:rsidRPr="00C835AB">
        <w:rPr>
          <w:rFonts w:ascii="Times New Roman" w:hAnsi="Times New Roman" w:cs="Times New Roman"/>
          <w:color w:val="auto"/>
          <w:sz w:val="24"/>
        </w:rPr>
        <w:t xml:space="preserve">§ 3 k.k.) oraz publicznego znieważenia </w:t>
      </w:r>
      <w:r w:rsidRPr="00C835AB">
        <w:rPr>
          <w:rFonts w:ascii="Times New Roman" w:hAnsi="Times New Roman" w:cs="Times New Roman"/>
          <w:color w:val="auto"/>
          <w:sz w:val="24"/>
          <w:shd w:val="clear" w:color="auto" w:fill="FFFFFF"/>
        </w:rPr>
        <w:t>osoby należącej do personelu dyplomatycznego przedstawicielstwa obcego państwa albo</w:t>
      </w:r>
      <w:r>
        <w:rPr>
          <w:rFonts w:ascii="Times New Roman" w:hAnsi="Times New Roman" w:cs="Times New Roman"/>
          <w:color w:val="auto"/>
          <w:sz w:val="24"/>
          <w:shd w:val="clear" w:color="auto" w:fill="FFFFFF"/>
        </w:rPr>
        <w:t> </w:t>
      </w:r>
      <w:r w:rsidRPr="00C835AB">
        <w:rPr>
          <w:rFonts w:ascii="Times New Roman" w:hAnsi="Times New Roman" w:cs="Times New Roman"/>
          <w:color w:val="auto"/>
          <w:sz w:val="24"/>
          <w:shd w:val="clear" w:color="auto" w:fill="FFFFFF"/>
        </w:rPr>
        <w:t xml:space="preserve">urzędnika konsularnego obcego państwa (art. 136 </w:t>
      </w:r>
      <w:r w:rsidRPr="00C835AB">
        <w:rPr>
          <w:rFonts w:ascii="Times New Roman" w:hAnsi="Times New Roman" w:cs="Times New Roman"/>
          <w:color w:val="auto"/>
          <w:sz w:val="24"/>
        </w:rPr>
        <w:t xml:space="preserve">§ 4 k.k.). </w:t>
      </w:r>
      <w:r w:rsidRPr="00C835AB">
        <w:rPr>
          <w:rFonts w:ascii="Times New Roman" w:hAnsi="Times New Roman" w:cs="Times New Roman"/>
          <w:color w:val="auto"/>
          <w:sz w:val="24"/>
          <w:shd w:val="clear" w:color="auto" w:fill="FFFFFF"/>
        </w:rPr>
        <w:t xml:space="preserve">Ani waga ani charakter czynów, o których mowa w art. 136 </w:t>
      </w:r>
      <w:r w:rsidRPr="00C835AB">
        <w:rPr>
          <w:rFonts w:ascii="Times New Roman" w:hAnsi="Times New Roman" w:cs="Times New Roman"/>
          <w:color w:val="auto"/>
          <w:sz w:val="24"/>
        </w:rPr>
        <w:t>§ 3 i 4 k.k., nie uzasadnia ich umieszczenia w katalogu wymienionym w art. 165a § 1 k.k., który dotyczy wszak finansowania terroryzmu. Z tego względu należy dokonać proponowanej nowelizacji, która sprowadza się do wyeliminowania w art. 165a k.k. odwołania do art. 136 § 3 i 4 k.k.</w:t>
      </w:r>
    </w:p>
    <w:p w14:paraId="2CF492B3" w14:textId="77777777" w:rsidR="005F350A" w:rsidRPr="00C835AB" w:rsidRDefault="005F350A" w:rsidP="005F350A">
      <w:pPr>
        <w:rPr>
          <w:rFonts w:ascii="Times New Roman" w:hAnsi="Times New Roman" w:cs="Times New Roman"/>
          <w:b/>
          <w:bCs/>
          <w:color w:val="auto"/>
          <w:sz w:val="24"/>
        </w:rPr>
      </w:pPr>
    </w:p>
    <w:p w14:paraId="3DACA9AE" w14:textId="77777777" w:rsidR="005F350A" w:rsidRPr="00C835AB" w:rsidRDefault="005F350A" w:rsidP="005F350A">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Art. 233 § 1a, § 3 i § 4a k.k.</w:t>
      </w:r>
    </w:p>
    <w:p w14:paraId="23F64B15" w14:textId="7EEF4336" w:rsidR="005F350A" w:rsidRPr="00C835AB" w:rsidRDefault="005F350A" w:rsidP="005F350A">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W art. 233 k.k. proponuje się uchylenie § 1a. Przepis ten budził wątpliwości interpretacyjne z uwagi na kolizję z obowiązującą w prawie karnym zasadą </w:t>
      </w:r>
      <w:proofErr w:type="spellStart"/>
      <w:r w:rsidRPr="00C835AB">
        <w:rPr>
          <w:rFonts w:ascii="Times New Roman" w:hAnsi="Times New Roman" w:cs="Times New Roman"/>
          <w:color w:val="auto"/>
          <w:sz w:val="24"/>
        </w:rPr>
        <w:t>nemo</w:t>
      </w:r>
      <w:proofErr w:type="spellEnd"/>
      <w:r w:rsidRPr="00C835AB">
        <w:rPr>
          <w:rFonts w:ascii="Times New Roman" w:hAnsi="Times New Roman" w:cs="Times New Roman"/>
          <w:color w:val="auto"/>
          <w:sz w:val="24"/>
        </w:rPr>
        <w:t xml:space="preserve"> </w:t>
      </w:r>
      <w:proofErr w:type="spellStart"/>
      <w:r w:rsidRPr="00C835AB">
        <w:rPr>
          <w:rFonts w:ascii="Times New Roman" w:hAnsi="Times New Roman" w:cs="Times New Roman"/>
          <w:color w:val="auto"/>
          <w:sz w:val="24"/>
        </w:rPr>
        <w:t>tenetur</w:t>
      </w:r>
      <w:proofErr w:type="spellEnd"/>
      <w:r w:rsidRPr="00C835AB">
        <w:rPr>
          <w:rFonts w:ascii="Times New Roman" w:hAnsi="Times New Roman" w:cs="Times New Roman"/>
          <w:color w:val="auto"/>
          <w:sz w:val="24"/>
        </w:rPr>
        <w:t xml:space="preserve"> </w:t>
      </w:r>
      <w:proofErr w:type="spellStart"/>
      <w:r w:rsidRPr="00C835AB">
        <w:rPr>
          <w:rFonts w:ascii="Times New Roman" w:hAnsi="Times New Roman" w:cs="Times New Roman"/>
          <w:color w:val="auto"/>
          <w:sz w:val="24"/>
        </w:rPr>
        <w:t>se</w:t>
      </w:r>
      <w:proofErr w:type="spellEnd"/>
      <w:r>
        <w:rPr>
          <w:rFonts w:ascii="Times New Roman" w:hAnsi="Times New Roman" w:cs="Times New Roman"/>
          <w:color w:val="auto"/>
          <w:sz w:val="24"/>
        </w:rPr>
        <w:t> </w:t>
      </w:r>
      <w:proofErr w:type="spellStart"/>
      <w:r w:rsidRPr="00C835AB">
        <w:rPr>
          <w:rFonts w:ascii="Times New Roman" w:hAnsi="Times New Roman" w:cs="Times New Roman"/>
          <w:color w:val="auto"/>
          <w:sz w:val="24"/>
        </w:rPr>
        <w:t>ipsum</w:t>
      </w:r>
      <w:proofErr w:type="spellEnd"/>
      <w:r w:rsidRPr="00C835AB">
        <w:rPr>
          <w:rFonts w:ascii="Times New Roman" w:hAnsi="Times New Roman" w:cs="Times New Roman"/>
          <w:color w:val="auto"/>
          <w:sz w:val="24"/>
        </w:rPr>
        <w:t xml:space="preserve"> </w:t>
      </w:r>
      <w:proofErr w:type="spellStart"/>
      <w:r w:rsidRPr="00C835AB">
        <w:rPr>
          <w:rFonts w:ascii="Times New Roman" w:hAnsi="Times New Roman" w:cs="Times New Roman"/>
          <w:color w:val="auto"/>
          <w:sz w:val="24"/>
        </w:rPr>
        <w:t>accusare</w:t>
      </w:r>
      <w:proofErr w:type="spellEnd"/>
      <w:r w:rsidRPr="00C835AB">
        <w:rPr>
          <w:rFonts w:ascii="Times New Roman" w:hAnsi="Times New Roman" w:cs="Times New Roman"/>
          <w:color w:val="auto"/>
          <w:sz w:val="24"/>
        </w:rPr>
        <w:t xml:space="preserve"> (nikt nie jest zmuszany do oskarżania samego siebie). Wskazane wątpliwości skutkowały wydaniem przez Sąd Najwyższy w składzie siedmiu sędziów uchwały z dnia 9 listopada 2021 r. (I KZP 5/21) w której wskazano, że „Nie popełnia przestępstwa z art. 233 § 1a KK świadek składający fałszywe zeznanie z obawy przed grożącą mu odpowiedzialnością karną, jeśli </w:t>
      </w:r>
      <w:r w:rsidR="00796D23">
        <w:rPr>
          <w:rFonts w:ascii="Times New Roman" w:hAnsi="Times New Roman" w:cs="Times New Roman"/>
          <w:color w:val="auto"/>
          <w:sz w:val="24"/>
        </w:rPr>
        <w:t>–</w:t>
      </w:r>
      <w:r w:rsidRPr="00C835AB">
        <w:rPr>
          <w:rFonts w:ascii="Times New Roman" w:hAnsi="Times New Roman" w:cs="Times New Roman"/>
          <w:color w:val="auto"/>
          <w:sz w:val="24"/>
        </w:rPr>
        <w:t xml:space="preserve"> realizując prawo do obrony </w:t>
      </w:r>
      <w:r w:rsidR="00796D23">
        <w:rPr>
          <w:rFonts w:ascii="Times New Roman" w:hAnsi="Times New Roman" w:cs="Times New Roman"/>
          <w:color w:val="auto"/>
          <w:sz w:val="24"/>
        </w:rPr>
        <w:t>–</w:t>
      </w:r>
      <w:r w:rsidRPr="00C835AB">
        <w:rPr>
          <w:rFonts w:ascii="Times New Roman" w:hAnsi="Times New Roman" w:cs="Times New Roman"/>
          <w:color w:val="auto"/>
          <w:sz w:val="24"/>
        </w:rPr>
        <w:t xml:space="preserve"> zeznaje nieprawdę lub zataja prawdę, nie</w:t>
      </w:r>
      <w:r>
        <w:rPr>
          <w:rFonts w:ascii="Times New Roman" w:hAnsi="Times New Roman" w:cs="Times New Roman"/>
          <w:color w:val="auto"/>
          <w:sz w:val="24"/>
        </w:rPr>
        <w:t> </w:t>
      </w:r>
      <w:r w:rsidRPr="00C835AB">
        <w:rPr>
          <w:rFonts w:ascii="Times New Roman" w:hAnsi="Times New Roman" w:cs="Times New Roman"/>
          <w:color w:val="auto"/>
          <w:sz w:val="24"/>
        </w:rPr>
        <w:t>wyczerpując jednocześnie swoim zachowaniem znamion czynu zabronionego określonego w innym przepisie ustawy”. W uzasadnieniu wskazanej uchwały wskazano, że „sprawca czynu zabronionego, który zeznając nieprawdę lub zatajając prawdę z obawy przed</w:t>
      </w:r>
      <w:r>
        <w:rPr>
          <w:rFonts w:ascii="Times New Roman" w:hAnsi="Times New Roman" w:cs="Times New Roman"/>
          <w:color w:val="auto"/>
          <w:sz w:val="24"/>
        </w:rPr>
        <w:t> </w:t>
      </w:r>
      <w:r w:rsidRPr="00C835AB">
        <w:rPr>
          <w:rFonts w:ascii="Times New Roman" w:hAnsi="Times New Roman" w:cs="Times New Roman"/>
          <w:color w:val="auto"/>
          <w:sz w:val="24"/>
        </w:rPr>
        <w:t xml:space="preserve">odpowiedzialnością karną, fałszywie oskarża inną osobę o popełnienie czynu </w:t>
      </w:r>
      <w:r w:rsidRPr="00C835AB">
        <w:rPr>
          <w:rFonts w:ascii="Times New Roman" w:hAnsi="Times New Roman" w:cs="Times New Roman"/>
          <w:color w:val="auto"/>
          <w:sz w:val="24"/>
        </w:rPr>
        <w:lastRenderedPageBreak/>
        <w:t>zabronionego lub</w:t>
      </w:r>
      <w:r>
        <w:rPr>
          <w:rFonts w:ascii="Times New Roman" w:hAnsi="Times New Roman" w:cs="Times New Roman"/>
          <w:color w:val="auto"/>
          <w:sz w:val="24"/>
        </w:rPr>
        <w:t> </w:t>
      </w:r>
      <w:r w:rsidRPr="00C835AB">
        <w:rPr>
          <w:rFonts w:ascii="Times New Roman" w:hAnsi="Times New Roman" w:cs="Times New Roman"/>
          <w:color w:val="auto"/>
          <w:sz w:val="24"/>
        </w:rPr>
        <w:t>przewinienia dyscyplinarnego (art. 234 KK), kieruje przeciwko określonej osobie ściganie o przestępstwo</w:t>
      </w:r>
      <w:r>
        <w:rPr>
          <w:rFonts w:ascii="Times New Roman" w:hAnsi="Times New Roman" w:cs="Times New Roman"/>
          <w:color w:val="auto"/>
          <w:sz w:val="24"/>
        </w:rPr>
        <w:t>, w</w:t>
      </w:r>
      <w:r w:rsidRPr="00C835AB">
        <w:rPr>
          <w:rFonts w:ascii="Times New Roman" w:hAnsi="Times New Roman" w:cs="Times New Roman"/>
          <w:color w:val="auto"/>
          <w:sz w:val="24"/>
        </w:rPr>
        <w:t xml:space="preserve"> tym </w:t>
      </w:r>
      <w:r>
        <w:rPr>
          <w:rFonts w:ascii="Times New Roman" w:hAnsi="Times New Roman" w:cs="Times New Roman"/>
          <w:color w:val="auto"/>
          <w:sz w:val="24"/>
        </w:rPr>
        <w:t>o</w:t>
      </w:r>
      <w:r w:rsidRPr="00C835AB">
        <w:rPr>
          <w:rFonts w:ascii="Times New Roman" w:hAnsi="Times New Roman" w:cs="Times New Roman"/>
          <w:color w:val="auto"/>
          <w:sz w:val="24"/>
        </w:rPr>
        <w:t xml:space="preserve"> przestępstwo skarbowe, wykroczenie, wykroczenie skarbowe lub</w:t>
      </w:r>
      <w:r>
        <w:rPr>
          <w:rFonts w:ascii="Times New Roman" w:hAnsi="Times New Roman" w:cs="Times New Roman"/>
          <w:color w:val="auto"/>
          <w:sz w:val="24"/>
        </w:rPr>
        <w:t> </w:t>
      </w:r>
      <w:r w:rsidRPr="00C835AB">
        <w:rPr>
          <w:rFonts w:ascii="Times New Roman" w:hAnsi="Times New Roman" w:cs="Times New Roman"/>
          <w:color w:val="auto"/>
          <w:sz w:val="24"/>
        </w:rPr>
        <w:t>przewinienie dyscyplinarne (art. 235 KK) realizuje również znamiona przestępstwa określonego w art. 233 § 1a KK. Odpowiedzialność przewidzianą w tym przepisie będzie ponosił także ten świadek, który z obawy przed grożącą mu odpowiedzialnością karną, zeznaje fałszywie co do okoliczności, które nie są związane ze sprawstwem jego czynu i</w:t>
      </w:r>
      <w:r>
        <w:rPr>
          <w:rFonts w:ascii="Times New Roman" w:hAnsi="Times New Roman" w:cs="Times New Roman"/>
          <w:color w:val="auto"/>
          <w:sz w:val="24"/>
        </w:rPr>
        <w:t> </w:t>
      </w:r>
      <w:r w:rsidRPr="00C835AB">
        <w:rPr>
          <w:rFonts w:ascii="Times New Roman" w:hAnsi="Times New Roman" w:cs="Times New Roman"/>
          <w:color w:val="auto"/>
          <w:sz w:val="24"/>
        </w:rPr>
        <w:t xml:space="preserve">potencjalną własną odpowiedzialnością karną”. </w:t>
      </w:r>
    </w:p>
    <w:p w14:paraId="3AAB3A6C" w14:textId="77777777" w:rsidR="005F350A" w:rsidRPr="00C835AB" w:rsidRDefault="005F350A" w:rsidP="005F350A">
      <w:pPr>
        <w:ind w:firstLine="709"/>
        <w:rPr>
          <w:rFonts w:ascii="Times New Roman" w:hAnsi="Times New Roman" w:cs="Times New Roman"/>
          <w:color w:val="auto"/>
          <w:sz w:val="24"/>
        </w:rPr>
      </w:pPr>
      <w:r w:rsidRPr="00C835AB">
        <w:rPr>
          <w:rFonts w:ascii="Times New Roman" w:hAnsi="Times New Roman" w:cs="Times New Roman"/>
          <w:color w:val="auto"/>
          <w:sz w:val="24"/>
        </w:rPr>
        <w:t xml:space="preserve">Po dokonaniu wykładni art. 233 § 1a k.k. w opisany wyżej sposób pojawiło się pytanie, czy łagodniejsze (w porównaniu z art. 233 § 1 k.k.) traktowanie sprawców, do których odnosi się wskazany przepis jest uzasadnione. Trudno znaleźć przekonujące argumenty za pozytywną odpowiedzią na wskazane pytanie. W założeniu wprowadzenia art. 233 § 1a k.k. było dokonanie penalizacji fałszywych zeznań składanych przez świadków realizujących swoje prawo do obrony. Jednak prokonstytucyjna i </w:t>
      </w:r>
      <w:proofErr w:type="spellStart"/>
      <w:r w:rsidRPr="00C835AB">
        <w:rPr>
          <w:rFonts w:ascii="Times New Roman" w:hAnsi="Times New Roman" w:cs="Times New Roman"/>
          <w:color w:val="auto"/>
          <w:sz w:val="24"/>
        </w:rPr>
        <w:t>prokonwencyjna</w:t>
      </w:r>
      <w:proofErr w:type="spellEnd"/>
      <w:r w:rsidRPr="00C835AB">
        <w:rPr>
          <w:rFonts w:ascii="Times New Roman" w:hAnsi="Times New Roman" w:cs="Times New Roman"/>
          <w:color w:val="auto"/>
          <w:sz w:val="24"/>
        </w:rPr>
        <w:t xml:space="preserve"> wykładnia pozwoliła na</w:t>
      </w:r>
      <w:r>
        <w:rPr>
          <w:rFonts w:ascii="Times New Roman" w:hAnsi="Times New Roman" w:cs="Times New Roman"/>
          <w:color w:val="auto"/>
          <w:sz w:val="24"/>
        </w:rPr>
        <w:t> </w:t>
      </w:r>
      <w:r w:rsidRPr="00C835AB">
        <w:rPr>
          <w:rFonts w:ascii="Times New Roman" w:hAnsi="Times New Roman" w:cs="Times New Roman"/>
          <w:color w:val="auto"/>
          <w:sz w:val="24"/>
        </w:rPr>
        <w:t>odczytanie treści normy zawartej w tym przepisie w sposób wskazany w przywołanej wyżej uchwale siedmiu sędziów z dnia 9 listopada 2021 r. (I KZP 5/21). Tym samym stany faktyczne, które w zamyśle projektodawcy art. 233 § 1a k.k. miały uzasadniać łagodniejszą ocenę prawną świadków składających fałszywe zeznania w ogóle nie wyczerpują znamion przestępstwa. W konsekwencji należy uznać, że zakres zastosowania art. 233 § 1a k.k. obejmuje jedynie sytuacje, które nie uzasadniają łagodniejszej penalizacji. Stąd decyzja o uchyleniu art. 233 § 1a k.k.</w:t>
      </w:r>
    </w:p>
    <w:p w14:paraId="55ED1A40" w14:textId="77777777" w:rsidR="005F350A" w:rsidRPr="00C835AB" w:rsidRDefault="005F350A" w:rsidP="005F350A">
      <w:pPr>
        <w:pStyle w:val="ZLITUSTzmustliter"/>
        <w:ind w:left="0" w:firstLine="709"/>
        <w:rPr>
          <w:rFonts w:ascii="Times New Roman" w:hAnsi="Times New Roman" w:cs="Times New Roman"/>
          <w:szCs w:val="24"/>
        </w:rPr>
      </w:pPr>
      <w:r w:rsidRPr="00C835AB">
        <w:rPr>
          <w:rFonts w:ascii="Times New Roman" w:hAnsi="Times New Roman" w:cs="Times New Roman"/>
          <w:szCs w:val="24"/>
        </w:rPr>
        <w:t xml:space="preserve">Konsekwencją proponowanej zmiany jest przywrócenie brzmienia 233 § 3 k.k. obowiązującego do czasu wejścia w życie zmian wprowadzonych </w:t>
      </w:r>
      <w:r w:rsidRPr="00C835AB">
        <w:rPr>
          <w:rFonts w:ascii="Times New Roman" w:hAnsi="Times New Roman" w:cs="Times New Roman"/>
          <w:szCs w:val="24"/>
          <w:shd w:val="clear" w:color="auto" w:fill="FFFFFF"/>
        </w:rPr>
        <w:t xml:space="preserve">ustawą z dnia 11 marca 2016 r. o zmianie ustawy – Kodeks postępowania karnego oraz niektórych innych ustaw (Dz. U. poz. 437), </w:t>
      </w:r>
      <w:r w:rsidRPr="00C835AB">
        <w:rPr>
          <w:rFonts w:ascii="Times New Roman" w:hAnsi="Times New Roman" w:cs="Times New Roman"/>
          <w:szCs w:val="24"/>
        </w:rPr>
        <w:t>dalej „ustawa z dnia 11 marca 2016 r.”,</w:t>
      </w:r>
      <w:r w:rsidRPr="00C835AB">
        <w:rPr>
          <w:rFonts w:ascii="Times New Roman" w:hAnsi="Times New Roman" w:cs="Times New Roman"/>
          <w:szCs w:val="24"/>
          <w:shd w:val="clear" w:color="auto" w:fill="FFFFFF"/>
        </w:rPr>
        <w:t xml:space="preserve"> którą dodano do Kodeksu karnego m.in. art. 231 </w:t>
      </w:r>
      <w:r w:rsidRPr="00C835AB">
        <w:rPr>
          <w:rFonts w:ascii="Times New Roman" w:hAnsi="Times New Roman" w:cs="Times New Roman"/>
          <w:szCs w:val="24"/>
        </w:rPr>
        <w:t xml:space="preserve">§ 1a. </w:t>
      </w:r>
    </w:p>
    <w:p w14:paraId="0414DB00" w14:textId="6AED82FB" w:rsidR="005F350A" w:rsidRPr="00C835AB" w:rsidRDefault="005F350A" w:rsidP="005F350A">
      <w:pPr>
        <w:pStyle w:val="ZLITUSTzmustliter"/>
        <w:ind w:left="0" w:firstLine="709"/>
        <w:rPr>
          <w:rFonts w:ascii="Times New Roman" w:hAnsi="Times New Roman" w:cs="Times New Roman"/>
          <w:bCs w:val="0"/>
          <w:szCs w:val="24"/>
        </w:rPr>
      </w:pPr>
      <w:r w:rsidRPr="00C835AB">
        <w:rPr>
          <w:rFonts w:ascii="Times New Roman" w:hAnsi="Times New Roman" w:cs="Times New Roman"/>
          <w:bCs w:val="0"/>
          <w:szCs w:val="24"/>
        </w:rPr>
        <w:t>W ocenie projektodawcy konieczne jest uchylenie w art</w:t>
      </w:r>
      <w:r w:rsidR="00796D23">
        <w:rPr>
          <w:rFonts w:ascii="Times New Roman" w:hAnsi="Times New Roman" w:cs="Times New Roman"/>
          <w:bCs w:val="0"/>
          <w:szCs w:val="24"/>
        </w:rPr>
        <w:t>.</w:t>
      </w:r>
      <w:r w:rsidRPr="00C835AB">
        <w:rPr>
          <w:rFonts w:ascii="Times New Roman" w:hAnsi="Times New Roman" w:cs="Times New Roman"/>
          <w:bCs w:val="0"/>
          <w:szCs w:val="24"/>
        </w:rPr>
        <w:t xml:space="preserve"> 233 § 4a k.k. W przepisie tym uregulowano przestępstwo polegające na nieumyślnym przedstawieniu przez biegłego, rzeczoznawcę lub tłumacza fałszywej opinii, ekspertyzy lub tłumaczenia mającego służyć za</w:t>
      </w:r>
      <w:r>
        <w:rPr>
          <w:rFonts w:ascii="Times New Roman" w:hAnsi="Times New Roman" w:cs="Times New Roman"/>
          <w:bCs w:val="0"/>
          <w:szCs w:val="24"/>
        </w:rPr>
        <w:t> </w:t>
      </w:r>
      <w:r w:rsidRPr="00C835AB">
        <w:rPr>
          <w:rFonts w:ascii="Times New Roman" w:hAnsi="Times New Roman" w:cs="Times New Roman"/>
          <w:bCs w:val="0"/>
          <w:szCs w:val="24"/>
        </w:rPr>
        <w:t>dowód w postępowaniu sądowym lub innym postępowaniu prowadzonym na podstawie ustawy, narażając w ten sposób na istotną szkodę interes publiczny. Uzasadnieniem dla</w:t>
      </w:r>
      <w:r>
        <w:rPr>
          <w:rFonts w:ascii="Times New Roman" w:hAnsi="Times New Roman" w:cs="Times New Roman"/>
          <w:bCs w:val="0"/>
          <w:szCs w:val="24"/>
        </w:rPr>
        <w:t> </w:t>
      </w:r>
      <w:r w:rsidRPr="00C835AB">
        <w:rPr>
          <w:rFonts w:ascii="Times New Roman" w:hAnsi="Times New Roman" w:cs="Times New Roman"/>
          <w:bCs w:val="0"/>
          <w:szCs w:val="24"/>
        </w:rPr>
        <w:t xml:space="preserve">kryminalizacji takich nieumyślnych </w:t>
      </w:r>
      <w:proofErr w:type="spellStart"/>
      <w:r w:rsidRPr="00C835AB">
        <w:rPr>
          <w:rFonts w:ascii="Times New Roman" w:hAnsi="Times New Roman" w:cs="Times New Roman"/>
          <w:bCs w:val="0"/>
          <w:szCs w:val="24"/>
        </w:rPr>
        <w:t>zachowań</w:t>
      </w:r>
      <w:proofErr w:type="spellEnd"/>
      <w:r w:rsidRPr="00C835AB">
        <w:rPr>
          <w:rFonts w:ascii="Times New Roman" w:hAnsi="Times New Roman" w:cs="Times New Roman"/>
          <w:bCs w:val="0"/>
          <w:szCs w:val="24"/>
        </w:rPr>
        <w:t xml:space="preserve">, podawanym na etapie prac legislacyjnych, była potrzeba przeciwdziałania praktyce przedstawiania </w:t>
      </w:r>
      <w:r>
        <w:rPr>
          <w:rFonts w:ascii="Times New Roman" w:hAnsi="Times New Roman" w:cs="Times New Roman"/>
          <w:bCs w:val="0"/>
          <w:szCs w:val="24"/>
        </w:rPr>
        <w:t>"</w:t>
      </w:r>
      <w:r w:rsidRPr="00C835AB">
        <w:rPr>
          <w:rFonts w:ascii="Times New Roman" w:hAnsi="Times New Roman" w:cs="Times New Roman"/>
          <w:bCs w:val="0"/>
          <w:szCs w:val="24"/>
        </w:rPr>
        <w:t>opinii nierzetelnych", w</w:t>
      </w:r>
      <w:r>
        <w:rPr>
          <w:rFonts w:ascii="Times New Roman" w:hAnsi="Times New Roman" w:cs="Times New Roman"/>
          <w:bCs w:val="0"/>
          <w:szCs w:val="24"/>
        </w:rPr>
        <w:t> </w:t>
      </w:r>
      <w:r w:rsidRPr="00C835AB">
        <w:rPr>
          <w:rFonts w:ascii="Times New Roman" w:hAnsi="Times New Roman" w:cs="Times New Roman"/>
          <w:bCs w:val="0"/>
          <w:szCs w:val="24"/>
        </w:rPr>
        <w:t>tym</w:t>
      </w:r>
      <w:r>
        <w:rPr>
          <w:rFonts w:ascii="Times New Roman" w:hAnsi="Times New Roman" w:cs="Times New Roman"/>
          <w:bCs w:val="0"/>
          <w:szCs w:val="24"/>
        </w:rPr>
        <w:t> </w:t>
      </w:r>
      <w:r w:rsidRPr="00C835AB">
        <w:rPr>
          <w:rFonts w:ascii="Times New Roman" w:hAnsi="Times New Roman" w:cs="Times New Roman"/>
          <w:bCs w:val="0"/>
          <w:szCs w:val="24"/>
        </w:rPr>
        <w:t>przez</w:t>
      </w:r>
      <w:r>
        <w:rPr>
          <w:rFonts w:ascii="Times New Roman" w:hAnsi="Times New Roman" w:cs="Times New Roman"/>
          <w:bCs w:val="0"/>
          <w:szCs w:val="24"/>
        </w:rPr>
        <w:t> </w:t>
      </w:r>
      <w:r w:rsidRPr="00C835AB">
        <w:rPr>
          <w:rFonts w:ascii="Times New Roman" w:hAnsi="Times New Roman" w:cs="Times New Roman"/>
          <w:bCs w:val="0"/>
          <w:szCs w:val="24"/>
        </w:rPr>
        <w:t>"prywatnych biegłych" (</w:t>
      </w:r>
      <w:hyperlink r:id="rId16" w:history="1">
        <w:r w:rsidRPr="00C835AB">
          <w:rPr>
            <w:rStyle w:val="Hipercze"/>
            <w:rFonts w:ascii="Times New Roman" w:hAnsi="Times New Roman" w:cs="Times New Roman"/>
            <w:bCs w:val="0"/>
            <w:color w:val="auto"/>
            <w:szCs w:val="24"/>
            <w:u w:val="none"/>
          </w:rPr>
          <w:t>http://orka.sejm.gov.pl/Zapisy8.nsf/wgskrnr/NKK-9</w:t>
        </w:r>
      </w:hyperlink>
      <w:r w:rsidRPr="00C835AB">
        <w:rPr>
          <w:rFonts w:ascii="Times New Roman" w:hAnsi="Times New Roman" w:cs="Times New Roman"/>
          <w:bCs w:val="0"/>
          <w:szCs w:val="24"/>
        </w:rPr>
        <w:t xml:space="preserve">). </w:t>
      </w:r>
    </w:p>
    <w:p w14:paraId="2F2248FF" w14:textId="77777777" w:rsidR="005F350A" w:rsidRPr="00C835AB" w:rsidRDefault="005F350A" w:rsidP="005F350A">
      <w:pPr>
        <w:pStyle w:val="ZLITUSTzmustliter"/>
        <w:ind w:left="0" w:firstLine="709"/>
        <w:rPr>
          <w:rFonts w:ascii="Times New Roman" w:hAnsi="Times New Roman" w:cs="Times New Roman"/>
          <w:bCs w:val="0"/>
          <w:szCs w:val="24"/>
        </w:rPr>
      </w:pPr>
      <w:r w:rsidRPr="00C835AB">
        <w:rPr>
          <w:rFonts w:ascii="Times New Roman" w:hAnsi="Times New Roman" w:cs="Times New Roman"/>
          <w:bCs w:val="0"/>
          <w:szCs w:val="24"/>
        </w:rPr>
        <w:lastRenderedPageBreak/>
        <w:t xml:space="preserve">Przepis ten budzi wątpliwości w doktrynie. Wskazuje się, że „Najbardziej kontrowersyjnym rozwiązaniem z </w:t>
      </w:r>
      <w:proofErr w:type="spellStart"/>
      <w:r w:rsidRPr="00C835AB">
        <w:rPr>
          <w:rFonts w:ascii="Times New Roman" w:hAnsi="Times New Roman" w:cs="Times New Roman"/>
          <w:bCs w:val="0"/>
          <w:szCs w:val="24"/>
        </w:rPr>
        <w:t>ZmKPK</w:t>
      </w:r>
      <w:proofErr w:type="spellEnd"/>
      <w:r w:rsidRPr="00C835AB">
        <w:rPr>
          <w:rFonts w:ascii="Times New Roman" w:hAnsi="Times New Roman" w:cs="Times New Roman"/>
          <w:bCs w:val="0"/>
          <w:szCs w:val="24"/>
        </w:rPr>
        <w:t xml:space="preserve"> z 11.3.2016 r. było wprowadzenie nieumyślnego typu przestępstwa określonego w § 4. Cel przepisu był stosunkowo jasny, lecz ujęcie ustawowe wadliwe. Kryminalizacja dotyczyć miała sporządzania opinii nierzetelnych, niedbałych. Tymczasem skryminalizowano nieumyślne przedłożenie fałszywej opinii ekspertyzy i tłumaczenia. Słusznie wskazuje się, że zachodzi pojęciowa sprzeczność między pojęciem fałszywości a brakiem umyślności działania (por. </w:t>
      </w:r>
      <w:r w:rsidRPr="00C835AB">
        <w:rPr>
          <w:rFonts w:ascii="Times New Roman" w:hAnsi="Times New Roman" w:cs="Times New Roman"/>
          <w:bCs w:val="0"/>
          <w:i/>
          <w:iCs/>
          <w:szCs w:val="24"/>
        </w:rPr>
        <w:t>A. Grześkowiak</w:t>
      </w:r>
      <w:r w:rsidRPr="00C835AB">
        <w:rPr>
          <w:rFonts w:ascii="Times New Roman" w:hAnsi="Times New Roman" w:cs="Times New Roman"/>
          <w:bCs w:val="0"/>
          <w:szCs w:val="24"/>
        </w:rPr>
        <w:t>, </w:t>
      </w:r>
      <w:r w:rsidRPr="00C835AB">
        <w:rPr>
          <w:rFonts w:ascii="Times New Roman" w:hAnsi="Times New Roman" w:cs="Times New Roman"/>
          <w:bCs w:val="0"/>
          <w:i/>
          <w:iCs/>
          <w:szCs w:val="24"/>
        </w:rPr>
        <w:t>K. Wiak</w:t>
      </w:r>
      <w:r w:rsidRPr="00C835AB">
        <w:rPr>
          <w:rFonts w:ascii="Times New Roman" w:hAnsi="Times New Roman" w:cs="Times New Roman"/>
          <w:bCs w:val="0"/>
          <w:szCs w:val="24"/>
        </w:rPr>
        <w:t>, KK. Komentarz, 2016, art. 233, Nb 16; także </w:t>
      </w:r>
      <w:r w:rsidRPr="00C835AB">
        <w:rPr>
          <w:rFonts w:ascii="Times New Roman" w:hAnsi="Times New Roman" w:cs="Times New Roman"/>
          <w:bCs w:val="0"/>
          <w:i/>
          <w:iCs/>
          <w:szCs w:val="24"/>
        </w:rPr>
        <w:t>R. Szostak</w:t>
      </w:r>
      <w:r w:rsidRPr="00C835AB">
        <w:rPr>
          <w:rFonts w:ascii="Times New Roman" w:hAnsi="Times New Roman" w:cs="Times New Roman"/>
          <w:bCs w:val="0"/>
          <w:szCs w:val="24"/>
        </w:rPr>
        <w:t>, </w:t>
      </w:r>
      <w:r w:rsidRPr="00C835AB">
        <w:rPr>
          <w:rFonts w:ascii="Times New Roman" w:hAnsi="Times New Roman" w:cs="Times New Roman"/>
          <w:bCs w:val="0"/>
          <w:i/>
          <w:iCs/>
          <w:szCs w:val="24"/>
        </w:rPr>
        <w:t xml:space="preserve">I. </w:t>
      </w:r>
      <w:proofErr w:type="spellStart"/>
      <w:r w:rsidRPr="00C835AB">
        <w:rPr>
          <w:rFonts w:ascii="Times New Roman" w:hAnsi="Times New Roman" w:cs="Times New Roman"/>
          <w:bCs w:val="0"/>
          <w:i/>
          <w:iCs/>
          <w:szCs w:val="24"/>
        </w:rPr>
        <w:t>Sołtyszewski</w:t>
      </w:r>
      <w:proofErr w:type="spellEnd"/>
      <w:r w:rsidRPr="00C835AB">
        <w:rPr>
          <w:rFonts w:ascii="Times New Roman" w:hAnsi="Times New Roman" w:cs="Times New Roman"/>
          <w:bCs w:val="0"/>
          <w:szCs w:val="24"/>
        </w:rPr>
        <w:t>, Odpowiedzialność karna, s. 134–135). "Nieumyślne fałszerstwo" to logiczne </w:t>
      </w:r>
      <w:proofErr w:type="spellStart"/>
      <w:r w:rsidRPr="00C835AB">
        <w:rPr>
          <w:rFonts w:ascii="Times New Roman" w:hAnsi="Times New Roman" w:cs="Times New Roman"/>
          <w:bCs w:val="0"/>
          <w:i/>
          <w:iCs/>
          <w:szCs w:val="24"/>
        </w:rPr>
        <w:t>contradictio</w:t>
      </w:r>
      <w:proofErr w:type="spellEnd"/>
      <w:r w:rsidRPr="00C835AB">
        <w:rPr>
          <w:rFonts w:ascii="Times New Roman" w:hAnsi="Times New Roman" w:cs="Times New Roman"/>
          <w:bCs w:val="0"/>
          <w:i/>
          <w:iCs/>
          <w:szCs w:val="24"/>
        </w:rPr>
        <w:t xml:space="preserve"> in </w:t>
      </w:r>
      <w:proofErr w:type="spellStart"/>
      <w:r w:rsidRPr="00C835AB">
        <w:rPr>
          <w:rFonts w:ascii="Times New Roman" w:hAnsi="Times New Roman" w:cs="Times New Roman"/>
          <w:bCs w:val="0"/>
          <w:i/>
          <w:iCs/>
          <w:szCs w:val="24"/>
        </w:rPr>
        <w:t>adiecto</w:t>
      </w:r>
      <w:proofErr w:type="spellEnd"/>
      <w:r w:rsidRPr="00C835AB">
        <w:rPr>
          <w:rFonts w:ascii="Times New Roman" w:hAnsi="Times New Roman" w:cs="Times New Roman"/>
          <w:bCs w:val="0"/>
          <w:szCs w:val="24"/>
        </w:rPr>
        <w:t>. Próba ratowania ustawy przez eksponowanie, że znamię nieumyślności odnosi się do "narażenia (fałszywą opinią, ekspertyzą lub tłumaczeniem) na istotną szkodę interesu publicznego", nie wydaje się trafna (tak </w:t>
      </w:r>
      <w:r w:rsidRPr="00C835AB">
        <w:rPr>
          <w:rFonts w:ascii="Times New Roman" w:hAnsi="Times New Roman" w:cs="Times New Roman"/>
          <w:bCs w:val="0"/>
          <w:i/>
          <w:iCs/>
          <w:szCs w:val="24"/>
        </w:rPr>
        <w:t>L. Tyszkiewicz</w:t>
      </w:r>
      <w:r w:rsidRPr="00C835AB">
        <w:rPr>
          <w:rFonts w:ascii="Times New Roman" w:hAnsi="Times New Roman" w:cs="Times New Roman"/>
          <w:bCs w:val="0"/>
          <w:szCs w:val="24"/>
        </w:rPr>
        <w:t>, w: </w:t>
      </w:r>
      <w:r w:rsidRPr="00C835AB">
        <w:rPr>
          <w:rFonts w:ascii="Times New Roman" w:hAnsi="Times New Roman" w:cs="Times New Roman"/>
          <w:bCs w:val="0"/>
          <w:i/>
          <w:iCs/>
          <w:szCs w:val="24"/>
        </w:rPr>
        <w:t>M. Filar</w:t>
      </w:r>
      <w:r w:rsidRPr="00C835AB">
        <w:rPr>
          <w:rFonts w:ascii="Times New Roman" w:hAnsi="Times New Roman" w:cs="Times New Roman"/>
          <w:bCs w:val="0"/>
          <w:szCs w:val="24"/>
        </w:rPr>
        <w:t xml:space="preserve">, KK. Komentarz, 2016, art. 233, </w:t>
      </w:r>
      <w:proofErr w:type="spellStart"/>
      <w:r w:rsidRPr="00C835AB">
        <w:rPr>
          <w:rFonts w:ascii="Times New Roman" w:hAnsi="Times New Roman" w:cs="Times New Roman"/>
          <w:bCs w:val="0"/>
          <w:szCs w:val="24"/>
        </w:rPr>
        <w:t>Nt</w:t>
      </w:r>
      <w:proofErr w:type="spellEnd"/>
      <w:r w:rsidRPr="00C835AB">
        <w:rPr>
          <w:rFonts w:ascii="Times New Roman" w:hAnsi="Times New Roman" w:cs="Times New Roman"/>
          <w:bCs w:val="0"/>
          <w:szCs w:val="24"/>
        </w:rPr>
        <w:t xml:space="preserve"> 12). Ustawa mówi wszakże o nieumyślnym "przedstawianiu fałszywej opinii, ekspertyzy lub tłumaczenia", przez biegłego, rzeczoznawcę lub tłumacza. </w:t>
      </w:r>
      <w:r w:rsidRPr="00C835AB">
        <w:rPr>
          <w:rFonts w:ascii="Times New Roman" w:hAnsi="Times New Roman" w:cs="Times New Roman"/>
          <w:bCs w:val="0"/>
          <w:i/>
          <w:iCs/>
          <w:szCs w:val="24"/>
        </w:rPr>
        <w:t xml:space="preserve">(M. Królikowski, R. </w:t>
      </w:r>
      <w:proofErr w:type="spellStart"/>
      <w:r w:rsidRPr="00C835AB">
        <w:rPr>
          <w:rFonts w:ascii="Times New Roman" w:hAnsi="Times New Roman" w:cs="Times New Roman"/>
          <w:bCs w:val="0"/>
          <w:i/>
          <w:iCs/>
          <w:szCs w:val="24"/>
        </w:rPr>
        <w:t>Zawłocki</w:t>
      </w:r>
      <w:proofErr w:type="spellEnd"/>
      <w:r w:rsidRPr="00C835AB">
        <w:rPr>
          <w:rFonts w:ascii="Times New Roman" w:hAnsi="Times New Roman" w:cs="Times New Roman"/>
          <w:bCs w:val="0"/>
          <w:szCs w:val="24"/>
        </w:rPr>
        <w:t xml:space="preserve">, (red.) Kodeks karny. Część szczególna. Tom III. Komentarz do artykułów 222–316, Wyd. 5, Warszawa 2024). </w:t>
      </w:r>
    </w:p>
    <w:p w14:paraId="515728BD" w14:textId="3BF27A82" w:rsidR="005F350A" w:rsidRDefault="005F350A" w:rsidP="005F350A">
      <w:pPr>
        <w:pStyle w:val="ZLITUSTzmustliter"/>
        <w:ind w:left="0" w:firstLine="709"/>
        <w:rPr>
          <w:rFonts w:ascii="Times New Roman" w:hAnsi="Times New Roman" w:cs="Times New Roman"/>
          <w:szCs w:val="24"/>
        </w:rPr>
      </w:pPr>
      <w:r w:rsidRPr="00C835AB">
        <w:rPr>
          <w:rFonts w:ascii="Times New Roman" w:hAnsi="Times New Roman" w:cs="Times New Roman"/>
          <w:bCs w:val="0"/>
          <w:szCs w:val="24"/>
        </w:rPr>
        <w:t xml:space="preserve">Kolejne zastrzeżenia odnośnie do wskazanego przepisu dotyczą naruszenia zasady proporcjonalności. W orzecznictwie Trybunału Konstytucyjnego podkreśla się, że „prawo karne w zwalczaniu </w:t>
      </w:r>
      <w:proofErr w:type="spellStart"/>
      <w:r w:rsidRPr="00C835AB">
        <w:rPr>
          <w:rFonts w:ascii="Times New Roman" w:hAnsi="Times New Roman" w:cs="Times New Roman"/>
          <w:bCs w:val="0"/>
          <w:szCs w:val="24"/>
        </w:rPr>
        <w:t>zachowań</w:t>
      </w:r>
      <w:proofErr w:type="spellEnd"/>
      <w:r w:rsidRPr="00C835AB">
        <w:rPr>
          <w:rFonts w:ascii="Times New Roman" w:hAnsi="Times New Roman" w:cs="Times New Roman"/>
          <w:bCs w:val="0"/>
          <w:szCs w:val="24"/>
        </w:rPr>
        <w:t xml:space="preserve"> społecznie niepożądanych musi stanowić ultima ratio. Oznacza to, że sięganie do instrumentów prawnokarnych uzasadnione jest wtedy tylko, gdy pożądanego celu nie można osiągnąć w żaden inny sposób. Z punktu widzenia uregulowań zawartych w Konstytucji ustanowiona ochrona musi być proporcjonalna, adekwatna do wagi chronionych praw i wolności (</w:t>
      </w:r>
      <w:r w:rsidRPr="00C835AB">
        <w:rPr>
          <w:rFonts w:ascii="Times New Roman" w:hAnsi="Times New Roman" w:cs="Times New Roman"/>
          <w:bCs w:val="0"/>
          <w:i/>
          <w:iCs/>
          <w:szCs w:val="24"/>
        </w:rPr>
        <w:t xml:space="preserve">K. </w:t>
      </w:r>
      <w:proofErr w:type="spellStart"/>
      <w:r w:rsidRPr="00C835AB">
        <w:rPr>
          <w:rFonts w:ascii="Times New Roman" w:hAnsi="Times New Roman" w:cs="Times New Roman"/>
          <w:bCs w:val="0"/>
          <w:i/>
          <w:iCs/>
          <w:szCs w:val="24"/>
        </w:rPr>
        <w:t>Wojtyczek</w:t>
      </w:r>
      <w:proofErr w:type="spellEnd"/>
      <w:r w:rsidRPr="00C835AB">
        <w:rPr>
          <w:rFonts w:ascii="Times New Roman" w:hAnsi="Times New Roman" w:cs="Times New Roman"/>
          <w:bCs w:val="0"/>
          <w:szCs w:val="24"/>
        </w:rPr>
        <w:t>, Zasada proporcjonalności jako granica prawa karania, Czasopismo Prawa Karnego i Nauk Penalnych, z. 2/1999, s. 40</w:t>
      </w:r>
      <w:r w:rsidR="00796D23">
        <w:rPr>
          <w:rFonts w:ascii="Times New Roman" w:hAnsi="Times New Roman" w:cs="Times New Roman"/>
          <w:bCs w:val="0"/>
          <w:szCs w:val="24"/>
        </w:rPr>
        <w:t>–</w:t>
      </w:r>
      <w:r w:rsidRPr="00C835AB">
        <w:rPr>
          <w:rFonts w:ascii="Times New Roman" w:hAnsi="Times New Roman" w:cs="Times New Roman"/>
          <w:bCs w:val="0"/>
          <w:szCs w:val="24"/>
        </w:rPr>
        <w:t xml:space="preserve">46)” (wyrok TK z dnia 9 października 2001 r. SK 8/00). W ocenie projektodawcy penalizacja </w:t>
      </w:r>
      <w:proofErr w:type="spellStart"/>
      <w:r w:rsidRPr="00C835AB">
        <w:rPr>
          <w:rFonts w:ascii="Times New Roman" w:hAnsi="Times New Roman" w:cs="Times New Roman"/>
          <w:bCs w:val="0"/>
          <w:szCs w:val="24"/>
        </w:rPr>
        <w:t>zachowań</w:t>
      </w:r>
      <w:proofErr w:type="spellEnd"/>
      <w:r w:rsidRPr="00C835AB">
        <w:rPr>
          <w:rFonts w:ascii="Times New Roman" w:hAnsi="Times New Roman" w:cs="Times New Roman"/>
          <w:bCs w:val="0"/>
          <w:szCs w:val="24"/>
        </w:rPr>
        <w:t xml:space="preserve"> nieumyślnych, o których mowa w art. 233 § 4a k.k. budzi wątpliwości w aspekcie zachowania zasady proporcjonalności reakcji karnej. </w:t>
      </w:r>
      <w:r w:rsidRPr="00C835AB">
        <w:rPr>
          <w:rFonts w:ascii="Times New Roman" w:hAnsi="Times New Roman" w:cs="Times New Roman"/>
          <w:szCs w:val="24"/>
        </w:rPr>
        <w:t>Nie wydaje się trafne wiązanie sankcji karnej z </w:t>
      </w:r>
      <w:proofErr w:type="spellStart"/>
      <w:r w:rsidRPr="00C835AB">
        <w:rPr>
          <w:rFonts w:ascii="Times New Roman" w:hAnsi="Times New Roman" w:cs="Times New Roman"/>
          <w:szCs w:val="24"/>
        </w:rPr>
        <w:t>zachowaniami</w:t>
      </w:r>
      <w:proofErr w:type="spellEnd"/>
      <w:r w:rsidRPr="00C835AB">
        <w:rPr>
          <w:rFonts w:ascii="Times New Roman" w:hAnsi="Times New Roman" w:cs="Times New Roman"/>
          <w:szCs w:val="24"/>
        </w:rPr>
        <w:t xml:space="preserve"> nieumyślnymi o których mowa w art. 233 § 4a k.k. Przepis ten może prowadzić do swoistego „efektu mrożącego”, polegającego na próbach unikania wydawania opinii, ekspertyz czy tłumaczeń przez biegłych, rzeczoznawców i tłumaczy w obawie przed odpowiedzialnością karną. </w:t>
      </w:r>
    </w:p>
    <w:p w14:paraId="2D8FE848" w14:textId="77777777" w:rsidR="0016358D" w:rsidRDefault="0016358D" w:rsidP="005F350A">
      <w:pPr>
        <w:pStyle w:val="ZLITUSTzmustliter"/>
        <w:ind w:left="0" w:firstLine="709"/>
        <w:rPr>
          <w:rFonts w:ascii="Times New Roman" w:hAnsi="Times New Roman" w:cs="Times New Roman"/>
          <w:szCs w:val="24"/>
        </w:rPr>
      </w:pPr>
    </w:p>
    <w:p w14:paraId="31B2F162" w14:textId="277C1E51" w:rsidR="0016358D" w:rsidRPr="0016358D" w:rsidRDefault="0016358D" w:rsidP="0016358D">
      <w:pPr>
        <w:ind w:firstLine="709"/>
        <w:rPr>
          <w:rFonts w:ascii="Times New Roman" w:hAnsi="Times New Roman" w:cs="Times New Roman"/>
          <w:b/>
          <w:bCs/>
          <w:color w:val="auto"/>
          <w:sz w:val="24"/>
        </w:rPr>
      </w:pPr>
      <w:r w:rsidRPr="00E970A6">
        <w:rPr>
          <w:rFonts w:ascii="Times New Roman" w:hAnsi="Times New Roman" w:cs="Times New Roman"/>
          <w:b/>
          <w:bCs/>
          <w:color w:val="auto"/>
          <w:sz w:val="24"/>
        </w:rPr>
        <w:t>Art. art. 233 § 1 i 4 k.k.</w:t>
      </w:r>
      <w:r>
        <w:rPr>
          <w:rFonts w:ascii="Times New Roman" w:hAnsi="Times New Roman" w:cs="Times New Roman"/>
          <w:b/>
          <w:bCs/>
          <w:color w:val="auto"/>
          <w:sz w:val="24"/>
        </w:rPr>
        <w:t xml:space="preserve"> i art. 305 k.k.</w:t>
      </w:r>
    </w:p>
    <w:p w14:paraId="7AEBD05F" w14:textId="77777777" w:rsidR="0016358D" w:rsidRDefault="0016358D" w:rsidP="0016358D">
      <w:pPr>
        <w:ind w:firstLine="709"/>
        <w:rPr>
          <w:rFonts w:ascii="Times New Roman" w:hAnsi="Times New Roman" w:cs="Times New Roman"/>
          <w:color w:val="auto"/>
          <w:sz w:val="24"/>
        </w:rPr>
      </w:pPr>
      <w:r w:rsidRPr="00C835AB">
        <w:rPr>
          <w:rFonts w:ascii="Times New Roman" w:hAnsi="Times New Roman" w:cs="Times New Roman"/>
          <w:color w:val="auto"/>
          <w:sz w:val="24"/>
        </w:rPr>
        <w:t xml:space="preserve">W projekcie rezygnuje się, poza nielicznymi wyjątkami, z ingerencji w wymiar sankcji za poszczególne przestępstwa. Problematyka ta wymaga pogłębionej analizy, tak aby uniknąć </w:t>
      </w:r>
      <w:r w:rsidRPr="00C835AB">
        <w:rPr>
          <w:rFonts w:ascii="Times New Roman" w:hAnsi="Times New Roman" w:cs="Times New Roman"/>
          <w:color w:val="auto"/>
          <w:sz w:val="24"/>
        </w:rPr>
        <w:lastRenderedPageBreak/>
        <w:t xml:space="preserve">w przyszłości kolejnych zmian dotyczących wymiaru kary za poszczególne przestępstwa. Częste zmiany nie sprzyjają pewności prawa, wymuszają na sądach dokonywania wnikliwych analiz w płaszczyźnie art. 4 k.k. i w konsekwencji nie służą poprawie funkcjonowania wymiaru sprawiedliwości. </w:t>
      </w:r>
    </w:p>
    <w:p w14:paraId="16378B10" w14:textId="5856A018" w:rsidR="00B939A4" w:rsidRPr="00C835AB" w:rsidRDefault="00B939A4" w:rsidP="00B939A4">
      <w:pPr>
        <w:ind w:firstLine="708"/>
        <w:rPr>
          <w:rFonts w:ascii="Times New Roman" w:hAnsi="Times New Roman" w:cs="Times New Roman"/>
          <w:color w:val="auto"/>
          <w:sz w:val="24"/>
        </w:rPr>
      </w:pPr>
      <w:r w:rsidRPr="00C835AB">
        <w:rPr>
          <w:rFonts w:ascii="Times New Roman" w:hAnsi="Times New Roman" w:cs="Times New Roman"/>
          <w:color w:val="auto"/>
          <w:sz w:val="24"/>
        </w:rPr>
        <w:t>Jako wyjąt</w:t>
      </w:r>
      <w:r>
        <w:rPr>
          <w:rFonts w:ascii="Times New Roman" w:hAnsi="Times New Roman" w:cs="Times New Roman"/>
          <w:color w:val="auto"/>
          <w:sz w:val="24"/>
        </w:rPr>
        <w:t>e</w:t>
      </w:r>
      <w:r w:rsidRPr="00C835AB">
        <w:rPr>
          <w:rFonts w:ascii="Times New Roman" w:hAnsi="Times New Roman" w:cs="Times New Roman"/>
          <w:color w:val="auto"/>
          <w:sz w:val="24"/>
        </w:rPr>
        <w:t xml:space="preserve">k od zasady pozostawiania sankcji karnych bez zmian </w:t>
      </w:r>
      <w:r>
        <w:rPr>
          <w:rFonts w:ascii="Times New Roman" w:hAnsi="Times New Roman" w:cs="Times New Roman"/>
          <w:color w:val="auto"/>
          <w:sz w:val="24"/>
        </w:rPr>
        <w:t>proponuje</w:t>
      </w:r>
      <w:r w:rsidRPr="00C835AB">
        <w:rPr>
          <w:rFonts w:ascii="Times New Roman" w:hAnsi="Times New Roman" w:cs="Times New Roman"/>
          <w:color w:val="auto"/>
          <w:sz w:val="24"/>
        </w:rPr>
        <w:t xml:space="preserve"> się </w:t>
      </w:r>
      <w:r>
        <w:rPr>
          <w:rFonts w:ascii="Times New Roman" w:hAnsi="Times New Roman" w:cs="Times New Roman"/>
          <w:color w:val="auto"/>
          <w:sz w:val="24"/>
        </w:rPr>
        <w:t xml:space="preserve">ich </w:t>
      </w:r>
      <w:r w:rsidRPr="00C835AB">
        <w:rPr>
          <w:rFonts w:ascii="Times New Roman" w:hAnsi="Times New Roman" w:cs="Times New Roman"/>
          <w:color w:val="auto"/>
          <w:sz w:val="24"/>
        </w:rPr>
        <w:t xml:space="preserve">obniżenie </w:t>
      </w:r>
      <w:r>
        <w:rPr>
          <w:rFonts w:ascii="Times New Roman" w:hAnsi="Times New Roman" w:cs="Times New Roman"/>
          <w:color w:val="auto"/>
          <w:sz w:val="24"/>
        </w:rPr>
        <w:t xml:space="preserve">w </w:t>
      </w:r>
      <w:r w:rsidRPr="00A0500E">
        <w:rPr>
          <w:rFonts w:ascii="Times New Roman" w:hAnsi="Times New Roman" w:cs="Times New Roman"/>
          <w:b/>
          <w:bCs/>
          <w:color w:val="auto"/>
          <w:sz w:val="24"/>
        </w:rPr>
        <w:t>art. 233 § 1 i 4 k.k.</w:t>
      </w:r>
      <w:r>
        <w:rPr>
          <w:rFonts w:ascii="Times New Roman" w:hAnsi="Times New Roman" w:cs="Times New Roman"/>
          <w:color w:val="auto"/>
          <w:sz w:val="24"/>
        </w:rPr>
        <w:t xml:space="preserve"> Aktualne zagrożenie przewidziane w tych przepisach jest nieadekwatne do stopnia społecznej szkodliwości tej kategorii </w:t>
      </w:r>
      <w:proofErr w:type="spellStart"/>
      <w:r>
        <w:rPr>
          <w:rFonts w:ascii="Times New Roman" w:hAnsi="Times New Roman" w:cs="Times New Roman"/>
          <w:color w:val="auto"/>
          <w:sz w:val="24"/>
        </w:rPr>
        <w:t>zachowań</w:t>
      </w:r>
      <w:proofErr w:type="spellEnd"/>
      <w:r>
        <w:rPr>
          <w:rFonts w:ascii="Times New Roman" w:hAnsi="Times New Roman" w:cs="Times New Roman"/>
          <w:color w:val="auto"/>
          <w:sz w:val="24"/>
        </w:rPr>
        <w:t>. Proponowane w projekcie sankcje odpowiadają postulatom zgłaszanym w ramach konsultacji publicznych.</w:t>
      </w:r>
    </w:p>
    <w:p w14:paraId="43A5C047" w14:textId="77777777" w:rsidR="0016358D" w:rsidRPr="00C835AB" w:rsidRDefault="0016358D" w:rsidP="0016358D">
      <w:pPr>
        <w:ind w:firstLine="709"/>
        <w:rPr>
          <w:rFonts w:ascii="Times New Roman" w:hAnsi="Times New Roman" w:cs="Times New Roman"/>
          <w:color w:val="auto"/>
          <w:sz w:val="24"/>
        </w:rPr>
      </w:pPr>
      <w:r w:rsidRPr="00C835AB">
        <w:rPr>
          <w:rFonts w:ascii="Times New Roman" w:hAnsi="Times New Roman" w:cs="Times New Roman"/>
          <w:color w:val="auto"/>
          <w:sz w:val="24"/>
        </w:rPr>
        <w:t xml:space="preserve">Na zasadzie wyjątku projekt wprowadza zagrożenie surowsze w </w:t>
      </w:r>
      <w:r w:rsidRPr="00C835AB">
        <w:rPr>
          <w:rFonts w:ascii="Times New Roman" w:hAnsi="Times New Roman" w:cs="Times New Roman"/>
          <w:b/>
          <w:bCs/>
          <w:color w:val="auto"/>
          <w:sz w:val="24"/>
        </w:rPr>
        <w:t>art. 305 k.k.</w:t>
      </w:r>
      <w:r w:rsidRPr="00C835AB">
        <w:rPr>
          <w:rFonts w:ascii="Times New Roman" w:hAnsi="Times New Roman" w:cs="Times New Roman"/>
          <w:color w:val="auto"/>
          <w:sz w:val="24"/>
        </w:rPr>
        <w:t xml:space="preserve"> (przestępstwo utrudniania przetargu publicznego). Od początku obowiązywania Kodeksu karnego jest ono zagrożone karą pozbawienia wolności do lat 3. Uznaje się, że jest to sankcja zbyt łagodna, zwłaszcza w dobie intensywnego rozporządzania finansowymi środkami unijnymi (m.in. KPO). Instytucja przetargu publicznego powinna korzystać ze wzmożonej ochrony karnoprawnej. Ponadto należy wskazać, że obecne zagrożenie nie jest spójne z innymi zagrożeniami (np. przestępstwo wyłudzenia dotacji lub subwencji z art. 297 k.k. jest zagrożone karą pozbawienia wolności od 3 miesięcy do 5 lat). </w:t>
      </w:r>
    </w:p>
    <w:p w14:paraId="17C2CD27" w14:textId="77777777" w:rsidR="005F350A" w:rsidRPr="00C835AB" w:rsidRDefault="005F350A" w:rsidP="005F350A">
      <w:pPr>
        <w:pStyle w:val="ZLITUSTzmustliter"/>
        <w:ind w:left="0" w:firstLine="709"/>
        <w:rPr>
          <w:rFonts w:ascii="Times New Roman" w:hAnsi="Times New Roman" w:cs="Times New Roman"/>
          <w:b/>
          <w:szCs w:val="24"/>
        </w:rPr>
      </w:pPr>
    </w:p>
    <w:p w14:paraId="274519A0" w14:textId="77777777" w:rsidR="005F350A" w:rsidRPr="00C835AB" w:rsidRDefault="005F350A" w:rsidP="005F350A">
      <w:pPr>
        <w:ind w:left="708"/>
        <w:rPr>
          <w:rFonts w:ascii="Times New Roman" w:hAnsi="Times New Roman" w:cs="Times New Roman"/>
          <w:b/>
          <w:bCs/>
          <w:color w:val="auto"/>
          <w:sz w:val="24"/>
        </w:rPr>
      </w:pPr>
      <w:r w:rsidRPr="00C835AB">
        <w:rPr>
          <w:rFonts w:ascii="Times New Roman" w:hAnsi="Times New Roman" w:cs="Times New Roman"/>
          <w:b/>
          <w:bCs/>
          <w:color w:val="auto"/>
          <w:sz w:val="24"/>
        </w:rPr>
        <w:t>Art. 259b k.k.</w:t>
      </w:r>
    </w:p>
    <w:p w14:paraId="20F4DB67" w14:textId="77777777" w:rsidR="005F350A" w:rsidRPr="00C835AB" w:rsidRDefault="005F350A" w:rsidP="005F350A">
      <w:pPr>
        <w:widowControl w:val="0"/>
        <w:autoSpaceDE w:val="0"/>
        <w:autoSpaceDN w:val="0"/>
        <w:adjustRightInd w:val="0"/>
        <w:ind w:firstLine="708"/>
        <w:rPr>
          <w:rFonts w:ascii="Times New Roman" w:hAnsi="Times New Roman" w:cs="Times New Roman"/>
          <w:color w:val="auto"/>
          <w:sz w:val="24"/>
        </w:rPr>
      </w:pPr>
      <w:r w:rsidRPr="00C835AB">
        <w:rPr>
          <w:rFonts w:ascii="Times New Roman" w:hAnsi="Times New Roman" w:cs="Times New Roman"/>
          <w:color w:val="auto"/>
          <w:sz w:val="24"/>
        </w:rPr>
        <w:t>W art. 259b k.k., analogicznie jak w przypadku nowelizowanego art. 60 § 3 k.k., zwrot „Na wniosek prokuratora sąd stosuje” proponuje się zastąpić wyrazami „Sąd może zastosować”. Odstępuje się zatem od związania sądu wnioskiem prokuratora co</w:t>
      </w:r>
      <w:r>
        <w:rPr>
          <w:rFonts w:ascii="Times New Roman" w:hAnsi="Times New Roman" w:cs="Times New Roman"/>
          <w:color w:val="auto"/>
          <w:sz w:val="24"/>
        </w:rPr>
        <w:t> </w:t>
      </w:r>
      <w:r w:rsidRPr="00C835AB">
        <w:rPr>
          <w:rFonts w:ascii="Times New Roman" w:hAnsi="Times New Roman" w:cs="Times New Roman"/>
          <w:color w:val="auto"/>
          <w:sz w:val="24"/>
        </w:rPr>
        <w:t>do</w:t>
      </w:r>
      <w:r>
        <w:rPr>
          <w:rFonts w:ascii="Times New Roman" w:hAnsi="Times New Roman" w:cs="Times New Roman"/>
          <w:color w:val="auto"/>
          <w:sz w:val="24"/>
        </w:rPr>
        <w:t> </w:t>
      </w:r>
      <w:r w:rsidRPr="00C835AB">
        <w:rPr>
          <w:rFonts w:ascii="Times New Roman" w:hAnsi="Times New Roman" w:cs="Times New Roman"/>
          <w:color w:val="auto"/>
          <w:sz w:val="24"/>
        </w:rPr>
        <w:t xml:space="preserve">zastosowania nadzwyczajnego złagodzenia kary oraz warunkowego zawieszenia jej wykonania. Ulega zwiększeniu swoboda sądu w decydowaniu o kształcie sankcji karnej, gdy wystąpią okoliczności uzasadniające redukcję kary bądź możliwość warunkowego zawieszenia jej wykonania. </w:t>
      </w:r>
    </w:p>
    <w:p w14:paraId="6C91D4CF" w14:textId="77777777" w:rsidR="005F350A" w:rsidRPr="00C835AB" w:rsidRDefault="005F350A" w:rsidP="005F350A">
      <w:pPr>
        <w:rPr>
          <w:rFonts w:ascii="Times New Roman" w:hAnsi="Times New Roman" w:cs="Times New Roman"/>
          <w:color w:val="auto"/>
          <w:sz w:val="24"/>
        </w:rPr>
      </w:pPr>
    </w:p>
    <w:p w14:paraId="319DF399" w14:textId="77777777" w:rsidR="005F350A" w:rsidRPr="00C835AB" w:rsidRDefault="005F350A" w:rsidP="005F350A">
      <w:pPr>
        <w:ind w:firstLine="708"/>
        <w:rPr>
          <w:rFonts w:ascii="Times New Roman" w:hAnsi="Times New Roman" w:cs="Times New Roman"/>
          <w:b/>
          <w:color w:val="auto"/>
          <w:sz w:val="24"/>
        </w:rPr>
      </w:pPr>
      <w:r w:rsidRPr="00C835AB">
        <w:rPr>
          <w:rFonts w:ascii="Times New Roman" w:hAnsi="Times New Roman" w:cs="Times New Roman"/>
          <w:b/>
          <w:color w:val="auto"/>
          <w:sz w:val="24"/>
        </w:rPr>
        <w:t>Art. 305 § 2 k.k.</w:t>
      </w:r>
    </w:p>
    <w:p w14:paraId="13970BBA" w14:textId="77777777" w:rsidR="005F350A" w:rsidRPr="00C835AB" w:rsidRDefault="005F350A" w:rsidP="005F350A">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Proponowana zmiana </w:t>
      </w:r>
      <w:r w:rsidRPr="00C835AB">
        <w:rPr>
          <w:rFonts w:ascii="Times New Roman" w:hAnsi="Times New Roman" w:cs="Times New Roman"/>
          <w:bCs/>
          <w:color w:val="auto"/>
          <w:sz w:val="24"/>
        </w:rPr>
        <w:t>art. 305 § 2 k.k. ma charakter redakcyjny i czysto dostosowawczy – jest konsekwencją zmiany ustawowego zagrożenia za przestępstwo stypizowane w art. 305 §</w:t>
      </w:r>
      <w:r w:rsidRPr="00C835AB">
        <w:rPr>
          <w:rFonts w:ascii="Times New Roman" w:hAnsi="Times New Roman" w:cs="Times New Roman"/>
          <w:sz w:val="24"/>
        </w:rPr>
        <w:t> </w:t>
      </w:r>
      <w:r w:rsidRPr="00C835AB">
        <w:rPr>
          <w:rFonts w:ascii="Times New Roman" w:hAnsi="Times New Roman" w:cs="Times New Roman"/>
          <w:bCs/>
          <w:color w:val="auto"/>
          <w:sz w:val="24"/>
        </w:rPr>
        <w:t xml:space="preserve">1 k.k. na takie samo jak przewidziane we wspomnianym przepisie. </w:t>
      </w:r>
    </w:p>
    <w:p w14:paraId="4AF67376" w14:textId="77777777" w:rsidR="008136F6" w:rsidRPr="00C835AB" w:rsidRDefault="008136F6" w:rsidP="00603A64">
      <w:pPr>
        <w:pStyle w:val="Akapitzlist1"/>
        <w:spacing w:after="0" w:line="360" w:lineRule="auto"/>
        <w:ind w:left="0" w:firstLine="708"/>
        <w:jc w:val="both"/>
        <w:rPr>
          <w:rFonts w:ascii="Times New Roman" w:hAnsi="Times New Roman"/>
          <w:sz w:val="24"/>
          <w:szCs w:val="24"/>
        </w:rPr>
      </w:pPr>
    </w:p>
    <w:p w14:paraId="3C944274" w14:textId="7F45AF25" w:rsidR="002431CF" w:rsidRPr="00C835AB" w:rsidRDefault="00D5202A" w:rsidP="00D823D0">
      <w:pPr>
        <w:rPr>
          <w:rFonts w:ascii="Times New Roman" w:hAnsi="Times New Roman" w:cs="Times New Roman"/>
          <w:b/>
          <w:bCs/>
          <w:color w:val="auto"/>
          <w:sz w:val="24"/>
          <w:u w:val="single"/>
        </w:rPr>
      </w:pPr>
      <w:r w:rsidRPr="00C835AB">
        <w:rPr>
          <w:rFonts w:ascii="Times New Roman" w:hAnsi="Times New Roman" w:cs="Times New Roman"/>
          <w:b/>
          <w:bCs/>
          <w:color w:val="auto"/>
          <w:sz w:val="24"/>
          <w:u w:val="single"/>
        </w:rPr>
        <w:t>Zmiany w Kodeksie karnym wykonawczym</w:t>
      </w:r>
    </w:p>
    <w:p w14:paraId="3653D1F9" w14:textId="77777777" w:rsidR="00D70A27" w:rsidRPr="00C835AB" w:rsidRDefault="00D70A27" w:rsidP="00603A64">
      <w:pPr>
        <w:rPr>
          <w:rFonts w:ascii="Times New Roman" w:hAnsi="Times New Roman" w:cs="Times New Roman"/>
          <w:b/>
          <w:bCs/>
          <w:color w:val="auto"/>
          <w:sz w:val="24"/>
        </w:rPr>
      </w:pPr>
    </w:p>
    <w:p w14:paraId="3127D73D" w14:textId="6B0A1FD7" w:rsidR="00334F46" w:rsidRPr="00C835AB" w:rsidRDefault="00D70A27"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 xml:space="preserve">Art. </w:t>
      </w:r>
      <w:proofErr w:type="spellStart"/>
      <w:r w:rsidRPr="00C835AB">
        <w:rPr>
          <w:rFonts w:ascii="Times New Roman" w:hAnsi="Times New Roman" w:cs="Times New Roman"/>
          <w:b/>
          <w:bCs/>
          <w:color w:val="auto"/>
          <w:sz w:val="24"/>
        </w:rPr>
        <w:t>8a</w:t>
      </w:r>
      <w:proofErr w:type="spellEnd"/>
      <w:r w:rsidR="00B3612F" w:rsidRPr="00C835AB">
        <w:rPr>
          <w:rFonts w:ascii="Times New Roman" w:hAnsi="Times New Roman" w:cs="Times New Roman"/>
          <w:b/>
          <w:bCs/>
          <w:color w:val="auto"/>
          <w:sz w:val="24"/>
        </w:rPr>
        <w:t xml:space="preserve"> § 2 </w:t>
      </w:r>
      <w:proofErr w:type="spellStart"/>
      <w:r w:rsidR="00B3612F" w:rsidRPr="00C835AB">
        <w:rPr>
          <w:rFonts w:ascii="Times New Roman" w:hAnsi="Times New Roman" w:cs="Times New Roman"/>
          <w:b/>
          <w:bCs/>
          <w:color w:val="auto"/>
          <w:sz w:val="24"/>
        </w:rPr>
        <w:t>k.k.w</w:t>
      </w:r>
      <w:proofErr w:type="spellEnd"/>
      <w:r w:rsidR="00B3612F" w:rsidRPr="00C835AB">
        <w:rPr>
          <w:rFonts w:ascii="Times New Roman" w:hAnsi="Times New Roman" w:cs="Times New Roman"/>
          <w:b/>
          <w:bCs/>
          <w:color w:val="auto"/>
          <w:sz w:val="24"/>
        </w:rPr>
        <w:t>.</w:t>
      </w:r>
    </w:p>
    <w:p w14:paraId="39BE5180" w14:textId="60699364" w:rsidR="00387387" w:rsidRPr="00C835AB" w:rsidRDefault="002E7486"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lastRenderedPageBreak/>
        <w:t>Projektowana z</w:t>
      </w:r>
      <w:r w:rsidR="00387387" w:rsidRPr="00C835AB">
        <w:rPr>
          <w:rFonts w:ascii="Times New Roman" w:hAnsi="Times New Roman" w:cs="Times New Roman"/>
          <w:color w:val="auto"/>
          <w:sz w:val="24"/>
        </w:rPr>
        <w:t xml:space="preserve">miana </w:t>
      </w:r>
      <w:r w:rsidR="00A32986" w:rsidRPr="00C835AB">
        <w:rPr>
          <w:rFonts w:ascii="Times New Roman" w:hAnsi="Times New Roman" w:cs="Times New Roman"/>
          <w:color w:val="auto"/>
          <w:sz w:val="24"/>
        </w:rPr>
        <w:t xml:space="preserve">art. </w:t>
      </w:r>
      <w:proofErr w:type="spellStart"/>
      <w:r w:rsidR="00A32986" w:rsidRPr="00C835AB">
        <w:rPr>
          <w:rFonts w:ascii="Times New Roman" w:hAnsi="Times New Roman" w:cs="Times New Roman"/>
          <w:color w:val="auto"/>
          <w:sz w:val="24"/>
        </w:rPr>
        <w:t>8a</w:t>
      </w:r>
      <w:proofErr w:type="spellEnd"/>
      <w:r w:rsidR="00A32986" w:rsidRPr="00C835AB">
        <w:rPr>
          <w:rFonts w:ascii="Times New Roman" w:hAnsi="Times New Roman" w:cs="Times New Roman"/>
          <w:color w:val="auto"/>
          <w:sz w:val="24"/>
        </w:rPr>
        <w:t xml:space="preserve"> § 2 </w:t>
      </w:r>
      <w:proofErr w:type="spellStart"/>
      <w:r w:rsidR="00A32986" w:rsidRPr="00C835AB">
        <w:rPr>
          <w:rFonts w:ascii="Times New Roman" w:hAnsi="Times New Roman" w:cs="Times New Roman"/>
          <w:color w:val="auto"/>
          <w:sz w:val="24"/>
        </w:rPr>
        <w:t>k.k.w</w:t>
      </w:r>
      <w:proofErr w:type="spellEnd"/>
      <w:r w:rsidR="00A32986" w:rsidRPr="00C835AB">
        <w:rPr>
          <w:rFonts w:ascii="Times New Roman" w:hAnsi="Times New Roman" w:cs="Times New Roman"/>
          <w:color w:val="auto"/>
          <w:sz w:val="24"/>
        </w:rPr>
        <w:t xml:space="preserve">. </w:t>
      </w:r>
      <w:r w:rsidR="00387387" w:rsidRPr="00C835AB">
        <w:rPr>
          <w:rFonts w:ascii="Times New Roman" w:hAnsi="Times New Roman" w:cs="Times New Roman"/>
          <w:color w:val="auto"/>
          <w:sz w:val="24"/>
        </w:rPr>
        <w:t>stanowi konsekwencj</w:t>
      </w:r>
      <w:r w:rsidR="00B169FD" w:rsidRPr="00C835AB">
        <w:rPr>
          <w:rFonts w:ascii="Times New Roman" w:hAnsi="Times New Roman" w:cs="Times New Roman"/>
          <w:color w:val="auto"/>
          <w:sz w:val="24"/>
        </w:rPr>
        <w:t>ę</w:t>
      </w:r>
      <w:r w:rsidR="00387387" w:rsidRPr="00C835AB">
        <w:rPr>
          <w:rFonts w:ascii="Times New Roman" w:hAnsi="Times New Roman" w:cs="Times New Roman"/>
          <w:color w:val="auto"/>
          <w:sz w:val="24"/>
        </w:rPr>
        <w:t xml:space="preserve"> uchylenia </w:t>
      </w:r>
      <w:hyperlink r:id="rId17" w:history="1">
        <w:r w:rsidR="00387387" w:rsidRPr="00C835AB">
          <w:rPr>
            <w:rStyle w:val="Hipercze"/>
            <w:rFonts w:ascii="Times New Roman" w:hAnsi="Times New Roman" w:cs="Times New Roman"/>
            <w:color w:val="auto"/>
            <w:sz w:val="24"/>
            <w:u w:val="none"/>
          </w:rPr>
          <w:t>art. 73 § 3 i 4</w:t>
        </w:r>
      </w:hyperlink>
      <w:r w:rsidR="00B3612F" w:rsidRPr="00C835AB">
        <w:rPr>
          <w:rStyle w:val="Hipercze"/>
          <w:rFonts w:ascii="Times New Roman" w:hAnsi="Times New Roman" w:cs="Times New Roman"/>
          <w:color w:val="auto"/>
          <w:sz w:val="24"/>
          <w:u w:val="none"/>
        </w:rPr>
        <w:t xml:space="preserve"> k.p.k</w:t>
      </w:r>
      <w:r w:rsidR="00387387" w:rsidRPr="00C835AB">
        <w:rPr>
          <w:rFonts w:ascii="Times New Roman" w:hAnsi="Times New Roman" w:cs="Times New Roman"/>
          <w:color w:val="auto"/>
          <w:sz w:val="24"/>
        </w:rPr>
        <w:t>.</w:t>
      </w:r>
    </w:p>
    <w:p w14:paraId="3DDB3FDF" w14:textId="61E8C444" w:rsidR="00D70A27" w:rsidRPr="00C835AB" w:rsidRDefault="00387387" w:rsidP="00D823D0">
      <w:pPr>
        <w:rPr>
          <w:rFonts w:ascii="Times New Roman" w:hAnsi="Times New Roman" w:cs="Times New Roman"/>
          <w:b/>
          <w:bCs/>
          <w:color w:val="auto"/>
          <w:sz w:val="24"/>
        </w:rPr>
      </w:pPr>
      <w:r w:rsidRPr="00C835AB">
        <w:rPr>
          <w:rFonts w:ascii="Times New Roman" w:hAnsi="Times New Roman" w:cs="Times New Roman"/>
          <w:b/>
          <w:bCs/>
          <w:color w:val="auto"/>
          <w:sz w:val="24"/>
        </w:rPr>
        <w:t> </w:t>
      </w:r>
    </w:p>
    <w:p w14:paraId="6078FED9" w14:textId="6052ABDC" w:rsidR="00334F46" w:rsidRPr="00C835AB" w:rsidRDefault="00334F46"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Art. 9</w:t>
      </w:r>
      <w:r w:rsidR="00D43DEE" w:rsidRPr="00C835AB">
        <w:rPr>
          <w:rFonts w:ascii="Times New Roman" w:hAnsi="Times New Roman" w:cs="Times New Roman"/>
          <w:b/>
          <w:bCs/>
          <w:color w:val="auto"/>
          <w:sz w:val="24"/>
        </w:rPr>
        <w:t xml:space="preserve"> § 5</w:t>
      </w:r>
      <w:r w:rsidR="00796D23">
        <w:rPr>
          <w:rFonts w:ascii="Times New Roman" w:hAnsi="Times New Roman" w:cs="Times New Roman"/>
          <w:b/>
          <w:bCs/>
          <w:color w:val="auto"/>
          <w:sz w:val="24"/>
        </w:rPr>
        <w:t>–</w:t>
      </w:r>
      <w:r w:rsidR="00D43DEE" w:rsidRPr="00C835AB">
        <w:rPr>
          <w:rFonts w:ascii="Times New Roman" w:hAnsi="Times New Roman" w:cs="Times New Roman"/>
          <w:b/>
          <w:bCs/>
          <w:color w:val="auto"/>
          <w:sz w:val="24"/>
        </w:rPr>
        <w:t xml:space="preserve">8 </w:t>
      </w:r>
      <w:proofErr w:type="spellStart"/>
      <w:r w:rsidR="00D43DEE" w:rsidRPr="00C835AB">
        <w:rPr>
          <w:rFonts w:ascii="Times New Roman" w:hAnsi="Times New Roman" w:cs="Times New Roman"/>
          <w:b/>
          <w:bCs/>
          <w:color w:val="auto"/>
          <w:sz w:val="24"/>
        </w:rPr>
        <w:t>k.k.w</w:t>
      </w:r>
      <w:proofErr w:type="spellEnd"/>
      <w:r w:rsidR="00D43DEE" w:rsidRPr="00C835AB">
        <w:rPr>
          <w:rFonts w:ascii="Times New Roman" w:hAnsi="Times New Roman" w:cs="Times New Roman"/>
          <w:b/>
          <w:bCs/>
          <w:color w:val="auto"/>
          <w:sz w:val="24"/>
        </w:rPr>
        <w:t>.</w:t>
      </w:r>
    </w:p>
    <w:p w14:paraId="1CD5B3CF" w14:textId="5E980092" w:rsidR="00334F46" w:rsidRPr="00C835AB" w:rsidRDefault="00334F46"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Przepisy art. 9</w:t>
      </w:r>
      <w:r w:rsidR="000914B6"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w:t>
      </w:r>
      <w:r w:rsidR="000914B6"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5</w:t>
      </w:r>
      <w:r w:rsidR="00796D23">
        <w:rPr>
          <w:rFonts w:ascii="Times New Roman" w:hAnsi="Times New Roman" w:cs="Times New Roman"/>
          <w:color w:val="auto"/>
          <w:sz w:val="24"/>
        </w:rPr>
        <w:t>–</w:t>
      </w:r>
      <w:r w:rsidRPr="00C835AB">
        <w:rPr>
          <w:rFonts w:ascii="Times New Roman" w:hAnsi="Times New Roman" w:cs="Times New Roman"/>
          <w:color w:val="auto"/>
          <w:sz w:val="24"/>
        </w:rPr>
        <w:t>8</w:t>
      </w:r>
      <w:r w:rsidR="002566C8" w:rsidRPr="00C835AB">
        <w:rPr>
          <w:rFonts w:ascii="Times New Roman" w:hAnsi="Times New Roman" w:cs="Times New Roman"/>
          <w:color w:val="auto"/>
          <w:sz w:val="24"/>
        </w:rPr>
        <w:t xml:space="preserve"> </w:t>
      </w:r>
      <w:proofErr w:type="spellStart"/>
      <w:r w:rsidR="00DC6CC1" w:rsidRPr="00C835AB">
        <w:rPr>
          <w:rFonts w:ascii="Times New Roman" w:hAnsi="Times New Roman" w:cs="Times New Roman"/>
          <w:color w:val="auto"/>
          <w:sz w:val="24"/>
        </w:rPr>
        <w:t>k.k.w</w:t>
      </w:r>
      <w:proofErr w:type="spellEnd"/>
      <w:r w:rsidR="00DC6CC1"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określają zasady postępowania w przedmiocie wstrzymania wykonania orzeczenia, którego dotyczy wniosek o wydanie postanowienia w postępowaniu wykonawczym</w:t>
      </w:r>
      <w:r w:rsidR="002566C8"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jeżeli wstrzymanie wykonania takiego orzeczenia skutkowałoby zwolnieniem skazanego z aresztu śledczego lub zakładu karnego. Uregulowania te przewidują dość szerokie uprawnienia prokuratora w takim post</w:t>
      </w:r>
      <w:r w:rsidR="002566C8" w:rsidRPr="00C835AB">
        <w:rPr>
          <w:rFonts w:ascii="Times New Roman" w:hAnsi="Times New Roman" w:cs="Times New Roman"/>
          <w:color w:val="auto"/>
          <w:sz w:val="24"/>
        </w:rPr>
        <w:t>ę</w:t>
      </w:r>
      <w:r w:rsidRPr="00C835AB">
        <w:rPr>
          <w:rFonts w:ascii="Times New Roman" w:hAnsi="Times New Roman" w:cs="Times New Roman"/>
          <w:color w:val="auto"/>
          <w:sz w:val="24"/>
        </w:rPr>
        <w:t>powaniu. Po pierwsze, prokurator ma prawo wziąć udział w posiedzeniu</w:t>
      </w:r>
      <w:r w:rsidR="0003652D"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co oznacza konieczność jego wyznaczenia przez sąd i zawiadomienia prokuratora. Po drugie, prokurator swoim sprzeciwem co do postanowienia o wstrzymaniu wykonania orzeczenia powoduje, że postanowienie takie staje się wykonalne dopiero po</w:t>
      </w:r>
      <w:r w:rsidR="00BD5665">
        <w:rPr>
          <w:rFonts w:ascii="Times New Roman" w:hAnsi="Times New Roman" w:cs="Times New Roman"/>
          <w:color w:val="auto"/>
          <w:sz w:val="24"/>
        </w:rPr>
        <w:t> </w:t>
      </w:r>
      <w:r w:rsidRPr="00C835AB">
        <w:rPr>
          <w:rFonts w:ascii="Times New Roman" w:hAnsi="Times New Roman" w:cs="Times New Roman"/>
          <w:color w:val="auto"/>
          <w:sz w:val="24"/>
        </w:rPr>
        <w:t>uprawomocnieniu. Po trzecie, prokuratorowi przysługuje zażalenie na postanowienie o</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 xml:space="preserve">wstrzymaniu wykonania orzeczenia. </w:t>
      </w:r>
    </w:p>
    <w:p w14:paraId="4D5FD208" w14:textId="67FF80E0" w:rsidR="00334F46" w:rsidRPr="00C835AB" w:rsidRDefault="5F5DB8BF"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Konieczność wyznaczenia posiedzenia celem umożliwienia prokuratorowi wzięcia w</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nim udziału na gruncie art. 9</w:t>
      </w:r>
      <w:r w:rsidR="000914B6"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w:t>
      </w:r>
      <w:r w:rsidR="000914B6"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5</w:t>
      </w:r>
      <w:r w:rsidR="002566C8" w:rsidRPr="00C835AB">
        <w:rPr>
          <w:rFonts w:ascii="Times New Roman" w:hAnsi="Times New Roman" w:cs="Times New Roman"/>
          <w:color w:val="auto"/>
          <w:sz w:val="24"/>
        </w:rPr>
        <w:t xml:space="preserve"> </w:t>
      </w:r>
      <w:proofErr w:type="spellStart"/>
      <w:r w:rsidR="00DC6CC1" w:rsidRPr="00C835AB">
        <w:rPr>
          <w:rFonts w:ascii="Times New Roman" w:hAnsi="Times New Roman" w:cs="Times New Roman"/>
          <w:color w:val="auto"/>
          <w:sz w:val="24"/>
        </w:rPr>
        <w:t>k.k.w</w:t>
      </w:r>
      <w:proofErr w:type="spellEnd"/>
      <w:r w:rsidR="00DC6CC1"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powoduje, że postępowanie, które z natury rzeczy winno toczyć się sprawnie, takim nie jest. Nadto o wykonalności orzeczenia winien decydować sąd lub ustawodawca, a nie prokurator swoim sprzeciwem, zwłaszcza że przesłanki złożenia takiego sprzeciwu nie są w żaden sposób sprecyzowane, a więc może on być składany na</w:t>
      </w:r>
      <w:r w:rsidR="00BD5665">
        <w:rPr>
          <w:rFonts w:ascii="Times New Roman" w:hAnsi="Times New Roman" w:cs="Times New Roman"/>
          <w:color w:val="auto"/>
          <w:sz w:val="24"/>
        </w:rPr>
        <w:t> </w:t>
      </w:r>
      <w:r w:rsidRPr="00C835AB">
        <w:rPr>
          <w:rFonts w:ascii="Times New Roman" w:hAnsi="Times New Roman" w:cs="Times New Roman"/>
          <w:color w:val="auto"/>
          <w:sz w:val="24"/>
        </w:rPr>
        <w:t>zasadzie pełnej dowolności, nawet bez merytorycznego uzasadniania, uniemożliwiając opuszczenie przez skazanego zakładu karnego lub aresztu śledczego. W tej sytuacji, mimo decyzji sądu o wstrzymaniu wykonania orzeczenia, to prokurator swoim sprzeciwem decyduje o kontynuacji pozbawienia wolności do chwili uprawomocnienia się postanowienia o</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wstrzymaniu wykonaniu orzeczenia. Ponadto</w:t>
      </w:r>
      <w:r w:rsidR="7815F185"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przyznanie prokuratorowi prawa do złożenia zażalenia na postanowienie o wstrzymaniu wykonania orzeczenia oraz nieprzyznanie skazanemu prawa do złożenia zażalenia na postanowienie o odmowie wstrzymania wykonania orzeczenia</w:t>
      </w:r>
      <w:r w:rsidR="79BEF03D"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stanowi przejaw zachwiania równowagi stron postępowania wykonawczego przed sądem i przewagi prokuratora w tym zakresie. Jest to pozbawione podsta</w:t>
      </w:r>
      <w:r w:rsidR="000702CD" w:rsidRPr="00C835AB">
        <w:rPr>
          <w:rFonts w:ascii="Times New Roman" w:hAnsi="Times New Roman" w:cs="Times New Roman"/>
          <w:color w:val="auto"/>
          <w:sz w:val="24"/>
        </w:rPr>
        <w:t>w,</w:t>
      </w:r>
      <w:r w:rsidRPr="00C835AB">
        <w:rPr>
          <w:rFonts w:ascii="Times New Roman" w:hAnsi="Times New Roman" w:cs="Times New Roman"/>
          <w:color w:val="auto"/>
          <w:sz w:val="24"/>
        </w:rPr>
        <w:t xml:space="preserve"> zwłaszcza, że</w:t>
      </w:r>
      <w:r w:rsidR="00BD5665">
        <w:rPr>
          <w:rFonts w:ascii="Times New Roman" w:hAnsi="Times New Roman" w:cs="Times New Roman"/>
          <w:color w:val="auto"/>
          <w:sz w:val="24"/>
        </w:rPr>
        <w:t> </w:t>
      </w:r>
      <w:r w:rsidRPr="00C835AB">
        <w:rPr>
          <w:rFonts w:ascii="Times New Roman" w:hAnsi="Times New Roman" w:cs="Times New Roman"/>
          <w:color w:val="auto"/>
          <w:sz w:val="24"/>
        </w:rPr>
        <w:t xml:space="preserve">prokurator nie jest organem postępowania wykonawczego, jak na gruncie </w:t>
      </w:r>
      <w:r w:rsidR="000914B6" w:rsidRPr="00C835AB">
        <w:rPr>
          <w:rFonts w:ascii="Times New Roman" w:hAnsi="Times New Roman" w:cs="Times New Roman"/>
          <w:color w:val="auto"/>
          <w:sz w:val="24"/>
        </w:rPr>
        <w:t>Kodeksu karnego wykonawczego</w:t>
      </w:r>
      <w:r w:rsidRPr="00C835AB">
        <w:rPr>
          <w:rFonts w:ascii="Times New Roman" w:hAnsi="Times New Roman" w:cs="Times New Roman"/>
          <w:color w:val="auto"/>
          <w:sz w:val="24"/>
        </w:rPr>
        <w:t xml:space="preserve"> z 1969</w:t>
      </w:r>
      <w:r w:rsidR="4A2DB32B"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r., tylko stroną postępowania przed sądem, podobnie jak skazany.</w:t>
      </w:r>
    </w:p>
    <w:p w14:paraId="32FB1BEB" w14:textId="085ABF3A" w:rsidR="00334F46" w:rsidRPr="00C835AB" w:rsidRDefault="4D609439"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Ze wskazanych powodów proponuje się uchylenie art. 9</w:t>
      </w:r>
      <w:r w:rsidR="000914B6"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w:t>
      </w:r>
      <w:r w:rsidR="000914B6"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5</w:t>
      </w:r>
      <w:r w:rsidR="00796D23">
        <w:rPr>
          <w:rFonts w:ascii="Times New Roman" w:hAnsi="Times New Roman" w:cs="Times New Roman"/>
          <w:color w:val="auto"/>
          <w:sz w:val="24"/>
        </w:rPr>
        <w:t>–</w:t>
      </w:r>
      <w:r w:rsidRPr="00C835AB">
        <w:rPr>
          <w:rFonts w:ascii="Times New Roman" w:hAnsi="Times New Roman" w:cs="Times New Roman"/>
          <w:color w:val="auto"/>
          <w:sz w:val="24"/>
        </w:rPr>
        <w:t>6</w:t>
      </w:r>
      <w:r w:rsidR="000914B6" w:rsidRPr="00C835AB">
        <w:rPr>
          <w:rFonts w:ascii="Times New Roman" w:hAnsi="Times New Roman" w:cs="Times New Roman"/>
          <w:color w:val="auto"/>
          <w:sz w:val="24"/>
        </w:rPr>
        <w:t xml:space="preserve"> </w:t>
      </w:r>
      <w:proofErr w:type="spellStart"/>
      <w:r w:rsidR="00DC6CC1" w:rsidRPr="00C835AB">
        <w:rPr>
          <w:rFonts w:ascii="Times New Roman" w:hAnsi="Times New Roman" w:cs="Times New Roman"/>
          <w:color w:val="auto"/>
          <w:sz w:val="24"/>
        </w:rPr>
        <w:t>k.k.w</w:t>
      </w:r>
      <w:proofErr w:type="spellEnd"/>
      <w:r w:rsidR="00DC6CC1"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Takie posunięcie usprawni postępowanie w przedmiocie wstrzymania wykonania orzeczenia, a nadto przywraca równowagę stron postępowania na tym etapie.</w:t>
      </w:r>
    </w:p>
    <w:p w14:paraId="3B3FA121" w14:textId="77777777" w:rsidR="00621B23" w:rsidRPr="00C835AB" w:rsidRDefault="00621B23" w:rsidP="005F350A">
      <w:pPr>
        <w:rPr>
          <w:rFonts w:ascii="Times New Roman" w:hAnsi="Times New Roman" w:cs="Times New Roman"/>
          <w:color w:val="auto"/>
          <w:sz w:val="24"/>
        </w:rPr>
      </w:pPr>
    </w:p>
    <w:p w14:paraId="32080528" w14:textId="39E7FEF0" w:rsidR="00621B23" w:rsidRPr="00C835AB" w:rsidRDefault="00637B5D"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lastRenderedPageBreak/>
        <w:t>A</w:t>
      </w:r>
      <w:r w:rsidR="3E9074B7" w:rsidRPr="00C835AB">
        <w:rPr>
          <w:rFonts w:ascii="Times New Roman" w:hAnsi="Times New Roman" w:cs="Times New Roman"/>
          <w:b/>
          <w:bCs/>
          <w:color w:val="auto"/>
          <w:sz w:val="24"/>
        </w:rPr>
        <w:t xml:space="preserve">rt. 22 § </w:t>
      </w:r>
      <w:proofErr w:type="spellStart"/>
      <w:r w:rsidR="3E9074B7" w:rsidRPr="00C835AB">
        <w:rPr>
          <w:rFonts w:ascii="Times New Roman" w:hAnsi="Times New Roman" w:cs="Times New Roman"/>
          <w:b/>
          <w:bCs/>
          <w:color w:val="auto"/>
          <w:sz w:val="24"/>
        </w:rPr>
        <w:t>2a</w:t>
      </w:r>
      <w:proofErr w:type="spellEnd"/>
      <w:r w:rsidR="00D43DEE" w:rsidRPr="00C835AB">
        <w:rPr>
          <w:rFonts w:ascii="Times New Roman" w:hAnsi="Times New Roman" w:cs="Times New Roman"/>
          <w:b/>
          <w:bCs/>
          <w:color w:val="auto"/>
          <w:sz w:val="24"/>
        </w:rPr>
        <w:t xml:space="preserve"> </w:t>
      </w:r>
      <w:proofErr w:type="spellStart"/>
      <w:r w:rsidR="00D43DEE" w:rsidRPr="00C835AB">
        <w:rPr>
          <w:rFonts w:ascii="Times New Roman" w:hAnsi="Times New Roman" w:cs="Times New Roman"/>
          <w:b/>
          <w:bCs/>
          <w:color w:val="auto"/>
          <w:sz w:val="24"/>
        </w:rPr>
        <w:t>k.k.w</w:t>
      </w:r>
      <w:proofErr w:type="spellEnd"/>
      <w:r w:rsidR="00D43DEE" w:rsidRPr="00C835AB">
        <w:rPr>
          <w:rFonts w:ascii="Times New Roman" w:hAnsi="Times New Roman" w:cs="Times New Roman"/>
          <w:b/>
          <w:bCs/>
          <w:color w:val="auto"/>
          <w:sz w:val="24"/>
        </w:rPr>
        <w:t xml:space="preserve">. </w:t>
      </w:r>
    </w:p>
    <w:p w14:paraId="6EC4FC84" w14:textId="77777777" w:rsidR="00C13560" w:rsidRPr="00C835AB" w:rsidRDefault="650E5E28" w:rsidP="00D823D0">
      <w:pPr>
        <w:ind w:firstLine="708"/>
        <w:rPr>
          <w:rFonts w:ascii="Times New Roman" w:eastAsia="Times New Roman" w:hAnsi="Times New Roman" w:cs="Times New Roman"/>
          <w:color w:val="auto"/>
          <w:sz w:val="24"/>
        </w:rPr>
      </w:pPr>
      <w:r w:rsidRPr="00C835AB">
        <w:rPr>
          <w:rFonts w:ascii="Times New Roman" w:eastAsia="Times New Roman" w:hAnsi="Times New Roman" w:cs="Times New Roman"/>
          <w:color w:val="auto"/>
          <w:sz w:val="24"/>
        </w:rPr>
        <w:t xml:space="preserve">W art. 22 </w:t>
      </w:r>
      <w:proofErr w:type="spellStart"/>
      <w:r w:rsidR="00D43DEE" w:rsidRPr="00C835AB">
        <w:rPr>
          <w:rFonts w:ascii="Times New Roman" w:eastAsia="Times New Roman" w:hAnsi="Times New Roman" w:cs="Times New Roman"/>
          <w:color w:val="auto"/>
          <w:sz w:val="24"/>
        </w:rPr>
        <w:t>k.k.w</w:t>
      </w:r>
      <w:proofErr w:type="spellEnd"/>
      <w:r w:rsidR="00D43DEE" w:rsidRPr="00C835AB">
        <w:rPr>
          <w:rFonts w:ascii="Times New Roman" w:eastAsia="Times New Roman" w:hAnsi="Times New Roman" w:cs="Times New Roman"/>
          <w:color w:val="auto"/>
          <w:sz w:val="24"/>
        </w:rPr>
        <w:t xml:space="preserve">. </w:t>
      </w:r>
      <w:r w:rsidR="002E7486" w:rsidRPr="00C835AB">
        <w:rPr>
          <w:rFonts w:ascii="Times New Roman" w:eastAsia="Times New Roman" w:hAnsi="Times New Roman" w:cs="Times New Roman"/>
          <w:color w:val="auto"/>
          <w:sz w:val="24"/>
        </w:rPr>
        <w:t>projektuje się uchylenie</w:t>
      </w:r>
      <w:r w:rsidRPr="00C835AB">
        <w:rPr>
          <w:rFonts w:ascii="Times New Roman" w:eastAsia="Times New Roman" w:hAnsi="Times New Roman" w:cs="Times New Roman"/>
          <w:color w:val="auto"/>
          <w:sz w:val="24"/>
        </w:rPr>
        <w:t xml:space="preserve"> § 2a</w:t>
      </w:r>
      <w:r w:rsidR="10D2B9DC" w:rsidRPr="00C835AB">
        <w:rPr>
          <w:rFonts w:ascii="Times New Roman" w:eastAsia="Times New Roman" w:hAnsi="Times New Roman" w:cs="Times New Roman"/>
          <w:color w:val="auto"/>
          <w:sz w:val="24"/>
        </w:rPr>
        <w:t>, który przewid</w:t>
      </w:r>
      <w:r w:rsidR="00F80A72" w:rsidRPr="00C835AB">
        <w:rPr>
          <w:rFonts w:ascii="Times New Roman" w:eastAsia="Times New Roman" w:hAnsi="Times New Roman" w:cs="Times New Roman"/>
          <w:color w:val="auto"/>
          <w:sz w:val="24"/>
        </w:rPr>
        <w:t>uje</w:t>
      </w:r>
      <w:r w:rsidR="10D2B9DC" w:rsidRPr="00C835AB">
        <w:rPr>
          <w:rFonts w:ascii="Times New Roman" w:eastAsia="Times New Roman" w:hAnsi="Times New Roman" w:cs="Times New Roman"/>
          <w:color w:val="auto"/>
          <w:sz w:val="24"/>
        </w:rPr>
        <w:t>, że udział prokuratora w posiedzeniu jest obowiązkowy, jeżeli ustawa tak stanowi.</w:t>
      </w:r>
      <w:r w:rsidR="00C13560" w:rsidRPr="00C835AB">
        <w:rPr>
          <w:rFonts w:ascii="Times New Roman" w:eastAsia="Times New Roman" w:hAnsi="Times New Roman" w:cs="Times New Roman"/>
          <w:color w:val="auto"/>
          <w:sz w:val="24"/>
        </w:rPr>
        <w:t xml:space="preserve"> </w:t>
      </w:r>
    </w:p>
    <w:p w14:paraId="0A1B7E05" w14:textId="42B732E7" w:rsidR="00C13560" w:rsidRPr="00C835AB" w:rsidRDefault="00C13560" w:rsidP="00D823D0">
      <w:pPr>
        <w:ind w:firstLine="708"/>
        <w:rPr>
          <w:rFonts w:ascii="Times New Roman" w:eastAsia="Times New Roman" w:hAnsi="Times New Roman" w:cs="Times New Roman"/>
          <w:color w:val="auto"/>
          <w:sz w:val="24"/>
        </w:rPr>
      </w:pPr>
      <w:r w:rsidRPr="00C835AB">
        <w:rPr>
          <w:rFonts w:ascii="Times New Roman" w:eastAsia="Times New Roman" w:hAnsi="Times New Roman" w:cs="Times New Roman"/>
          <w:color w:val="auto"/>
          <w:sz w:val="24"/>
        </w:rPr>
        <w:t xml:space="preserve">Przepis ten stanowi oczywiste </w:t>
      </w:r>
      <w:proofErr w:type="spellStart"/>
      <w:r w:rsidRPr="00C835AB">
        <w:rPr>
          <w:rFonts w:ascii="Times New Roman" w:eastAsia="Times New Roman" w:hAnsi="Times New Roman" w:cs="Times New Roman"/>
          <w:color w:val="auto"/>
          <w:sz w:val="24"/>
        </w:rPr>
        <w:t>superfluum</w:t>
      </w:r>
      <w:proofErr w:type="spellEnd"/>
      <w:r w:rsidRPr="00C835AB">
        <w:rPr>
          <w:rFonts w:ascii="Times New Roman" w:eastAsia="Times New Roman" w:hAnsi="Times New Roman" w:cs="Times New Roman"/>
          <w:color w:val="auto"/>
          <w:sz w:val="24"/>
        </w:rPr>
        <w:t xml:space="preserve"> ustawodawcze, wszak udział prokuratora i</w:t>
      </w:r>
      <w:r w:rsidR="001A3D13" w:rsidRPr="00C835AB">
        <w:rPr>
          <w:rFonts w:ascii="Times New Roman" w:eastAsia="Times New Roman" w:hAnsi="Times New Roman" w:cs="Times New Roman"/>
          <w:color w:val="auto"/>
          <w:sz w:val="24"/>
        </w:rPr>
        <w:t> </w:t>
      </w:r>
      <w:r w:rsidRPr="00C835AB">
        <w:rPr>
          <w:rFonts w:ascii="Times New Roman" w:eastAsia="Times New Roman" w:hAnsi="Times New Roman" w:cs="Times New Roman"/>
          <w:color w:val="auto"/>
          <w:sz w:val="24"/>
        </w:rPr>
        <w:t>tak będzie obowiązkowy, jeśli obligować go będzie do tego norma szczególna.</w:t>
      </w:r>
    </w:p>
    <w:p w14:paraId="30108078" w14:textId="77777777" w:rsidR="00BA2009" w:rsidRPr="00C835AB" w:rsidRDefault="00BA2009" w:rsidP="00D823D0">
      <w:pPr>
        <w:rPr>
          <w:rFonts w:ascii="Times New Roman" w:hAnsi="Times New Roman" w:cs="Times New Roman"/>
          <w:color w:val="auto"/>
          <w:sz w:val="24"/>
        </w:rPr>
      </w:pPr>
    </w:p>
    <w:p w14:paraId="56A3A544" w14:textId="77777777" w:rsidR="00ED78A6" w:rsidRPr="00C835AB" w:rsidRDefault="00ED78A6"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 xml:space="preserve">Art. </w:t>
      </w:r>
      <w:proofErr w:type="spellStart"/>
      <w:r w:rsidRPr="00C835AB">
        <w:rPr>
          <w:rFonts w:ascii="Times New Roman" w:hAnsi="Times New Roman" w:cs="Times New Roman"/>
          <w:b/>
          <w:bCs/>
          <w:color w:val="auto"/>
          <w:sz w:val="24"/>
        </w:rPr>
        <w:t>43le</w:t>
      </w:r>
      <w:proofErr w:type="spellEnd"/>
      <w:r w:rsidRPr="00C835AB">
        <w:rPr>
          <w:rFonts w:ascii="Times New Roman" w:hAnsi="Times New Roman" w:cs="Times New Roman"/>
          <w:b/>
          <w:bCs/>
          <w:color w:val="auto"/>
          <w:sz w:val="24"/>
        </w:rPr>
        <w:t xml:space="preserve"> § 3 </w:t>
      </w:r>
      <w:proofErr w:type="spellStart"/>
      <w:r w:rsidRPr="00C835AB">
        <w:rPr>
          <w:rFonts w:ascii="Times New Roman" w:hAnsi="Times New Roman" w:cs="Times New Roman"/>
          <w:b/>
          <w:bCs/>
          <w:color w:val="auto"/>
          <w:sz w:val="24"/>
        </w:rPr>
        <w:t>k.k.w</w:t>
      </w:r>
      <w:proofErr w:type="spellEnd"/>
      <w:r w:rsidRPr="00C835AB">
        <w:rPr>
          <w:rFonts w:ascii="Times New Roman" w:hAnsi="Times New Roman" w:cs="Times New Roman"/>
          <w:b/>
          <w:bCs/>
          <w:color w:val="auto"/>
          <w:sz w:val="24"/>
        </w:rPr>
        <w:t>.</w:t>
      </w:r>
    </w:p>
    <w:p w14:paraId="5F07F399" w14:textId="77777777" w:rsidR="00ED78A6" w:rsidRPr="00C835AB" w:rsidRDefault="00ED78A6"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Projektowana zmiana art. </w:t>
      </w:r>
      <w:proofErr w:type="spellStart"/>
      <w:r w:rsidRPr="00C835AB">
        <w:rPr>
          <w:rFonts w:ascii="Times New Roman" w:hAnsi="Times New Roman" w:cs="Times New Roman"/>
          <w:color w:val="auto"/>
          <w:sz w:val="24"/>
        </w:rPr>
        <w:t>43le</w:t>
      </w:r>
      <w:proofErr w:type="spellEnd"/>
      <w:r w:rsidRPr="00C835AB">
        <w:rPr>
          <w:rFonts w:ascii="Times New Roman" w:hAnsi="Times New Roman" w:cs="Times New Roman"/>
          <w:color w:val="auto"/>
          <w:sz w:val="24"/>
        </w:rPr>
        <w:t xml:space="preserve"> § 3 </w:t>
      </w:r>
      <w:proofErr w:type="spellStart"/>
      <w:r w:rsidRPr="00C835AB">
        <w:rPr>
          <w:rFonts w:ascii="Times New Roman" w:hAnsi="Times New Roman" w:cs="Times New Roman"/>
          <w:color w:val="auto"/>
          <w:sz w:val="24"/>
        </w:rPr>
        <w:t>k.k.w</w:t>
      </w:r>
      <w:proofErr w:type="spellEnd"/>
      <w:r w:rsidRPr="00C835AB">
        <w:rPr>
          <w:rFonts w:ascii="Times New Roman" w:hAnsi="Times New Roman" w:cs="Times New Roman"/>
          <w:color w:val="auto"/>
          <w:sz w:val="24"/>
        </w:rPr>
        <w:t xml:space="preserve">. sprowadza się do przekształcenia obowiązkowego udziału prokuratora w posiedzeniu w udział fakultatywny. Jest ona konsekwencją projektowanej nowelizacji art. 22 § </w:t>
      </w:r>
      <w:proofErr w:type="spellStart"/>
      <w:r w:rsidRPr="00C835AB">
        <w:rPr>
          <w:rFonts w:ascii="Times New Roman" w:hAnsi="Times New Roman" w:cs="Times New Roman"/>
          <w:color w:val="auto"/>
          <w:sz w:val="24"/>
        </w:rPr>
        <w:t>2a</w:t>
      </w:r>
      <w:proofErr w:type="spellEnd"/>
      <w:r w:rsidRPr="00C835AB">
        <w:rPr>
          <w:rFonts w:ascii="Times New Roman" w:hAnsi="Times New Roman" w:cs="Times New Roman"/>
          <w:color w:val="auto"/>
          <w:sz w:val="24"/>
        </w:rPr>
        <w:t xml:space="preserve"> </w:t>
      </w:r>
      <w:proofErr w:type="spellStart"/>
      <w:r w:rsidRPr="00C835AB">
        <w:rPr>
          <w:rFonts w:ascii="Times New Roman" w:hAnsi="Times New Roman" w:cs="Times New Roman"/>
          <w:color w:val="auto"/>
          <w:sz w:val="24"/>
        </w:rPr>
        <w:t>k.k.w</w:t>
      </w:r>
      <w:proofErr w:type="spellEnd"/>
      <w:r w:rsidRPr="00C835AB">
        <w:rPr>
          <w:rFonts w:ascii="Times New Roman" w:hAnsi="Times New Roman" w:cs="Times New Roman"/>
          <w:color w:val="auto"/>
          <w:sz w:val="24"/>
        </w:rPr>
        <w:t>.</w:t>
      </w:r>
    </w:p>
    <w:p w14:paraId="4D7941F8" w14:textId="77777777" w:rsidR="00ED78A6" w:rsidRPr="00C835AB" w:rsidRDefault="00ED78A6" w:rsidP="00D823D0">
      <w:pPr>
        <w:rPr>
          <w:rFonts w:ascii="Times New Roman" w:hAnsi="Times New Roman" w:cs="Times New Roman"/>
          <w:color w:val="auto"/>
          <w:sz w:val="24"/>
        </w:rPr>
      </w:pPr>
    </w:p>
    <w:p w14:paraId="59B4CE9A" w14:textId="1587F1A7" w:rsidR="00621B23" w:rsidRPr="00C835AB" w:rsidRDefault="00621B23"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 xml:space="preserve">Art. </w:t>
      </w:r>
      <w:proofErr w:type="spellStart"/>
      <w:r w:rsidRPr="00C835AB">
        <w:rPr>
          <w:rFonts w:ascii="Times New Roman" w:hAnsi="Times New Roman" w:cs="Times New Roman"/>
          <w:b/>
          <w:bCs/>
          <w:color w:val="auto"/>
          <w:sz w:val="24"/>
        </w:rPr>
        <w:t>43lj</w:t>
      </w:r>
      <w:proofErr w:type="spellEnd"/>
      <w:r w:rsidR="00637B5D" w:rsidRPr="00C835AB">
        <w:rPr>
          <w:rFonts w:ascii="Times New Roman" w:hAnsi="Times New Roman" w:cs="Times New Roman"/>
          <w:b/>
          <w:bCs/>
          <w:color w:val="auto"/>
          <w:sz w:val="24"/>
        </w:rPr>
        <w:t xml:space="preserve"> </w:t>
      </w:r>
      <w:r w:rsidRPr="00C835AB">
        <w:rPr>
          <w:rFonts w:ascii="Times New Roman" w:hAnsi="Times New Roman" w:cs="Times New Roman"/>
          <w:b/>
          <w:bCs/>
          <w:color w:val="auto"/>
          <w:sz w:val="24"/>
        </w:rPr>
        <w:t>§</w:t>
      </w:r>
      <w:r w:rsidR="00637B5D" w:rsidRPr="00C835AB">
        <w:rPr>
          <w:rFonts w:ascii="Times New Roman" w:hAnsi="Times New Roman" w:cs="Times New Roman"/>
          <w:b/>
          <w:bCs/>
          <w:color w:val="auto"/>
          <w:sz w:val="24"/>
        </w:rPr>
        <w:t xml:space="preserve"> </w:t>
      </w:r>
      <w:proofErr w:type="spellStart"/>
      <w:r w:rsidRPr="00C835AB">
        <w:rPr>
          <w:rFonts w:ascii="Times New Roman" w:hAnsi="Times New Roman" w:cs="Times New Roman"/>
          <w:b/>
          <w:bCs/>
          <w:color w:val="auto"/>
          <w:sz w:val="24"/>
        </w:rPr>
        <w:t>1a</w:t>
      </w:r>
      <w:proofErr w:type="spellEnd"/>
      <w:r w:rsidRPr="00C835AB">
        <w:rPr>
          <w:rFonts w:ascii="Times New Roman" w:hAnsi="Times New Roman" w:cs="Times New Roman"/>
          <w:b/>
          <w:bCs/>
          <w:color w:val="auto"/>
          <w:sz w:val="24"/>
        </w:rPr>
        <w:t xml:space="preserve"> </w:t>
      </w:r>
      <w:proofErr w:type="spellStart"/>
      <w:r w:rsidR="00D43DEE" w:rsidRPr="00C835AB">
        <w:rPr>
          <w:rFonts w:ascii="Times New Roman" w:hAnsi="Times New Roman" w:cs="Times New Roman"/>
          <w:b/>
          <w:bCs/>
          <w:color w:val="auto"/>
          <w:sz w:val="24"/>
        </w:rPr>
        <w:t>k.k.w</w:t>
      </w:r>
      <w:proofErr w:type="spellEnd"/>
      <w:r w:rsidR="00D43DEE" w:rsidRPr="00C835AB">
        <w:rPr>
          <w:rFonts w:ascii="Times New Roman" w:hAnsi="Times New Roman" w:cs="Times New Roman"/>
          <w:b/>
          <w:bCs/>
          <w:color w:val="auto"/>
          <w:sz w:val="24"/>
        </w:rPr>
        <w:t xml:space="preserve">. </w:t>
      </w:r>
      <w:r w:rsidRPr="00C835AB">
        <w:rPr>
          <w:rFonts w:ascii="Times New Roman" w:hAnsi="Times New Roman" w:cs="Times New Roman"/>
          <w:b/>
          <w:bCs/>
          <w:color w:val="auto"/>
          <w:sz w:val="24"/>
        </w:rPr>
        <w:t xml:space="preserve">oraz art. </w:t>
      </w:r>
      <w:proofErr w:type="spellStart"/>
      <w:r w:rsidRPr="00C835AB">
        <w:rPr>
          <w:rFonts w:ascii="Times New Roman" w:hAnsi="Times New Roman" w:cs="Times New Roman"/>
          <w:b/>
          <w:bCs/>
          <w:color w:val="auto"/>
          <w:sz w:val="24"/>
        </w:rPr>
        <w:t>43llb</w:t>
      </w:r>
      <w:proofErr w:type="spellEnd"/>
      <w:r w:rsidRPr="00C835AB">
        <w:rPr>
          <w:rFonts w:ascii="Times New Roman" w:hAnsi="Times New Roman" w:cs="Times New Roman"/>
          <w:b/>
          <w:bCs/>
          <w:color w:val="auto"/>
          <w:sz w:val="24"/>
        </w:rPr>
        <w:t xml:space="preserve"> § 3</w:t>
      </w:r>
      <w:r w:rsidR="00D43DEE" w:rsidRPr="00C835AB">
        <w:rPr>
          <w:rFonts w:ascii="Times New Roman" w:hAnsi="Times New Roman" w:cs="Times New Roman"/>
          <w:b/>
          <w:bCs/>
          <w:color w:val="auto"/>
          <w:sz w:val="24"/>
        </w:rPr>
        <w:t xml:space="preserve"> </w:t>
      </w:r>
      <w:proofErr w:type="spellStart"/>
      <w:r w:rsidR="00D43DEE" w:rsidRPr="00C835AB">
        <w:rPr>
          <w:rFonts w:ascii="Times New Roman" w:hAnsi="Times New Roman" w:cs="Times New Roman"/>
          <w:b/>
          <w:bCs/>
          <w:color w:val="auto"/>
          <w:sz w:val="24"/>
        </w:rPr>
        <w:t>k.k.w</w:t>
      </w:r>
      <w:proofErr w:type="spellEnd"/>
      <w:r w:rsidR="00D43DEE" w:rsidRPr="00C835AB">
        <w:rPr>
          <w:rFonts w:ascii="Times New Roman" w:hAnsi="Times New Roman" w:cs="Times New Roman"/>
          <w:b/>
          <w:bCs/>
          <w:color w:val="auto"/>
          <w:sz w:val="24"/>
        </w:rPr>
        <w:t>.</w:t>
      </w:r>
    </w:p>
    <w:p w14:paraId="0866DA0B" w14:textId="143C79C4" w:rsidR="00621B23" w:rsidRPr="00C835AB" w:rsidRDefault="00D43DEE"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P</w:t>
      </w:r>
      <w:r w:rsidR="00621B23" w:rsidRPr="00C835AB">
        <w:rPr>
          <w:rFonts w:ascii="Times New Roman" w:hAnsi="Times New Roman" w:cs="Times New Roman"/>
          <w:color w:val="auto"/>
          <w:sz w:val="24"/>
        </w:rPr>
        <w:t xml:space="preserve">rzepisy </w:t>
      </w:r>
      <w:r w:rsidRPr="00C835AB">
        <w:rPr>
          <w:rFonts w:ascii="Times New Roman" w:hAnsi="Times New Roman" w:cs="Times New Roman"/>
          <w:color w:val="auto"/>
          <w:sz w:val="24"/>
        </w:rPr>
        <w:t xml:space="preserve">art. </w:t>
      </w:r>
      <w:proofErr w:type="spellStart"/>
      <w:r w:rsidRPr="00C835AB">
        <w:rPr>
          <w:rFonts w:ascii="Times New Roman" w:hAnsi="Times New Roman" w:cs="Times New Roman"/>
          <w:color w:val="auto"/>
          <w:sz w:val="24"/>
        </w:rPr>
        <w:t>43lj</w:t>
      </w:r>
      <w:proofErr w:type="spellEnd"/>
      <w:r w:rsidRPr="00C835AB">
        <w:rPr>
          <w:rFonts w:ascii="Times New Roman" w:hAnsi="Times New Roman" w:cs="Times New Roman"/>
          <w:color w:val="auto"/>
          <w:sz w:val="24"/>
        </w:rPr>
        <w:t xml:space="preserve"> § </w:t>
      </w:r>
      <w:proofErr w:type="spellStart"/>
      <w:r w:rsidRPr="00C835AB">
        <w:rPr>
          <w:rFonts w:ascii="Times New Roman" w:hAnsi="Times New Roman" w:cs="Times New Roman"/>
          <w:color w:val="auto"/>
          <w:sz w:val="24"/>
        </w:rPr>
        <w:t>1a</w:t>
      </w:r>
      <w:proofErr w:type="spellEnd"/>
      <w:r w:rsidRPr="00C835AB">
        <w:rPr>
          <w:rFonts w:ascii="Times New Roman" w:hAnsi="Times New Roman" w:cs="Times New Roman"/>
          <w:color w:val="auto"/>
          <w:sz w:val="24"/>
        </w:rPr>
        <w:t xml:space="preserve"> </w:t>
      </w:r>
      <w:proofErr w:type="spellStart"/>
      <w:r w:rsidRPr="00C835AB">
        <w:rPr>
          <w:rFonts w:ascii="Times New Roman" w:hAnsi="Times New Roman" w:cs="Times New Roman"/>
          <w:color w:val="auto"/>
          <w:sz w:val="24"/>
        </w:rPr>
        <w:t>k.k.w</w:t>
      </w:r>
      <w:proofErr w:type="spellEnd"/>
      <w:r w:rsidRPr="00C835AB">
        <w:rPr>
          <w:rFonts w:ascii="Times New Roman" w:hAnsi="Times New Roman" w:cs="Times New Roman"/>
          <w:color w:val="auto"/>
          <w:sz w:val="24"/>
        </w:rPr>
        <w:t xml:space="preserve">. oraz art. </w:t>
      </w:r>
      <w:proofErr w:type="spellStart"/>
      <w:r w:rsidRPr="00C835AB">
        <w:rPr>
          <w:rFonts w:ascii="Times New Roman" w:hAnsi="Times New Roman" w:cs="Times New Roman"/>
          <w:color w:val="auto"/>
          <w:sz w:val="24"/>
        </w:rPr>
        <w:t>43llb</w:t>
      </w:r>
      <w:proofErr w:type="spellEnd"/>
      <w:r w:rsidRPr="00C835AB">
        <w:rPr>
          <w:rFonts w:ascii="Times New Roman" w:hAnsi="Times New Roman" w:cs="Times New Roman"/>
          <w:color w:val="auto"/>
          <w:sz w:val="24"/>
        </w:rPr>
        <w:t xml:space="preserve"> § 3 </w:t>
      </w:r>
      <w:proofErr w:type="spellStart"/>
      <w:r w:rsidRPr="00C835AB">
        <w:rPr>
          <w:rFonts w:ascii="Times New Roman" w:hAnsi="Times New Roman" w:cs="Times New Roman"/>
          <w:color w:val="auto"/>
          <w:sz w:val="24"/>
        </w:rPr>
        <w:t>k.k.w</w:t>
      </w:r>
      <w:proofErr w:type="spellEnd"/>
      <w:r w:rsidRPr="00C835AB">
        <w:rPr>
          <w:rFonts w:ascii="Times New Roman" w:hAnsi="Times New Roman" w:cs="Times New Roman"/>
          <w:color w:val="auto"/>
          <w:sz w:val="24"/>
        </w:rPr>
        <w:t xml:space="preserve"> </w:t>
      </w:r>
      <w:r w:rsidR="00621B23" w:rsidRPr="00C835AB">
        <w:rPr>
          <w:rFonts w:ascii="Times New Roman" w:hAnsi="Times New Roman" w:cs="Times New Roman"/>
          <w:color w:val="auto"/>
          <w:sz w:val="24"/>
        </w:rPr>
        <w:t xml:space="preserve">przewidują możliwość złożenia sprzeciwu przez prokuratora w przypadku zezwolenia na odbywanie przez skazanego kary pozbawienia wolności w systemie dozoru elektronicznego, który powoduje, że odpowiednio postanowienie sądu penitencjarnego oraz decyzja komisji penitencjarnej stają się wykonalne dopiero po uprawomocnieniu. </w:t>
      </w:r>
    </w:p>
    <w:p w14:paraId="7F0993A7" w14:textId="69F953D8" w:rsidR="002566C8" w:rsidRDefault="0048529F"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W</w:t>
      </w:r>
      <w:r w:rsidR="00621B23" w:rsidRPr="00C835AB">
        <w:rPr>
          <w:rFonts w:ascii="Times New Roman" w:hAnsi="Times New Roman" w:cs="Times New Roman"/>
          <w:color w:val="auto"/>
          <w:sz w:val="24"/>
        </w:rPr>
        <w:t xml:space="preserve"> zakresie </w:t>
      </w:r>
      <w:r w:rsidR="00983FC5" w:rsidRPr="00C835AB">
        <w:rPr>
          <w:rFonts w:ascii="Times New Roman" w:hAnsi="Times New Roman" w:cs="Times New Roman"/>
          <w:color w:val="auto"/>
          <w:sz w:val="24"/>
        </w:rPr>
        <w:t xml:space="preserve">projektowanych zmian </w:t>
      </w:r>
      <w:r w:rsidRPr="00C835AB">
        <w:rPr>
          <w:rFonts w:ascii="Times New Roman" w:hAnsi="Times New Roman" w:cs="Times New Roman"/>
          <w:color w:val="auto"/>
          <w:sz w:val="24"/>
        </w:rPr>
        <w:t>aktualne pozostają</w:t>
      </w:r>
      <w:r w:rsidR="00621B23" w:rsidRPr="00C835AB">
        <w:rPr>
          <w:rFonts w:ascii="Times New Roman" w:hAnsi="Times New Roman" w:cs="Times New Roman"/>
          <w:color w:val="auto"/>
          <w:sz w:val="24"/>
        </w:rPr>
        <w:t xml:space="preserve"> argument</w:t>
      </w:r>
      <w:r w:rsidRPr="00C835AB">
        <w:rPr>
          <w:rFonts w:ascii="Times New Roman" w:hAnsi="Times New Roman" w:cs="Times New Roman"/>
          <w:color w:val="auto"/>
          <w:sz w:val="24"/>
        </w:rPr>
        <w:t>y</w:t>
      </w:r>
      <w:r w:rsidR="00621B23" w:rsidRPr="00C835AB">
        <w:rPr>
          <w:rFonts w:ascii="Times New Roman" w:hAnsi="Times New Roman" w:cs="Times New Roman"/>
          <w:color w:val="auto"/>
          <w:sz w:val="24"/>
        </w:rPr>
        <w:t xml:space="preserve"> przywołan</w:t>
      </w:r>
      <w:r w:rsidRPr="00C835AB">
        <w:rPr>
          <w:rFonts w:ascii="Times New Roman" w:hAnsi="Times New Roman" w:cs="Times New Roman"/>
          <w:color w:val="auto"/>
          <w:sz w:val="24"/>
        </w:rPr>
        <w:t>e</w:t>
      </w:r>
      <w:r w:rsidR="00621B23" w:rsidRPr="00C835AB">
        <w:rPr>
          <w:rFonts w:ascii="Times New Roman" w:hAnsi="Times New Roman" w:cs="Times New Roman"/>
          <w:color w:val="auto"/>
          <w:sz w:val="24"/>
        </w:rPr>
        <w:t xml:space="preserve"> przy</w:t>
      </w:r>
      <w:r w:rsidR="00BD5665">
        <w:rPr>
          <w:rFonts w:ascii="Times New Roman" w:hAnsi="Times New Roman" w:cs="Times New Roman"/>
          <w:color w:val="auto"/>
          <w:sz w:val="24"/>
        </w:rPr>
        <w:t> </w:t>
      </w:r>
      <w:r w:rsidR="00621B23" w:rsidRPr="00C835AB">
        <w:rPr>
          <w:rFonts w:ascii="Times New Roman" w:hAnsi="Times New Roman" w:cs="Times New Roman"/>
          <w:color w:val="auto"/>
          <w:sz w:val="24"/>
        </w:rPr>
        <w:t>uzasadnieniu zmiany art. 9</w:t>
      </w:r>
      <w:r w:rsidR="00637B5D" w:rsidRPr="00C835AB">
        <w:rPr>
          <w:rFonts w:ascii="Times New Roman" w:hAnsi="Times New Roman" w:cs="Times New Roman"/>
          <w:color w:val="auto"/>
          <w:sz w:val="24"/>
        </w:rPr>
        <w:t xml:space="preserve"> </w:t>
      </w:r>
      <w:r w:rsidR="00621B23" w:rsidRPr="00C835AB">
        <w:rPr>
          <w:rFonts w:ascii="Times New Roman" w:hAnsi="Times New Roman" w:cs="Times New Roman"/>
          <w:color w:val="auto"/>
          <w:sz w:val="24"/>
        </w:rPr>
        <w:t>§</w:t>
      </w:r>
      <w:r w:rsidR="00637B5D" w:rsidRPr="00C835AB">
        <w:rPr>
          <w:rFonts w:ascii="Times New Roman" w:hAnsi="Times New Roman" w:cs="Times New Roman"/>
          <w:color w:val="auto"/>
          <w:sz w:val="24"/>
        </w:rPr>
        <w:t xml:space="preserve"> </w:t>
      </w:r>
      <w:r w:rsidR="00621B23" w:rsidRPr="00C835AB">
        <w:rPr>
          <w:rFonts w:ascii="Times New Roman" w:hAnsi="Times New Roman" w:cs="Times New Roman"/>
          <w:color w:val="auto"/>
          <w:sz w:val="24"/>
        </w:rPr>
        <w:t>6</w:t>
      </w:r>
      <w:r w:rsidR="00637B5D" w:rsidRPr="00C835AB">
        <w:rPr>
          <w:rFonts w:ascii="Times New Roman" w:hAnsi="Times New Roman" w:cs="Times New Roman"/>
          <w:color w:val="auto"/>
          <w:sz w:val="24"/>
        </w:rPr>
        <w:t xml:space="preserve"> </w:t>
      </w:r>
      <w:proofErr w:type="spellStart"/>
      <w:r w:rsidR="00DC6CC1" w:rsidRPr="00C835AB">
        <w:rPr>
          <w:rFonts w:ascii="Times New Roman" w:hAnsi="Times New Roman" w:cs="Times New Roman"/>
          <w:color w:val="auto"/>
          <w:sz w:val="24"/>
        </w:rPr>
        <w:t>k.k.</w:t>
      </w:r>
      <w:r w:rsidR="002566C8" w:rsidRPr="00C835AB">
        <w:rPr>
          <w:rFonts w:ascii="Times New Roman" w:hAnsi="Times New Roman" w:cs="Times New Roman"/>
          <w:color w:val="auto"/>
          <w:sz w:val="24"/>
        </w:rPr>
        <w:t>w</w:t>
      </w:r>
      <w:proofErr w:type="spellEnd"/>
      <w:r w:rsidR="002566C8" w:rsidRPr="00C835AB">
        <w:rPr>
          <w:rFonts w:ascii="Times New Roman" w:hAnsi="Times New Roman" w:cs="Times New Roman"/>
          <w:color w:val="auto"/>
          <w:sz w:val="24"/>
        </w:rPr>
        <w:t>.</w:t>
      </w:r>
    </w:p>
    <w:p w14:paraId="74F02EA8" w14:textId="77777777" w:rsidR="00BA2009" w:rsidRPr="00C835AB" w:rsidRDefault="00BA2009" w:rsidP="00603A64">
      <w:pPr>
        <w:rPr>
          <w:rFonts w:ascii="Times New Roman" w:hAnsi="Times New Roman" w:cs="Times New Roman"/>
          <w:b/>
          <w:bCs/>
          <w:color w:val="auto"/>
          <w:sz w:val="24"/>
        </w:rPr>
      </w:pPr>
    </w:p>
    <w:p w14:paraId="06E313E6" w14:textId="6C4FF656" w:rsidR="00621B23" w:rsidRPr="00C835AB" w:rsidRDefault="00637B5D"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A</w:t>
      </w:r>
      <w:r w:rsidR="7DF6EC42" w:rsidRPr="00C835AB">
        <w:rPr>
          <w:rFonts w:ascii="Times New Roman" w:hAnsi="Times New Roman" w:cs="Times New Roman"/>
          <w:b/>
          <w:bCs/>
          <w:color w:val="auto"/>
          <w:sz w:val="24"/>
        </w:rPr>
        <w:t>rt. 160 § 6</w:t>
      </w:r>
      <w:r w:rsidR="0042420D" w:rsidRPr="00C835AB">
        <w:rPr>
          <w:rFonts w:ascii="Times New Roman" w:hAnsi="Times New Roman" w:cs="Times New Roman"/>
          <w:b/>
          <w:bCs/>
          <w:color w:val="auto"/>
          <w:sz w:val="24"/>
        </w:rPr>
        <w:t xml:space="preserve"> </w:t>
      </w:r>
      <w:proofErr w:type="spellStart"/>
      <w:r w:rsidR="0042420D" w:rsidRPr="00C835AB">
        <w:rPr>
          <w:rFonts w:ascii="Times New Roman" w:hAnsi="Times New Roman" w:cs="Times New Roman"/>
          <w:b/>
          <w:bCs/>
          <w:color w:val="auto"/>
          <w:sz w:val="24"/>
        </w:rPr>
        <w:t>k.k.w</w:t>
      </w:r>
      <w:proofErr w:type="spellEnd"/>
      <w:r w:rsidR="0042420D" w:rsidRPr="00C835AB">
        <w:rPr>
          <w:rFonts w:ascii="Times New Roman" w:hAnsi="Times New Roman" w:cs="Times New Roman"/>
          <w:b/>
          <w:bCs/>
          <w:color w:val="auto"/>
          <w:sz w:val="24"/>
        </w:rPr>
        <w:t xml:space="preserve">. </w:t>
      </w:r>
    </w:p>
    <w:p w14:paraId="7F0A1084" w14:textId="631E7393" w:rsidR="7EED0984" w:rsidRPr="00C835AB" w:rsidRDefault="00983FC5" w:rsidP="00603A64">
      <w:pPr>
        <w:pStyle w:val="NormalnyWeb"/>
        <w:spacing w:before="0" w:beforeAutospacing="0" w:after="0" w:afterAutospacing="0" w:line="360" w:lineRule="auto"/>
        <w:ind w:firstLine="708"/>
        <w:jc w:val="both"/>
      </w:pPr>
      <w:r w:rsidRPr="00C835AB">
        <w:t>Projektowana n</w:t>
      </w:r>
      <w:r w:rsidR="57CD3A43" w:rsidRPr="00C835AB">
        <w:t xml:space="preserve">owelizacja art. 160 </w:t>
      </w:r>
      <w:r w:rsidR="00637B5D" w:rsidRPr="00C835AB">
        <w:t>§</w:t>
      </w:r>
      <w:r w:rsidR="57CD3A43" w:rsidRPr="00C835AB">
        <w:t xml:space="preserve"> 6</w:t>
      </w:r>
      <w:r w:rsidR="00637B5D" w:rsidRPr="00C835AB">
        <w:t xml:space="preserve"> </w:t>
      </w:r>
      <w:proofErr w:type="spellStart"/>
      <w:r w:rsidR="00DC6CC1" w:rsidRPr="00C835AB">
        <w:t>k.k.w</w:t>
      </w:r>
      <w:proofErr w:type="spellEnd"/>
      <w:r w:rsidR="00DC6CC1" w:rsidRPr="00C835AB">
        <w:t>.</w:t>
      </w:r>
      <w:r w:rsidR="57CD3A43" w:rsidRPr="00C835AB">
        <w:t xml:space="preserve"> stanowi konsekwencję zmiany art. 22 </w:t>
      </w:r>
      <w:r w:rsidR="00637B5D" w:rsidRPr="00C835AB">
        <w:t>§</w:t>
      </w:r>
      <w:r w:rsidR="57CD3A43" w:rsidRPr="00C835AB">
        <w:t xml:space="preserve"> </w:t>
      </w:r>
      <w:proofErr w:type="spellStart"/>
      <w:r w:rsidR="57CD3A43" w:rsidRPr="00C835AB">
        <w:t>2a</w:t>
      </w:r>
      <w:proofErr w:type="spellEnd"/>
      <w:r w:rsidR="57CD3A43" w:rsidRPr="00C835AB">
        <w:t xml:space="preserve"> </w:t>
      </w:r>
      <w:proofErr w:type="spellStart"/>
      <w:r w:rsidR="00DC6CC1" w:rsidRPr="00C835AB">
        <w:t>k.k.w</w:t>
      </w:r>
      <w:proofErr w:type="spellEnd"/>
      <w:r w:rsidR="00DC6CC1" w:rsidRPr="00C835AB">
        <w:t>.</w:t>
      </w:r>
      <w:r w:rsidR="20BC9CF0" w:rsidRPr="00C835AB">
        <w:t>,</w:t>
      </w:r>
      <w:r w:rsidR="57CD3A43" w:rsidRPr="00C835AB">
        <w:t xml:space="preserve"> elim</w:t>
      </w:r>
      <w:r w:rsidR="201A1D3C" w:rsidRPr="00C835AB">
        <w:t>in</w:t>
      </w:r>
      <w:r w:rsidR="57CD3A43" w:rsidRPr="00C835AB">
        <w:t>ując obowiązkowy udział prokuratora w posiedzeniach sądu w post</w:t>
      </w:r>
      <w:r w:rsidR="42EDC7C4" w:rsidRPr="00C835AB">
        <w:t>ę</w:t>
      </w:r>
      <w:r w:rsidR="57CD3A43" w:rsidRPr="00C835AB">
        <w:t xml:space="preserve">powaniu wykonawczym. </w:t>
      </w:r>
    </w:p>
    <w:p w14:paraId="04FD727E" w14:textId="429D2DAB" w:rsidR="0FF4DE2E" w:rsidRPr="00C835AB" w:rsidRDefault="0FF4DE2E" w:rsidP="00603A64">
      <w:pPr>
        <w:pStyle w:val="NormalnyWeb"/>
        <w:spacing w:before="0" w:beforeAutospacing="0" w:after="0" w:afterAutospacing="0" w:line="360" w:lineRule="auto"/>
        <w:jc w:val="both"/>
      </w:pPr>
    </w:p>
    <w:p w14:paraId="60C424E0" w14:textId="59A83D1D" w:rsidR="0042420D" w:rsidRPr="00C835AB" w:rsidRDefault="0042420D"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 xml:space="preserve">Art. 161 § 1 </w:t>
      </w:r>
      <w:proofErr w:type="spellStart"/>
      <w:r w:rsidRPr="00C835AB">
        <w:rPr>
          <w:rFonts w:ascii="Times New Roman" w:hAnsi="Times New Roman" w:cs="Times New Roman"/>
          <w:b/>
          <w:bCs/>
          <w:color w:val="auto"/>
          <w:sz w:val="24"/>
        </w:rPr>
        <w:t>k.k.w</w:t>
      </w:r>
      <w:proofErr w:type="spellEnd"/>
      <w:r w:rsidRPr="00C835AB">
        <w:rPr>
          <w:rFonts w:ascii="Times New Roman" w:hAnsi="Times New Roman" w:cs="Times New Roman"/>
          <w:b/>
          <w:bCs/>
          <w:color w:val="auto"/>
          <w:sz w:val="24"/>
        </w:rPr>
        <w:t xml:space="preserve">. </w:t>
      </w:r>
    </w:p>
    <w:p w14:paraId="57A3B746" w14:textId="77777777" w:rsidR="00ED78A6" w:rsidRPr="00C835AB" w:rsidRDefault="00ED78A6"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Projektowana zmiana art. 161 § 1 </w:t>
      </w:r>
      <w:proofErr w:type="spellStart"/>
      <w:r w:rsidRPr="00C835AB">
        <w:rPr>
          <w:rFonts w:ascii="Times New Roman" w:hAnsi="Times New Roman" w:cs="Times New Roman"/>
          <w:color w:val="auto"/>
          <w:sz w:val="24"/>
        </w:rPr>
        <w:t>k.k.w</w:t>
      </w:r>
      <w:proofErr w:type="spellEnd"/>
      <w:r w:rsidRPr="00C835AB">
        <w:rPr>
          <w:rFonts w:ascii="Times New Roman" w:hAnsi="Times New Roman" w:cs="Times New Roman"/>
          <w:color w:val="auto"/>
          <w:sz w:val="24"/>
        </w:rPr>
        <w:t xml:space="preserve">. sprowadza się do przekształcenia obowiązkowego udziału prokuratora w posiedzeniu w udział fakultatywny. Jest ona konsekwencją projektowanej nowelizacji art. 22 § </w:t>
      </w:r>
      <w:proofErr w:type="spellStart"/>
      <w:r w:rsidRPr="00C835AB">
        <w:rPr>
          <w:rFonts w:ascii="Times New Roman" w:hAnsi="Times New Roman" w:cs="Times New Roman"/>
          <w:color w:val="auto"/>
          <w:sz w:val="24"/>
        </w:rPr>
        <w:t>2a</w:t>
      </w:r>
      <w:proofErr w:type="spellEnd"/>
      <w:r w:rsidRPr="00C835AB">
        <w:rPr>
          <w:rFonts w:ascii="Times New Roman" w:hAnsi="Times New Roman" w:cs="Times New Roman"/>
          <w:color w:val="auto"/>
          <w:sz w:val="24"/>
        </w:rPr>
        <w:t xml:space="preserve"> </w:t>
      </w:r>
      <w:proofErr w:type="spellStart"/>
      <w:r w:rsidRPr="00C835AB">
        <w:rPr>
          <w:rFonts w:ascii="Times New Roman" w:hAnsi="Times New Roman" w:cs="Times New Roman"/>
          <w:color w:val="auto"/>
          <w:sz w:val="24"/>
        </w:rPr>
        <w:t>k.k.w</w:t>
      </w:r>
      <w:proofErr w:type="spellEnd"/>
      <w:r w:rsidRPr="00C835AB">
        <w:rPr>
          <w:rFonts w:ascii="Times New Roman" w:hAnsi="Times New Roman" w:cs="Times New Roman"/>
          <w:color w:val="auto"/>
          <w:sz w:val="24"/>
        </w:rPr>
        <w:t>.</w:t>
      </w:r>
    </w:p>
    <w:p w14:paraId="5BE159B5" w14:textId="77777777" w:rsidR="00FD5963" w:rsidRPr="00C835AB" w:rsidRDefault="00FD5963" w:rsidP="00603A64">
      <w:pPr>
        <w:rPr>
          <w:rFonts w:ascii="Times New Roman" w:eastAsiaTheme="minorEastAsia" w:hAnsi="Times New Roman" w:cs="Times New Roman"/>
          <w:b/>
          <w:bCs/>
          <w:color w:val="auto"/>
          <w:sz w:val="24"/>
        </w:rPr>
      </w:pPr>
    </w:p>
    <w:p w14:paraId="4C2DB0A8" w14:textId="6403960C" w:rsidR="00621B23" w:rsidRPr="00C835AB" w:rsidRDefault="00637B5D" w:rsidP="00D823D0">
      <w:pPr>
        <w:ind w:firstLine="708"/>
        <w:rPr>
          <w:rFonts w:ascii="Times New Roman" w:eastAsiaTheme="minorEastAsia" w:hAnsi="Times New Roman" w:cs="Times New Roman"/>
          <w:b/>
          <w:bCs/>
          <w:color w:val="auto"/>
          <w:sz w:val="24"/>
        </w:rPr>
      </w:pPr>
      <w:r w:rsidRPr="00C835AB">
        <w:rPr>
          <w:rFonts w:ascii="Times New Roman" w:eastAsiaTheme="minorEastAsia" w:hAnsi="Times New Roman" w:cs="Times New Roman"/>
          <w:b/>
          <w:bCs/>
          <w:color w:val="auto"/>
          <w:sz w:val="24"/>
        </w:rPr>
        <w:t>A</w:t>
      </w:r>
      <w:r w:rsidR="7DF6EC42" w:rsidRPr="00C835AB">
        <w:rPr>
          <w:rFonts w:ascii="Times New Roman" w:eastAsiaTheme="minorEastAsia" w:hAnsi="Times New Roman" w:cs="Times New Roman"/>
          <w:b/>
          <w:bCs/>
          <w:color w:val="auto"/>
          <w:sz w:val="24"/>
        </w:rPr>
        <w:t>rt. 215 §</w:t>
      </w:r>
      <w:r w:rsidR="00CA3660" w:rsidRPr="00C835AB">
        <w:rPr>
          <w:rFonts w:ascii="Times New Roman" w:eastAsiaTheme="minorEastAsia" w:hAnsi="Times New Roman" w:cs="Times New Roman"/>
          <w:b/>
          <w:bCs/>
          <w:color w:val="auto"/>
          <w:sz w:val="24"/>
        </w:rPr>
        <w:t xml:space="preserve"> </w:t>
      </w:r>
      <w:r w:rsidR="7DF6EC42" w:rsidRPr="00C835AB">
        <w:rPr>
          <w:rFonts w:ascii="Times New Roman" w:eastAsiaTheme="minorEastAsia" w:hAnsi="Times New Roman" w:cs="Times New Roman"/>
          <w:b/>
          <w:bCs/>
          <w:color w:val="auto"/>
          <w:sz w:val="24"/>
        </w:rPr>
        <w:t>1</w:t>
      </w:r>
      <w:r w:rsidR="00BB691E" w:rsidRPr="00C835AB">
        <w:rPr>
          <w:rFonts w:ascii="Times New Roman" w:eastAsiaTheme="minorEastAsia" w:hAnsi="Times New Roman" w:cs="Times New Roman"/>
          <w:b/>
          <w:bCs/>
          <w:color w:val="auto"/>
          <w:sz w:val="24"/>
        </w:rPr>
        <w:t xml:space="preserve"> </w:t>
      </w:r>
      <w:proofErr w:type="spellStart"/>
      <w:r w:rsidR="00BB691E" w:rsidRPr="00C835AB">
        <w:rPr>
          <w:rFonts w:ascii="Times New Roman" w:eastAsiaTheme="minorEastAsia" w:hAnsi="Times New Roman" w:cs="Times New Roman"/>
          <w:b/>
          <w:bCs/>
          <w:color w:val="auto"/>
          <w:sz w:val="24"/>
        </w:rPr>
        <w:t>k.k.w</w:t>
      </w:r>
      <w:proofErr w:type="spellEnd"/>
      <w:r w:rsidR="00BB691E" w:rsidRPr="00C835AB">
        <w:rPr>
          <w:rFonts w:ascii="Times New Roman" w:eastAsiaTheme="minorEastAsia" w:hAnsi="Times New Roman" w:cs="Times New Roman"/>
          <w:b/>
          <w:bCs/>
          <w:color w:val="auto"/>
          <w:sz w:val="24"/>
        </w:rPr>
        <w:t>.</w:t>
      </w:r>
    </w:p>
    <w:p w14:paraId="4BE513CB" w14:textId="54CDABC3" w:rsidR="00FD5963" w:rsidRPr="00C835AB" w:rsidRDefault="00BB691E"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Projektowana zmiana art. 215 § 1 </w:t>
      </w:r>
      <w:proofErr w:type="spellStart"/>
      <w:r w:rsidRPr="00C835AB">
        <w:rPr>
          <w:rFonts w:ascii="Times New Roman" w:hAnsi="Times New Roman" w:cs="Times New Roman"/>
          <w:color w:val="auto"/>
          <w:sz w:val="24"/>
        </w:rPr>
        <w:t>k.k.w</w:t>
      </w:r>
      <w:proofErr w:type="spellEnd"/>
      <w:r w:rsidRPr="00C835AB">
        <w:rPr>
          <w:rFonts w:ascii="Times New Roman" w:hAnsi="Times New Roman" w:cs="Times New Roman"/>
          <w:color w:val="auto"/>
          <w:sz w:val="24"/>
        </w:rPr>
        <w:t xml:space="preserve">. </w:t>
      </w:r>
      <w:r w:rsidR="00FD5963" w:rsidRPr="00C835AB">
        <w:rPr>
          <w:rFonts w:ascii="Times New Roman" w:hAnsi="Times New Roman" w:cs="Times New Roman"/>
          <w:color w:val="auto"/>
          <w:sz w:val="24"/>
        </w:rPr>
        <w:t>stanowi konsekwencję zmian wprowadzonych w Kodeksie postępowania karnego</w:t>
      </w:r>
      <w:r w:rsidRPr="00C835AB">
        <w:rPr>
          <w:rFonts w:ascii="Times New Roman" w:hAnsi="Times New Roman" w:cs="Times New Roman"/>
          <w:color w:val="auto"/>
          <w:sz w:val="24"/>
        </w:rPr>
        <w:t>,</w:t>
      </w:r>
      <w:r w:rsidR="00FD5963" w:rsidRPr="00C835AB">
        <w:rPr>
          <w:rFonts w:ascii="Times New Roman" w:hAnsi="Times New Roman" w:cs="Times New Roman"/>
          <w:color w:val="auto"/>
          <w:sz w:val="24"/>
        </w:rPr>
        <w:t xml:space="preserve"> w szczególności w art. 73 k.p.k., a dotyczących</w:t>
      </w:r>
      <w:r w:rsidR="002A6A21" w:rsidRPr="00C835AB">
        <w:rPr>
          <w:rFonts w:ascii="Times New Roman" w:hAnsi="Times New Roman" w:cs="Times New Roman"/>
          <w:color w:val="auto"/>
          <w:sz w:val="24"/>
        </w:rPr>
        <w:t xml:space="preserve"> </w:t>
      </w:r>
      <w:r w:rsidR="00FD5963" w:rsidRPr="00C835AB">
        <w:rPr>
          <w:rFonts w:ascii="Times New Roman" w:hAnsi="Times New Roman" w:cs="Times New Roman"/>
          <w:color w:val="auto"/>
          <w:sz w:val="24"/>
        </w:rPr>
        <w:lastRenderedPageBreak/>
        <w:t>zapewnienia pełnej poufności kontaktów podejrzanego z obrońc</w:t>
      </w:r>
      <w:r w:rsidR="00CB4BE4" w:rsidRPr="00C835AB">
        <w:rPr>
          <w:rFonts w:ascii="Times New Roman" w:hAnsi="Times New Roman" w:cs="Times New Roman"/>
          <w:color w:val="auto"/>
          <w:sz w:val="24"/>
        </w:rPr>
        <w:t>ą</w:t>
      </w:r>
      <w:r w:rsidR="00FD5963" w:rsidRPr="00C835AB">
        <w:rPr>
          <w:rFonts w:ascii="Times New Roman" w:hAnsi="Times New Roman" w:cs="Times New Roman"/>
          <w:color w:val="auto"/>
          <w:sz w:val="24"/>
        </w:rPr>
        <w:t xml:space="preserve">. Analogicznie </w:t>
      </w:r>
      <w:r w:rsidR="00396E65" w:rsidRPr="00C835AB">
        <w:rPr>
          <w:rFonts w:ascii="Times New Roman" w:hAnsi="Times New Roman" w:cs="Times New Roman"/>
          <w:color w:val="auto"/>
          <w:sz w:val="24"/>
        </w:rPr>
        <w:t>zasad</w:t>
      </w:r>
      <w:r w:rsidR="00CB4BE4" w:rsidRPr="00C835AB">
        <w:rPr>
          <w:rFonts w:ascii="Times New Roman" w:hAnsi="Times New Roman" w:cs="Times New Roman"/>
          <w:color w:val="auto"/>
          <w:sz w:val="24"/>
        </w:rPr>
        <w:t xml:space="preserve">ę pełnej poufności </w:t>
      </w:r>
      <w:r w:rsidR="00FD5963" w:rsidRPr="00C835AB">
        <w:rPr>
          <w:rFonts w:ascii="Times New Roman" w:hAnsi="Times New Roman" w:cs="Times New Roman"/>
          <w:color w:val="auto"/>
          <w:sz w:val="24"/>
        </w:rPr>
        <w:t xml:space="preserve">należy stosować do wszystkich podmiotów wskazanych w art. 215 </w:t>
      </w:r>
      <w:r w:rsidR="00FD5963" w:rsidRPr="00C835AB">
        <w:rPr>
          <w:rFonts w:ascii="Times New Roman" w:eastAsiaTheme="minorEastAsia" w:hAnsi="Times New Roman" w:cs="Times New Roman"/>
          <w:color w:val="auto"/>
          <w:sz w:val="24"/>
        </w:rPr>
        <w:t xml:space="preserve">§ 1 </w:t>
      </w:r>
      <w:proofErr w:type="spellStart"/>
      <w:r w:rsidR="00FD5963" w:rsidRPr="00C835AB">
        <w:rPr>
          <w:rFonts w:ascii="Times New Roman" w:eastAsiaTheme="minorEastAsia" w:hAnsi="Times New Roman" w:cs="Times New Roman"/>
          <w:color w:val="auto"/>
          <w:sz w:val="24"/>
        </w:rPr>
        <w:t>k.k.w</w:t>
      </w:r>
      <w:proofErr w:type="spellEnd"/>
      <w:r w:rsidR="00FD5963" w:rsidRPr="00C835AB">
        <w:rPr>
          <w:rFonts w:ascii="Times New Roman" w:eastAsiaTheme="minorEastAsia" w:hAnsi="Times New Roman" w:cs="Times New Roman"/>
          <w:color w:val="auto"/>
          <w:sz w:val="24"/>
        </w:rPr>
        <w:t>.</w:t>
      </w:r>
    </w:p>
    <w:p w14:paraId="2CC24352" w14:textId="26F46083" w:rsidR="0FF4DE2E" w:rsidRPr="00C835AB" w:rsidRDefault="0FF4DE2E" w:rsidP="00603A64">
      <w:pPr>
        <w:pStyle w:val="NormalnyWeb"/>
        <w:spacing w:before="0" w:beforeAutospacing="0" w:after="0" w:afterAutospacing="0" w:line="360" w:lineRule="auto"/>
        <w:jc w:val="both"/>
      </w:pPr>
    </w:p>
    <w:p w14:paraId="47D2FDC4" w14:textId="6E22D653" w:rsidR="00334F46" w:rsidRPr="00C835AB" w:rsidRDefault="00334F46" w:rsidP="00D823D0">
      <w:pPr>
        <w:ind w:firstLine="708"/>
        <w:rPr>
          <w:rFonts w:ascii="Times New Roman" w:hAnsi="Times New Roman" w:cs="Times New Roman"/>
          <w:b/>
          <w:bCs/>
          <w:color w:val="auto"/>
          <w:sz w:val="24"/>
        </w:rPr>
      </w:pPr>
      <w:r w:rsidRPr="00C835AB">
        <w:rPr>
          <w:rFonts w:ascii="Times New Roman" w:hAnsi="Times New Roman" w:cs="Times New Roman"/>
          <w:b/>
          <w:bCs/>
          <w:color w:val="auto"/>
          <w:sz w:val="24"/>
        </w:rPr>
        <w:t xml:space="preserve">Art. </w:t>
      </w:r>
      <w:proofErr w:type="spellStart"/>
      <w:r w:rsidRPr="00C835AB">
        <w:rPr>
          <w:rFonts w:ascii="Times New Roman" w:hAnsi="Times New Roman" w:cs="Times New Roman"/>
          <w:b/>
          <w:bCs/>
          <w:color w:val="auto"/>
          <w:sz w:val="24"/>
        </w:rPr>
        <w:t>217b</w:t>
      </w:r>
      <w:proofErr w:type="spellEnd"/>
      <w:r w:rsidRPr="00C835AB">
        <w:rPr>
          <w:rFonts w:ascii="Times New Roman" w:hAnsi="Times New Roman" w:cs="Times New Roman"/>
          <w:b/>
          <w:bCs/>
          <w:color w:val="auto"/>
          <w:sz w:val="24"/>
        </w:rPr>
        <w:t xml:space="preserve"> § </w:t>
      </w:r>
      <w:proofErr w:type="spellStart"/>
      <w:r w:rsidRPr="00C835AB">
        <w:rPr>
          <w:rFonts w:ascii="Times New Roman" w:hAnsi="Times New Roman" w:cs="Times New Roman"/>
          <w:b/>
          <w:bCs/>
          <w:color w:val="auto"/>
          <w:sz w:val="24"/>
        </w:rPr>
        <w:t>1a</w:t>
      </w:r>
      <w:proofErr w:type="spellEnd"/>
      <w:r w:rsidR="00BB691E" w:rsidRPr="00C835AB">
        <w:rPr>
          <w:rFonts w:ascii="Times New Roman" w:hAnsi="Times New Roman" w:cs="Times New Roman"/>
          <w:b/>
          <w:bCs/>
          <w:color w:val="auto"/>
          <w:sz w:val="24"/>
        </w:rPr>
        <w:t xml:space="preserve"> </w:t>
      </w:r>
      <w:proofErr w:type="spellStart"/>
      <w:r w:rsidR="00BB691E" w:rsidRPr="00C835AB">
        <w:rPr>
          <w:rFonts w:ascii="Times New Roman" w:hAnsi="Times New Roman" w:cs="Times New Roman"/>
          <w:b/>
          <w:bCs/>
          <w:color w:val="auto"/>
          <w:sz w:val="24"/>
        </w:rPr>
        <w:t>k.k.w</w:t>
      </w:r>
      <w:proofErr w:type="spellEnd"/>
      <w:r w:rsidR="00BB691E" w:rsidRPr="00C835AB">
        <w:rPr>
          <w:rFonts w:ascii="Times New Roman" w:hAnsi="Times New Roman" w:cs="Times New Roman"/>
          <w:b/>
          <w:bCs/>
          <w:color w:val="auto"/>
          <w:sz w:val="24"/>
        </w:rPr>
        <w:t>.</w:t>
      </w:r>
    </w:p>
    <w:p w14:paraId="045E305B" w14:textId="0FA42F13" w:rsidR="00334F46" w:rsidRDefault="57DE8BA3"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Zmiana zaproponowana </w:t>
      </w:r>
      <w:r w:rsidR="00D44D04" w:rsidRPr="00C835AB">
        <w:rPr>
          <w:rFonts w:ascii="Times New Roman" w:hAnsi="Times New Roman" w:cs="Times New Roman"/>
          <w:color w:val="auto"/>
          <w:sz w:val="24"/>
        </w:rPr>
        <w:t xml:space="preserve">w </w:t>
      </w:r>
      <w:r w:rsidRPr="00C835AB">
        <w:rPr>
          <w:rFonts w:ascii="Times New Roman" w:hAnsi="Times New Roman" w:cs="Times New Roman"/>
          <w:color w:val="auto"/>
          <w:sz w:val="24"/>
        </w:rPr>
        <w:t xml:space="preserve">art. </w:t>
      </w:r>
      <w:proofErr w:type="spellStart"/>
      <w:r w:rsidRPr="00C835AB">
        <w:rPr>
          <w:rFonts w:ascii="Times New Roman" w:hAnsi="Times New Roman" w:cs="Times New Roman"/>
          <w:color w:val="auto"/>
          <w:sz w:val="24"/>
        </w:rPr>
        <w:t>217b</w:t>
      </w:r>
      <w:proofErr w:type="spellEnd"/>
      <w:r w:rsidR="00637B5D"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w:t>
      </w:r>
      <w:r w:rsidR="00637B5D" w:rsidRPr="00C835AB">
        <w:rPr>
          <w:rFonts w:ascii="Times New Roman" w:hAnsi="Times New Roman" w:cs="Times New Roman"/>
          <w:color w:val="auto"/>
          <w:sz w:val="24"/>
        </w:rPr>
        <w:t xml:space="preserve"> </w:t>
      </w:r>
      <w:proofErr w:type="spellStart"/>
      <w:r w:rsidRPr="00C835AB">
        <w:rPr>
          <w:rFonts w:ascii="Times New Roman" w:hAnsi="Times New Roman" w:cs="Times New Roman"/>
          <w:color w:val="auto"/>
          <w:sz w:val="24"/>
        </w:rPr>
        <w:t>1a</w:t>
      </w:r>
      <w:proofErr w:type="spellEnd"/>
      <w:r w:rsidRPr="00C835AB">
        <w:rPr>
          <w:rFonts w:ascii="Times New Roman" w:hAnsi="Times New Roman" w:cs="Times New Roman"/>
          <w:color w:val="auto"/>
          <w:sz w:val="24"/>
        </w:rPr>
        <w:t xml:space="preserve"> </w:t>
      </w:r>
      <w:proofErr w:type="spellStart"/>
      <w:r w:rsidR="00DC6CC1" w:rsidRPr="00C835AB">
        <w:rPr>
          <w:rFonts w:ascii="Times New Roman" w:hAnsi="Times New Roman" w:cs="Times New Roman"/>
          <w:color w:val="auto"/>
          <w:sz w:val="24"/>
        </w:rPr>
        <w:t>k.k.w</w:t>
      </w:r>
      <w:proofErr w:type="spellEnd"/>
      <w:r w:rsidR="00DC6CC1"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sprowadza się do objęcia treścią tego przepisu każdego obrońcy i każdego pełnomocnika będącego adwokatem lub radcą prawnym, a nie tylko obrońcy, który został ustanowiony lub wyznaczony w sprawie, w której stosuje się</w:t>
      </w:r>
      <w:r w:rsidR="00BD5665">
        <w:rPr>
          <w:rFonts w:ascii="Times New Roman" w:hAnsi="Times New Roman" w:cs="Times New Roman"/>
          <w:color w:val="auto"/>
          <w:sz w:val="24"/>
        </w:rPr>
        <w:t> </w:t>
      </w:r>
      <w:r w:rsidRPr="00C835AB">
        <w:rPr>
          <w:rFonts w:ascii="Times New Roman" w:hAnsi="Times New Roman" w:cs="Times New Roman"/>
          <w:color w:val="auto"/>
          <w:sz w:val="24"/>
        </w:rPr>
        <w:t>tymczasowe aresztowanie. Poszerzenie regulacji ma na celu wzmocnienie ochrony tajemnicy obrończej oraz tajemnicy, którą związany jest pełnomocnik niezależnie od tego, w</w:t>
      </w:r>
      <w:r w:rsidR="00BD5665">
        <w:rPr>
          <w:rFonts w:ascii="Times New Roman" w:hAnsi="Times New Roman" w:cs="Times New Roman"/>
          <w:color w:val="auto"/>
          <w:sz w:val="24"/>
        </w:rPr>
        <w:t> </w:t>
      </w:r>
      <w:r w:rsidRPr="00C835AB">
        <w:rPr>
          <w:rFonts w:ascii="Times New Roman" w:hAnsi="Times New Roman" w:cs="Times New Roman"/>
          <w:color w:val="auto"/>
          <w:sz w:val="24"/>
        </w:rPr>
        <w:t>jakiej sprawie został ustanowiony lub wyznaczony</w:t>
      </w:r>
      <w:r w:rsidR="002566C8"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ale reprezentuje sprawcę, który jest</w:t>
      </w:r>
      <w:r w:rsidR="00BD5665">
        <w:rPr>
          <w:rFonts w:ascii="Times New Roman" w:hAnsi="Times New Roman" w:cs="Times New Roman"/>
          <w:color w:val="auto"/>
          <w:sz w:val="24"/>
        </w:rPr>
        <w:t> </w:t>
      </w:r>
      <w:r w:rsidRPr="00C835AB">
        <w:rPr>
          <w:rFonts w:ascii="Times New Roman" w:hAnsi="Times New Roman" w:cs="Times New Roman"/>
          <w:color w:val="auto"/>
          <w:sz w:val="24"/>
        </w:rPr>
        <w:t xml:space="preserve">tymczasowo aresztowany. </w:t>
      </w:r>
      <w:r w:rsidR="00D44D04" w:rsidRPr="00C835AB">
        <w:rPr>
          <w:rFonts w:ascii="Times New Roman" w:hAnsi="Times New Roman" w:cs="Times New Roman"/>
          <w:color w:val="auto"/>
          <w:sz w:val="24"/>
        </w:rPr>
        <w:t>Proponowana z</w:t>
      </w:r>
      <w:r w:rsidRPr="00C835AB">
        <w:rPr>
          <w:rFonts w:ascii="Times New Roman" w:hAnsi="Times New Roman" w:cs="Times New Roman"/>
          <w:color w:val="auto"/>
          <w:sz w:val="24"/>
        </w:rPr>
        <w:t xml:space="preserve">miana stanowi powrót do rozwiązania przyjętego na podstawie ustawy z dnia 20 lutego 2015 r. </w:t>
      </w:r>
    </w:p>
    <w:p w14:paraId="1EA67C28" w14:textId="0FFF6349" w:rsidR="00E8721D" w:rsidRPr="00C835AB" w:rsidRDefault="00E8721D" w:rsidP="00D823D0">
      <w:pPr>
        <w:rPr>
          <w:rFonts w:ascii="Times New Roman" w:hAnsi="Times New Roman" w:cs="Times New Roman"/>
          <w:b/>
          <w:bCs/>
          <w:color w:val="auto"/>
          <w:sz w:val="24"/>
          <w:u w:val="single"/>
        </w:rPr>
      </w:pPr>
    </w:p>
    <w:p w14:paraId="3AD0B926" w14:textId="6D64D4C6" w:rsidR="002F0019" w:rsidRPr="00C835AB" w:rsidRDefault="00C324BD" w:rsidP="00D823D0">
      <w:pPr>
        <w:rPr>
          <w:rFonts w:ascii="Times New Roman" w:hAnsi="Times New Roman" w:cs="Times New Roman"/>
          <w:b/>
          <w:bCs/>
          <w:color w:val="auto"/>
          <w:sz w:val="24"/>
          <w:u w:val="single"/>
        </w:rPr>
      </w:pPr>
      <w:r w:rsidRPr="00C835AB">
        <w:rPr>
          <w:rFonts w:ascii="Times New Roman" w:hAnsi="Times New Roman" w:cs="Times New Roman"/>
          <w:b/>
          <w:bCs/>
          <w:color w:val="auto"/>
          <w:sz w:val="24"/>
          <w:u w:val="single"/>
        </w:rPr>
        <w:t xml:space="preserve">Zmiany w </w:t>
      </w:r>
      <w:r w:rsidR="00E8721D" w:rsidRPr="00C835AB">
        <w:rPr>
          <w:rFonts w:ascii="Times New Roman" w:hAnsi="Times New Roman" w:cs="Times New Roman"/>
          <w:b/>
          <w:bCs/>
          <w:color w:val="auto"/>
          <w:sz w:val="24"/>
          <w:u w:val="single"/>
        </w:rPr>
        <w:t xml:space="preserve">ustawie </w:t>
      </w:r>
      <w:r w:rsidR="002F0019" w:rsidRPr="00C835AB">
        <w:rPr>
          <w:rFonts w:ascii="Times New Roman" w:hAnsi="Times New Roman" w:cs="Times New Roman"/>
          <w:b/>
          <w:bCs/>
          <w:color w:val="auto"/>
          <w:sz w:val="24"/>
          <w:u w:val="single"/>
          <w:shd w:val="clear" w:color="auto" w:fill="FFFFFF"/>
        </w:rPr>
        <w:t>z dnia 21 sierpnia 1997 r.</w:t>
      </w:r>
      <w:r w:rsidR="002F0019" w:rsidRPr="00C835AB">
        <w:rPr>
          <w:rFonts w:ascii="Times New Roman" w:hAnsi="Times New Roman" w:cs="Times New Roman"/>
          <w:b/>
          <w:bCs/>
          <w:color w:val="auto"/>
          <w:sz w:val="24"/>
          <w:u w:val="single"/>
        </w:rPr>
        <w:t xml:space="preserve"> o ochronie zwierząt</w:t>
      </w:r>
    </w:p>
    <w:p w14:paraId="745BBC85" w14:textId="77777777" w:rsidR="002F0019" w:rsidRPr="00C835AB" w:rsidRDefault="002F0019" w:rsidP="00D823D0">
      <w:pPr>
        <w:rPr>
          <w:rFonts w:ascii="Times New Roman" w:eastAsia="Times New Roman" w:hAnsi="Times New Roman" w:cs="Times New Roman"/>
          <w:b/>
          <w:color w:val="auto"/>
          <w:kern w:val="0"/>
          <w:sz w:val="24"/>
          <w:lang w:eastAsia="pl-PL"/>
          <w14:ligatures w14:val="none"/>
        </w:rPr>
      </w:pPr>
    </w:p>
    <w:p w14:paraId="6533A428" w14:textId="4FAEEC31" w:rsidR="00DA41D5" w:rsidRPr="00C835AB" w:rsidRDefault="00983FC5" w:rsidP="00D823D0">
      <w:pPr>
        <w:ind w:firstLine="709"/>
        <w:rPr>
          <w:rFonts w:ascii="Times New Roman" w:hAnsi="Times New Roman" w:cs="Times New Roman"/>
          <w:color w:val="auto"/>
          <w:sz w:val="24"/>
        </w:rPr>
      </w:pPr>
      <w:r w:rsidRPr="00C835AB">
        <w:rPr>
          <w:rFonts w:ascii="Times New Roman" w:hAnsi="Times New Roman" w:cs="Times New Roman"/>
          <w:color w:val="auto"/>
          <w:sz w:val="24"/>
        </w:rPr>
        <w:t>Projektowana z</w:t>
      </w:r>
      <w:r w:rsidR="002F0019" w:rsidRPr="00C835AB">
        <w:rPr>
          <w:rFonts w:ascii="Times New Roman" w:hAnsi="Times New Roman" w:cs="Times New Roman"/>
          <w:color w:val="auto"/>
          <w:sz w:val="24"/>
        </w:rPr>
        <w:t xml:space="preserve">miana art. 35 ust. 3 ustawy </w:t>
      </w:r>
      <w:r w:rsidR="002F0019" w:rsidRPr="00C835AB">
        <w:rPr>
          <w:rFonts w:ascii="Times New Roman" w:hAnsi="Times New Roman" w:cs="Times New Roman"/>
          <w:color w:val="auto"/>
          <w:sz w:val="24"/>
          <w:shd w:val="clear" w:color="auto" w:fill="FFFFFF"/>
        </w:rPr>
        <w:t>z dnia 21 sierpnia 1997 r.</w:t>
      </w:r>
      <w:r w:rsidR="002F0019" w:rsidRPr="00C835AB">
        <w:rPr>
          <w:rFonts w:ascii="Times New Roman" w:hAnsi="Times New Roman" w:cs="Times New Roman"/>
          <w:color w:val="auto"/>
          <w:sz w:val="24"/>
        </w:rPr>
        <w:t xml:space="preserve"> o ochronie zwierząt (Dz. U. z 2023 r. poz. 1580</w:t>
      </w:r>
      <w:r w:rsidR="00C324BD" w:rsidRPr="00C835AB">
        <w:rPr>
          <w:rFonts w:ascii="Times New Roman" w:hAnsi="Times New Roman" w:cs="Times New Roman"/>
          <w:color w:val="auto"/>
          <w:sz w:val="24"/>
        </w:rPr>
        <w:t xml:space="preserve">, </w:t>
      </w:r>
      <w:proofErr w:type="spellStart"/>
      <w:r w:rsidR="00C324BD" w:rsidRPr="00C835AB">
        <w:rPr>
          <w:rFonts w:ascii="Times New Roman" w:hAnsi="Times New Roman" w:cs="Times New Roman"/>
          <w:color w:val="auto"/>
          <w:sz w:val="24"/>
        </w:rPr>
        <w:t>późn</w:t>
      </w:r>
      <w:proofErr w:type="spellEnd"/>
      <w:r w:rsidR="00C324BD" w:rsidRPr="00C835AB">
        <w:rPr>
          <w:rFonts w:ascii="Times New Roman" w:hAnsi="Times New Roman" w:cs="Times New Roman"/>
          <w:color w:val="auto"/>
          <w:sz w:val="24"/>
        </w:rPr>
        <w:t>. zm.</w:t>
      </w:r>
      <w:r w:rsidR="002F0019" w:rsidRPr="00C835AB">
        <w:rPr>
          <w:rFonts w:ascii="Times New Roman" w:hAnsi="Times New Roman" w:cs="Times New Roman"/>
          <w:color w:val="auto"/>
          <w:sz w:val="24"/>
        </w:rPr>
        <w:t>) ma charakter</w:t>
      </w:r>
      <w:r w:rsidR="002F0019" w:rsidRPr="00C835AB">
        <w:rPr>
          <w:rFonts w:ascii="Times New Roman" w:hAnsi="Times New Roman" w:cs="Times New Roman"/>
          <w:b/>
          <w:bCs/>
          <w:color w:val="auto"/>
          <w:sz w:val="24"/>
        </w:rPr>
        <w:t xml:space="preserve"> </w:t>
      </w:r>
      <w:r w:rsidR="002F0019" w:rsidRPr="00C835AB">
        <w:rPr>
          <w:rFonts w:ascii="Times New Roman" w:hAnsi="Times New Roman" w:cs="Times New Roman"/>
          <w:color w:val="auto"/>
          <w:sz w:val="24"/>
        </w:rPr>
        <w:t>materialnoprawny. Polega ona na</w:t>
      </w:r>
      <w:r w:rsidR="00BD5665">
        <w:rPr>
          <w:rFonts w:ascii="Times New Roman" w:hAnsi="Times New Roman" w:cs="Times New Roman"/>
          <w:color w:val="auto"/>
          <w:sz w:val="24"/>
        </w:rPr>
        <w:t> </w:t>
      </w:r>
      <w:r w:rsidR="002F0019" w:rsidRPr="00C835AB">
        <w:rPr>
          <w:rFonts w:ascii="Times New Roman" w:hAnsi="Times New Roman" w:cs="Times New Roman"/>
          <w:color w:val="auto"/>
          <w:sz w:val="24"/>
        </w:rPr>
        <w:t>uregulowaniu wprost możliwości przepadku zwierzęcia, w sprawach o przestępstwa określ</w:t>
      </w:r>
      <w:r w:rsidR="00B169FD" w:rsidRPr="00C835AB">
        <w:rPr>
          <w:rFonts w:ascii="Times New Roman" w:hAnsi="Times New Roman" w:cs="Times New Roman"/>
          <w:color w:val="auto"/>
          <w:sz w:val="24"/>
        </w:rPr>
        <w:t>o</w:t>
      </w:r>
      <w:r w:rsidR="002F0019" w:rsidRPr="00C835AB">
        <w:rPr>
          <w:rFonts w:ascii="Times New Roman" w:hAnsi="Times New Roman" w:cs="Times New Roman"/>
          <w:color w:val="auto"/>
          <w:sz w:val="24"/>
        </w:rPr>
        <w:t xml:space="preserve">ne w tym przepisie, jeżeli sprawca nie jest jego właścicielem. Na możliwość orzeczenia przepadku zwierzęcia, które nie stanowi własności sprawcy wskazywano również na gruncie obecnie obowiązującego stanu prawnego. </w:t>
      </w:r>
    </w:p>
    <w:p w14:paraId="06E090F8" w14:textId="141BE2A9" w:rsidR="00DA41D5" w:rsidRPr="00C835AB" w:rsidRDefault="002F0019" w:rsidP="00D823D0">
      <w:pPr>
        <w:ind w:firstLine="709"/>
        <w:rPr>
          <w:rFonts w:ascii="Times New Roman" w:hAnsi="Times New Roman" w:cs="Times New Roman"/>
          <w:color w:val="auto"/>
          <w:sz w:val="24"/>
        </w:rPr>
      </w:pPr>
      <w:r w:rsidRPr="00C835AB">
        <w:rPr>
          <w:rFonts w:ascii="Times New Roman" w:hAnsi="Times New Roman" w:cs="Times New Roman"/>
          <w:color w:val="auto"/>
          <w:sz w:val="24"/>
        </w:rPr>
        <w:t>Rzecznik Praw Obywatelskich w piśmie z dnia 23 stycznia 2023 r. (II.7202.1.2019.MH) wskazywał, że „w orzecznictwie sądów powszechnych pojawiła się linia orzecznicza, zgodnie z którą w przypadku wydania wyroku skazującego, możliwe (a nawet konieczne) jest orzeczenie przepadku zwierzęcia także, jeśli sprawca znęcania nie jest jego właścicielem, np.</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 xml:space="preserve">zwierzę należy do osoby prawnej, której sprawca jest pracownikiem lub wspólnikiem. Wykładnię taką należy uznać za dopuszczalną. Podkreślenia wymaga bowiem, iż normę art. 35 ust. 3 </w:t>
      </w:r>
      <w:proofErr w:type="spellStart"/>
      <w:r w:rsidRPr="00C835AB">
        <w:rPr>
          <w:rFonts w:ascii="Times New Roman" w:hAnsi="Times New Roman" w:cs="Times New Roman"/>
          <w:color w:val="auto"/>
          <w:sz w:val="24"/>
        </w:rPr>
        <w:t>u.o.z</w:t>
      </w:r>
      <w:proofErr w:type="spellEnd"/>
      <w:r w:rsidRPr="00C835AB">
        <w:rPr>
          <w:rFonts w:ascii="Times New Roman" w:hAnsi="Times New Roman" w:cs="Times New Roman"/>
          <w:color w:val="auto"/>
          <w:sz w:val="24"/>
        </w:rPr>
        <w:t>. interpretować należy w świetle art. 1 ust. 2 tejże ustawy, który do zwierząt, w</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 xml:space="preserve">zakresie odrębnie nieuregulowanym, nakazuje odpowiednio stosować przepisy dotyczące rzeczy. (…). Z kolei pozostawienie przez sąd zwierzęcia pod „opieką” osoby, która się nad nim znęca (nawet jeśli nie jest ona formalnie właścicielem) byłoby nie do pogodzenia z normami wyrażonymi w art. 1 ust. 1 oraz art. 5 </w:t>
      </w:r>
      <w:proofErr w:type="spellStart"/>
      <w:r w:rsidRPr="00C835AB">
        <w:rPr>
          <w:rFonts w:ascii="Times New Roman" w:hAnsi="Times New Roman" w:cs="Times New Roman"/>
          <w:color w:val="auto"/>
          <w:sz w:val="24"/>
        </w:rPr>
        <w:t>u.o.z</w:t>
      </w:r>
      <w:proofErr w:type="spellEnd"/>
      <w:r w:rsidRPr="00C835AB">
        <w:rPr>
          <w:rFonts w:ascii="Times New Roman" w:hAnsi="Times New Roman" w:cs="Times New Roman"/>
          <w:color w:val="auto"/>
          <w:sz w:val="24"/>
        </w:rPr>
        <w:t xml:space="preserve">. nakazującymi poszanowanie, opiekę i ochronę zwierząt oraz ich humanitarne traktowanie”. </w:t>
      </w:r>
    </w:p>
    <w:p w14:paraId="5731F7A5" w14:textId="070529D7" w:rsidR="00D1440B" w:rsidRPr="00C835AB" w:rsidRDefault="002F0019" w:rsidP="00D823D0">
      <w:pPr>
        <w:ind w:firstLine="709"/>
        <w:rPr>
          <w:rFonts w:ascii="Times New Roman" w:hAnsi="Times New Roman" w:cs="Times New Roman"/>
          <w:color w:val="auto"/>
          <w:sz w:val="24"/>
        </w:rPr>
      </w:pPr>
      <w:r w:rsidRPr="00C835AB">
        <w:rPr>
          <w:rFonts w:ascii="Times New Roman" w:hAnsi="Times New Roman" w:cs="Times New Roman"/>
          <w:color w:val="auto"/>
          <w:sz w:val="24"/>
        </w:rPr>
        <w:lastRenderedPageBreak/>
        <w:t>Ponieważ proponowana wykładnia</w:t>
      </w:r>
      <w:r w:rsidR="00DA41D5"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jak wskazał sam R</w:t>
      </w:r>
      <w:r w:rsidR="00C324BD" w:rsidRPr="00C835AB">
        <w:rPr>
          <w:rFonts w:ascii="Times New Roman" w:hAnsi="Times New Roman" w:cs="Times New Roman"/>
          <w:color w:val="auto"/>
          <w:sz w:val="24"/>
        </w:rPr>
        <w:t>zecznik Praw Obywatelskich</w:t>
      </w:r>
      <w:r w:rsidR="00DA41D5"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jest „nieoczywista”</w:t>
      </w:r>
      <w:r w:rsidR="00DA41D5"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za pożądane uznano dokonanie zmiany art. 35 ust. 3 ustawy o ochronie zwierząt, aby nie pozostawiać wątpliwości, że w sytuacji takiej orzeczenie przepadku jest w</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istocie możliwe. Projektowana zmiana wskazuje, że jeżeli sprawca nie jest właścicielem zwierzęcia, sąd może orzec jego przepadek. Zmiana ta oddaje zatem w ręce sądu decyzję o</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możliwości orzeczenia przepadku w sytuacji</w:t>
      </w:r>
      <w:r w:rsidR="00DA41D5"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gdy sprawca znęca się nad zwierzęciem, które do niego nie należy. Taka regulacja pozwala uniknąć sytuacji, w której zwierzę będzie w</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przyszłości narażone na ponowne popełnienie względem niego przestępstwa</w:t>
      </w:r>
      <w:r w:rsidR="0005242C" w:rsidRPr="00C835AB">
        <w:rPr>
          <w:rFonts w:ascii="Times New Roman" w:hAnsi="Times New Roman" w:cs="Times New Roman"/>
          <w:color w:val="auto"/>
          <w:sz w:val="24"/>
        </w:rPr>
        <w:t>,</w:t>
      </w:r>
      <w:r w:rsidRPr="00C835AB">
        <w:rPr>
          <w:rFonts w:ascii="Times New Roman" w:hAnsi="Times New Roman" w:cs="Times New Roman"/>
          <w:color w:val="auto"/>
          <w:sz w:val="24"/>
        </w:rPr>
        <w:t xml:space="preserve"> o którym mowa w art. 35 ust. 3 ustawy o ochronie zwierząt.</w:t>
      </w:r>
    </w:p>
    <w:p w14:paraId="30938FA6" w14:textId="77777777" w:rsidR="00846C08" w:rsidRPr="00C835AB" w:rsidRDefault="00846C08" w:rsidP="00D823D0">
      <w:pPr>
        <w:ind w:firstLine="709"/>
        <w:rPr>
          <w:rFonts w:ascii="Times New Roman" w:hAnsi="Times New Roman" w:cs="Times New Roman"/>
          <w:color w:val="auto"/>
          <w:sz w:val="24"/>
        </w:rPr>
      </w:pPr>
    </w:p>
    <w:p w14:paraId="3F2F2FF7" w14:textId="2E6537C4" w:rsidR="00846C08" w:rsidRPr="00C835AB" w:rsidRDefault="00846C08" w:rsidP="00846C08">
      <w:pPr>
        <w:pStyle w:val="NormalnyWeb"/>
        <w:spacing w:before="0" w:beforeAutospacing="0" w:after="0" w:afterAutospacing="0" w:line="360" w:lineRule="auto"/>
        <w:jc w:val="both"/>
        <w:rPr>
          <w:b/>
          <w:bCs/>
          <w:u w:val="single"/>
        </w:rPr>
      </w:pPr>
      <w:r w:rsidRPr="00C835AB">
        <w:rPr>
          <w:b/>
          <w:bCs/>
          <w:u w:val="single"/>
        </w:rPr>
        <w:t xml:space="preserve">Zmiany w ustawie z dnia 21 sierpnia 1997 r. – Prawo o ustroju sądów wojskowych, </w:t>
      </w:r>
      <w:r w:rsidR="00BD5665">
        <w:rPr>
          <w:b/>
          <w:bCs/>
          <w:u w:val="single"/>
        </w:rPr>
        <w:t xml:space="preserve">ustawie </w:t>
      </w:r>
      <w:r w:rsidRPr="00C835AB">
        <w:rPr>
          <w:b/>
          <w:bCs/>
          <w:u w:val="single"/>
        </w:rPr>
        <w:t xml:space="preserve">z dnia 27 lipca 2001 r. – Prawo o ustroju sądów powszechnych oraz </w:t>
      </w:r>
      <w:r w:rsidR="00BD5665">
        <w:rPr>
          <w:b/>
          <w:bCs/>
          <w:u w:val="single"/>
        </w:rPr>
        <w:t xml:space="preserve">ustawie </w:t>
      </w:r>
      <w:r w:rsidRPr="00C835AB">
        <w:rPr>
          <w:b/>
          <w:bCs/>
          <w:u w:val="single"/>
        </w:rPr>
        <w:t>z dnia 28 stycznia 2016 r. – Prawo o prokuraturze</w:t>
      </w:r>
    </w:p>
    <w:p w14:paraId="104FF691" w14:textId="77777777" w:rsidR="00846C08" w:rsidRPr="00C835AB" w:rsidRDefault="00846C08" w:rsidP="00846C08">
      <w:pPr>
        <w:pStyle w:val="NormalnyWeb"/>
        <w:spacing w:before="0" w:beforeAutospacing="0" w:after="0" w:afterAutospacing="0" w:line="360" w:lineRule="auto"/>
        <w:jc w:val="both"/>
        <w:rPr>
          <w:b/>
          <w:bCs/>
          <w:u w:val="single"/>
        </w:rPr>
      </w:pPr>
    </w:p>
    <w:p w14:paraId="66B2D85D" w14:textId="1774021B" w:rsidR="00846C08" w:rsidRPr="00C835AB" w:rsidRDefault="00846C08" w:rsidP="00846C08">
      <w:pPr>
        <w:ind w:firstLine="708"/>
        <w:rPr>
          <w:rFonts w:ascii="Times New Roman" w:hAnsi="Times New Roman" w:cs="Times New Roman"/>
          <w:color w:val="auto"/>
          <w:sz w:val="24"/>
        </w:rPr>
      </w:pPr>
      <w:r w:rsidRPr="00C835AB">
        <w:rPr>
          <w:rFonts w:ascii="Times New Roman" w:hAnsi="Times New Roman" w:cs="Times New Roman"/>
          <w:color w:val="auto"/>
          <w:sz w:val="24"/>
        </w:rPr>
        <w:t>Przepisy art. 115c ustawy z dnia 27 lipca 2001 r. – Prawo o ustroju sądów powszechnych (Dz. U. z 2024 poz. 334</w:t>
      </w:r>
      <w:r w:rsidR="00907844">
        <w:rPr>
          <w:rFonts w:ascii="Times New Roman" w:hAnsi="Times New Roman" w:cs="Times New Roman"/>
          <w:color w:val="auto"/>
          <w:sz w:val="24"/>
        </w:rPr>
        <w:t xml:space="preserve">, z </w:t>
      </w:r>
      <w:proofErr w:type="spellStart"/>
      <w:r w:rsidR="00907844">
        <w:rPr>
          <w:rFonts w:ascii="Times New Roman" w:hAnsi="Times New Roman" w:cs="Times New Roman"/>
          <w:color w:val="auto"/>
          <w:sz w:val="24"/>
        </w:rPr>
        <w:t>późn</w:t>
      </w:r>
      <w:proofErr w:type="spellEnd"/>
      <w:r w:rsidR="00907844">
        <w:rPr>
          <w:rFonts w:ascii="Times New Roman" w:hAnsi="Times New Roman" w:cs="Times New Roman"/>
          <w:color w:val="auto"/>
          <w:sz w:val="24"/>
        </w:rPr>
        <w:t>. zm.</w:t>
      </w:r>
      <w:r w:rsidRPr="00C835AB">
        <w:rPr>
          <w:rFonts w:ascii="Times New Roman" w:hAnsi="Times New Roman" w:cs="Times New Roman"/>
          <w:color w:val="auto"/>
          <w:sz w:val="24"/>
        </w:rPr>
        <w:t>), dalej: „ustawa – Prawo o ustroju sądów powszechnych” oraz art.</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158b ustawy z dnia 28 stycznia 2016 r. – Prawo o prokuraturze (Dz. U. z 2024 r. poz. 390</w:t>
      </w:r>
      <w:r w:rsidR="00907844">
        <w:rPr>
          <w:rFonts w:ascii="Times New Roman" w:hAnsi="Times New Roman" w:cs="Times New Roman"/>
          <w:color w:val="auto"/>
          <w:sz w:val="24"/>
        </w:rPr>
        <w:t xml:space="preserve">, z </w:t>
      </w:r>
      <w:proofErr w:type="spellStart"/>
      <w:r w:rsidR="00907844">
        <w:rPr>
          <w:rFonts w:ascii="Times New Roman" w:hAnsi="Times New Roman" w:cs="Times New Roman"/>
          <w:color w:val="auto"/>
          <w:sz w:val="24"/>
        </w:rPr>
        <w:t>późn</w:t>
      </w:r>
      <w:proofErr w:type="spellEnd"/>
      <w:r w:rsidR="00907844">
        <w:rPr>
          <w:rFonts w:ascii="Times New Roman" w:hAnsi="Times New Roman" w:cs="Times New Roman"/>
          <w:color w:val="auto"/>
          <w:sz w:val="24"/>
        </w:rPr>
        <w:t>. zm.</w:t>
      </w:r>
      <w:r w:rsidRPr="00C835AB">
        <w:rPr>
          <w:rFonts w:ascii="Times New Roman" w:hAnsi="Times New Roman" w:cs="Times New Roman"/>
          <w:color w:val="auto"/>
          <w:sz w:val="24"/>
        </w:rPr>
        <w:t>), dalej: „ustawa – Prawo o prokuraturze” stanowią, że dowody uzyskane do celów postępowania karnego w trybie określonym w art. 168b, art. 237 lub art. 237a k.p.k. lub uzyskane w wyniku stosowania kontroli operacyjnej mogą zostać wykorzystane w postępowaniu dyscyplinarnym.</w:t>
      </w:r>
    </w:p>
    <w:p w14:paraId="762350C2" w14:textId="77777777" w:rsidR="00846C08" w:rsidRPr="00C835AB" w:rsidRDefault="00846C08" w:rsidP="00846C08">
      <w:pPr>
        <w:tabs>
          <w:tab w:val="left" w:pos="426"/>
        </w:tabs>
        <w:rPr>
          <w:rFonts w:ascii="Times New Roman" w:hAnsi="Times New Roman" w:cs="Times New Roman"/>
          <w:color w:val="auto"/>
          <w:sz w:val="24"/>
        </w:rPr>
      </w:pPr>
      <w:r w:rsidRPr="00C835AB">
        <w:rPr>
          <w:rFonts w:ascii="Times New Roman" w:hAnsi="Times New Roman" w:cs="Times New Roman"/>
          <w:color w:val="auto"/>
          <w:sz w:val="24"/>
        </w:rPr>
        <w:tab/>
        <w:t xml:space="preserve">Ukształtowane przez ustawodawcę brzmienie wskazanych przepisów rodzi konieczność refleksji nad zasadnością ich dalszego stosowania w postępowaniach dyscyplinarnych, regulowanych wymienionymi wyżej ustawami ustrojowymi. </w:t>
      </w:r>
    </w:p>
    <w:p w14:paraId="43DE0EAC" w14:textId="3BF78263" w:rsidR="00846C08" w:rsidRPr="00C835AB" w:rsidRDefault="00846C08" w:rsidP="00846C08">
      <w:pPr>
        <w:tabs>
          <w:tab w:val="left" w:pos="426"/>
        </w:tabs>
        <w:rPr>
          <w:rFonts w:ascii="Times New Roman" w:hAnsi="Times New Roman" w:cs="Times New Roman"/>
          <w:color w:val="auto"/>
          <w:sz w:val="24"/>
        </w:rPr>
      </w:pPr>
      <w:r w:rsidRPr="00C835AB">
        <w:rPr>
          <w:rFonts w:ascii="Times New Roman" w:hAnsi="Times New Roman" w:cs="Times New Roman"/>
          <w:color w:val="auto"/>
          <w:sz w:val="24"/>
        </w:rPr>
        <w:tab/>
        <w:t>Stosowanie dowodów uzyskanych w wyniku kontroli operacyjnych lub podsłuchu procesowego w postępowaniu dyscyplinarnym należy uznać za co najmniej kontrowersyjne w</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świetle orzecznictwa sądów krajowych oraz trybunałów europejskich. Występuje tutaj bowiem nieproporcjonalność posługiwania się takimi środkami dowodowymi w</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postępowaniach, których cel i charakter tego nie uzasadnia należycie.</w:t>
      </w:r>
    </w:p>
    <w:p w14:paraId="38E5C16A" w14:textId="6B2E325A" w:rsidR="00846C08" w:rsidRPr="00C835AB" w:rsidRDefault="00846C08" w:rsidP="00846C08">
      <w:pPr>
        <w:tabs>
          <w:tab w:val="left" w:pos="426"/>
        </w:tabs>
        <w:rPr>
          <w:rFonts w:ascii="Times New Roman" w:hAnsi="Times New Roman" w:cs="Times New Roman"/>
          <w:color w:val="auto"/>
          <w:sz w:val="24"/>
        </w:rPr>
      </w:pPr>
      <w:r w:rsidRPr="00C835AB">
        <w:rPr>
          <w:rFonts w:ascii="Times New Roman" w:hAnsi="Times New Roman" w:cs="Times New Roman"/>
          <w:color w:val="auto"/>
          <w:sz w:val="24"/>
        </w:rPr>
        <w:tab/>
        <w:t>W uchwale siedmiu sędziów z dnia 28 czerwca 2018 r. (I KZP 4/18) Sąd Najwyższy wyraził pogląd, że dowody te mogą być stosowane w postępowaniach karnych, ale tylko w</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 xml:space="preserve">zakresie tzw. przestępstw katalogowych. We wskazanym </w:t>
      </w:r>
      <w:proofErr w:type="spellStart"/>
      <w:r w:rsidRPr="00C835AB">
        <w:rPr>
          <w:rFonts w:ascii="Times New Roman" w:hAnsi="Times New Roman" w:cs="Times New Roman"/>
          <w:color w:val="auto"/>
          <w:sz w:val="24"/>
        </w:rPr>
        <w:t>judykacie</w:t>
      </w:r>
      <w:proofErr w:type="spellEnd"/>
      <w:r w:rsidRPr="00C835AB">
        <w:rPr>
          <w:rFonts w:ascii="Times New Roman" w:hAnsi="Times New Roman" w:cs="Times New Roman"/>
          <w:color w:val="auto"/>
          <w:sz w:val="24"/>
        </w:rPr>
        <w:t xml:space="preserve"> Sąd Najwyższy wskazał, że „użyte w art. 168b k.p.k. sformułowanie „innego przestępstwa ściganego z urzędu lub</w:t>
      </w:r>
      <w:r w:rsidR="00BD5665">
        <w:rPr>
          <w:rFonts w:ascii="Times New Roman" w:hAnsi="Times New Roman" w:cs="Times New Roman"/>
          <w:color w:val="auto"/>
          <w:sz w:val="24"/>
        </w:rPr>
        <w:t> </w:t>
      </w:r>
      <w:r w:rsidRPr="00C835AB">
        <w:rPr>
          <w:rFonts w:ascii="Times New Roman" w:hAnsi="Times New Roman" w:cs="Times New Roman"/>
          <w:color w:val="auto"/>
          <w:sz w:val="24"/>
        </w:rPr>
        <w:t xml:space="preserve">przestępstwa skarbowego innego niż przestępstwo objęte zarządzeniem kontroli </w:t>
      </w:r>
      <w:r w:rsidRPr="00C835AB">
        <w:rPr>
          <w:rFonts w:ascii="Times New Roman" w:hAnsi="Times New Roman" w:cs="Times New Roman"/>
          <w:color w:val="auto"/>
          <w:sz w:val="24"/>
        </w:rPr>
        <w:lastRenderedPageBreak/>
        <w:t>operacyjnej” obejmuje swoim zakresem wyłącznie te przestępstwa, co do których sąd może wyrazić zgodę na zarządzenie kontroli operacyjnej, w tym te, o których mowa w art. 19 ust. 1 ustawy z</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6</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kwietnia 1990 r. o Policji”. Przyjmując perspektywę Sądu Najwyższego w jakiej podjęto opisaną wyżej uchwałę, nie sposób przyjąć, że dowody z kontroli operacyjnej miałyby być wykorzystywane w postępowaniu dyscyplinarnym w odniesieniu do postepowań w sprawie deliktów dyscyplinarnych.</w:t>
      </w:r>
    </w:p>
    <w:p w14:paraId="6139CCAF" w14:textId="38A809CE" w:rsidR="00846C08" w:rsidRPr="00C835AB" w:rsidRDefault="00846C08" w:rsidP="00846C08">
      <w:pPr>
        <w:tabs>
          <w:tab w:val="left" w:pos="426"/>
        </w:tabs>
        <w:rPr>
          <w:rFonts w:ascii="Times New Roman" w:hAnsi="Times New Roman" w:cs="Times New Roman"/>
          <w:color w:val="auto"/>
          <w:sz w:val="24"/>
        </w:rPr>
      </w:pPr>
      <w:r w:rsidRPr="00C835AB">
        <w:rPr>
          <w:rFonts w:ascii="Times New Roman" w:hAnsi="Times New Roman" w:cs="Times New Roman"/>
          <w:color w:val="auto"/>
          <w:sz w:val="24"/>
        </w:rPr>
        <w:tab/>
        <w:t>W tym duchu, wychodząc z podobnego założenia co Sąd Najwyższy, wypowiadał się</w:t>
      </w:r>
      <w:r w:rsidR="00BD5665">
        <w:rPr>
          <w:rFonts w:ascii="Times New Roman" w:hAnsi="Times New Roman" w:cs="Times New Roman"/>
          <w:color w:val="auto"/>
          <w:sz w:val="24"/>
        </w:rPr>
        <w:t> </w:t>
      </w:r>
      <w:r w:rsidRPr="00C835AB">
        <w:rPr>
          <w:rFonts w:ascii="Times New Roman" w:hAnsi="Times New Roman" w:cs="Times New Roman"/>
          <w:color w:val="auto"/>
          <w:sz w:val="24"/>
        </w:rPr>
        <w:t>również TSUE. W wyroku z dnia 2 marca 2021 r. w sprawie C</w:t>
      </w:r>
      <w:r w:rsidRPr="00C835AB">
        <w:rPr>
          <w:rFonts w:ascii="Times New Roman" w:hAnsi="Times New Roman" w:cs="Times New Roman"/>
          <w:color w:val="auto"/>
          <w:sz w:val="24"/>
        </w:rPr>
        <w:noBreakHyphen/>
        <w:t>746/18 wyraził pogląd, że</w:t>
      </w:r>
      <w:r w:rsidR="00BD5665">
        <w:rPr>
          <w:rFonts w:ascii="Times New Roman" w:hAnsi="Times New Roman" w:cs="Times New Roman"/>
          <w:color w:val="auto"/>
          <w:sz w:val="24"/>
        </w:rPr>
        <w:t> </w:t>
      </w:r>
      <w:r w:rsidRPr="00C835AB">
        <w:rPr>
          <w:rFonts w:ascii="Times New Roman" w:hAnsi="Times New Roman" w:cs="Times New Roman"/>
          <w:color w:val="auto"/>
          <w:sz w:val="24"/>
        </w:rPr>
        <w:t>środki dowodowe w postaci bilingów rozmów telefonicznych mogą być wykorzystywane tylko w sprawach dotyczących ważniejszych przestępstw, a zatem wątpliwe jest żeby dopuszczalne było wykorzystywanie takiego dowodu w postępowaniu dyscyplinarnym. Również w wyroku z dnia 7 września 2023 r. w sprawie C</w:t>
      </w:r>
      <w:r w:rsidRPr="00C835AB">
        <w:rPr>
          <w:rFonts w:ascii="Times New Roman" w:hAnsi="Times New Roman" w:cs="Times New Roman"/>
          <w:color w:val="auto"/>
          <w:sz w:val="24"/>
        </w:rPr>
        <w:noBreakHyphen/>
        <w:t>162/22 TSUE wskazał, że: „Artykuł 15 ust. 1 dyrektywy 2002/58/WE Parlamentu Europejskiego i Rady z dnia 12 lipca 2002 r. dotyczącej przetwarzania danych osobowych i ochrony prywatności w sektorze łączności elektronicznej (dyrektywy o</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prywatności i łączności elektronicznej), zmienionej dyrektywą Parlamentu Europejskiego i</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Rady 2009/136/WE z dnia 25 listopada 2009 r., w związku z art.</w:t>
      </w:r>
      <w:r w:rsidR="00BD5665">
        <w:rPr>
          <w:rFonts w:ascii="Times New Roman" w:hAnsi="Times New Roman" w:cs="Times New Roman"/>
          <w:color w:val="auto"/>
          <w:sz w:val="24"/>
        </w:rPr>
        <w:t> </w:t>
      </w:r>
      <w:r w:rsidRPr="00C835AB">
        <w:rPr>
          <w:rFonts w:ascii="Times New Roman" w:hAnsi="Times New Roman" w:cs="Times New Roman"/>
          <w:color w:val="auto"/>
          <w:sz w:val="24"/>
        </w:rPr>
        <w:t>7, 8 i 11 oraz art. 52 ust. 1 Karty praw podstawowych Unii Europejskiej należy interpretować w</w:t>
      </w:r>
      <w:r w:rsidR="00BD5665">
        <w:rPr>
          <w:rFonts w:ascii="Times New Roman" w:hAnsi="Times New Roman" w:cs="Times New Roman"/>
          <w:color w:val="auto"/>
          <w:sz w:val="24"/>
        </w:rPr>
        <w:t> </w:t>
      </w:r>
      <w:r w:rsidRPr="00C835AB">
        <w:rPr>
          <w:rFonts w:ascii="Times New Roman" w:hAnsi="Times New Roman" w:cs="Times New Roman"/>
          <w:color w:val="auto"/>
          <w:sz w:val="24"/>
        </w:rPr>
        <w:t>ten sposób, że stoi on na przeszkodzie temu, aby dane osobowe dotyczące łączności elektronicznej, które na podstawie środka ustawowego przyjętego na mocy tego przepisu zostały zatrzymane przez dostawców usług łączności elektronicznej i które zostały następnie udostępnione na podstawie tego środka organom właściwym do zwalczania poważnej przestępczości, mogły być wykorzystywane w</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 xml:space="preserve">ramach dochodzeń dotyczących przewinień dyscyplinarnych związanych z korupcją”. </w:t>
      </w:r>
    </w:p>
    <w:p w14:paraId="016E32DD" w14:textId="46888686" w:rsidR="00846C08" w:rsidRPr="00C835AB" w:rsidRDefault="00846C08" w:rsidP="00846C08">
      <w:pPr>
        <w:tabs>
          <w:tab w:val="left" w:pos="426"/>
        </w:tabs>
        <w:rPr>
          <w:rFonts w:ascii="Times New Roman" w:hAnsi="Times New Roman" w:cs="Times New Roman"/>
          <w:color w:val="auto"/>
          <w:sz w:val="24"/>
        </w:rPr>
      </w:pPr>
      <w:r w:rsidRPr="00C835AB">
        <w:rPr>
          <w:rFonts w:ascii="Times New Roman" w:hAnsi="Times New Roman" w:cs="Times New Roman"/>
          <w:color w:val="auto"/>
          <w:sz w:val="24"/>
        </w:rPr>
        <w:tab/>
        <w:t>Ten sam kierunek oceny pożądanych ograniczeń postępowania dowodowego przyjmuje Europejski Trybunał Praw Człowieka w wyroku z dnia 7 czerwca 2016 r. w sprawie nr</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30083/10 (</w:t>
      </w:r>
      <w:proofErr w:type="spellStart"/>
      <w:r w:rsidRPr="00C835AB">
        <w:rPr>
          <w:rFonts w:ascii="Times New Roman" w:hAnsi="Times New Roman" w:cs="Times New Roman"/>
          <w:i/>
          <w:iCs/>
          <w:color w:val="auto"/>
          <w:sz w:val="24"/>
        </w:rPr>
        <w:t>Karabeyoğlu</w:t>
      </w:r>
      <w:proofErr w:type="spellEnd"/>
      <w:r w:rsidRPr="00C835AB">
        <w:rPr>
          <w:rFonts w:ascii="Times New Roman" w:hAnsi="Times New Roman" w:cs="Times New Roman"/>
          <w:i/>
          <w:iCs/>
          <w:color w:val="auto"/>
          <w:sz w:val="24"/>
        </w:rPr>
        <w:t xml:space="preserve"> przeciwko Turcji</w:t>
      </w:r>
      <w:r w:rsidRPr="00C835AB">
        <w:rPr>
          <w:rFonts w:ascii="Times New Roman" w:hAnsi="Times New Roman" w:cs="Times New Roman"/>
          <w:color w:val="auto"/>
          <w:sz w:val="24"/>
        </w:rPr>
        <w:t xml:space="preserve">) wskazując w pkt 4 konkluzji orzeczenia, że doszło do naruszenia art. 8 </w:t>
      </w:r>
      <w:proofErr w:type="spellStart"/>
      <w:r w:rsidRPr="00C835AB">
        <w:rPr>
          <w:rFonts w:ascii="Times New Roman" w:hAnsi="Times New Roman" w:cs="Times New Roman"/>
          <w:color w:val="auto"/>
          <w:sz w:val="24"/>
        </w:rPr>
        <w:t>EKPCz</w:t>
      </w:r>
      <w:proofErr w:type="spellEnd"/>
      <w:r w:rsidRPr="00C835AB">
        <w:rPr>
          <w:rFonts w:ascii="Times New Roman" w:hAnsi="Times New Roman" w:cs="Times New Roman"/>
          <w:color w:val="auto"/>
          <w:sz w:val="24"/>
        </w:rPr>
        <w:t xml:space="preserve">, poprzez wykorzystanie w ramach prowadzonego przeciwko skarżącemu postępowania dyscyplinarnego informacji uzyskanych za pomocą zastosowanego wobec niego podsłuchu telefonicznego. Europejski Trybunał Praw Człowieka przypomina, oceniając zgodność z przepisami </w:t>
      </w:r>
      <w:proofErr w:type="spellStart"/>
      <w:r w:rsidRPr="00C835AB">
        <w:rPr>
          <w:rFonts w:ascii="Times New Roman" w:hAnsi="Times New Roman" w:cs="Times New Roman"/>
          <w:color w:val="auto"/>
          <w:sz w:val="24"/>
        </w:rPr>
        <w:t>EKPCz</w:t>
      </w:r>
      <w:proofErr w:type="spellEnd"/>
      <w:r w:rsidRPr="00C835AB">
        <w:rPr>
          <w:rFonts w:ascii="Times New Roman" w:hAnsi="Times New Roman" w:cs="Times New Roman"/>
          <w:color w:val="auto"/>
          <w:sz w:val="24"/>
        </w:rPr>
        <w:t xml:space="preserve"> określonych regulacji związanych z wprowadzaniem inwigilacji i wykorzystaniem ich wyników na potrzeby prowadzonych postępowań, w tym postępowania dyscyplinarnego, że w pierwszej kolejności należy odpowiedzieć na pytanie, czy</w:t>
      </w:r>
      <w:r w:rsidR="00BD5665">
        <w:rPr>
          <w:rFonts w:ascii="Times New Roman" w:hAnsi="Times New Roman" w:cs="Times New Roman"/>
          <w:color w:val="auto"/>
          <w:sz w:val="24"/>
        </w:rPr>
        <w:t> </w:t>
      </w:r>
      <w:r w:rsidRPr="00C835AB">
        <w:rPr>
          <w:rFonts w:ascii="Times New Roman" w:hAnsi="Times New Roman" w:cs="Times New Roman"/>
          <w:color w:val="auto"/>
          <w:sz w:val="24"/>
        </w:rPr>
        <w:t xml:space="preserve">cele wprowadzania takich regulacji są uprawnione w świetle art. 8 ust. 2 </w:t>
      </w:r>
      <w:proofErr w:type="spellStart"/>
      <w:r w:rsidRPr="00C835AB">
        <w:rPr>
          <w:rFonts w:ascii="Times New Roman" w:hAnsi="Times New Roman" w:cs="Times New Roman"/>
          <w:color w:val="auto"/>
          <w:sz w:val="24"/>
        </w:rPr>
        <w:t>EKPCz</w:t>
      </w:r>
      <w:proofErr w:type="spellEnd"/>
      <w:r w:rsidRPr="00C835AB">
        <w:rPr>
          <w:rFonts w:ascii="Times New Roman" w:hAnsi="Times New Roman" w:cs="Times New Roman"/>
          <w:color w:val="auto"/>
          <w:sz w:val="24"/>
        </w:rPr>
        <w:t xml:space="preserve"> (zob.</w:t>
      </w:r>
      <w:r w:rsidR="00BD5665">
        <w:rPr>
          <w:rFonts w:ascii="Times New Roman" w:hAnsi="Times New Roman" w:cs="Times New Roman"/>
          <w:color w:val="auto"/>
          <w:sz w:val="24"/>
        </w:rPr>
        <w:t> </w:t>
      </w:r>
      <w:r w:rsidRPr="00C835AB">
        <w:rPr>
          <w:rFonts w:ascii="Times New Roman" w:hAnsi="Times New Roman" w:cs="Times New Roman"/>
          <w:color w:val="auto"/>
          <w:sz w:val="24"/>
        </w:rPr>
        <w:t xml:space="preserve">sprawa </w:t>
      </w:r>
      <w:r w:rsidRPr="00C835AB">
        <w:rPr>
          <w:rFonts w:ascii="Times New Roman" w:hAnsi="Times New Roman" w:cs="Times New Roman"/>
          <w:i/>
          <w:iCs/>
          <w:color w:val="auto"/>
          <w:sz w:val="24"/>
        </w:rPr>
        <w:t>Weber i </w:t>
      </w:r>
      <w:proofErr w:type="spellStart"/>
      <w:r w:rsidRPr="00C835AB">
        <w:rPr>
          <w:rFonts w:ascii="Times New Roman" w:hAnsi="Times New Roman" w:cs="Times New Roman"/>
          <w:i/>
          <w:iCs/>
          <w:color w:val="auto"/>
          <w:sz w:val="24"/>
        </w:rPr>
        <w:t>Saravia</w:t>
      </w:r>
      <w:proofErr w:type="spellEnd"/>
      <w:r w:rsidRPr="00C835AB">
        <w:rPr>
          <w:rFonts w:ascii="Times New Roman" w:hAnsi="Times New Roman" w:cs="Times New Roman"/>
          <w:color w:val="auto"/>
          <w:sz w:val="24"/>
        </w:rPr>
        <w:t xml:space="preserve"> </w:t>
      </w:r>
      <w:r w:rsidRPr="00C835AB">
        <w:rPr>
          <w:rFonts w:ascii="Times New Roman" w:hAnsi="Times New Roman" w:cs="Times New Roman"/>
          <w:i/>
          <w:iCs/>
          <w:color w:val="auto"/>
          <w:sz w:val="24"/>
        </w:rPr>
        <w:t>przeciwko Niemcom</w:t>
      </w:r>
      <w:r w:rsidRPr="00C835AB">
        <w:rPr>
          <w:rFonts w:ascii="Times New Roman" w:hAnsi="Times New Roman" w:cs="Times New Roman"/>
          <w:color w:val="auto"/>
          <w:sz w:val="24"/>
        </w:rPr>
        <w:t xml:space="preserve"> (</w:t>
      </w:r>
      <w:proofErr w:type="spellStart"/>
      <w:r w:rsidRPr="00C835AB">
        <w:rPr>
          <w:rFonts w:ascii="Times New Roman" w:hAnsi="Times New Roman" w:cs="Times New Roman"/>
          <w:color w:val="auto"/>
          <w:sz w:val="24"/>
        </w:rPr>
        <w:t>dec</w:t>
      </w:r>
      <w:proofErr w:type="spellEnd"/>
      <w:r w:rsidRPr="00C835AB">
        <w:rPr>
          <w:rFonts w:ascii="Times New Roman" w:hAnsi="Times New Roman" w:cs="Times New Roman"/>
          <w:color w:val="auto"/>
          <w:sz w:val="24"/>
        </w:rPr>
        <w:t xml:space="preserve">.), nr 54934/00, § 104, CEDH 2006-XI). </w:t>
      </w:r>
      <w:r w:rsidRPr="00C835AB">
        <w:rPr>
          <w:rFonts w:ascii="Times New Roman" w:hAnsi="Times New Roman" w:cs="Times New Roman"/>
          <w:color w:val="auto"/>
          <w:sz w:val="24"/>
        </w:rPr>
        <w:lastRenderedPageBreak/>
        <w:t>Trybunał uznaje, że w przypadku gdy władze krajowe dokonują wyważenia z jednej strony interesu państwa, w ochronie bezpieczeństwa narodowego poprzez środki niejawnej obserwacji, a</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z</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drugiej strony stopnia ingerencji w wykonywanie przez skarżącego prawa do</w:t>
      </w:r>
      <w:r w:rsidR="00BD5665">
        <w:rPr>
          <w:rFonts w:ascii="Times New Roman" w:hAnsi="Times New Roman" w:cs="Times New Roman"/>
          <w:color w:val="auto"/>
          <w:sz w:val="24"/>
        </w:rPr>
        <w:t> </w:t>
      </w:r>
      <w:r w:rsidRPr="00C835AB">
        <w:rPr>
          <w:rFonts w:ascii="Times New Roman" w:hAnsi="Times New Roman" w:cs="Times New Roman"/>
          <w:color w:val="auto"/>
          <w:sz w:val="24"/>
        </w:rPr>
        <w:t>poszanowania życia prywatnego, to władze krajowe dysponują pewnym marginesem oceny w kwestii wyboru środków właściwych dla osiągnięcia uprawnionego celu, jakim jest ochrona bezpieczeństwa narodowego. Ów margines oceny idzie jednak w parze z kontrolą europejską, dotyczącą zarówno ustawy, jak i aktów służących jej stosowaniu. Trybunał musi być przekonany o</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istnieniu odpowiednich i skutecznych gwarancji przeciw nadużyciom, albowiem system obserwacji niejawnej, służący ochronie bezpieczeństwa narodowego, niesie ze sobą ryzyko osłabienia, a nawet zniszczenia demokracji, pod pretekstem jej obrony. Ocena tej</w:t>
      </w:r>
      <w:r w:rsidR="0099355B">
        <w:rPr>
          <w:rFonts w:ascii="Times New Roman" w:hAnsi="Times New Roman" w:cs="Times New Roman"/>
          <w:color w:val="auto"/>
          <w:sz w:val="24"/>
        </w:rPr>
        <w:t> </w:t>
      </w:r>
      <w:r w:rsidRPr="00C835AB">
        <w:rPr>
          <w:rFonts w:ascii="Times New Roman" w:hAnsi="Times New Roman" w:cs="Times New Roman"/>
          <w:color w:val="auto"/>
          <w:sz w:val="24"/>
        </w:rPr>
        <w:t>kwestii zależy od wszystkich okoliczności sprawy, na przykład charakteru, zakresu i czasu trwania ewentualnych środków, przesłanek ich zarządzenia, władz właściwych do wydania zezwolenia na ich zastosowanie, wykonanie i kontrolowanie, oraz rodzaju środków odwoławczych przewidzianych przez prawo krajowe. Trybunał powinien zbadać, czy</w:t>
      </w:r>
      <w:r w:rsidR="00BD5665">
        <w:rPr>
          <w:rFonts w:ascii="Times New Roman" w:hAnsi="Times New Roman" w:cs="Times New Roman"/>
          <w:color w:val="auto"/>
          <w:sz w:val="24"/>
        </w:rPr>
        <w:t> </w:t>
      </w:r>
      <w:r w:rsidRPr="00C835AB">
        <w:rPr>
          <w:rFonts w:ascii="Times New Roman" w:hAnsi="Times New Roman" w:cs="Times New Roman"/>
          <w:color w:val="auto"/>
          <w:sz w:val="24"/>
        </w:rPr>
        <w:t>procedury kontroli wprowadzenia i stosowania środków ograniczających prawa i swobody obywatelskie są w</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stanie ograniczyć „ingerencję” do tego, co jest „konieczne w społeczeństwie demokratycznym” (</w:t>
      </w:r>
      <w:r w:rsidRPr="00C835AB">
        <w:rPr>
          <w:rFonts w:ascii="Times New Roman" w:hAnsi="Times New Roman" w:cs="Times New Roman"/>
          <w:i/>
          <w:iCs/>
          <w:color w:val="auto"/>
          <w:sz w:val="24"/>
        </w:rPr>
        <w:t xml:space="preserve">Roman </w:t>
      </w:r>
      <w:proofErr w:type="spellStart"/>
      <w:r w:rsidRPr="00C835AB">
        <w:rPr>
          <w:rFonts w:ascii="Times New Roman" w:hAnsi="Times New Roman" w:cs="Times New Roman"/>
          <w:i/>
          <w:iCs/>
          <w:color w:val="auto"/>
          <w:sz w:val="24"/>
        </w:rPr>
        <w:t>Zakharov</w:t>
      </w:r>
      <w:proofErr w:type="spellEnd"/>
      <w:r w:rsidRPr="00C835AB">
        <w:rPr>
          <w:rFonts w:ascii="Times New Roman" w:hAnsi="Times New Roman" w:cs="Times New Roman"/>
          <w:i/>
          <w:iCs/>
          <w:color w:val="auto"/>
          <w:sz w:val="24"/>
        </w:rPr>
        <w:t xml:space="preserve"> przeciwko Rosji </w:t>
      </w:r>
      <w:r w:rsidRPr="00C835AB">
        <w:rPr>
          <w:rFonts w:ascii="Times New Roman" w:hAnsi="Times New Roman" w:cs="Times New Roman"/>
          <w:color w:val="auto"/>
          <w:sz w:val="24"/>
        </w:rPr>
        <w:t>[Wielka Izba], nr 47143/06, § 232, z dnia 4 grudnia 2015 r.).</w:t>
      </w:r>
    </w:p>
    <w:p w14:paraId="7BA2013A" w14:textId="12C196EE" w:rsidR="00846C08" w:rsidRPr="00C835AB" w:rsidRDefault="00846C08" w:rsidP="00846C08">
      <w:pPr>
        <w:tabs>
          <w:tab w:val="left" w:pos="426"/>
        </w:tabs>
        <w:rPr>
          <w:rFonts w:ascii="Times New Roman" w:hAnsi="Times New Roman" w:cs="Times New Roman"/>
          <w:color w:val="auto"/>
          <w:sz w:val="24"/>
        </w:rPr>
      </w:pPr>
      <w:r w:rsidRPr="00C835AB">
        <w:rPr>
          <w:rFonts w:ascii="Times New Roman" w:hAnsi="Times New Roman" w:cs="Times New Roman"/>
          <w:color w:val="auto"/>
          <w:sz w:val="24"/>
        </w:rPr>
        <w:tab/>
        <w:t>Projektowane zmiany polegające na uchyleniu art. 115c ustawy – Prawo o ustroju sądów powszechnych oraz art. 158b ustawy – Prawo o prokuraturze, mają na celu ukształtowanie krajowych przepisów ustrojowych regulujących status sędziów i prokuratorów w sposób zgodny z kierunkiem wykładni przedstawionym w wyżej opisanych orzeczeniach europejskich Trybunałów. W świetle powyższego, w ocenie projektodawcy nie jest zasadne stosowanie dowodów uzyskanych w wyniku kontroli operacyjnych lub podsłuchu procesowego na</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potrzeby ustalenia dopuszczenia się deliktów dyscyplinarnych przez sędziów i</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prokuratorów. Dokonując w ślad za Europejskim Trybunałem Praw Człowieka wyważenia z</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jednej strony potrzeby ochrony społeczeństwa demokratycznego, a z drugiej konieczności ochrony praw indywidualnych należy wskazać, że interes ochrony demokratycznego społeczeństwa w postępowaniu dyscyplinarnym, z uwagi na jego zakres i skutki do których może doprowadzić, nie zyskuje prymatu przed prawami indywidualnymi. Innymi słowy, wykorzystanie w postępowaniu dyscyplinarnym sędziów czy prokuratorów, środków dowodowych, uzyskanych w trybie określonym w art. 168b, art. 237 i art. 237a k.p.k. lub</w:t>
      </w:r>
      <w:r w:rsidR="00BD5665">
        <w:rPr>
          <w:rFonts w:ascii="Times New Roman" w:hAnsi="Times New Roman" w:cs="Times New Roman"/>
          <w:color w:val="auto"/>
          <w:sz w:val="24"/>
        </w:rPr>
        <w:t> </w:t>
      </w:r>
      <w:r w:rsidRPr="00C835AB">
        <w:rPr>
          <w:rFonts w:ascii="Times New Roman" w:hAnsi="Times New Roman" w:cs="Times New Roman"/>
          <w:color w:val="auto"/>
          <w:sz w:val="24"/>
        </w:rPr>
        <w:t>w</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 xml:space="preserve">wyniku stosowania kontroli operacyjnej nie doprowadzi do zwiększenia ochrony </w:t>
      </w:r>
      <w:r w:rsidRPr="00C835AB">
        <w:rPr>
          <w:rFonts w:ascii="Times New Roman" w:hAnsi="Times New Roman" w:cs="Times New Roman"/>
          <w:color w:val="auto"/>
          <w:sz w:val="24"/>
        </w:rPr>
        <w:lastRenderedPageBreak/>
        <w:t>społeczeństwa demokratycznego, a niewątpliwie doprowadzi do niezasadnej w takich warunkach ingerencji w prawa indywidualne uczestników postępowań dyscyplinarnych.</w:t>
      </w:r>
    </w:p>
    <w:p w14:paraId="11161013" w14:textId="7518F98D" w:rsidR="00846C08" w:rsidRPr="00C835AB" w:rsidRDefault="00846C08" w:rsidP="00846C08">
      <w:pPr>
        <w:tabs>
          <w:tab w:val="left" w:pos="426"/>
        </w:tabs>
        <w:rPr>
          <w:rFonts w:ascii="Times New Roman" w:hAnsi="Times New Roman" w:cs="Times New Roman"/>
          <w:color w:val="auto"/>
          <w:sz w:val="24"/>
        </w:rPr>
      </w:pPr>
      <w:r w:rsidRPr="00C835AB">
        <w:rPr>
          <w:rFonts w:ascii="Times New Roman" w:hAnsi="Times New Roman" w:cs="Times New Roman"/>
          <w:color w:val="auto"/>
          <w:sz w:val="24"/>
        </w:rPr>
        <w:tab/>
        <w:t>W przypadku czynów wyczerpujących znamiona przestępstw właściwym forum do</w:t>
      </w:r>
      <w:r w:rsidR="00BD5665">
        <w:rPr>
          <w:rFonts w:ascii="Times New Roman" w:hAnsi="Times New Roman" w:cs="Times New Roman"/>
          <w:color w:val="auto"/>
          <w:sz w:val="24"/>
        </w:rPr>
        <w:t> </w:t>
      </w:r>
      <w:r w:rsidRPr="00C835AB">
        <w:rPr>
          <w:rFonts w:ascii="Times New Roman" w:hAnsi="Times New Roman" w:cs="Times New Roman"/>
          <w:color w:val="auto"/>
          <w:sz w:val="24"/>
        </w:rPr>
        <w:t>ukarania sprawcy pozostaje przede wszystkim postępowanie karne. W takim postępowaniu istnieje możliwość orzeczenia zakazu wykonywania zawodu sędziego lub prokuratora. Prawomocne orzeczenie przez sąd środka karnego w postaci pozbawienia praw publicznych lub zakazu zajmowania stanowiska sędziego pociąga za sobą, z mocy prawa, utratę urzędu i</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stanowiska sędziego (art. 68 § 2 ustawy – Prawo o ustroju sądów powszechnych). Odpowiednio w art. 93 § 4 ustawy – Prawo o prokuraturze wskazano, że prawomocny wyrok sądu skazujący prokuratora za umyślne przestępstwo ścigane z oskarżenia publicznego lub</w:t>
      </w:r>
      <w:r w:rsidR="00BD5665">
        <w:rPr>
          <w:rFonts w:ascii="Times New Roman" w:hAnsi="Times New Roman" w:cs="Times New Roman"/>
          <w:color w:val="auto"/>
          <w:sz w:val="24"/>
        </w:rPr>
        <w:t> </w:t>
      </w:r>
      <w:r w:rsidRPr="00C835AB">
        <w:rPr>
          <w:rFonts w:ascii="Times New Roman" w:hAnsi="Times New Roman" w:cs="Times New Roman"/>
          <w:color w:val="auto"/>
          <w:sz w:val="24"/>
        </w:rPr>
        <w:t>orzekający wobec prokuratora środek karny pozbawienia praw publicznych, zakaz zajmowania stanowiska prokuratora, degradację lub wydalenie z zawodowej służby wojskowej, powodują z mocy prawa utratę stanowiska prokuratora.</w:t>
      </w:r>
    </w:p>
    <w:p w14:paraId="16736D9D" w14:textId="2F88FD62" w:rsidR="00846C08" w:rsidRPr="00C835AB" w:rsidRDefault="00846C08" w:rsidP="00846C08">
      <w:pPr>
        <w:tabs>
          <w:tab w:val="left" w:pos="426"/>
        </w:tabs>
        <w:rPr>
          <w:rFonts w:ascii="Times New Roman" w:hAnsi="Times New Roman" w:cs="Times New Roman"/>
          <w:color w:val="auto"/>
          <w:sz w:val="24"/>
        </w:rPr>
      </w:pPr>
      <w:r w:rsidRPr="00C835AB">
        <w:rPr>
          <w:rFonts w:ascii="Times New Roman" w:hAnsi="Times New Roman" w:cs="Times New Roman"/>
          <w:color w:val="auto"/>
          <w:sz w:val="24"/>
        </w:rPr>
        <w:tab/>
        <w:t>Wskazane przepisy zapewniają możliwość usunięcia sędziego lub prokuratora z zawodu już w postępowaniu karnym. Ograniczenia dowodowe w postępowaniach dyscyplinarnych nie</w:t>
      </w:r>
      <w:r w:rsidR="00BD5665">
        <w:rPr>
          <w:rFonts w:ascii="Times New Roman" w:hAnsi="Times New Roman" w:cs="Times New Roman"/>
          <w:color w:val="auto"/>
          <w:sz w:val="24"/>
        </w:rPr>
        <w:t> </w:t>
      </w:r>
      <w:r w:rsidRPr="00C835AB">
        <w:rPr>
          <w:rFonts w:ascii="Times New Roman" w:hAnsi="Times New Roman" w:cs="Times New Roman"/>
          <w:color w:val="auto"/>
          <w:sz w:val="24"/>
        </w:rPr>
        <w:t>oznaczają zatem możliwości bezkarności przedstawicieli tych zawodów zaufania publicznego za popełnienie najpoważniejszych czynów zabronionych, jakimi są przestępstwa.</w:t>
      </w:r>
    </w:p>
    <w:p w14:paraId="6540E92A" w14:textId="48B53535" w:rsidR="00846C08" w:rsidRPr="00C835AB" w:rsidRDefault="00846C08" w:rsidP="00846C08">
      <w:pPr>
        <w:pStyle w:val="NormalnyWeb"/>
        <w:spacing w:before="0" w:beforeAutospacing="0" w:after="0" w:afterAutospacing="0" w:line="360" w:lineRule="auto"/>
        <w:jc w:val="both"/>
        <w:rPr>
          <w:iCs/>
        </w:rPr>
      </w:pPr>
      <w:r w:rsidRPr="00C835AB">
        <w:tab/>
        <w:t>W odniesieniu do projektowanych zmian polegających na uchyleniu art. 115c ustawy –</w:t>
      </w:r>
      <w:r w:rsidR="00BD5665">
        <w:t> </w:t>
      </w:r>
      <w:r w:rsidRPr="00C835AB">
        <w:t xml:space="preserve">Prawo o ustroju sądów powszechnych oraz art. 158b ustawy – Prawo o prokuraturze, projektodawca przewidział bezpośrednie działanie nowej ustawy od daty jej wejścia w życie. </w:t>
      </w:r>
      <w:r w:rsidRPr="00C835AB">
        <w:rPr>
          <w:iCs/>
        </w:rPr>
        <w:t>To oznacza, że usankcjonowana wejściem w życie projektowanej ustawy okoliczność uchylenia ww. przepisów ustrojowych będzie również musiała zostać uwzględniona przez</w:t>
      </w:r>
      <w:r w:rsidR="00BD5665">
        <w:rPr>
          <w:iCs/>
        </w:rPr>
        <w:t> </w:t>
      </w:r>
      <w:r w:rsidRPr="00C835AB">
        <w:rPr>
          <w:iCs/>
        </w:rPr>
        <w:t>organy stosujące prawo co do stosunków zaistniałych wcześniej.</w:t>
      </w:r>
    </w:p>
    <w:p w14:paraId="3EE3A870" w14:textId="4C739302" w:rsidR="00846C08" w:rsidRPr="00C835AB" w:rsidRDefault="00846C08" w:rsidP="00846C08">
      <w:pPr>
        <w:ind w:firstLine="709"/>
        <w:rPr>
          <w:rFonts w:ascii="Times New Roman" w:hAnsi="Times New Roman" w:cs="Times New Roman"/>
          <w:sz w:val="24"/>
        </w:rPr>
      </w:pPr>
      <w:r w:rsidRPr="00C835AB">
        <w:rPr>
          <w:rFonts w:ascii="Times New Roman" w:hAnsi="Times New Roman" w:cs="Times New Roman"/>
          <w:color w:val="auto"/>
          <w:sz w:val="24"/>
        </w:rPr>
        <w:t xml:space="preserve">Projektowana zmiana art. 70 § </w:t>
      </w:r>
      <w:r w:rsidR="00490E99" w:rsidRPr="00C835AB">
        <w:rPr>
          <w:rFonts w:ascii="Times New Roman" w:hAnsi="Times New Roman" w:cs="Times New Roman"/>
          <w:color w:val="auto"/>
          <w:sz w:val="24"/>
        </w:rPr>
        <w:t>1</w:t>
      </w:r>
      <w:r w:rsidRPr="00C835AB">
        <w:rPr>
          <w:rFonts w:ascii="Times New Roman" w:hAnsi="Times New Roman" w:cs="Times New Roman"/>
          <w:color w:val="auto"/>
          <w:sz w:val="24"/>
        </w:rPr>
        <w:t xml:space="preserve"> ustawy – Prawo o ustroju sądów wojskowych</w:t>
      </w:r>
      <w:r w:rsidR="00915F2D">
        <w:rPr>
          <w:rFonts w:ascii="Times New Roman" w:hAnsi="Times New Roman" w:cs="Times New Roman"/>
          <w:color w:val="auto"/>
          <w:sz w:val="24"/>
        </w:rPr>
        <w:t xml:space="preserve"> (Dz. U. z 2022 r. poz. 2250, z </w:t>
      </w:r>
      <w:proofErr w:type="spellStart"/>
      <w:r w:rsidR="00915F2D">
        <w:rPr>
          <w:rFonts w:ascii="Times New Roman" w:hAnsi="Times New Roman" w:cs="Times New Roman"/>
          <w:color w:val="auto"/>
          <w:sz w:val="24"/>
        </w:rPr>
        <w:t>późn</w:t>
      </w:r>
      <w:proofErr w:type="spellEnd"/>
      <w:r w:rsidR="00915F2D">
        <w:rPr>
          <w:rFonts w:ascii="Times New Roman" w:hAnsi="Times New Roman" w:cs="Times New Roman"/>
          <w:color w:val="auto"/>
          <w:sz w:val="24"/>
        </w:rPr>
        <w:t>. zm.)</w:t>
      </w:r>
      <w:r w:rsidRPr="00C835AB">
        <w:rPr>
          <w:rFonts w:ascii="Times New Roman" w:hAnsi="Times New Roman" w:cs="Times New Roman"/>
          <w:color w:val="auto"/>
          <w:sz w:val="24"/>
        </w:rPr>
        <w:t xml:space="preserve"> jest</w:t>
      </w:r>
      <w:r w:rsidR="00BD5665">
        <w:rPr>
          <w:rFonts w:ascii="Times New Roman" w:hAnsi="Times New Roman" w:cs="Times New Roman"/>
          <w:color w:val="auto"/>
          <w:sz w:val="24"/>
        </w:rPr>
        <w:t> </w:t>
      </w:r>
      <w:r w:rsidRPr="00C835AB">
        <w:rPr>
          <w:rFonts w:ascii="Times New Roman" w:hAnsi="Times New Roman" w:cs="Times New Roman"/>
          <w:color w:val="auto"/>
          <w:sz w:val="24"/>
        </w:rPr>
        <w:t>konsekwencją projektowanego uchylenia art. 115c ustawy – Prawo o ustroju sądów powszechnych.</w:t>
      </w:r>
    </w:p>
    <w:p w14:paraId="7575F0C0" w14:textId="77777777" w:rsidR="00E20C6A" w:rsidRPr="00C835AB" w:rsidRDefault="00E20C6A" w:rsidP="00D823D0">
      <w:pPr>
        <w:rPr>
          <w:rFonts w:ascii="Times New Roman" w:eastAsia="Times New Roman" w:hAnsi="Times New Roman" w:cs="Times New Roman"/>
          <w:b/>
          <w:color w:val="auto"/>
          <w:kern w:val="0"/>
          <w:sz w:val="24"/>
          <w:u w:val="single"/>
          <w:lang w:eastAsia="pl-PL"/>
          <w14:ligatures w14:val="none"/>
        </w:rPr>
      </w:pPr>
    </w:p>
    <w:p w14:paraId="601DD9EB" w14:textId="3026AE8D" w:rsidR="00B6034F" w:rsidRPr="005F350A" w:rsidRDefault="00102413" w:rsidP="00D823D0">
      <w:pPr>
        <w:rPr>
          <w:rFonts w:ascii="Times New Roman" w:eastAsia="Times New Roman" w:hAnsi="Times New Roman" w:cs="Times New Roman"/>
          <w:b/>
          <w:color w:val="auto"/>
          <w:kern w:val="0"/>
          <w:sz w:val="24"/>
          <w:u w:val="single"/>
          <w:lang w:eastAsia="pl-PL"/>
          <w14:ligatures w14:val="none"/>
        </w:rPr>
      </w:pPr>
      <w:r w:rsidRPr="00C835AB">
        <w:rPr>
          <w:rFonts w:ascii="Times New Roman" w:eastAsia="Times New Roman" w:hAnsi="Times New Roman" w:cs="Times New Roman"/>
          <w:b/>
          <w:color w:val="auto"/>
          <w:kern w:val="0"/>
          <w:sz w:val="24"/>
          <w:u w:val="single"/>
          <w:lang w:eastAsia="pl-PL"/>
          <w14:ligatures w14:val="none"/>
        </w:rPr>
        <w:t xml:space="preserve">Zmiany w Kodeksie karnym skarbowym </w:t>
      </w:r>
    </w:p>
    <w:p w14:paraId="315D642A" w14:textId="77777777" w:rsidR="003B618F" w:rsidRPr="00C835AB" w:rsidRDefault="003B618F" w:rsidP="003B618F">
      <w:pPr>
        <w:ind w:firstLine="709"/>
        <w:rPr>
          <w:rFonts w:ascii="Times New Roman" w:eastAsia="Times New Roman" w:hAnsi="Times New Roman" w:cs="Times New Roman"/>
          <w:b/>
          <w:color w:val="auto"/>
          <w:kern w:val="0"/>
          <w:sz w:val="24"/>
          <w:lang w:eastAsia="pl-PL"/>
          <w14:ligatures w14:val="none"/>
        </w:rPr>
      </w:pPr>
    </w:p>
    <w:p w14:paraId="519C458A" w14:textId="359507EA" w:rsidR="003B618F" w:rsidRPr="00C835AB" w:rsidRDefault="003B618F" w:rsidP="003B618F">
      <w:pPr>
        <w:ind w:firstLine="709"/>
        <w:rPr>
          <w:rFonts w:ascii="Times New Roman" w:eastAsia="Times New Roman" w:hAnsi="Times New Roman" w:cs="Times New Roman"/>
          <w:b/>
          <w:color w:val="auto"/>
          <w:kern w:val="0"/>
          <w:sz w:val="24"/>
          <w:lang w:eastAsia="pl-PL"/>
          <w14:ligatures w14:val="none"/>
        </w:rPr>
      </w:pPr>
      <w:r w:rsidRPr="00C835AB">
        <w:rPr>
          <w:rFonts w:ascii="Times New Roman" w:eastAsia="Times New Roman" w:hAnsi="Times New Roman" w:cs="Times New Roman"/>
          <w:b/>
          <w:color w:val="auto"/>
          <w:kern w:val="0"/>
          <w:sz w:val="24"/>
          <w:lang w:eastAsia="pl-PL"/>
          <w14:ligatures w14:val="none"/>
        </w:rPr>
        <w:t>Art. 48</w:t>
      </w:r>
      <w:r w:rsidRPr="00C835AB">
        <w:rPr>
          <w:rFonts w:ascii="Times New Roman" w:eastAsia="Times New Roman" w:hAnsi="Times New Roman" w:cs="Times New Roman"/>
          <w:bCs/>
          <w:color w:val="auto"/>
          <w:kern w:val="0"/>
          <w:sz w:val="24"/>
          <w:lang w:eastAsia="pl-PL"/>
          <w14:ligatures w14:val="none"/>
        </w:rPr>
        <w:t xml:space="preserve"> </w:t>
      </w:r>
      <w:r w:rsidRPr="00C835AB">
        <w:rPr>
          <w:rFonts w:ascii="Times New Roman" w:eastAsia="Times New Roman" w:hAnsi="Times New Roman" w:cs="Times New Roman"/>
          <w:b/>
          <w:color w:val="auto"/>
          <w:kern w:val="0"/>
          <w:sz w:val="24"/>
          <w:lang w:eastAsia="pl-PL"/>
          <w14:ligatures w14:val="none"/>
        </w:rPr>
        <w:t xml:space="preserve">§ 5 </w:t>
      </w:r>
      <w:proofErr w:type="spellStart"/>
      <w:r w:rsidRPr="00C835AB">
        <w:rPr>
          <w:rFonts w:ascii="Times New Roman" w:eastAsia="Times New Roman" w:hAnsi="Times New Roman" w:cs="Times New Roman"/>
          <w:b/>
          <w:color w:val="auto"/>
          <w:kern w:val="0"/>
          <w:sz w:val="24"/>
          <w:lang w:eastAsia="pl-PL"/>
          <w14:ligatures w14:val="none"/>
        </w:rPr>
        <w:t>k.k.s</w:t>
      </w:r>
      <w:proofErr w:type="spellEnd"/>
      <w:r w:rsidRPr="00C835AB">
        <w:rPr>
          <w:rFonts w:ascii="Times New Roman" w:eastAsia="Times New Roman" w:hAnsi="Times New Roman" w:cs="Times New Roman"/>
          <w:b/>
          <w:color w:val="auto"/>
          <w:kern w:val="0"/>
          <w:sz w:val="24"/>
          <w:lang w:eastAsia="pl-PL"/>
          <w14:ligatures w14:val="none"/>
        </w:rPr>
        <w:t xml:space="preserve">. i art. </w:t>
      </w:r>
      <w:proofErr w:type="spellStart"/>
      <w:r w:rsidRPr="00C835AB">
        <w:rPr>
          <w:rFonts w:ascii="Times New Roman" w:eastAsia="Times New Roman" w:hAnsi="Times New Roman" w:cs="Times New Roman"/>
          <w:b/>
          <w:color w:val="auto"/>
          <w:kern w:val="0"/>
          <w:sz w:val="24"/>
          <w:lang w:eastAsia="pl-PL"/>
          <w14:ligatures w14:val="none"/>
        </w:rPr>
        <w:t>132a</w:t>
      </w:r>
      <w:proofErr w:type="spellEnd"/>
      <w:r w:rsidRPr="00C835AB">
        <w:rPr>
          <w:rFonts w:ascii="Times New Roman" w:eastAsia="Times New Roman" w:hAnsi="Times New Roman" w:cs="Times New Roman"/>
          <w:b/>
          <w:color w:val="auto"/>
          <w:kern w:val="0"/>
          <w:sz w:val="24"/>
          <w:lang w:eastAsia="pl-PL"/>
          <w14:ligatures w14:val="none"/>
        </w:rPr>
        <w:t xml:space="preserve"> </w:t>
      </w:r>
      <w:proofErr w:type="spellStart"/>
      <w:r w:rsidRPr="00C835AB">
        <w:rPr>
          <w:rFonts w:ascii="Times New Roman" w:eastAsia="Times New Roman" w:hAnsi="Times New Roman" w:cs="Times New Roman"/>
          <w:b/>
          <w:color w:val="auto"/>
          <w:kern w:val="0"/>
          <w:sz w:val="24"/>
          <w:lang w:eastAsia="pl-PL"/>
          <w14:ligatures w14:val="none"/>
        </w:rPr>
        <w:t>k.k.s</w:t>
      </w:r>
      <w:proofErr w:type="spellEnd"/>
      <w:r w:rsidRPr="00C835AB">
        <w:rPr>
          <w:rFonts w:ascii="Times New Roman" w:eastAsia="Times New Roman" w:hAnsi="Times New Roman" w:cs="Times New Roman"/>
          <w:b/>
          <w:color w:val="auto"/>
          <w:kern w:val="0"/>
          <w:sz w:val="24"/>
          <w:lang w:eastAsia="pl-PL"/>
          <w14:ligatures w14:val="none"/>
        </w:rPr>
        <w:t>.</w:t>
      </w:r>
    </w:p>
    <w:p w14:paraId="6EACAFC6" w14:textId="6DEEAB78" w:rsidR="003B618F" w:rsidRPr="00C835AB" w:rsidRDefault="003B618F" w:rsidP="00741AA8">
      <w:pPr>
        <w:ind w:firstLine="709"/>
        <w:rPr>
          <w:rFonts w:ascii="Times New Roman" w:hAnsi="Times New Roman" w:cs="Times New Roman"/>
          <w:bCs/>
          <w:color w:val="auto"/>
          <w:sz w:val="24"/>
        </w:rPr>
      </w:pPr>
      <w:r w:rsidRPr="00C835AB">
        <w:rPr>
          <w:rFonts w:ascii="Times New Roman" w:eastAsia="Aptos" w:hAnsi="Times New Roman" w:cs="Times New Roman"/>
          <w:bCs/>
          <w:color w:val="000000"/>
          <w:kern w:val="0"/>
          <w:sz w:val="24"/>
          <w14:ligatures w14:val="none"/>
        </w:rPr>
        <w:t>Projektowana zmiana wynika ze zmiany definicji podejrzanego, proponowanej w</w:t>
      </w:r>
      <w:r w:rsidR="001A3D13" w:rsidRPr="00C835AB">
        <w:rPr>
          <w:rFonts w:ascii="Times New Roman" w:eastAsia="Aptos" w:hAnsi="Times New Roman" w:cs="Times New Roman"/>
          <w:bCs/>
          <w:color w:val="000000"/>
          <w:kern w:val="0"/>
          <w:sz w:val="24"/>
          <w14:ligatures w14:val="none"/>
        </w:rPr>
        <w:t> </w:t>
      </w:r>
      <w:r w:rsidRPr="00C835AB">
        <w:rPr>
          <w:rFonts w:ascii="Times New Roman" w:eastAsia="Aptos" w:hAnsi="Times New Roman" w:cs="Times New Roman"/>
          <w:bCs/>
          <w:color w:val="000000"/>
          <w:kern w:val="0"/>
          <w:sz w:val="24"/>
          <w14:ligatures w14:val="none"/>
        </w:rPr>
        <w:t xml:space="preserve">niniejszym projekcie i konieczności ujednolicenia przyjętej terminologii. </w:t>
      </w:r>
    </w:p>
    <w:p w14:paraId="5F4762E8" w14:textId="77777777" w:rsidR="00B6034F" w:rsidRPr="00C835AB" w:rsidRDefault="00B6034F" w:rsidP="00D823D0">
      <w:pPr>
        <w:rPr>
          <w:rFonts w:ascii="Times New Roman" w:eastAsia="Times New Roman" w:hAnsi="Times New Roman" w:cs="Times New Roman"/>
          <w:b/>
          <w:color w:val="auto"/>
          <w:kern w:val="0"/>
          <w:sz w:val="24"/>
          <w:lang w:eastAsia="pl-PL"/>
          <w14:ligatures w14:val="none"/>
        </w:rPr>
      </w:pPr>
    </w:p>
    <w:p w14:paraId="2AC17338" w14:textId="13E7022D" w:rsidR="00CD00ED" w:rsidRPr="00C835AB" w:rsidRDefault="00B6034F" w:rsidP="00D823D0">
      <w:pPr>
        <w:ind w:firstLine="709"/>
        <w:rPr>
          <w:rFonts w:ascii="Times New Roman" w:eastAsia="Times New Roman" w:hAnsi="Times New Roman" w:cs="Times New Roman"/>
          <w:b/>
          <w:color w:val="auto"/>
          <w:kern w:val="0"/>
          <w:sz w:val="24"/>
          <w:lang w:eastAsia="pl-PL"/>
          <w14:ligatures w14:val="none"/>
        </w:rPr>
      </w:pPr>
      <w:r w:rsidRPr="00C835AB">
        <w:rPr>
          <w:rFonts w:ascii="Times New Roman" w:eastAsia="Times New Roman" w:hAnsi="Times New Roman" w:cs="Times New Roman"/>
          <w:b/>
          <w:color w:val="auto"/>
          <w:kern w:val="0"/>
          <w:sz w:val="24"/>
          <w:lang w:eastAsia="pl-PL"/>
          <w14:ligatures w14:val="none"/>
        </w:rPr>
        <w:t>Art. 122</w:t>
      </w:r>
      <w:r w:rsidR="00FF5895" w:rsidRPr="00C835AB">
        <w:rPr>
          <w:rFonts w:ascii="Times New Roman" w:eastAsia="Times New Roman" w:hAnsi="Times New Roman" w:cs="Times New Roman"/>
          <w:b/>
          <w:color w:val="auto"/>
          <w:kern w:val="0"/>
          <w:sz w:val="24"/>
          <w:lang w:eastAsia="pl-PL"/>
          <w14:ligatures w14:val="none"/>
        </w:rPr>
        <w:t xml:space="preserve"> § 2 </w:t>
      </w:r>
      <w:proofErr w:type="spellStart"/>
      <w:r w:rsidR="00FF5895" w:rsidRPr="00C835AB">
        <w:rPr>
          <w:rFonts w:ascii="Times New Roman" w:eastAsia="Times New Roman" w:hAnsi="Times New Roman" w:cs="Times New Roman"/>
          <w:b/>
          <w:color w:val="auto"/>
          <w:kern w:val="0"/>
          <w:sz w:val="24"/>
          <w:lang w:eastAsia="pl-PL"/>
          <w14:ligatures w14:val="none"/>
        </w:rPr>
        <w:t>k.k.s</w:t>
      </w:r>
      <w:proofErr w:type="spellEnd"/>
      <w:r w:rsidR="00FF5895" w:rsidRPr="00C835AB">
        <w:rPr>
          <w:rFonts w:ascii="Times New Roman" w:eastAsia="Times New Roman" w:hAnsi="Times New Roman" w:cs="Times New Roman"/>
          <w:b/>
          <w:color w:val="auto"/>
          <w:kern w:val="0"/>
          <w:sz w:val="24"/>
          <w:lang w:eastAsia="pl-PL"/>
          <w14:ligatures w14:val="none"/>
        </w:rPr>
        <w:t>.</w:t>
      </w:r>
    </w:p>
    <w:p w14:paraId="74B89513" w14:textId="2863FCDA" w:rsidR="00B6034F" w:rsidRDefault="00983FC5" w:rsidP="00D823D0">
      <w:pPr>
        <w:ind w:firstLine="709"/>
        <w:rPr>
          <w:rFonts w:ascii="Times New Roman" w:eastAsia="Times New Roman" w:hAnsi="Times New Roman" w:cs="Times New Roman"/>
          <w:bCs/>
          <w:color w:val="auto"/>
          <w:kern w:val="0"/>
          <w:sz w:val="24"/>
          <w:lang w:eastAsia="pl-PL"/>
          <w14:ligatures w14:val="none"/>
        </w:rPr>
      </w:pPr>
      <w:r w:rsidRPr="00C835AB">
        <w:rPr>
          <w:rFonts w:ascii="Times New Roman" w:eastAsia="Times New Roman" w:hAnsi="Times New Roman" w:cs="Times New Roman"/>
          <w:bCs/>
          <w:color w:val="auto"/>
          <w:kern w:val="0"/>
          <w:sz w:val="24"/>
          <w:lang w:eastAsia="pl-PL"/>
          <w14:ligatures w14:val="none"/>
        </w:rPr>
        <w:lastRenderedPageBreak/>
        <w:t>Projektowana z</w:t>
      </w:r>
      <w:r w:rsidR="00B6034F" w:rsidRPr="00C835AB">
        <w:rPr>
          <w:rFonts w:ascii="Times New Roman" w:eastAsia="Times New Roman" w:hAnsi="Times New Roman" w:cs="Times New Roman"/>
          <w:bCs/>
          <w:color w:val="auto"/>
          <w:kern w:val="0"/>
          <w:sz w:val="24"/>
          <w:lang w:eastAsia="pl-PL"/>
          <w14:ligatures w14:val="none"/>
        </w:rPr>
        <w:t xml:space="preserve">miana </w:t>
      </w:r>
      <w:r w:rsidR="00FF5895" w:rsidRPr="00C835AB">
        <w:rPr>
          <w:rFonts w:ascii="Times New Roman" w:eastAsia="Times New Roman" w:hAnsi="Times New Roman" w:cs="Times New Roman"/>
          <w:bCs/>
          <w:color w:val="auto"/>
          <w:kern w:val="0"/>
          <w:sz w:val="24"/>
          <w:lang w:eastAsia="pl-PL"/>
          <w14:ligatures w14:val="none"/>
        </w:rPr>
        <w:t xml:space="preserve">art. 122 § 2 </w:t>
      </w:r>
      <w:proofErr w:type="spellStart"/>
      <w:r w:rsidR="00FF5895" w:rsidRPr="00C835AB">
        <w:rPr>
          <w:rFonts w:ascii="Times New Roman" w:eastAsia="Times New Roman" w:hAnsi="Times New Roman" w:cs="Times New Roman"/>
          <w:bCs/>
          <w:color w:val="auto"/>
          <w:kern w:val="0"/>
          <w:sz w:val="24"/>
          <w:lang w:eastAsia="pl-PL"/>
          <w14:ligatures w14:val="none"/>
        </w:rPr>
        <w:t>k.k.s</w:t>
      </w:r>
      <w:proofErr w:type="spellEnd"/>
      <w:r w:rsidR="00FF5895" w:rsidRPr="00C835AB">
        <w:rPr>
          <w:rFonts w:ascii="Times New Roman" w:eastAsia="Times New Roman" w:hAnsi="Times New Roman" w:cs="Times New Roman"/>
          <w:bCs/>
          <w:color w:val="auto"/>
          <w:kern w:val="0"/>
          <w:sz w:val="24"/>
          <w:lang w:eastAsia="pl-PL"/>
          <w14:ligatures w14:val="none"/>
        </w:rPr>
        <w:t xml:space="preserve">. </w:t>
      </w:r>
      <w:r w:rsidR="00B6034F" w:rsidRPr="00C835AB">
        <w:rPr>
          <w:rFonts w:ascii="Times New Roman" w:eastAsia="Times New Roman" w:hAnsi="Times New Roman" w:cs="Times New Roman"/>
          <w:bCs/>
          <w:color w:val="auto"/>
          <w:kern w:val="0"/>
          <w:sz w:val="24"/>
          <w:lang w:eastAsia="pl-PL"/>
          <w14:ligatures w14:val="none"/>
        </w:rPr>
        <w:t xml:space="preserve">jest konsekwencją </w:t>
      </w:r>
      <w:r w:rsidR="00C9150D" w:rsidRPr="00C835AB">
        <w:rPr>
          <w:rFonts w:ascii="Times New Roman" w:eastAsia="Times New Roman" w:hAnsi="Times New Roman" w:cs="Times New Roman"/>
          <w:bCs/>
          <w:color w:val="auto"/>
          <w:kern w:val="0"/>
          <w:sz w:val="24"/>
          <w:lang w:eastAsia="pl-PL"/>
          <w14:ligatures w14:val="none"/>
        </w:rPr>
        <w:t>uchylenia w art. 73 k.p.k. przepisów ograniczających poufność kontaktów z obrońcą.</w:t>
      </w:r>
    </w:p>
    <w:p w14:paraId="4EDC95A8" w14:textId="77777777" w:rsidR="00741AA8" w:rsidRDefault="00741AA8" w:rsidP="00D823D0">
      <w:pPr>
        <w:ind w:firstLine="709"/>
        <w:rPr>
          <w:rFonts w:ascii="Times New Roman" w:eastAsia="Times New Roman" w:hAnsi="Times New Roman" w:cs="Times New Roman"/>
          <w:bCs/>
          <w:color w:val="auto"/>
          <w:kern w:val="0"/>
          <w:sz w:val="24"/>
          <w:lang w:eastAsia="pl-PL"/>
          <w14:ligatures w14:val="none"/>
        </w:rPr>
      </w:pPr>
    </w:p>
    <w:p w14:paraId="789C42BD" w14:textId="7584D6D2" w:rsidR="00741AA8" w:rsidRPr="00A0500E" w:rsidRDefault="00741AA8" w:rsidP="00741AA8">
      <w:pPr>
        <w:ind w:firstLine="709"/>
        <w:rPr>
          <w:rFonts w:ascii="Times New Roman" w:eastAsia="Times New Roman" w:hAnsi="Times New Roman" w:cs="Times New Roman"/>
          <w:b/>
          <w:color w:val="auto"/>
          <w:kern w:val="0"/>
          <w:sz w:val="24"/>
          <w:lang w:eastAsia="pl-PL"/>
          <w14:ligatures w14:val="none"/>
        </w:rPr>
      </w:pPr>
      <w:r w:rsidRPr="00C835AB">
        <w:rPr>
          <w:rFonts w:ascii="Times New Roman" w:eastAsia="Times New Roman" w:hAnsi="Times New Roman" w:cs="Times New Roman"/>
          <w:b/>
          <w:color w:val="auto"/>
          <w:kern w:val="0"/>
          <w:sz w:val="24"/>
          <w:lang w:eastAsia="pl-PL"/>
          <w14:ligatures w14:val="none"/>
        </w:rPr>
        <w:t>Art. 1</w:t>
      </w:r>
      <w:r>
        <w:rPr>
          <w:rFonts w:ascii="Times New Roman" w:eastAsia="Times New Roman" w:hAnsi="Times New Roman" w:cs="Times New Roman"/>
          <w:b/>
          <w:color w:val="auto"/>
          <w:kern w:val="0"/>
          <w:sz w:val="24"/>
          <w:lang w:eastAsia="pl-PL"/>
          <w14:ligatures w14:val="none"/>
        </w:rPr>
        <w:t>53</w:t>
      </w:r>
      <w:r w:rsidRPr="00C835AB">
        <w:rPr>
          <w:rFonts w:ascii="Times New Roman" w:eastAsia="Times New Roman" w:hAnsi="Times New Roman" w:cs="Times New Roman"/>
          <w:b/>
          <w:color w:val="auto"/>
          <w:kern w:val="0"/>
          <w:sz w:val="24"/>
          <w:lang w:eastAsia="pl-PL"/>
          <w14:ligatures w14:val="none"/>
        </w:rPr>
        <w:t xml:space="preserve"> § </w:t>
      </w:r>
      <w:r>
        <w:rPr>
          <w:rFonts w:ascii="Times New Roman" w:eastAsia="Times New Roman" w:hAnsi="Times New Roman" w:cs="Times New Roman"/>
          <w:b/>
          <w:color w:val="auto"/>
          <w:kern w:val="0"/>
          <w:sz w:val="24"/>
          <w:lang w:eastAsia="pl-PL"/>
          <w14:ligatures w14:val="none"/>
        </w:rPr>
        <w:t>1</w:t>
      </w:r>
      <w:r w:rsidRPr="00C835AB">
        <w:rPr>
          <w:rFonts w:ascii="Times New Roman" w:eastAsia="Times New Roman" w:hAnsi="Times New Roman" w:cs="Times New Roman"/>
          <w:b/>
          <w:color w:val="auto"/>
          <w:kern w:val="0"/>
          <w:sz w:val="24"/>
          <w:lang w:eastAsia="pl-PL"/>
          <w14:ligatures w14:val="none"/>
        </w:rPr>
        <w:t xml:space="preserve"> </w:t>
      </w:r>
      <w:proofErr w:type="spellStart"/>
      <w:r w:rsidRPr="00C835AB">
        <w:rPr>
          <w:rFonts w:ascii="Times New Roman" w:eastAsia="Times New Roman" w:hAnsi="Times New Roman" w:cs="Times New Roman"/>
          <w:b/>
          <w:color w:val="auto"/>
          <w:kern w:val="0"/>
          <w:sz w:val="24"/>
          <w:lang w:eastAsia="pl-PL"/>
          <w14:ligatures w14:val="none"/>
        </w:rPr>
        <w:t>k.k.s</w:t>
      </w:r>
      <w:proofErr w:type="spellEnd"/>
      <w:r w:rsidRPr="00C835AB">
        <w:rPr>
          <w:rFonts w:ascii="Times New Roman" w:eastAsia="Times New Roman" w:hAnsi="Times New Roman" w:cs="Times New Roman"/>
          <w:b/>
          <w:color w:val="auto"/>
          <w:kern w:val="0"/>
          <w:sz w:val="24"/>
          <w:lang w:eastAsia="pl-PL"/>
          <w14:ligatures w14:val="none"/>
        </w:rPr>
        <w:t>.</w:t>
      </w:r>
    </w:p>
    <w:p w14:paraId="6278A64E" w14:textId="2D0638D7" w:rsidR="00B6034F" w:rsidRPr="00771922" w:rsidRDefault="00771922" w:rsidP="00A00BAB">
      <w:pPr>
        <w:rPr>
          <w:rFonts w:ascii="Times New Roman" w:eastAsia="Times New Roman" w:hAnsi="Times New Roman" w:cs="Times New Roman"/>
          <w:b/>
          <w:color w:val="auto"/>
          <w:kern w:val="0"/>
          <w:sz w:val="24"/>
          <w:lang w:eastAsia="pl-PL"/>
          <w14:ligatures w14:val="none"/>
        </w:rPr>
      </w:pPr>
      <w:r w:rsidRPr="00A0500E">
        <w:rPr>
          <w:rFonts w:ascii="Times New Roman" w:eastAsia="Times New Roman" w:hAnsi="Times New Roman" w:cs="Times New Roman"/>
          <w:bCs/>
          <w:color w:val="auto"/>
          <w:kern w:val="0"/>
          <w:sz w:val="24"/>
          <w:lang w:eastAsia="pl-PL"/>
          <w14:ligatures w14:val="none"/>
        </w:rPr>
        <w:tab/>
        <w:t xml:space="preserve">Proponowana zmiana art. 153 § 1 </w:t>
      </w:r>
      <w:proofErr w:type="spellStart"/>
      <w:r w:rsidRPr="00A0500E">
        <w:rPr>
          <w:rFonts w:ascii="Times New Roman" w:eastAsia="Times New Roman" w:hAnsi="Times New Roman" w:cs="Times New Roman"/>
          <w:bCs/>
          <w:color w:val="auto"/>
          <w:kern w:val="0"/>
          <w:sz w:val="24"/>
          <w:lang w:eastAsia="pl-PL"/>
          <w14:ligatures w14:val="none"/>
        </w:rPr>
        <w:t>k.k.s</w:t>
      </w:r>
      <w:proofErr w:type="spellEnd"/>
      <w:r w:rsidRPr="00A0500E">
        <w:rPr>
          <w:rFonts w:ascii="Times New Roman" w:eastAsia="Times New Roman" w:hAnsi="Times New Roman" w:cs="Times New Roman"/>
          <w:bCs/>
          <w:color w:val="auto"/>
          <w:kern w:val="0"/>
          <w:sz w:val="24"/>
          <w:lang w:eastAsia="pl-PL"/>
          <w14:ligatures w14:val="none"/>
        </w:rPr>
        <w:t>. motywowana jest analogiczną argumentacją jak przedstawiona przy projektowanej zmianie art. 310 § 2 k.p.k.</w:t>
      </w:r>
    </w:p>
    <w:p w14:paraId="71FABCA4" w14:textId="77777777" w:rsidR="00771922" w:rsidRPr="00C835AB" w:rsidRDefault="00771922" w:rsidP="00A00BAB">
      <w:pPr>
        <w:rPr>
          <w:rFonts w:ascii="Times New Roman" w:eastAsia="Times New Roman" w:hAnsi="Times New Roman" w:cs="Times New Roman"/>
          <w:b/>
          <w:color w:val="auto"/>
          <w:kern w:val="0"/>
          <w:sz w:val="24"/>
          <w:lang w:eastAsia="pl-PL"/>
          <w14:ligatures w14:val="none"/>
        </w:rPr>
      </w:pPr>
    </w:p>
    <w:p w14:paraId="26D435FC" w14:textId="40360F2C" w:rsidR="00CD00ED" w:rsidRPr="00C835AB" w:rsidRDefault="00102413" w:rsidP="00D823D0">
      <w:pPr>
        <w:rPr>
          <w:rFonts w:ascii="Times New Roman" w:eastAsia="Times New Roman" w:hAnsi="Times New Roman" w:cs="Times New Roman"/>
          <w:b/>
          <w:color w:val="auto"/>
          <w:kern w:val="0"/>
          <w:sz w:val="24"/>
          <w:u w:val="single"/>
          <w:lang w:eastAsia="pl-PL"/>
          <w14:ligatures w14:val="none"/>
        </w:rPr>
      </w:pPr>
      <w:r w:rsidRPr="00C835AB">
        <w:rPr>
          <w:rFonts w:ascii="Times New Roman" w:eastAsia="Times New Roman" w:hAnsi="Times New Roman" w:cs="Times New Roman"/>
          <w:b/>
          <w:color w:val="auto"/>
          <w:kern w:val="0"/>
          <w:sz w:val="24"/>
          <w:u w:val="single"/>
          <w:lang w:eastAsia="pl-PL"/>
          <w14:ligatures w14:val="none"/>
        </w:rPr>
        <w:t xml:space="preserve">Zmiany w </w:t>
      </w:r>
      <w:r w:rsidR="00D5202A" w:rsidRPr="00C835AB">
        <w:rPr>
          <w:rFonts w:ascii="Times New Roman" w:eastAsia="Times New Roman" w:hAnsi="Times New Roman" w:cs="Times New Roman"/>
          <w:b/>
          <w:color w:val="auto"/>
          <w:kern w:val="0"/>
          <w:sz w:val="24"/>
          <w:u w:val="single"/>
          <w:lang w:eastAsia="pl-PL"/>
          <w14:ligatures w14:val="none"/>
        </w:rPr>
        <w:t>K</w:t>
      </w:r>
      <w:r w:rsidRPr="00C835AB">
        <w:rPr>
          <w:rFonts w:ascii="Times New Roman" w:eastAsia="Times New Roman" w:hAnsi="Times New Roman" w:cs="Times New Roman"/>
          <w:b/>
          <w:color w:val="auto"/>
          <w:kern w:val="0"/>
          <w:sz w:val="24"/>
          <w:u w:val="single"/>
          <w:lang w:eastAsia="pl-PL"/>
          <w14:ligatures w14:val="none"/>
        </w:rPr>
        <w:t>odeksie postępowania w sprawach o wykroczenia</w:t>
      </w:r>
    </w:p>
    <w:p w14:paraId="199FA5B9" w14:textId="77777777" w:rsidR="00E6696C" w:rsidRPr="00C835AB" w:rsidRDefault="00E6696C" w:rsidP="00D823D0">
      <w:pPr>
        <w:rPr>
          <w:rFonts w:ascii="Times New Roman" w:hAnsi="Times New Roman" w:cs="Times New Roman"/>
          <w:b/>
          <w:bCs/>
          <w:color w:val="auto"/>
          <w:sz w:val="24"/>
        </w:rPr>
      </w:pPr>
    </w:p>
    <w:p w14:paraId="6A7FF7E7" w14:textId="705EEA5E" w:rsidR="004076DC" w:rsidRPr="00C835AB" w:rsidRDefault="004076DC" w:rsidP="00D823D0">
      <w:pPr>
        <w:ind w:firstLine="709"/>
        <w:rPr>
          <w:rFonts w:ascii="Times New Roman" w:hAnsi="Times New Roman" w:cs="Times New Roman"/>
          <w:b/>
          <w:bCs/>
          <w:color w:val="auto"/>
          <w:sz w:val="24"/>
        </w:rPr>
      </w:pPr>
      <w:r w:rsidRPr="00C835AB">
        <w:rPr>
          <w:rFonts w:ascii="Times New Roman" w:hAnsi="Times New Roman" w:cs="Times New Roman"/>
          <w:b/>
          <w:bCs/>
          <w:color w:val="auto"/>
          <w:sz w:val="24"/>
        </w:rPr>
        <w:t xml:space="preserve">Art. 20 § 3 </w:t>
      </w:r>
      <w:proofErr w:type="spellStart"/>
      <w:r w:rsidRPr="00C835AB">
        <w:rPr>
          <w:rFonts w:ascii="Times New Roman" w:hAnsi="Times New Roman" w:cs="Times New Roman"/>
          <w:b/>
          <w:bCs/>
          <w:color w:val="auto"/>
          <w:sz w:val="24"/>
        </w:rPr>
        <w:t>k.p.w</w:t>
      </w:r>
      <w:proofErr w:type="spellEnd"/>
      <w:r w:rsidRPr="00C835AB">
        <w:rPr>
          <w:rFonts w:ascii="Times New Roman" w:hAnsi="Times New Roman" w:cs="Times New Roman"/>
          <w:b/>
          <w:bCs/>
          <w:color w:val="auto"/>
          <w:sz w:val="24"/>
        </w:rPr>
        <w:t xml:space="preserve">. </w:t>
      </w:r>
    </w:p>
    <w:p w14:paraId="673D9D6F" w14:textId="47B15BE1" w:rsidR="004076DC" w:rsidRPr="00C835AB" w:rsidRDefault="004076DC" w:rsidP="00D823D0">
      <w:pPr>
        <w:ind w:firstLine="709"/>
        <w:rPr>
          <w:rFonts w:ascii="Times New Roman" w:hAnsi="Times New Roman" w:cs="Times New Roman"/>
          <w:color w:val="auto"/>
          <w:sz w:val="24"/>
        </w:rPr>
      </w:pPr>
      <w:r w:rsidRPr="00C835AB">
        <w:rPr>
          <w:rFonts w:ascii="Times New Roman" w:hAnsi="Times New Roman" w:cs="Times New Roman"/>
          <w:color w:val="auto"/>
          <w:sz w:val="24"/>
        </w:rPr>
        <w:t xml:space="preserve">Projektowana zmiana art. 20 § 3 </w:t>
      </w:r>
      <w:r w:rsidR="00756388" w:rsidRPr="00C835AB">
        <w:rPr>
          <w:rFonts w:ascii="Times New Roman" w:hAnsi="Times New Roman" w:cs="Times New Roman"/>
          <w:color w:val="auto"/>
          <w:sz w:val="24"/>
          <w:shd w:val="clear" w:color="auto" w:fill="FFFFFF"/>
        </w:rPr>
        <w:t>ustawy z dnia 24 sierpnia 20</w:t>
      </w:r>
      <w:r w:rsidR="00BF0FFB">
        <w:rPr>
          <w:rFonts w:ascii="Times New Roman" w:hAnsi="Times New Roman" w:cs="Times New Roman"/>
          <w:color w:val="auto"/>
          <w:sz w:val="24"/>
          <w:shd w:val="clear" w:color="auto" w:fill="FFFFFF"/>
        </w:rPr>
        <w:t>0</w:t>
      </w:r>
      <w:r w:rsidR="00756388" w:rsidRPr="00C835AB">
        <w:rPr>
          <w:rFonts w:ascii="Times New Roman" w:hAnsi="Times New Roman" w:cs="Times New Roman"/>
          <w:color w:val="auto"/>
          <w:sz w:val="24"/>
          <w:shd w:val="clear" w:color="auto" w:fill="FFFFFF"/>
        </w:rPr>
        <w:t xml:space="preserve">1 r. – Kodeks postępowania w sprawach o wykroczenia (Dz. U. z </w:t>
      </w:r>
      <w:r w:rsidR="00B00AC6">
        <w:rPr>
          <w:rFonts w:ascii="Times New Roman" w:hAnsi="Times New Roman" w:cs="Times New Roman"/>
          <w:color w:val="auto"/>
          <w:sz w:val="24"/>
          <w:shd w:val="clear" w:color="auto" w:fill="FFFFFF"/>
        </w:rPr>
        <w:t>2025 r. poz. 860</w:t>
      </w:r>
      <w:r w:rsidR="00756388" w:rsidRPr="00C835AB">
        <w:rPr>
          <w:rFonts w:ascii="Times New Roman" w:hAnsi="Times New Roman" w:cs="Times New Roman"/>
          <w:color w:val="auto"/>
          <w:sz w:val="24"/>
          <w:shd w:val="clear" w:color="auto" w:fill="FFFFFF"/>
        </w:rPr>
        <w:t>), dalej „</w:t>
      </w:r>
      <w:proofErr w:type="spellStart"/>
      <w:r w:rsidR="00756388" w:rsidRPr="00C835AB">
        <w:rPr>
          <w:rFonts w:ascii="Times New Roman" w:hAnsi="Times New Roman" w:cs="Times New Roman"/>
          <w:color w:val="auto"/>
          <w:sz w:val="24"/>
          <w:shd w:val="clear" w:color="auto" w:fill="FFFFFF"/>
        </w:rPr>
        <w:t>k.p.w</w:t>
      </w:r>
      <w:proofErr w:type="spellEnd"/>
      <w:r w:rsidR="00756388" w:rsidRPr="00C835AB">
        <w:rPr>
          <w:rFonts w:ascii="Times New Roman" w:hAnsi="Times New Roman" w:cs="Times New Roman"/>
          <w:color w:val="auto"/>
          <w:sz w:val="24"/>
          <w:shd w:val="clear" w:color="auto" w:fill="FFFFFF"/>
        </w:rPr>
        <w:t xml:space="preserve">., </w:t>
      </w:r>
      <w:r w:rsidRPr="00C835AB">
        <w:rPr>
          <w:rFonts w:ascii="Times New Roman" w:hAnsi="Times New Roman" w:cs="Times New Roman"/>
          <w:color w:val="auto"/>
          <w:sz w:val="24"/>
        </w:rPr>
        <w:t>ma</w:t>
      </w:r>
      <w:r w:rsidR="00BD5665">
        <w:rPr>
          <w:rFonts w:ascii="Times New Roman" w:hAnsi="Times New Roman" w:cs="Times New Roman"/>
          <w:color w:val="auto"/>
          <w:sz w:val="24"/>
        </w:rPr>
        <w:t> </w:t>
      </w:r>
      <w:r w:rsidRPr="00C835AB">
        <w:rPr>
          <w:rFonts w:ascii="Times New Roman" w:hAnsi="Times New Roman" w:cs="Times New Roman"/>
          <w:color w:val="auto"/>
          <w:sz w:val="24"/>
        </w:rPr>
        <w:t>charakter wynikowy w związku z dodaniem art. 72 § 2a i 4 k.p.k.</w:t>
      </w:r>
    </w:p>
    <w:p w14:paraId="429B9868" w14:textId="77777777" w:rsidR="004076DC" w:rsidRDefault="004076DC" w:rsidP="00D823D0">
      <w:pPr>
        <w:ind w:firstLine="709"/>
        <w:rPr>
          <w:rFonts w:ascii="Times New Roman" w:hAnsi="Times New Roman" w:cs="Times New Roman"/>
          <w:b/>
          <w:bCs/>
          <w:color w:val="auto"/>
          <w:sz w:val="24"/>
        </w:rPr>
      </w:pPr>
    </w:p>
    <w:p w14:paraId="424650B1" w14:textId="651760AA" w:rsidR="00967FD3" w:rsidRDefault="00967FD3" w:rsidP="00D823D0">
      <w:pPr>
        <w:ind w:firstLine="709"/>
        <w:rPr>
          <w:rFonts w:ascii="Times New Roman" w:hAnsi="Times New Roman" w:cs="Times New Roman"/>
          <w:b/>
          <w:bCs/>
          <w:color w:val="auto"/>
          <w:sz w:val="24"/>
        </w:rPr>
      </w:pPr>
      <w:r>
        <w:rPr>
          <w:rFonts w:ascii="Times New Roman" w:hAnsi="Times New Roman" w:cs="Times New Roman"/>
          <w:b/>
          <w:bCs/>
          <w:color w:val="auto"/>
          <w:sz w:val="24"/>
        </w:rPr>
        <w:t xml:space="preserve">Art. 39 </w:t>
      </w:r>
      <w:r w:rsidRPr="00C835AB">
        <w:rPr>
          <w:rFonts w:ascii="Times New Roman" w:hAnsi="Times New Roman" w:cs="Times New Roman"/>
          <w:b/>
          <w:bCs/>
          <w:color w:val="auto"/>
          <w:sz w:val="24"/>
        </w:rPr>
        <w:t>§</w:t>
      </w:r>
      <w:r>
        <w:rPr>
          <w:rFonts w:ascii="Times New Roman" w:hAnsi="Times New Roman" w:cs="Times New Roman"/>
          <w:b/>
          <w:bCs/>
          <w:color w:val="auto"/>
          <w:sz w:val="24"/>
        </w:rPr>
        <w:t xml:space="preserve"> </w:t>
      </w:r>
      <w:proofErr w:type="spellStart"/>
      <w:r>
        <w:rPr>
          <w:rFonts w:ascii="Times New Roman" w:hAnsi="Times New Roman" w:cs="Times New Roman"/>
          <w:b/>
          <w:bCs/>
          <w:color w:val="auto"/>
          <w:sz w:val="24"/>
        </w:rPr>
        <w:t>1</w:t>
      </w:r>
      <w:r w:rsidR="007B2F29">
        <w:rPr>
          <w:rFonts w:ascii="Times New Roman" w:hAnsi="Times New Roman" w:cs="Times New Roman"/>
          <w:b/>
          <w:bCs/>
          <w:color w:val="auto"/>
          <w:sz w:val="24"/>
        </w:rPr>
        <w:t>a</w:t>
      </w:r>
      <w:proofErr w:type="spellEnd"/>
      <w:r>
        <w:rPr>
          <w:rFonts w:ascii="Times New Roman" w:hAnsi="Times New Roman" w:cs="Times New Roman"/>
          <w:b/>
          <w:bCs/>
          <w:color w:val="auto"/>
          <w:sz w:val="24"/>
        </w:rPr>
        <w:t xml:space="preserve"> </w:t>
      </w:r>
      <w:proofErr w:type="spellStart"/>
      <w:r>
        <w:rPr>
          <w:rFonts w:ascii="Times New Roman" w:hAnsi="Times New Roman" w:cs="Times New Roman"/>
          <w:b/>
          <w:bCs/>
          <w:color w:val="auto"/>
          <w:sz w:val="24"/>
        </w:rPr>
        <w:t>k.p.w</w:t>
      </w:r>
      <w:proofErr w:type="spellEnd"/>
      <w:r>
        <w:rPr>
          <w:rFonts w:ascii="Times New Roman" w:hAnsi="Times New Roman" w:cs="Times New Roman"/>
          <w:b/>
          <w:bCs/>
          <w:color w:val="auto"/>
          <w:sz w:val="24"/>
        </w:rPr>
        <w:t>.</w:t>
      </w:r>
    </w:p>
    <w:p w14:paraId="398D52DE" w14:textId="673646A1" w:rsidR="00967FD3" w:rsidRPr="00A0500E" w:rsidRDefault="006B46E9" w:rsidP="007B2F29">
      <w:pPr>
        <w:ind w:firstLine="709"/>
        <w:rPr>
          <w:rFonts w:ascii="Times New Roman" w:hAnsi="Times New Roman" w:cs="Times New Roman"/>
          <w:color w:val="auto"/>
          <w:sz w:val="24"/>
        </w:rPr>
      </w:pPr>
      <w:r>
        <w:rPr>
          <w:rFonts w:ascii="Times New Roman" w:hAnsi="Times New Roman" w:cs="Times New Roman"/>
          <w:color w:val="auto"/>
          <w:sz w:val="24"/>
        </w:rPr>
        <w:t>W projektowanym</w:t>
      </w:r>
      <w:r w:rsidR="00967FD3" w:rsidRPr="00C835AB">
        <w:rPr>
          <w:rFonts w:ascii="Times New Roman" w:hAnsi="Times New Roman" w:cs="Times New Roman"/>
          <w:color w:val="auto"/>
          <w:sz w:val="24"/>
        </w:rPr>
        <w:t xml:space="preserve"> art. </w:t>
      </w:r>
      <w:r w:rsidR="00967FD3">
        <w:rPr>
          <w:rFonts w:ascii="Times New Roman" w:hAnsi="Times New Roman" w:cs="Times New Roman"/>
          <w:color w:val="auto"/>
          <w:sz w:val="24"/>
        </w:rPr>
        <w:t>39</w:t>
      </w:r>
      <w:r w:rsidR="00967FD3" w:rsidRPr="00C835AB">
        <w:rPr>
          <w:rFonts w:ascii="Times New Roman" w:hAnsi="Times New Roman" w:cs="Times New Roman"/>
          <w:color w:val="auto"/>
          <w:sz w:val="24"/>
        </w:rPr>
        <w:t xml:space="preserve"> </w:t>
      </w:r>
      <w:r w:rsidR="00F8431D" w:rsidRPr="00C835AB">
        <w:rPr>
          <w:rFonts w:ascii="Times New Roman" w:hAnsi="Times New Roman" w:cs="Times New Roman"/>
          <w:color w:val="auto"/>
          <w:sz w:val="24"/>
        </w:rPr>
        <w:t>§</w:t>
      </w:r>
      <w:r w:rsidR="00F8431D">
        <w:rPr>
          <w:rFonts w:ascii="Times New Roman" w:hAnsi="Times New Roman" w:cs="Times New Roman"/>
          <w:color w:val="auto"/>
          <w:sz w:val="24"/>
        </w:rPr>
        <w:t xml:space="preserve"> </w:t>
      </w:r>
      <w:proofErr w:type="spellStart"/>
      <w:r w:rsidR="00F8431D">
        <w:rPr>
          <w:rFonts w:ascii="Times New Roman" w:hAnsi="Times New Roman" w:cs="Times New Roman"/>
          <w:color w:val="auto"/>
          <w:sz w:val="24"/>
        </w:rPr>
        <w:t>1a</w:t>
      </w:r>
      <w:proofErr w:type="spellEnd"/>
      <w:r w:rsidR="00F8431D">
        <w:rPr>
          <w:rFonts w:ascii="Times New Roman" w:hAnsi="Times New Roman" w:cs="Times New Roman"/>
          <w:color w:val="auto"/>
          <w:sz w:val="24"/>
        </w:rPr>
        <w:t xml:space="preserve"> </w:t>
      </w:r>
      <w:proofErr w:type="spellStart"/>
      <w:r w:rsidR="00967FD3" w:rsidRPr="00C835AB">
        <w:rPr>
          <w:rFonts w:ascii="Times New Roman" w:hAnsi="Times New Roman" w:cs="Times New Roman"/>
          <w:color w:val="auto"/>
          <w:sz w:val="24"/>
        </w:rPr>
        <w:t>k.p.w</w:t>
      </w:r>
      <w:proofErr w:type="spellEnd"/>
      <w:r w:rsidR="00967FD3" w:rsidRPr="00C835AB">
        <w:rPr>
          <w:rFonts w:ascii="Times New Roman" w:hAnsi="Times New Roman" w:cs="Times New Roman"/>
          <w:color w:val="auto"/>
          <w:sz w:val="24"/>
        </w:rPr>
        <w:t>.</w:t>
      </w:r>
      <w:r>
        <w:rPr>
          <w:rFonts w:ascii="Times New Roman" w:hAnsi="Times New Roman" w:cs="Times New Roman"/>
          <w:color w:val="auto"/>
          <w:sz w:val="24"/>
        </w:rPr>
        <w:t xml:space="preserve"> </w:t>
      </w:r>
      <w:r w:rsidR="007B2F29">
        <w:rPr>
          <w:rFonts w:ascii="Times New Roman" w:hAnsi="Times New Roman" w:cs="Times New Roman"/>
          <w:color w:val="auto"/>
          <w:sz w:val="24"/>
        </w:rPr>
        <w:t xml:space="preserve">dodano przepis stanowiący odpowiednik art. 168a k.p.k. </w:t>
      </w:r>
      <w:r w:rsidR="001A53CD">
        <w:rPr>
          <w:rFonts w:ascii="Times New Roman" w:hAnsi="Times New Roman" w:cs="Times New Roman"/>
          <w:color w:val="auto"/>
          <w:sz w:val="24"/>
        </w:rPr>
        <w:t>ponieważ potrzeba zachowania standardów konstytucyjnych występuje również na gruncie prawa wykroczeń.</w:t>
      </w:r>
    </w:p>
    <w:p w14:paraId="1AF3CCBA" w14:textId="38F88676" w:rsidR="006B46E9" w:rsidRPr="00A0500E" w:rsidRDefault="006B46E9" w:rsidP="00967FD3">
      <w:pPr>
        <w:ind w:firstLine="709"/>
        <w:rPr>
          <w:rFonts w:ascii="Times New Roman" w:hAnsi="Times New Roman" w:cs="Times New Roman"/>
          <w:color w:val="auto"/>
          <w:sz w:val="24"/>
        </w:rPr>
      </w:pPr>
    </w:p>
    <w:p w14:paraId="3588D496" w14:textId="21D7AFCC" w:rsidR="00E6696C" w:rsidRPr="00C835AB" w:rsidRDefault="00C9150D" w:rsidP="00D823D0">
      <w:pPr>
        <w:ind w:firstLine="709"/>
        <w:rPr>
          <w:rFonts w:ascii="Times New Roman" w:hAnsi="Times New Roman" w:cs="Times New Roman"/>
          <w:color w:val="auto"/>
          <w:sz w:val="24"/>
        </w:rPr>
      </w:pPr>
      <w:r w:rsidRPr="00C835AB">
        <w:rPr>
          <w:rFonts w:ascii="Times New Roman" w:hAnsi="Times New Roman" w:cs="Times New Roman"/>
          <w:b/>
          <w:bCs/>
          <w:color w:val="auto"/>
          <w:sz w:val="24"/>
        </w:rPr>
        <w:t>Art. 41</w:t>
      </w:r>
      <w:r w:rsidR="004A6CA2" w:rsidRPr="00C835AB">
        <w:rPr>
          <w:rFonts w:ascii="Times New Roman" w:hAnsi="Times New Roman" w:cs="Times New Roman"/>
          <w:b/>
          <w:bCs/>
          <w:color w:val="auto"/>
          <w:sz w:val="24"/>
        </w:rPr>
        <w:t xml:space="preserve"> § 4 </w:t>
      </w:r>
      <w:proofErr w:type="spellStart"/>
      <w:r w:rsidR="004A6CA2" w:rsidRPr="00C835AB">
        <w:rPr>
          <w:rFonts w:ascii="Times New Roman" w:hAnsi="Times New Roman" w:cs="Times New Roman"/>
          <w:b/>
          <w:bCs/>
          <w:color w:val="auto"/>
          <w:sz w:val="24"/>
        </w:rPr>
        <w:t>k.p.w</w:t>
      </w:r>
      <w:proofErr w:type="spellEnd"/>
      <w:r w:rsidR="004A6CA2" w:rsidRPr="00C835AB">
        <w:rPr>
          <w:rFonts w:ascii="Times New Roman" w:hAnsi="Times New Roman" w:cs="Times New Roman"/>
          <w:b/>
          <w:bCs/>
          <w:color w:val="auto"/>
          <w:sz w:val="24"/>
        </w:rPr>
        <w:t>.</w:t>
      </w:r>
    </w:p>
    <w:p w14:paraId="10AFFA18" w14:textId="110C4518" w:rsidR="00CD00ED" w:rsidRPr="00C835AB" w:rsidRDefault="00CD00ED" w:rsidP="00D823D0">
      <w:pPr>
        <w:ind w:firstLine="709"/>
        <w:rPr>
          <w:rFonts w:ascii="Times New Roman" w:eastAsia="Times New Roman" w:hAnsi="Times New Roman" w:cs="Times New Roman"/>
          <w:color w:val="auto"/>
          <w:sz w:val="24"/>
        </w:rPr>
      </w:pPr>
      <w:r w:rsidRPr="00C835AB">
        <w:rPr>
          <w:rFonts w:ascii="Times New Roman" w:hAnsi="Times New Roman" w:cs="Times New Roman"/>
          <w:color w:val="auto"/>
          <w:sz w:val="24"/>
        </w:rPr>
        <w:t xml:space="preserve">W </w:t>
      </w:r>
      <w:r w:rsidR="00DA41D5" w:rsidRPr="00C835AB">
        <w:rPr>
          <w:rFonts w:ascii="Times New Roman" w:hAnsi="Times New Roman" w:cs="Times New Roman"/>
          <w:color w:val="auto"/>
          <w:sz w:val="24"/>
        </w:rPr>
        <w:t xml:space="preserve">projektowanym </w:t>
      </w:r>
      <w:r w:rsidRPr="00C835AB">
        <w:rPr>
          <w:rFonts w:ascii="Times New Roman" w:hAnsi="Times New Roman" w:cs="Times New Roman"/>
          <w:color w:val="auto"/>
          <w:sz w:val="24"/>
        </w:rPr>
        <w:t xml:space="preserve">art. </w:t>
      </w:r>
      <w:r w:rsidRPr="00C835AB">
        <w:rPr>
          <w:rFonts w:ascii="Times New Roman" w:hAnsi="Times New Roman" w:cs="Times New Roman"/>
          <w:color w:val="auto"/>
          <w:sz w:val="24"/>
          <w:shd w:val="clear" w:color="auto" w:fill="FFFFFF"/>
        </w:rPr>
        <w:t xml:space="preserve">41 § 4 </w:t>
      </w:r>
      <w:proofErr w:type="spellStart"/>
      <w:r w:rsidRPr="00C835AB">
        <w:rPr>
          <w:rFonts w:ascii="Times New Roman" w:hAnsi="Times New Roman" w:cs="Times New Roman"/>
          <w:color w:val="auto"/>
          <w:sz w:val="24"/>
          <w:shd w:val="clear" w:color="auto" w:fill="FFFFFF"/>
        </w:rPr>
        <w:t>k.p.w</w:t>
      </w:r>
      <w:proofErr w:type="spellEnd"/>
      <w:r w:rsidR="009C611D" w:rsidRPr="00C835AB">
        <w:rPr>
          <w:rFonts w:ascii="Times New Roman" w:hAnsi="Times New Roman" w:cs="Times New Roman"/>
          <w:color w:val="auto"/>
          <w:sz w:val="24"/>
          <w:shd w:val="clear" w:color="auto" w:fill="FFFFFF"/>
        </w:rPr>
        <w:t xml:space="preserve">. </w:t>
      </w:r>
      <w:r w:rsidRPr="00C835AB">
        <w:rPr>
          <w:rFonts w:ascii="Times New Roman" w:hAnsi="Times New Roman" w:cs="Times New Roman"/>
          <w:color w:val="auto"/>
          <w:sz w:val="24"/>
          <w:shd w:val="clear" w:color="auto" w:fill="FFFFFF"/>
        </w:rPr>
        <w:t xml:space="preserve">wskazano, że sąd nie może zwolnić od obowiązku zachowania </w:t>
      </w:r>
      <w:r w:rsidRPr="00C835AB">
        <w:rPr>
          <w:rFonts w:ascii="Times New Roman" w:hAnsi="Times New Roman" w:cs="Times New Roman"/>
          <w:color w:val="auto"/>
          <w:sz w:val="24"/>
        </w:rPr>
        <w:t>tajemnicy notarialnej, adwokackiej, radcy prawnego, doradcy podatkowego, lekarskiej, dziennikarskiej statystycznej lub tłumacza przysięgłego oraz tajemnicy Prokuratorii Generalnej</w:t>
      </w:r>
      <w:r w:rsidR="006966BF">
        <w:rPr>
          <w:rFonts w:ascii="Times New Roman" w:hAnsi="Times New Roman" w:cs="Times New Roman"/>
          <w:color w:val="auto"/>
          <w:sz w:val="24"/>
        </w:rPr>
        <w:t xml:space="preserve"> Rzeczypospolitej Polskiej</w:t>
      </w:r>
      <w:r w:rsidRPr="00C835AB">
        <w:rPr>
          <w:rFonts w:ascii="Times New Roman" w:hAnsi="Times New Roman" w:cs="Times New Roman"/>
          <w:color w:val="auto"/>
          <w:sz w:val="24"/>
        </w:rPr>
        <w:t xml:space="preserve">. Brak jest dostatecznych argumentów, aby wyłączenie zawarte w tym przepisie </w:t>
      </w:r>
      <w:r w:rsidR="00DA41D5" w:rsidRPr="00C835AB">
        <w:rPr>
          <w:rFonts w:ascii="Times New Roman" w:hAnsi="Times New Roman" w:cs="Times New Roman"/>
          <w:color w:val="auto"/>
          <w:sz w:val="24"/>
        </w:rPr>
        <w:t xml:space="preserve">miało </w:t>
      </w:r>
      <w:r w:rsidRPr="00C835AB">
        <w:rPr>
          <w:rFonts w:ascii="Times New Roman" w:hAnsi="Times New Roman" w:cs="Times New Roman"/>
          <w:color w:val="auto"/>
          <w:sz w:val="24"/>
        </w:rPr>
        <w:t>dotyczyć tylko</w:t>
      </w:r>
      <w:r w:rsidRPr="00C835AB">
        <w:rPr>
          <w:rFonts w:ascii="Times New Roman" w:eastAsia="Times New Roman" w:hAnsi="Times New Roman" w:cs="Times New Roman"/>
          <w:color w:val="auto"/>
          <w:sz w:val="24"/>
        </w:rPr>
        <w:t> tajemnicy związanej z wykonywaniem zawodu adwokata, radcy prawnego, lekarza lub dziennikarza</w:t>
      </w:r>
      <w:r w:rsidR="007C5E2B" w:rsidRPr="00C835AB">
        <w:rPr>
          <w:rFonts w:ascii="Times New Roman" w:eastAsia="Times New Roman" w:hAnsi="Times New Roman" w:cs="Times New Roman"/>
          <w:color w:val="auto"/>
          <w:sz w:val="24"/>
        </w:rPr>
        <w:t xml:space="preserve"> </w:t>
      </w:r>
      <w:r w:rsidRPr="00C835AB">
        <w:rPr>
          <w:rFonts w:ascii="Times New Roman" w:eastAsia="Times New Roman" w:hAnsi="Times New Roman" w:cs="Times New Roman"/>
          <w:color w:val="auto"/>
          <w:sz w:val="24"/>
        </w:rPr>
        <w:t xml:space="preserve">czy tajemnicy statystycznej, jak to ma miejsce obecnie. </w:t>
      </w:r>
    </w:p>
    <w:p w14:paraId="470A77B6" w14:textId="77777777" w:rsidR="00C9150D" w:rsidRPr="00C835AB" w:rsidRDefault="00C9150D" w:rsidP="00D823D0">
      <w:pPr>
        <w:rPr>
          <w:rFonts w:ascii="Times New Roman" w:eastAsia="Times New Roman" w:hAnsi="Times New Roman" w:cs="Times New Roman"/>
          <w:color w:val="auto"/>
          <w:sz w:val="24"/>
        </w:rPr>
      </w:pPr>
    </w:p>
    <w:p w14:paraId="36CD620C" w14:textId="3EF6FC4B" w:rsidR="00C9150D" w:rsidRPr="00C835AB" w:rsidRDefault="00C9150D" w:rsidP="00D823D0">
      <w:pPr>
        <w:ind w:firstLine="709"/>
        <w:rPr>
          <w:rFonts w:ascii="Times New Roman" w:eastAsia="Times New Roman" w:hAnsi="Times New Roman" w:cs="Times New Roman"/>
          <w:b/>
          <w:bCs/>
          <w:color w:val="auto"/>
          <w:sz w:val="24"/>
        </w:rPr>
      </w:pPr>
      <w:r w:rsidRPr="00C835AB">
        <w:rPr>
          <w:rFonts w:ascii="Times New Roman" w:eastAsia="Times New Roman" w:hAnsi="Times New Roman" w:cs="Times New Roman"/>
          <w:b/>
          <w:bCs/>
          <w:color w:val="auto"/>
          <w:sz w:val="24"/>
        </w:rPr>
        <w:t>Art. 46</w:t>
      </w:r>
      <w:r w:rsidR="004A6CA2" w:rsidRPr="00C835AB">
        <w:rPr>
          <w:rFonts w:ascii="Times New Roman" w:eastAsia="Times New Roman" w:hAnsi="Times New Roman" w:cs="Times New Roman"/>
          <w:b/>
          <w:bCs/>
          <w:color w:val="auto"/>
          <w:sz w:val="24"/>
        </w:rPr>
        <w:t xml:space="preserve"> § 4 </w:t>
      </w:r>
      <w:proofErr w:type="spellStart"/>
      <w:r w:rsidR="004A6CA2" w:rsidRPr="00C835AB">
        <w:rPr>
          <w:rFonts w:ascii="Times New Roman" w:eastAsia="Times New Roman" w:hAnsi="Times New Roman" w:cs="Times New Roman"/>
          <w:b/>
          <w:bCs/>
          <w:color w:val="auto"/>
          <w:sz w:val="24"/>
        </w:rPr>
        <w:t>k.p.w</w:t>
      </w:r>
      <w:proofErr w:type="spellEnd"/>
      <w:r w:rsidR="004A6CA2" w:rsidRPr="00C835AB">
        <w:rPr>
          <w:rFonts w:ascii="Times New Roman" w:eastAsia="Times New Roman" w:hAnsi="Times New Roman" w:cs="Times New Roman"/>
          <w:b/>
          <w:bCs/>
          <w:color w:val="auto"/>
          <w:sz w:val="24"/>
        </w:rPr>
        <w:t>.</w:t>
      </w:r>
    </w:p>
    <w:p w14:paraId="583D6998" w14:textId="7CEE583A" w:rsidR="00C9150D" w:rsidRPr="00C835AB" w:rsidRDefault="00C9150D" w:rsidP="00D823D0">
      <w:pPr>
        <w:ind w:firstLine="709"/>
        <w:rPr>
          <w:rFonts w:ascii="Times New Roman" w:hAnsi="Times New Roman" w:cs="Times New Roman"/>
          <w:color w:val="auto"/>
          <w:sz w:val="24"/>
        </w:rPr>
      </w:pPr>
      <w:r w:rsidRPr="00C835AB">
        <w:rPr>
          <w:rFonts w:ascii="Times New Roman" w:hAnsi="Times New Roman" w:cs="Times New Roman"/>
          <w:color w:val="auto"/>
          <w:sz w:val="24"/>
        </w:rPr>
        <w:t xml:space="preserve">Konsekwencją </w:t>
      </w:r>
      <w:r w:rsidR="00CC1D0D" w:rsidRPr="00C835AB">
        <w:rPr>
          <w:rFonts w:ascii="Times New Roman" w:hAnsi="Times New Roman" w:cs="Times New Roman"/>
          <w:color w:val="auto"/>
          <w:sz w:val="24"/>
        </w:rPr>
        <w:t xml:space="preserve">projektowanej </w:t>
      </w:r>
      <w:r w:rsidRPr="00C835AB">
        <w:rPr>
          <w:rFonts w:ascii="Times New Roman" w:hAnsi="Times New Roman" w:cs="Times New Roman"/>
          <w:color w:val="auto"/>
          <w:sz w:val="24"/>
        </w:rPr>
        <w:t xml:space="preserve">zmiany art. 73 k.p.k. jest proponowane wyeliminowanie w art. 46 § 4 </w:t>
      </w:r>
      <w:proofErr w:type="spellStart"/>
      <w:r w:rsidRPr="00C835AB">
        <w:rPr>
          <w:rFonts w:ascii="Times New Roman" w:hAnsi="Times New Roman" w:cs="Times New Roman"/>
          <w:color w:val="auto"/>
          <w:sz w:val="24"/>
        </w:rPr>
        <w:t>k.p.w</w:t>
      </w:r>
      <w:proofErr w:type="spellEnd"/>
      <w:r w:rsidRPr="00C835AB">
        <w:rPr>
          <w:rFonts w:ascii="Times New Roman" w:hAnsi="Times New Roman" w:cs="Times New Roman"/>
          <w:color w:val="auto"/>
          <w:sz w:val="24"/>
        </w:rPr>
        <w:t>. możliwości obecności zatrzymującego przy rozmowie zatrzymanego z</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 xml:space="preserve">radcą prawnym lub adwokatem. </w:t>
      </w:r>
    </w:p>
    <w:p w14:paraId="7CF8927E" w14:textId="77777777" w:rsidR="00C9150D" w:rsidRPr="00C835AB" w:rsidRDefault="00C9150D" w:rsidP="00D823D0">
      <w:pPr>
        <w:rPr>
          <w:rFonts w:ascii="Times New Roman" w:hAnsi="Times New Roman" w:cs="Times New Roman"/>
          <w:color w:val="auto"/>
          <w:sz w:val="24"/>
        </w:rPr>
      </w:pPr>
    </w:p>
    <w:p w14:paraId="7550E210" w14:textId="314B362F" w:rsidR="00C9150D" w:rsidRPr="00C835AB" w:rsidRDefault="00C9150D" w:rsidP="00D823D0">
      <w:pPr>
        <w:ind w:firstLine="709"/>
        <w:rPr>
          <w:rFonts w:ascii="Times New Roman" w:hAnsi="Times New Roman" w:cs="Times New Roman"/>
          <w:color w:val="auto"/>
          <w:sz w:val="24"/>
        </w:rPr>
      </w:pPr>
      <w:r w:rsidRPr="00C835AB">
        <w:rPr>
          <w:rFonts w:ascii="Times New Roman" w:hAnsi="Times New Roman" w:cs="Times New Roman"/>
          <w:b/>
          <w:bCs/>
          <w:color w:val="auto"/>
          <w:sz w:val="24"/>
        </w:rPr>
        <w:t>Art. 101</w:t>
      </w:r>
      <w:r w:rsidR="00577C7E" w:rsidRPr="00C835AB">
        <w:rPr>
          <w:rFonts w:ascii="Times New Roman" w:hAnsi="Times New Roman" w:cs="Times New Roman"/>
          <w:b/>
          <w:bCs/>
          <w:color w:val="auto"/>
          <w:sz w:val="24"/>
        </w:rPr>
        <w:t xml:space="preserve"> § 1a</w:t>
      </w:r>
      <w:r w:rsidR="00027ADE">
        <w:rPr>
          <w:rFonts w:ascii="Times New Roman" w:hAnsi="Times New Roman" w:cs="Times New Roman"/>
          <w:b/>
          <w:bCs/>
          <w:color w:val="auto"/>
          <w:sz w:val="24"/>
        </w:rPr>
        <w:t xml:space="preserve">, </w:t>
      </w:r>
      <w:r w:rsidR="00577C7E" w:rsidRPr="00C835AB">
        <w:rPr>
          <w:rFonts w:ascii="Times New Roman" w:hAnsi="Times New Roman" w:cs="Times New Roman"/>
          <w:b/>
          <w:bCs/>
          <w:color w:val="auto"/>
          <w:sz w:val="24"/>
        </w:rPr>
        <w:t>§ 1b</w:t>
      </w:r>
      <w:r w:rsidR="00027ADE">
        <w:rPr>
          <w:rFonts w:ascii="Times New Roman" w:hAnsi="Times New Roman" w:cs="Times New Roman"/>
          <w:b/>
          <w:bCs/>
          <w:color w:val="auto"/>
          <w:sz w:val="24"/>
        </w:rPr>
        <w:t xml:space="preserve">, </w:t>
      </w:r>
      <w:r w:rsidR="00027ADE" w:rsidRPr="00C835AB">
        <w:rPr>
          <w:rFonts w:ascii="Times New Roman" w:hAnsi="Times New Roman" w:cs="Times New Roman"/>
          <w:b/>
          <w:bCs/>
          <w:color w:val="auto"/>
          <w:sz w:val="24"/>
        </w:rPr>
        <w:t>§</w:t>
      </w:r>
      <w:r w:rsidR="00027ADE">
        <w:rPr>
          <w:rFonts w:ascii="Times New Roman" w:hAnsi="Times New Roman" w:cs="Times New Roman"/>
          <w:b/>
          <w:bCs/>
          <w:color w:val="auto"/>
          <w:sz w:val="24"/>
        </w:rPr>
        <w:t xml:space="preserve"> 1c i </w:t>
      </w:r>
      <w:r w:rsidR="00027ADE" w:rsidRPr="00C835AB">
        <w:rPr>
          <w:rFonts w:ascii="Times New Roman" w:hAnsi="Times New Roman" w:cs="Times New Roman"/>
          <w:b/>
          <w:bCs/>
          <w:color w:val="auto"/>
          <w:sz w:val="24"/>
        </w:rPr>
        <w:t>§</w:t>
      </w:r>
      <w:r w:rsidR="00027ADE">
        <w:rPr>
          <w:rFonts w:ascii="Times New Roman" w:hAnsi="Times New Roman" w:cs="Times New Roman"/>
          <w:b/>
          <w:bCs/>
          <w:color w:val="auto"/>
          <w:sz w:val="24"/>
        </w:rPr>
        <w:t xml:space="preserve"> 4</w:t>
      </w:r>
      <w:r w:rsidR="00577C7E" w:rsidRPr="00C835AB">
        <w:rPr>
          <w:rFonts w:ascii="Times New Roman" w:hAnsi="Times New Roman" w:cs="Times New Roman"/>
          <w:b/>
          <w:bCs/>
          <w:color w:val="auto"/>
          <w:sz w:val="24"/>
        </w:rPr>
        <w:t xml:space="preserve"> </w:t>
      </w:r>
      <w:proofErr w:type="spellStart"/>
      <w:r w:rsidR="00577C7E" w:rsidRPr="00C835AB">
        <w:rPr>
          <w:rFonts w:ascii="Times New Roman" w:hAnsi="Times New Roman" w:cs="Times New Roman"/>
          <w:b/>
          <w:bCs/>
          <w:color w:val="auto"/>
          <w:sz w:val="24"/>
        </w:rPr>
        <w:t>k.p.w</w:t>
      </w:r>
      <w:proofErr w:type="spellEnd"/>
      <w:r w:rsidR="00577C7E" w:rsidRPr="00C835AB">
        <w:rPr>
          <w:rFonts w:ascii="Times New Roman" w:hAnsi="Times New Roman" w:cs="Times New Roman"/>
          <w:b/>
          <w:bCs/>
          <w:color w:val="auto"/>
          <w:sz w:val="24"/>
        </w:rPr>
        <w:t>.</w:t>
      </w:r>
    </w:p>
    <w:p w14:paraId="1C9031EF" w14:textId="7A1EA12C" w:rsidR="00CD00ED" w:rsidRPr="00C835AB" w:rsidRDefault="00577C7E" w:rsidP="00D823D0">
      <w:pPr>
        <w:rPr>
          <w:rFonts w:ascii="Times New Roman" w:hAnsi="Times New Roman" w:cs="Times New Roman"/>
          <w:color w:val="auto"/>
          <w:sz w:val="24"/>
          <w:shd w:val="clear" w:color="auto" w:fill="FFFFFF"/>
        </w:rPr>
      </w:pPr>
      <w:r w:rsidRPr="00C835AB">
        <w:rPr>
          <w:rFonts w:ascii="Times New Roman" w:hAnsi="Times New Roman" w:cs="Times New Roman"/>
          <w:color w:val="auto"/>
          <w:sz w:val="24"/>
          <w:shd w:val="clear" w:color="auto" w:fill="FFFFFF"/>
        </w:rPr>
        <w:lastRenderedPageBreak/>
        <w:tab/>
      </w:r>
      <w:r w:rsidR="00CC1D0D" w:rsidRPr="00C835AB">
        <w:rPr>
          <w:rFonts w:ascii="Times New Roman" w:hAnsi="Times New Roman" w:cs="Times New Roman"/>
          <w:color w:val="auto"/>
          <w:sz w:val="24"/>
          <w:shd w:val="clear" w:color="auto" w:fill="FFFFFF"/>
        </w:rPr>
        <w:t xml:space="preserve">Projektowana </w:t>
      </w:r>
      <w:r w:rsidR="00CC1D0D" w:rsidRPr="00C835AB">
        <w:rPr>
          <w:rFonts w:ascii="Times New Roman" w:eastAsia="Calibri" w:hAnsi="Times New Roman" w:cs="Times New Roman"/>
          <w:color w:val="auto"/>
          <w:kern w:val="0"/>
          <w:sz w:val="24"/>
          <w14:ligatures w14:val="none"/>
        </w:rPr>
        <w:t>z</w:t>
      </w:r>
      <w:r w:rsidR="00CD00ED" w:rsidRPr="00C835AB">
        <w:rPr>
          <w:rFonts w:ascii="Times New Roman" w:eastAsia="Calibri" w:hAnsi="Times New Roman" w:cs="Times New Roman"/>
          <w:color w:val="auto"/>
          <w:kern w:val="0"/>
          <w:sz w:val="24"/>
          <w14:ligatures w14:val="none"/>
        </w:rPr>
        <w:t xml:space="preserve">miana art. 101 </w:t>
      </w:r>
      <w:r w:rsidRPr="00C835AB">
        <w:rPr>
          <w:rFonts w:ascii="Times New Roman" w:eastAsia="Calibri" w:hAnsi="Times New Roman" w:cs="Times New Roman"/>
          <w:color w:val="auto"/>
          <w:kern w:val="0"/>
          <w:sz w:val="24"/>
          <w14:ligatures w14:val="none"/>
        </w:rPr>
        <w:t xml:space="preserve">§ </w:t>
      </w:r>
      <w:proofErr w:type="spellStart"/>
      <w:r w:rsidRPr="00C835AB">
        <w:rPr>
          <w:rFonts w:ascii="Times New Roman" w:eastAsia="Calibri" w:hAnsi="Times New Roman" w:cs="Times New Roman"/>
          <w:color w:val="auto"/>
          <w:kern w:val="0"/>
          <w:sz w:val="24"/>
          <w14:ligatures w14:val="none"/>
        </w:rPr>
        <w:t>1a</w:t>
      </w:r>
      <w:proofErr w:type="spellEnd"/>
      <w:r w:rsidRPr="00C835AB">
        <w:rPr>
          <w:rFonts w:ascii="Times New Roman" w:eastAsia="Calibri" w:hAnsi="Times New Roman" w:cs="Times New Roman"/>
          <w:color w:val="auto"/>
          <w:kern w:val="0"/>
          <w:sz w:val="24"/>
          <w14:ligatures w14:val="none"/>
        </w:rPr>
        <w:t xml:space="preserve"> </w:t>
      </w:r>
      <w:proofErr w:type="spellStart"/>
      <w:r w:rsidR="00CD00ED" w:rsidRPr="00C835AB">
        <w:rPr>
          <w:rFonts w:ascii="Times New Roman" w:eastAsia="Calibri" w:hAnsi="Times New Roman" w:cs="Times New Roman"/>
          <w:color w:val="auto"/>
          <w:kern w:val="0"/>
          <w:sz w:val="24"/>
          <w14:ligatures w14:val="none"/>
        </w:rPr>
        <w:t>k.p.w</w:t>
      </w:r>
      <w:proofErr w:type="spellEnd"/>
      <w:r w:rsidR="00CD00ED" w:rsidRPr="00C835AB">
        <w:rPr>
          <w:rFonts w:ascii="Times New Roman" w:eastAsia="Calibri" w:hAnsi="Times New Roman" w:cs="Times New Roman"/>
          <w:color w:val="auto"/>
          <w:kern w:val="0"/>
          <w:sz w:val="24"/>
          <w14:ligatures w14:val="none"/>
        </w:rPr>
        <w:t xml:space="preserve">. dotyczy uaktualnienia powołanego w zdaniu drugim tego przepisu odesłania do przepisu </w:t>
      </w:r>
      <w:bookmarkStart w:id="1" w:name="_Hlk77939203"/>
      <w:r w:rsidR="00CD00ED" w:rsidRPr="00C835AB">
        <w:rPr>
          <w:rFonts w:ascii="Times New Roman" w:eastAsia="Calibri" w:hAnsi="Times New Roman" w:cs="Times New Roman"/>
          <w:color w:val="auto"/>
          <w:kern w:val="0"/>
          <w:sz w:val="24"/>
          <w14:ligatures w14:val="none"/>
        </w:rPr>
        <w:t>art. 96 § 1</w:t>
      </w:r>
      <w:r w:rsidR="00796D23">
        <w:rPr>
          <w:rFonts w:ascii="Times New Roman" w:eastAsia="Calibri" w:hAnsi="Times New Roman" w:cs="Times New Roman"/>
          <w:color w:val="auto"/>
          <w:kern w:val="0"/>
          <w:sz w:val="24"/>
          <w14:ligatures w14:val="none"/>
        </w:rPr>
        <w:t>–</w:t>
      </w:r>
      <w:proofErr w:type="spellStart"/>
      <w:r w:rsidR="00CD00ED" w:rsidRPr="00C835AB">
        <w:rPr>
          <w:rFonts w:ascii="Times New Roman" w:eastAsia="Calibri" w:hAnsi="Times New Roman" w:cs="Times New Roman"/>
          <w:color w:val="auto"/>
          <w:kern w:val="0"/>
          <w:sz w:val="24"/>
          <w14:ligatures w14:val="none"/>
        </w:rPr>
        <w:t>1b</w:t>
      </w:r>
      <w:proofErr w:type="spellEnd"/>
      <w:r w:rsidR="00CD00ED" w:rsidRPr="00C835AB">
        <w:rPr>
          <w:rFonts w:ascii="Times New Roman" w:eastAsia="Calibri" w:hAnsi="Times New Roman" w:cs="Times New Roman"/>
          <w:color w:val="auto"/>
          <w:kern w:val="0"/>
          <w:sz w:val="24"/>
          <w14:ligatures w14:val="none"/>
        </w:rPr>
        <w:t xml:space="preserve"> </w:t>
      </w:r>
      <w:proofErr w:type="spellStart"/>
      <w:r w:rsidR="00CD00ED" w:rsidRPr="00C835AB">
        <w:rPr>
          <w:rFonts w:ascii="Times New Roman" w:eastAsia="Calibri" w:hAnsi="Times New Roman" w:cs="Times New Roman"/>
          <w:color w:val="auto"/>
          <w:kern w:val="0"/>
          <w:sz w:val="24"/>
          <w14:ligatures w14:val="none"/>
        </w:rPr>
        <w:t>k.p.w</w:t>
      </w:r>
      <w:proofErr w:type="spellEnd"/>
      <w:r w:rsidR="00CD00ED" w:rsidRPr="00C835AB">
        <w:rPr>
          <w:rFonts w:ascii="Times New Roman" w:eastAsia="Calibri" w:hAnsi="Times New Roman" w:cs="Times New Roman"/>
          <w:color w:val="auto"/>
          <w:kern w:val="0"/>
          <w:sz w:val="24"/>
          <w14:ligatures w14:val="none"/>
        </w:rPr>
        <w:t xml:space="preserve">. </w:t>
      </w:r>
      <w:bookmarkEnd w:id="1"/>
      <w:r w:rsidR="00CD00ED" w:rsidRPr="00C835AB">
        <w:rPr>
          <w:rFonts w:ascii="Times New Roman" w:eastAsia="Calibri" w:hAnsi="Times New Roman" w:cs="Times New Roman"/>
          <w:color w:val="auto"/>
          <w:kern w:val="0"/>
          <w:sz w:val="24"/>
          <w14:ligatures w14:val="none"/>
        </w:rPr>
        <w:t>określającego maksymalną wysokość grzywny, jaką można nałożyć w postępowaniu mandatowym za określone wykroczenia. Przepis ten został w takim brzmieniu ukształtowany ustawą z dnia 20 lutego 2015</w:t>
      </w:r>
      <w:r w:rsidR="001A3D13" w:rsidRPr="00C835AB">
        <w:rPr>
          <w:rFonts w:ascii="Times New Roman" w:eastAsia="Calibri" w:hAnsi="Times New Roman" w:cs="Times New Roman"/>
          <w:color w:val="auto"/>
          <w:kern w:val="0"/>
          <w:sz w:val="24"/>
          <w14:ligatures w14:val="none"/>
        </w:rPr>
        <w:t> </w:t>
      </w:r>
      <w:r w:rsidR="00CD00ED" w:rsidRPr="00C835AB">
        <w:rPr>
          <w:rFonts w:ascii="Times New Roman" w:eastAsia="Calibri" w:hAnsi="Times New Roman" w:cs="Times New Roman"/>
          <w:color w:val="auto"/>
          <w:kern w:val="0"/>
          <w:sz w:val="24"/>
          <w14:ligatures w14:val="none"/>
        </w:rPr>
        <w:t xml:space="preserve">r., która w tym zakresie weszła w życie w dniu 4 kwietnia 2015 r. </w:t>
      </w:r>
    </w:p>
    <w:p w14:paraId="62D861C8" w14:textId="6C0BC56B" w:rsidR="00CD00ED" w:rsidRPr="00C835AB" w:rsidRDefault="00CD00ED" w:rsidP="00D823D0">
      <w:pPr>
        <w:ind w:firstLine="709"/>
        <w:rPr>
          <w:rFonts w:ascii="Times New Roman" w:eastAsia="Calibri" w:hAnsi="Times New Roman" w:cs="Times New Roman"/>
          <w:color w:val="auto"/>
          <w:kern w:val="0"/>
          <w:sz w:val="24"/>
          <w14:ligatures w14:val="none"/>
        </w:rPr>
      </w:pPr>
      <w:r w:rsidRPr="00C835AB">
        <w:rPr>
          <w:rFonts w:ascii="Times New Roman" w:eastAsia="Calibri" w:hAnsi="Times New Roman" w:cs="Times New Roman"/>
          <w:color w:val="auto"/>
          <w:kern w:val="0"/>
          <w:sz w:val="24"/>
          <w14:ligatures w14:val="none"/>
        </w:rPr>
        <w:t xml:space="preserve">Zauważyć jednak trzeba, że obecnie w wyniku dokonanych nowelizacji art. 96 </w:t>
      </w:r>
      <w:proofErr w:type="spellStart"/>
      <w:r w:rsidRPr="00C835AB">
        <w:rPr>
          <w:rFonts w:ascii="Times New Roman" w:eastAsia="Calibri" w:hAnsi="Times New Roman" w:cs="Times New Roman"/>
          <w:color w:val="auto"/>
          <w:kern w:val="0"/>
          <w:sz w:val="24"/>
          <w14:ligatures w14:val="none"/>
        </w:rPr>
        <w:t>k.p.w</w:t>
      </w:r>
      <w:proofErr w:type="spellEnd"/>
      <w:r w:rsidRPr="00C835AB">
        <w:rPr>
          <w:rFonts w:ascii="Times New Roman" w:eastAsia="Calibri" w:hAnsi="Times New Roman" w:cs="Times New Roman"/>
          <w:color w:val="auto"/>
          <w:kern w:val="0"/>
          <w:sz w:val="24"/>
          <w14:ligatures w14:val="none"/>
        </w:rPr>
        <w:t xml:space="preserve">. został on rozszerzony o kolejne jednostki redakcyjne (art. 96 </w:t>
      </w:r>
      <w:bookmarkStart w:id="2" w:name="_Hlk77939219"/>
      <w:r w:rsidRPr="00C835AB">
        <w:rPr>
          <w:rFonts w:ascii="Times New Roman" w:eastAsia="Calibri" w:hAnsi="Times New Roman" w:cs="Times New Roman"/>
          <w:color w:val="auto"/>
          <w:kern w:val="0"/>
          <w:sz w:val="24"/>
          <w14:ligatures w14:val="none"/>
        </w:rPr>
        <w:t>§ 1</w:t>
      </w:r>
      <w:bookmarkEnd w:id="2"/>
      <w:r w:rsidR="00796D23">
        <w:rPr>
          <w:rFonts w:ascii="Times New Roman" w:eastAsia="Calibri" w:hAnsi="Times New Roman" w:cs="Times New Roman"/>
          <w:color w:val="auto"/>
          <w:kern w:val="0"/>
          <w:sz w:val="24"/>
          <w14:ligatures w14:val="none"/>
        </w:rPr>
        <w:t>–</w:t>
      </w:r>
      <w:proofErr w:type="spellStart"/>
      <w:r w:rsidRPr="00C835AB">
        <w:rPr>
          <w:rFonts w:ascii="Times New Roman" w:eastAsia="Calibri" w:hAnsi="Times New Roman" w:cs="Times New Roman"/>
          <w:color w:val="auto"/>
          <w:kern w:val="0"/>
          <w:sz w:val="24"/>
          <w14:ligatures w14:val="none"/>
        </w:rPr>
        <w:t>1d</w:t>
      </w:r>
      <w:proofErr w:type="spellEnd"/>
      <w:r w:rsidRPr="00C835AB">
        <w:rPr>
          <w:rFonts w:ascii="Times New Roman" w:eastAsia="Calibri" w:hAnsi="Times New Roman" w:cs="Times New Roman"/>
          <w:color w:val="auto"/>
          <w:kern w:val="0"/>
          <w:sz w:val="24"/>
          <w14:ligatures w14:val="none"/>
        </w:rPr>
        <w:t xml:space="preserve"> </w:t>
      </w:r>
      <w:proofErr w:type="spellStart"/>
      <w:r w:rsidRPr="00C835AB">
        <w:rPr>
          <w:rFonts w:ascii="Times New Roman" w:eastAsia="Calibri" w:hAnsi="Times New Roman" w:cs="Times New Roman"/>
          <w:color w:val="auto"/>
          <w:kern w:val="0"/>
          <w:sz w:val="24"/>
          <w14:ligatures w14:val="none"/>
        </w:rPr>
        <w:t>k.p.w</w:t>
      </w:r>
      <w:proofErr w:type="spellEnd"/>
      <w:r w:rsidRPr="00C835AB">
        <w:rPr>
          <w:rFonts w:ascii="Times New Roman" w:eastAsia="Calibri" w:hAnsi="Times New Roman" w:cs="Times New Roman"/>
          <w:color w:val="auto"/>
          <w:kern w:val="0"/>
          <w:sz w:val="24"/>
          <w14:ligatures w14:val="none"/>
        </w:rPr>
        <w:t>.) określające przypadki i wysokość grzywny nakładanej w postępowaniu mandatowym prowadzonym przez</w:t>
      </w:r>
      <w:r w:rsidR="00BD5665">
        <w:rPr>
          <w:rFonts w:ascii="Times New Roman" w:eastAsia="Calibri" w:hAnsi="Times New Roman" w:cs="Times New Roman"/>
          <w:color w:val="auto"/>
          <w:kern w:val="0"/>
          <w:sz w:val="24"/>
          <w14:ligatures w14:val="none"/>
        </w:rPr>
        <w:t> </w:t>
      </w:r>
      <w:r w:rsidRPr="00C835AB">
        <w:rPr>
          <w:rFonts w:ascii="Times New Roman" w:eastAsia="Calibri" w:hAnsi="Times New Roman" w:cs="Times New Roman"/>
          <w:color w:val="auto"/>
          <w:kern w:val="0"/>
          <w:sz w:val="24"/>
          <w14:ligatures w14:val="none"/>
        </w:rPr>
        <w:t xml:space="preserve">uprawnione organy, co nie wpłynęło na zmianę dostosowawczą art. 101 § </w:t>
      </w:r>
      <w:proofErr w:type="spellStart"/>
      <w:r w:rsidRPr="00C835AB">
        <w:rPr>
          <w:rFonts w:ascii="Times New Roman" w:eastAsia="Calibri" w:hAnsi="Times New Roman" w:cs="Times New Roman"/>
          <w:color w:val="auto"/>
          <w:kern w:val="0"/>
          <w:sz w:val="24"/>
          <w14:ligatures w14:val="none"/>
        </w:rPr>
        <w:t>1a</w:t>
      </w:r>
      <w:proofErr w:type="spellEnd"/>
      <w:r w:rsidRPr="00C835AB">
        <w:rPr>
          <w:rFonts w:ascii="Times New Roman" w:eastAsia="Calibri" w:hAnsi="Times New Roman" w:cs="Times New Roman"/>
          <w:color w:val="auto"/>
          <w:kern w:val="0"/>
          <w:sz w:val="24"/>
          <w14:ligatures w14:val="none"/>
        </w:rPr>
        <w:t xml:space="preserve"> </w:t>
      </w:r>
      <w:proofErr w:type="spellStart"/>
      <w:r w:rsidRPr="00C835AB">
        <w:rPr>
          <w:rFonts w:ascii="Times New Roman" w:eastAsia="Calibri" w:hAnsi="Times New Roman" w:cs="Times New Roman"/>
          <w:color w:val="auto"/>
          <w:kern w:val="0"/>
          <w:sz w:val="24"/>
          <w14:ligatures w14:val="none"/>
        </w:rPr>
        <w:t>k.p.w</w:t>
      </w:r>
      <w:proofErr w:type="spellEnd"/>
      <w:r w:rsidRPr="00C835AB">
        <w:rPr>
          <w:rFonts w:ascii="Times New Roman" w:eastAsia="Calibri" w:hAnsi="Times New Roman" w:cs="Times New Roman"/>
          <w:color w:val="auto"/>
          <w:kern w:val="0"/>
          <w:sz w:val="24"/>
          <w14:ligatures w14:val="none"/>
        </w:rPr>
        <w:t xml:space="preserve">. </w:t>
      </w:r>
    </w:p>
    <w:p w14:paraId="222C2C32" w14:textId="77777777" w:rsidR="00CD00ED" w:rsidRPr="00C835AB" w:rsidRDefault="00CD00ED" w:rsidP="00D823D0">
      <w:pPr>
        <w:ind w:firstLine="709"/>
        <w:rPr>
          <w:rFonts w:ascii="Times New Roman" w:eastAsia="Calibri" w:hAnsi="Times New Roman" w:cs="Times New Roman"/>
          <w:color w:val="auto"/>
          <w:kern w:val="0"/>
          <w:sz w:val="24"/>
          <w14:ligatures w14:val="none"/>
        </w:rPr>
      </w:pPr>
      <w:r w:rsidRPr="00C835AB">
        <w:rPr>
          <w:rFonts w:ascii="Times New Roman" w:eastAsia="Calibri" w:hAnsi="Times New Roman" w:cs="Times New Roman"/>
          <w:color w:val="auto"/>
          <w:kern w:val="0"/>
          <w:sz w:val="24"/>
          <w14:ligatures w14:val="none"/>
        </w:rPr>
        <w:t xml:space="preserve">W aktualnie obowiązującym brzmieniu art. 96 </w:t>
      </w:r>
      <w:proofErr w:type="spellStart"/>
      <w:r w:rsidRPr="00C835AB">
        <w:rPr>
          <w:rFonts w:ascii="Times New Roman" w:eastAsia="Calibri" w:hAnsi="Times New Roman" w:cs="Times New Roman"/>
          <w:color w:val="auto"/>
          <w:kern w:val="0"/>
          <w:sz w:val="24"/>
          <w14:ligatures w14:val="none"/>
        </w:rPr>
        <w:t>k.p.w</w:t>
      </w:r>
      <w:proofErr w:type="spellEnd"/>
      <w:r w:rsidRPr="00C835AB">
        <w:rPr>
          <w:rFonts w:ascii="Times New Roman" w:eastAsia="Calibri" w:hAnsi="Times New Roman" w:cs="Times New Roman"/>
          <w:color w:val="auto"/>
          <w:kern w:val="0"/>
          <w:sz w:val="24"/>
          <w14:ligatures w14:val="none"/>
        </w:rPr>
        <w:t xml:space="preserve">. zawiera także: </w:t>
      </w:r>
    </w:p>
    <w:p w14:paraId="13A83B48" w14:textId="55ED34EE" w:rsidR="00CD00ED" w:rsidRPr="00C835AB" w:rsidRDefault="00CD00ED" w:rsidP="00D823D0">
      <w:pPr>
        <w:pStyle w:val="Akapitzlist"/>
        <w:numPr>
          <w:ilvl w:val="0"/>
          <w:numId w:val="26"/>
        </w:numPr>
        <w:rPr>
          <w:rFonts w:ascii="Times New Roman" w:eastAsia="Calibri" w:hAnsi="Times New Roman" w:cs="Times New Roman"/>
          <w:color w:val="auto"/>
          <w:kern w:val="0"/>
          <w:sz w:val="24"/>
          <w14:ligatures w14:val="none"/>
        </w:rPr>
      </w:pPr>
      <w:r w:rsidRPr="00C835AB">
        <w:rPr>
          <w:rFonts w:ascii="Times New Roman" w:eastAsia="Calibri" w:hAnsi="Times New Roman" w:cs="Times New Roman"/>
          <w:color w:val="auto"/>
          <w:kern w:val="0"/>
          <w:sz w:val="24"/>
          <w14:ligatures w14:val="none"/>
        </w:rPr>
        <w:t xml:space="preserve">§ 1ba i § 1bb dodane ustawą z dnia 7 kwietnia 2017 r. o zmianie ustawy o zatrudnianiu pracowników tymczasowych oraz niektórych innych ustaw </w:t>
      </w:r>
      <w:hyperlink r:id="rId18" w:history="1">
        <w:r w:rsidRPr="00C835AB">
          <w:rPr>
            <w:rStyle w:val="Hipercze"/>
            <w:rFonts w:ascii="Times New Roman" w:eastAsia="Calibri" w:hAnsi="Times New Roman" w:cs="Times New Roman"/>
            <w:color w:val="auto"/>
            <w:kern w:val="0"/>
            <w:sz w:val="24"/>
            <w:u w:val="none"/>
            <w14:ligatures w14:val="none"/>
          </w:rPr>
          <w:t>(Dz.</w:t>
        </w:r>
        <w:r w:rsidR="001007CC" w:rsidRPr="00C835AB">
          <w:rPr>
            <w:rStyle w:val="Hipercze"/>
            <w:rFonts w:ascii="Times New Roman" w:eastAsia="Calibri" w:hAnsi="Times New Roman" w:cs="Times New Roman"/>
            <w:color w:val="auto"/>
            <w:kern w:val="0"/>
            <w:sz w:val="24"/>
            <w:u w:val="none"/>
            <w14:ligatures w14:val="none"/>
          </w:rPr>
          <w:t xml:space="preserve"> </w:t>
        </w:r>
        <w:r w:rsidRPr="00C835AB">
          <w:rPr>
            <w:rStyle w:val="Hipercze"/>
            <w:rFonts w:ascii="Times New Roman" w:eastAsia="Calibri" w:hAnsi="Times New Roman" w:cs="Times New Roman"/>
            <w:color w:val="auto"/>
            <w:kern w:val="0"/>
            <w:sz w:val="24"/>
            <w:u w:val="none"/>
            <w14:ligatures w14:val="none"/>
          </w:rPr>
          <w:t>U. poz. 962)</w:t>
        </w:r>
      </w:hyperlink>
      <w:r w:rsidRPr="00C835AB">
        <w:rPr>
          <w:rFonts w:ascii="Times New Roman" w:eastAsia="Calibri" w:hAnsi="Times New Roman" w:cs="Times New Roman"/>
          <w:color w:val="auto"/>
          <w:kern w:val="0"/>
          <w:sz w:val="24"/>
          <w14:ligatures w14:val="none"/>
        </w:rPr>
        <w:t>, która</w:t>
      </w:r>
      <w:r w:rsidR="00BD5665">
        <w:rPr>
          <w:rFonts w:ascii="Times New Roman" w:eastAsia="Calibri" w:hAnsi="Times New Roman" w:cs="Times New Roman"/>
          <w:color w:val="auto"/>
          <w:kern w:val="0"/>
          <w:sz w:val="24"/>
          <w14:ligatures w14:val="none"/>
        </w:rPr>
        <w:t> </w:t>
      </w:r>
      <w:r w:rsidRPr="00C835AB">
        <w:rPr>
          <w:rFonts w:ascii="Times New Roman" w:eastAsia="Calibri" w:hAnsi="Times New Roman" w:cs="Times New Roman"/>
          <w:color w:val="auto"/>
          <w:kern w:val="0"/>
          <w:sz w:val="24"/>
          <w14:ligatures w14:val="none"/>
        </w:rPr>
        <w:t>weszła w życie z dniem 1 czerwca 2017 r.</w:t>
      </w:r>
      <w:r w:rsidR="00F80A72" w:rsidRPr="00C835AB">
        <w:rPr>
          <w:rFonts w:ascii="Times New Roman" w:eastAsia="Calibri" w:hAnsi="Times New Roman" w:cs="Times New Roman"/>
          <w:color w:val="auto"/>
          <w:kern w:val="0"/>
          <w:sz w:val="24"/>
          <w14:ligatures w14:val="none"/>
        </w:rPr>
        <w:t>;</w:t>
      </w:r>
    </w:p>
    <w:p w14:paraId="37F6E6B7" w14:textId="6B965C76" w:rsidR="00CD00ED" w:rsidRPr="00C835AB" w:rsidRDefault="00CD00ED" w:rsidP="00D823D0">
      <w:pPr>
        <w:pStyle w:val="Akapitzlist"/>
        <w:numPr>
          <w:ilvl w:val="0"/>
          <w:numId w:val="26"/>
        </w:numPr>
        <w:rPr>
          <w:rFonts w:ascii="Times New Roman" w:eastAsia="Calibri" w:hAnsi="Times New Roman" w:cs="Times New Roman"/>
          <w:color w:val="auto"/>
          <w:kern w:val="0"/>
          <w:sz w:val="24"/>
          <w14:ligatures w14:val="none"/>
        </w:rPr>
      </w:pPr>
      <w:r w:rsidRPr="00C835AB">
        <w:rPr>
          <w:rFonts w:ascii="Times New Roman" w:eastAsia="Calibri" w:hAnsi="Times New Roman" w:cs="Times New Roman"/>
          <w:color w:val="auto"/>
          <w:kern w:val="0"/>
          <w:sz w:val="24"/>
          <w14:ligatures w14:val="none"/>
        </w:rPr>
        <w:t xml:space="preserve">§ 1 </w:t>
      </w:r>
      <w:proofErr w:type="spellStart"/>
      <w:r w:rsidRPr="00C835AB">
        <w:rPr>
          <w:rFonts w:ascii="Times New Roman" w:eastAsia="Calibri" w:hAnsi="Times New Roman" w:cs="Times New Roman"/>
          <w:color w:val="auto"/>
          <w:kern w:val="0"/>
          <w:sz w:val="24"/>
          <w14:ligatures w14:val="none"/>
        </w:rPr>
        <w:t>bc</w:t>
      </w:r>
      <w:proofErr w:type="spellEnd"/>
      <w:r w:rsidRPr="00C835AB">
        <w:rPr>
          <w:rFonts w:ascii="Times New Roman" w:eastAsia="Calibri" w:hAnsi="Times New Roman" w:cs="Times New Roman"/>
          <w:color w:val="auto"/>
          <w:kern w:val="0"/>
          <w:sz w:val="24"/>
          <w14:ligatures w14:val="none"/>
        </w:rPr>
        <w:t xml:space="preserve"> dodany ustawą z dnia 10 stycznia 2018 r. o ograniczeniu handlu w niedziele i</w:t>
      </w:r>
      <w:r w:rsidR="001A3D13" w:rsidRPr="00C835AB">
        <w:rPr>
          <w:rFonts w:ascii="Times New Roman" w:eastAsia="Calibri" w:hAnsi="Times New Roman" w:cs="Times New Roman"/>
          <w:color w:val="auto"/>
          <w:kern w:val="0"/>
          <w:sz w:val="24"/>
          <w14:ligatures w14:val="none"/>
        </w:rPr>
        <w:t> </w:t>
      </w:r>
      <w:r w:rsidRPr="00C835AB">
        <w:rPr>
          <w:rFonts w:ascii="Times New Roman" w:eastAsia="Calibri" w:hAnsi="Times New Roman" w:cs="Times New Roman"/>
          <w:color w:val="auto"/>
          <w:kern w:val="0"/>
          <w:sz w:val="24"/>
          <w14:ligatures w14:val="none"/>
        </w:rPr>
        <w:t xml:space="preserve">święta oraz w niektóre inne dni </w:t>
      </w:r>
      <w:hyperlink r:id="rId19" w:history="1">
        <w:r w:rsidRPr="00C835AB">
          <w:rPr>
            <w:rStyle w:val="Hipercze"/>
            <w:rFonts w:ascii="Times New Roman" w:eastAsia="Calibri" w:hAnsi="Times New Roman" w:cs="Times New Roman"/>
            <w:color w:val="auto"/>
            <w:kern w:val="0"/>
            <w:sz w:val="24"/>
            <w:u w:val="none"/>
            <w14:ligatures w14:val="none"/>
          </w:rPr>
          <w:t>(Dz.</w:t>
        </w:r>
        <w:r w:rsidR="001007CC" w:rsidRPr="00C835AB">
          <w:rPr>
            <w:rStyle w:val="Hipercze"/>
            <w:rFonts w:ascii="Times New Roman" w:eastAsia="Calibri" w:hAnsi="Times New Roman" w:cs="Times New Roman"/>
            <w:color w:val="auto"/>
            <w:kern w:val="0"/>
            <w:sz w:val="24"/>
            <w:u w:val="none"/>
            <w14:ligatures w14:val="none"/>
          </w:rPr>
          <w:t xml:space="preserve"> </w:t>
        </w:r>
        <w:r w:rsidRPr="00C835AB">
          <w:rPr>
            <w:rStyle w:val="Hipercze"/>
            <w:rFonts w:ascii="Times New Roman" w:eastAsia="Calibri" w:hAnsi="Times New Roman" w:cs="Times New Roman"/>
            <w:color w:val="auto"/>
            <w:kern w:val="0"/>
            <w:sz w:val="24"/>
            <w:u w:val="none"/>
            <w14:ligatures w14:val="none"/>
          </w:rPr>
          <w:t>U. poz. 305)</w:t>
        </w:r>
      </w:hyperlink>
      <w:r w:rsidRPr="00C835AB">
        <w:rPr>
          <w:rFonts w:ascii="Times New Roman" w:eastAsia="Calibri" w:hAnsi="Times New Roman" w:cs="Times New Roman"/>
          <w:color w:val="auto"/>
          <w:kern w:val="0"/>
          <w:sz w:val="24"/>
          <w14:ligatures w14:val="none"/>
        </w:rPr>
        <w:t>, która weszła w życie z dniem 1</w:t>
      </w:r>
      <w:r w:rsidR="001A3D13" w:rsidRPr="00C835AB">
        <w:rPr>
          <w:rFonts w:ascii="Times New Roman" w:eastAsia="Calibri" w:hAnsi="Times New Roman" w:cs="Times New Roman"/>
          <w:color w:val="auto"/>
          <w:kern w:val="0"/>
          <w:sz w:val="24"/>
          <w14:ligatures w14:val="none"/>
        </w:rPr>
        <w:t> </w:t>
      </w:r>
      <w:r w:rsidRPr="00C835AB">
        <w:rPr>
          <w:rFonts w:ascii="Times New Roman" w:eastAsia="Calibri" w:hAnsi="Times New Roman" w:cs="Times New Roman"/>
          <w:color w:val="auto"/>
          <w:kern w:val="0"/>
          <w:sz w:val="24"/>
          <w14:ligatures w14:val="none"/>
        </w:rPr>
        <w:t>marca 2018 r.</w:t>
      </w:r>
      <w:r w:rsidR="00F80A72" w:rsidRPr="00C835AB">
        <w:rPr>
          <w:rFonts w:ascii="Times New Roman" w:eastAsia="Calibri" w:hAnsi="Times New Roman" w:cs="Times New Roman"/>
          <w:color w:val="auto"/>
          <w:kern w:val="0"/>
          <w:sz w:val="24"/>
          <w14:ligatures w14:val="none"/>
        </w:rPr>
        <w:t>;</w:t>
      </w:r>
    </w:p>
    <w:p w14:paraId="15FDBEBE" w14:textId="1FC50EE9" w:rsidR="00CD00ED" w:rsidRPr="00C835AB" w:rsidRDefault="00CD00ED" w:rsidP="00D823D0">
      <w:pPr>
        <w:pStyle w:val="Akapitzlist"/>
        <w:numPr>
          <w:ilvl w:val="0"/>
          <w:numId w:val="26"/>
        </w:numPr>
        <w:rPr>
          <w:rFonts w:ascii="Times New Roman" w:eastAsia="Calibri" w:hAnsi="Times New Roman" w:cs="Times New Roman"/>
          <w:color w:val="auto"/>
          <w:kern w:val="0"/>
          <w:sz w:val="24"/>
          <w14:ligatures w14:val="none"/>
        </w:rPr>
      </w:pPr>
      <w:bookmarkStart w:id="3" w:name="_Hlk162272392"/>
      <w:r w:rsidRPr="00C835AB">
        <w:rPr>
          <w:rFonts w:ascii="Times New Roman" w:eastAsia="Calibri" w:hAnsi="Times New Roman" w:cs="Times New Roman"/>
          <w:color w:val="auto"/>
          <w:kern w:val="0"/>
          <w:sz w:val="24"/>
          <w14:ligatures w14:val="none"/>
        </w:rPr>
        <w:t xml:space="preserve">§ 1bd </w:t>
      </w:r>
      <w:bookmarkStart w:id="4" w:name="_Hlk162272413"/>
      <w:bookmarkEnd w:id="3"/>
      <w:r w:rsidRPr="00C835AB">
        <w:rPr>
          <w:rFonts w:ascii="Times New Roman" w:eastAsia="Calibri" w:hAnsi="Times New Roman" w:cs="Times New Roman"/>
          <w:color w:val="auto"/>
          <w:kern w:val="0"/>
          <w:sz w:val="24"/>
          <w14:ligatures w14:val="none"/>
        </w:rPr>
        <w:t>dodany ustawą z dnia</w:t>
      </w:r>
      <w:bookmarkEnd w:id="4"/>
      <w:r w:rsidRPr="00C835AB">
        <w:rPr>
          <w:rFonts w:ascii="Times New Roman" w:eastAsia="Calibri" w:hAnsi="Times New Roman" w:cs="Times New Roman"/>
          <w:color w:val="auto"/>
          <w:kern w:val="0"/>
          <w:sz w:val="24"/>
          <w14:ligatures w14:val="none"/>
        </w:rPr>
        <w:t xml:space="preserve"> 28 października 2020 r. o zmianie niektórych ustaw w</w:t>
      </w:r>
      <w:r w:rsidR="001A3D13" w:rsidRPr="00C835AB">
        <w:rPr>
          <w:rFonts w:ascii="Times New Roman" w:eastAsia="Calibri" w:hAnsi="Times New Roman" w:cs="Times New Roman"/>
          <w:color w:val="auto"/>
          <w:kern w:val="0"/>
          <w:sz w:val="24"/>
          <w14:ligatures w14:val="none"/>
        </w:rPr>
        <w:t> </w:t>
      </w:r>
      <w:r w:rsidRPr="00C835AB">
        <w:rPr>
          <w:rFonts w:ascii="Times New Roman" w:eastAsia="Calibri" w:hAnsi="Times New Roman" w:cs="Times New Roman"/>
          <w:color w:val="auto"/>
          <w:kern w:val="0"/>
          <w:sz w:val="24"/>
          <w14:ligatures w14:val="none"/>
        </w:rPr>
        <w:t xml:space="preserve">związku z przeciwdziałaniem sytuacjom kryzysowym związanym z wystąpieniem Covid-19 </w:t>
      </w:r>
      <w:bookmarkStart w:id="5" w:name="_Hlk162272468"/>
      <w:r w:rsidRPr="00C835AB">
        <w:rPr>
          <w:rFonts w:ascii="Times New Roman" w:hAnsi="Times New Roman" w:cs="Times New Roman"/>
          <w:color w:val="auto"/>
          <w:sz w:val="24"/>
        </w:rPr>
        <w:fldChar w:fldCharType="begin"/>
      </w:r>
      <w:r w:rsidRPr="00C835AB">
        <w:rPr>
          <w:rFonts w:ascii="Times New Roman" w:hAnsi="Times New Roman" w:cs="Times New Roman"/>
          <w:color w:val="auto"/>
          <w:sz w:val="24"/>
        </w:rPr>
        <w:instrText>HYPERLINK "https://sip.legalis.pl/document-view.seam?documentId=mfrxilrtg4ytknrxgq2ti"</w:instrText>
      </w:r>
      <w:r w:rsidRPr="00C835AB">
        <w:rPr>
          <w:rFonts w:ascii="Times New Roman" w:hAnsi="Times New Roman" w:cs="Times New Roman"/>
          <w:color w:val="auto"/>
          <w:sz w:val="24"/>
        </w:rPr>
      </w:r>
      <w:r w:rsidRPr="00C835AB">
        <w:rPr>
          <w:rFonts w:ascii="Times New Roman" w:hAnsi="Times New Roman" w:cs="Times New Roman"/>
          <w:color w:val="auto"/>
          <w:sz w:val="24"/>
        </w:rPr>
        <w:fldChar w:fldCharType="separate"/>
      </w:r>
      <w:r w:rsidRPr="00C835AB">
        <w:rPr>
          <w:rStyle w:val="Hipercze"/>
          <w:rFonts w:ascii="Times New Roman" w:eastAsia="Calibri" w:hAnsi="Times New Roman" w:cs="Times New Roman"/>
          <w:color w:val="auto"/>
          <w:kern w:val="0"/>
          <w:sz w:val="24"/>
          <w:u w:val="none"/>
          <w14:ligatures w14:val="none"/>
        </w:rPr>
        <w:t>(Dz.</w:t>
      </w:r>
      <w:r w:rsidR="001007CC" w:rsidRPr="00C835AB">
        <w:rPr>
          <w:rStyle w:val="Hipercze"/>
          <w:rFonts w:ascii="Times New Roman" w:eastAsia="Calibri" w:hAnsi="Times New Roman" w:cs="Times New Roman"/>
          <w:color w:val="auto"/>
          <w:kern w:val="0"/>
          <w:sz w:val="24"/>
          <w:u w:val="none"/>
          <w14:ligatures w14:val="none"/>
        </w:rPr>
        <w:t xml:space="preserve"> </w:t>
      </w:r>
      <w:r w:rsidRPr="00C835AB">
        <w:rPr>
          <w:rStyle w:val="Hipercze"/>
          <w:rFonts w:ascii="Times New Roman" w:eastAsia="Calibri" w:hAnsi="Times New Roman" w:cs="Times New Roman"/>
          <w:color w:val="auto"/>
          <w:kern w:val="0"/>
          <w:sz w:val="24"/>
          <w:u w:val="none"/>
          <w14:ligatures w14:val="none"/>
        </w:rPr>
        <w:t>U. poz. 2112</w:t>
      </w:r>
      <w:r w:rsidR="00577C7E" w:rsidRPr="00C835AB">
        <w:rPr>
          <w:rStyle w:val="Hipercze"/>
          <w:rFonts w:ascii="Times New Roman" w:eastAsia="Calibri" w:hAnsi="Times New Roman" w:cs="Times New Roman"/>
          <w:color w:val="auto"/>
          <w:kern w:val="0"/>
          <w:sz w:val="24"/>
          <w:u w:val="none"/>
          <w14:ligatures w14:val="none"/>
        </w:rPr>
        <w:t xml:space="preserve">, z </w:t>
      </w:r>
      <w:proofErr w:type="spellStart"/>
      <w:r w:rsidR="00577C7E" w:rsidRPr="00C835AB">
        <w:rPr>
          <w:rStyle w:val="Hipercze"/>
          <w:rFonts w:ascii="Times New Roman" w:eastAsia="Calibri" w:hAnsi="Times New Roman" w:cs="Times New Roman"/>
          <w:color w:val="auto"/>
          <w:kern w:val="0"/>
          <w:sz w:val="24"/>
          <w:u w:val="none"/>
          <w14:ligatures w14:val="none"/>
        </w:rPr>
        <w:t>późn</w:t>
      </w:r>
      <w:proofErr w:type="spellEnd"/>
      <w:r w:rsidR="00577C7E" w:rsidRPr="00C835AB">
        <w:rPr>
          <w:rStyle w:val="Hipercze"/>
          <w:rFonts w:ascii="Times New Roman" w:eastAsia="Calibri" w:hAnsi="Times New Roman" w:cs="Times New Roman"/>
          <w:color w:val="auto"/>
          <w:kern w:val="0"/>
          <w:sz w:val="24"/>
          <w:u w:val="none"/>
          <w14:ligatures w14:val="none"/>
        </w:rPr>
        <w:t>. zm.</w:t>
      </w:r>
      <w:r w:rsidRPr="00C835AB">
        <w:rPr>
          <w:rStyle w:val="Hipercze"/>
          <w:rFonts w:ascii="Times New Roman" w:eastAsia="Calibri" w:hAnsi="Times New Roman" w:cs="Times New Roman"/>
          <w:color w:val="auto"/>
          <w:kern w:val="0"/>
          <w:sz w:val="24"/>
          <w:u w:val="none"/>
          <w14:ligatures w14:val="none"/>
        </w:rPr>
        <w:t>)</w:t>
      </w:r>
      <w:r w:rsidRPr="00C835AB">
        <w:rPr>
          <w:rFonts w:ascii="Times New Roman" w:hAnsi="Times New Roman" w:cs="Times New Roman"/>
          <w:color w:val="auto"/>
          <w:sz w:val="24"/>
        </w:rPr>
        <w:fldChar w:fldCharType="end"/>
      </w:r>
      <w:r w:rsidRPr="00C835AB">
        <w:rPr>
          <w:rFonts w:ascii="Times New Roman" w:eastAsia="Calibri" w:hAnsi="Times New Roman" w:cs="Times New Roman"/>
          <w:color w:val="auto"/>
          <w:kern w:val="0"/>
          <w:sz w:val="24"/>
          <w14:ligatures w14:val="none"/>
        </w:rPr>
        <w:t>, która weszła w życie z dniem 29 listopada 2020 r.</w:t>
      </w:r>
      <w:r w:rsidR="00F80A72" w:rsidRPr="00C835AB">
        <w:rPr>
          <w:rFonts w:ascii="Times New Roman" w:eastAsia="Calibri" w:hAnsi="Times New Roman" w:cs="Times New Roman"/>
          <w:color w:val="auto"/>
          <w:kern w:val="0"/>
          <w:sz w:val="24"/>
          <w14:ligatures w14:val="none"/>
        </w:rPr>
        <w:t>;</w:t>
      </w:r>
    </w:p>
    <w:p w14:paraId="428B44B5" w14:textId="4542DD31" w:rsidR="00CD00ED" w:rsidRPr="00C835AB" w:rsidRDefault="00CD00ED" w:rsidP="00D823D0">
      <w:pPr>
        <w:pStyle w:val="Akapitzlist"/>
        <w:numPr>
          <w:ilvl w:val="0"/>
          <w:numId w:val="26"/>
        </w:numPr>
        <w:rPr>
          <w:rFonts w:ascii="Times New Roman" w:eastAsia="Calibri" w:hAnsi="Times New Roman" w:cs="Times New Roman"/>
          <w:color w:val="auto"/>
          <w:kern w:val="0"/>
          <w:sz w:val="24"/>
          <w14:ligatures w14:val="none"/>
        </w:rPr>
      </w:pPr>
      <w:bookmarkStart w:id="6" w:name="_Hlk162272569"/>
      <w:bookmarkEnd w:id="5"/>
      <w:r w:rsidRPr="00C835AB">
        <w:rPr>
          <w:rFonts w:ascii="Times New Roman" w:eastAsia="Calibri" w:hAnsi="Times New Roman" w:cs="Times New Roman"/>
          <w:color w:val="auto"/>
          <w:kern w:val="0"/>
          <w:sz w:val="24"/>
          <w14:ligatures w14:val="none"/>
        </w:rPr>
        <w:t>§ 1d</w:t>
      </w:r>
      <w:r w:rsidRPr="00C835AB">
        <w:rPr>
          <w:rFonts w:ascii="Times New Roman" w:hAnsi="Times New Roman" w:cs="Times New Roman"/>
          <w:color w:val="auto"/>
          <w:sz w:val="24"/>
        </w:rPr>
        <w:t xml:space="preserve"> </w:t>
      </w:r>
      <w:bookmarkEnd w:id="6"/>
      <w:r w:rsidRPr="00C835AB">
        <w:rPr>
          <w:rFonts w:ascii="Times New Roman" w:eastAsia="Calibri" w:hAnsi="Times New Roman" w:cs="Times New Roman"/>
          <w:color w:val="auto"/>
          <w:kern w:val="0"/>
          <w:sz w:val="24"/>
          <w14:ligatures w14:val="none"/>
        </w:rPr>
        <w:t xml:space="preserve">dodany ustawą z dnia 2 grudnia 2021 r. o zmianie ustawy </w:t>
      </w:r>
      <w:r w:rsidR="001007CC" w:rsidRPr="00C835AB">
        <w:rPr>
          <w:rFonts w:ascii="Times New Roman" w:eastAsia="Calibri" w:hAnsi="Times New Roman" w:cs="Times New Roman"/>
          <w:color w:val="auto"/>
          <w:kern w:val="0"/>
          <w:sz w:val="24"/>
          <w14:ligatures w14:val="none"/>
        </w:rPr>
        <w:t>–</w:t>
      </w:r>
      <w:r w:rsidRPr="00C835AB">
        <w:rPr>
          <w:rFonts w:ascii="Times New Roman" w:eastAsia="Calibri" w:hAnsi="Times New Roman" w:cs="Times New Roman"/>
          <w:color w:val="auto"/>
          <w:kern w:val="0"/>
          <w:sz w:val="24"/>
          <w14:ligatures w14:val="none"/>
        </w:rPr>
        <w:t xml:space="preserve"> Prawo o ruchu drogowym oraz niektórych innych ustaw</w:t>
      </w:r>
      <w:r w:rsidRPr="00C835AB">
        <w:rPr>
          <w:rFonts w:ascii="Times New Roman" w:eastAsia="Calibri" w:hAnsi="Times New Roman" w:cs="Times New Roman"/>
          <w:i/>
          <w:iCs/>
          <w:color w:val="auto"/>
          <w:kern w:val="0"/>
          <w:sz w:val="24"/>
          <w14:ligatures w14:val="none"/>
        </w:rPr>
        <w:t xml:space="preserve"> </w:t>
      </w:r>
      <w:hyperlink r:id="rId20" w:history="1">
        <w:r w:rsidRPr="00C835AB">
          <w:rPr>
            <w:rStyle w:val="Hipercze"/>
            <w:rFonts w:ascii="Times New Roman" w:eastAsia="Calibri" w:hAnsi="Times New Roman" w:cs="Times New Roman"/>
            <w:color w:val="auto"/>
            <w:kern w:val="0"/>
            <w:sz w:val="24"/>
            <w:u w:val="none"/>
            <w14:ligatures w14:val="none"/>
          </w:rPr>
          <w:t>(Dz.</w:t>
        </w:r>
        <w:r w:rsidR="001007CC" w:rsidRPr="00C835AB">
          <w:rPr>
            <w:rStyle w:val="Hipercze"/>
            <w:rFonts w:ascii="Times New Roman" w:eastAsia="Calibri" w:hAnsi="Times New Roman" w:cs="Times New Roman"/>
            <w:color w:val="auto"/>
            <w:kern w:val="0"/>
            <w:sz w:val="24"/>
            <w:u w:val="none"/>
            <w14:ligatures w14:val="none"/>
          </w:rPr>
          <w:t xml:space="preserve"> </w:t>
        </w:r>
        <w:r w:rsidRPr="00C835AB">
          <w:rPr>
            <w:rStyle w:val="Hipercze"/>
            <w:rFonts w:ascii="Times New Roman" w:eastAsia="Calibri" w:hAnsi="Times New Roman" w:cs="Times New Roman"/>
            <w:color w:val="auto"/>
            <w:kern w:val="0"/>
            <w:sz w:val="24"/>
            <w:u w:val="none"/>
            <w14:ligatures w14:val="none"/>
          </w:rPr>
          <w:t>U. poz. 2328)</w:t>
        </w:r>
      </w:hyperlink>
      <w:r w:rsidRPr="00C835AB">
        <w:rPr>
          <w:rFonts w:ascii="Times New Roman" w:eastAsia="Calibri" w:hAnsi="Times New Roman" w:cs="Times New Roman"/>
          <w:color w:val="auto"/>
          <w:kern w:val="0"/>
          <w:sz w:val="24"/>
          <w14:ligatures w14:val="none"/>
        </w:rPr>
        <w:t xml:space="preserve">, która weszła w życie z dniem 1 stycznia 2022 r. </w:t>
      </w:r>
    </w:p>
    <w:p w14:paraId="73D7AABE" w14:textId="3FE952F7" w:rsidR="00CD00ED" w:rsidRPr="00C835AB" w:rsidRDefault="00CD00ED" w:rsidP="00D823D0">
      <w:pPr>
        <w:ind w:firstLine="709"/>
        <w:rPr>
          <w:rFonts w:ascii="Times New Roman" w:eastAsia="Calibri" w:hAnsi="Times New Roman" w:cs="Times New Roman"/>
          <w:color w:val="auto"/>
          <w:kern w:val="0"/>
          <w:sz w:val="24"/>
          <w14:ligatures w14:val="none"/>
        </w:rPr>
      </w:pPr>
      <w:r w:rsidRPr="00C835AB">
        <w:rPr>
          <w:rFonts w:ascii="Times New Roman" w:eastAsia="Calibri" w:hAnsi="Times New Roman" w:cs="Times New Roman"/>
          <w:color w:val="auto"/>
          <w:kern w:val="0"/>
          <w:sz w:val="24"/>
          <w14:ligatures w14:val="none"/>
        </w:rPr>
        <w:t xml:space="preserve">Dodane przepisy, tj. art. 96 § 1ba, § 1bb, § 1bc, § 1bd i § </w:t>
      </w:r>
      <w:proofErr w:type="spellStart"/>
      <w:r w:rsidRPr="00C835AB">
        <w:rPr>
          <w:rFonts w:ascii="Times New Roman" w:eastAsia="Calibri" w:hAnsi="Times New Roman" w:cs="Times New Roman"/>
          <w:color w:val="auto"/>
          <w:kern w:val="0"/>
          <w:sz w:val="24"/>
          <w14:ligatures w14:val="none"/>
        </w:rPr>
        <w:t>1d</w:t>
      </w:r>
      <w:proofErr w:type="spellEnd"/>
      <w:r w:rsidRPr="00C835AB">
        <w:rPr>
          <w:rFonts w:ascii="Times New Roman" w:hAnsi="Times New Roman" w:cs="Times New Roman"/>
          <w:color w:val="auto"/>
          <w:sz w:val="24"/>
        </w:rPr>
        <w:t xml:space="preserve"> </w:t>
      </w:r>
      <w:proofErr w:type="spellStart"/>
      <w:r w:rsidRPr="00C835AB">
        <w:rPr>
          <w:rFonts w:ascii="Times New Roman" w:eastAsia="Calibri" w:hAnsi="Times New Roman" w:cs="Times New Roman"/>
          <w:color w:val="auto"/>
          <w:kern w:val="0"/>
          <w:sz w:val="24"/>
          <w14:ligatures w14:val="none"/>
        </w:rPr>
        <w:t>k.p.w</w:t>
      </w:r>
      <w:proofErr w:type="spellEnd"/>
      <w:r w:rsidRPr="00C835AB">
        <w:rPr>
          <w:rFonts w:ascii="Times New Roman" w:eastAsia="Calibri" w:hAnsi="Times New Roman" w:cs="Times New Roman"/>
          <w:color w:val="auto"/>
          <w:kern w:val="0"/>
          <w:sz w:val="24"/>
          <w14:ligatures w14:val="none"/>
        </w:rPr>
        <w:t>.</w:t>
      </w:r>
      <w:r w:rsidR="00DB4E01" w:rsidRPr="00C835AB">
        <w:rPr>
          <w:rFonts w:ascii="Times New Roman" w:eastAsia="Calibri" w:hAnsi="Times New Roman" w:cs="Times New Roman"/>
          <w:color w:val="auto"/>
          <w:kern w:val="0"/>
          <w:sz w:val="24"/>
          <w14:ligatures w14:val="none"/>
        </w:rPr>
        <w:t>,</w:t>
      </w:r>
      <w:r w:rsidRPr="00C835AB">
        <w:rPr>
          <w:rFonts w:ascii="Times New Roman" w:eastAsia="Calibri" w:hAnsi="Times New Roman" w:cs="Times New Roman"/>
          <w:color w:val="auto"/>
          <w:kern w:val="0"/>
          <w:sz w:val="24"/>
          <w14:ligatures w14:val="none"/>
        </w:rPr>
        <w:t xml:space="preserve"> także określają maksymalną wysokość grzywny, jaką można nałożyć w postępowaniu mandatowym za</w:t>
      </w:r>
      <w:r w:rsidR="00BD5665">
        <w:rPr>
          <w:rFonts w:ascii="Times New Roman" w:eastAsia="Calibri" w:hAnsi="Times New Roman" w:cs="Times New Roman"/>
          <w:color w:val="auto"/>
          <w:kern w:val="0"/>
          <w:sz w:val="24"/>
          <w14:ligatures w14:val="none"/>
        </w:rPr>
        <w:t> </w:t>
      </w:r>
      <w:r w:rsidRPr="00C835AB">
        <w:rPr>
          <w:rFonts w:ascii="Times New Roman" w:eastAsia="Calibri" w:hAnsi="Times New Roman" w:cs="Times New Roman"/>
          <w:color w:val="auto"/>
          <w:kern w:val="0"/>
          <w:sz w:val="24"/>
          <w14:ligatures w14:val="none"/>
        </w:rPr>
        <w:t xml:space="preserve">określone w nich wykroczenia. Zasadna jest zatem nowelizacja art. 101 </w:t>
      </w:r>
      <w:bookmarkStart w:id="7" w:name="_Hlk87343386"/>
      <w:r w:rsidRPr="00C835AB">
        <w:rPr>
          <w:rFonts w:ascii="Times New Roman" w:eastAsia="Calibri" w:hAnsi="Times New Roman" w:cs="Times New Roman"/>
          <w:color w:val="auto"/>
          <w:kern w:val="0"/>
          <w:sz w:val="24"/>
          <w14:ligatures w14:val="none"/>
        </w:rPr>
        <w:t xml:space="preserve">§ </w:t>
      </w:r>
      <w:proofErr w:type="spellStart"/>
      <w:r w:rsidRPr="00C835AB">
        <w:rPr>
          <w:rFonts w:ascii="Times New Roman" w:eastAsia="Calibri" w:hAnsi="Times New Roman" w:cs="Times New Roman"/>
          <w:color w:val="auto"/>
          <w:kern w:val="0"/>
          <w:sz w:val="24"/>
          <w14:ligatures w14:val="none"/>
        </w:rPr>
        <w:t>1a</w:t>
      </w:r>
      <w:proofErr w:type="spellEnd"/>
      <w:r w:rsidRPr="00C835AB">
        <w:rPr>
          <w:rFonts w:ascii="Times New Roman" w:eastAsia="Calibri" w:hAnsi="Times New Roman" w:cs="Times New Roman"/>
          <w:color w:val="auto"/>
          <w:kern w:val="0"/>
          <w:sz w:val="24"/>
          <w14:ligatures w14:val="none"/>
        </w:rPr>
        <w:t xml:space="preserve"> </w:t>
      </w:r>
      <w:bookmarkEnd w:id="7"/>
      <w:r w:rsidRPr="00C835AB">
        <w:rPr>
          <w:rFonts w:ascii="Times New Roman" w:eastAsia="Calibri" w:hAnsi="Times New Roman" w:cs="Times New Roman"/>
          <w:color w:val="auto"/>
          <w:kern w:val="0"/>
          <w:sz w:val="24"/>
          <w14:ligatures w14:val="none"/>
        </w:rPr>
        <w:t xml:space="preserve">zdanie drugie </w:t>
      </w:r>
      <w:proofErr w:type="spellStart"/>
      <w:r w:rsidRPr="00C835AB">
        <w:rPr>
          <w:rFonts w:ascii="Times New Roman" w:eastAsia="Calibri" w:hAnsi="Times New Roman" w:cs="Times New Roman"/>
          <w:color w:val="auto"/>
          <w:kern w:val="0"/>
          <w:sz w:val="24"/>
          <w14:ligatures w14:val="none"/>
        </w:rPr>
        <w:t>k.p.w</w:t>
      </w:r>
      <w:proofErr w:type="spellEnd"/>
      <w:r w:rsidRPr="00C835AB">
        <w:rPr>
          <w:rFonts w:ascii="Times New Roman" w:eastAsia="Calibri" w:hAnsi="Times New Roman" w:cs="Times New Roman"/>
          <w:color w:val="auto"/>
          <w:kern w:val="0"/>
          <w:sz w:val="24"/>
          <w14:ligatures w14:val="none"/>
        </w:rPr>
        <w:t>. przez zmianę zapisu odnośnie do przepisów określających wysokość grzywny, którą można nałożyć w postępowaniu mandatowym z art. 96 § 1</w:t>
      </w:r>
      <w:r w:rsidR="00796D23">
        <w:rPr>
          <w:rFonts w:ascii="Times New Roman" w:eastAsia="Calibri" w:hAnsi="Times New Roman" w:cs="Times New Roman"/>
          <w:color w:val="auto"/>
          <w:kern w:val="0"/>
          <w:sz w:val="24"/>
          <w14:ligatures w14:val="none"/>
        </w:rPr>
        <w:t>–</w:t>
      </w:r>
      <w:proofErr w:type="spellStart"/>
      <w:r w:rsidRPr="00C835AB">
        <w:rPr>
          <w:rFonts w:ascii="Times New Roman" w:eastAsia="Calibri" w:hAnsi="Times New Roman" w:cs="Times New Roman"/>
          <w:color w:val="auto"/>
          <w:kern w:val="0"/>
          <w:sz w:val="24"/>
          <w14:ligatures w14:val="none"/>
        </w:rPr>
        <w:t>1b</w:t>
      </w:r>
      <w:proofErr w:type="spellEnd"/>
      <w:r w:rsidRPr="00C835AB">
        <w:rPr>
          <w:rFonts w:ascii="Times New Roman" w:eastAsia="Calibri" w:hAnsi="Times New Roman" w:cs="Times New Roman"/>
          <w:color w:val="auto"/>
          <w:kern w:val="0"/>
          <w:sz w:val="24"/>
          <w14:ligatures w14:val="none"/>
        </w:rPr>
        <w:t xml:space="preserve"> </w:t>
      </w:r>
      <w:proofErr w:type="spellStart"/>
      <w:r w:rsidR="00577C7E" w:rsidRPr="00C835AB">
        <w:rPr>
          <w:rFonts w:ascii="Times New Roman" w:eastAsia="Calibri" w:hAnsi="Times New Roman" w:cs="Times New Roman"/>
          <w:color w:val="auto"/>
          <w:kern w:val="0"/>
          <w:sz w:val="24"/>
          <w14:ligatures w14:val="none"/>
        </w:rPr>
        <w:t>k.p.w</w:t>
      </w:r>
      <w:proofErr w:type="spellEnd"/>
      <w:r w:rsidR="00577C7E" w:rsidRPr="00C835AB">
        <w:rPr>
          <w:rFonts w:ascii="Times New Roman" w:eastAsia="Calibri" w:hAnsi="Times New Roman" w:cs="Times New Roman"/>
          <w:color w:val="auto"/>
          <w:kern w:val="0"/>
          <w:sz w:val="24"/>
          <w14:ligatures w14:val="none"/>
        </w:rPr>
        <w:t xml:space="preserve">. </w:t>
      </w:r>
      <w:r w:rsidRPr="00C835AB">
        <w:rPr>
          <w:rFonts w:ascii="Times New Roman" w:eastAsia="Calibri" w:hAnsi="Times New Roman" w:cs="Times New Roman"/>
          <w:color w:val="auto"/>
          <w:kern w:val="0"/>
          <w:sz w:val="24"/>
          <w14:ligatures w14:val="none"/>
        </w:rPr>
        <w:t>na art. 96 § 1</w:t>
      </w:r>
      <w:r w:rsidR="00796D23">
        <w:rPr>
          <w:rFonts w:ascii="Times New Roman" w:eastAsia="Calibri" w:hAnsi="Times New Roman" w:cs="Times New Roman"/>
          <w:color w:val="auto"/>
          <w:kern w:val="0"/>
          <w:sz w:val="24"/>
          <w14:ligatures w14:val="none"/>
        </w:rPr>
        <w:t>–</w:t>
      </w:r>
      <w:proofErr w:type="spellStart"/>
      <w:r w:rsidRPr="00C835AB">
        <w:rPr>
          <w:rFonts w:ascii="Times New Roman" w:eastAsia="Calibri" w:hAnsi="Times New Roman" w:cs="Times New Roman"/>
          <w:color w:val="auto"/>
          <w:kern w:val="0"/>
          <w:sz w:val="24"/>
          <w14:ligatures w14:val="none"/>
        </w:rPr>
        <w:t>1d</w:t>
      </w:r>
      <w:proofErr w:type="spellEnd"/>
      <w:r w:rsidR="00577C7E" w:rsidRPr="00C835AB">
        <w:rPr>
          <w:rFonts w:ascii="Times New Roman" w:eastAsia="Calibri" w:hAnsi="Times New Roman" w:cs="Times New Roman"/>
          <w:color w:val="auto"/>
          <w:kern w:val="0"/>
          <w:sz w:val="24"/>
          <w14:ligatures w14:val="none"/>
        </w:rPr>
        <w:t xml:space="preserve"> </w:t>
      </w:r>
      <w:proofErr w:type="spellStart"/>
      <w:r w:rsidR="00577C7E" w:rsidRPr="00C835AB">
        <w:rPr>
          <w:rFonts w:ascii="Times New Roman" w:eastAsia="Calibri" w:hAnsi="Times New Roman" w:cs="Times New Roman"/>
          <w:color w:val="auto"/>
          <w:kern w:val="0"/>
          <w:sz w:val="24"/>
          <w14:ligatures w14:val="none"/>
        </w:rPr>
        <w:t>k.p.w</w:t>
      </w:r>
      <w:proofErr w:type="spellEnd"/>
      <w:r w:rsidRPr="00C835AB">
        <w:rPr>
          <w:rFonts w:ascii="Times New Roman" w:eastAsia="Calibri" w:hAnsi="Times New Roman" w:cs="Times New Roman"/>
          <w:color w:val="auto"/>
          <w:kern w:val="0"/>
          <w:sz w:val="24"/>
          <w14:ligatures w14:val="none"/>
        </w:rPr>
        <w:t xml:space="preserve">. </w:t>
      </w:r>
    </w:p>
    <w:p w14:paraId="33BE36CE" w14:textId="1D419996" w:rsidR="00CD00ED" w:rsidRPr="00C835AB" w:rsidRDefault="00CC1D0D" w:rsidP="00D823D0">
      <w:pPr>
        <w:ind w:firstLine="360"/>
        <w:rPr>
          <w:rFonts w:ascii="Times New Roman" w:eastAsia="Times New Roman" w:hAnsi="Times New Roman" w:cs="Times New Roman"/>
          <w:color w:val="auto"/>
          <w:kern w:val="0"/>
          <w:sz w:val="24"/>
          <w:lang w:eastAsia="pl-PL"/>
          <w14:ligatures w14:val="none"/>
        </w:rPr>
      </w:pPr>
      <w:r w:rsidRPr="00C835AB">
        <w:rPr>
          <w:rFonts w:ascii="Times New Roman" w:eastAsia="Times New Roman" w:hAnsi="Times New Roman" w:cs="Times New Roman"/>
          <w:color w:val="auto"/>
          <w:kern w:val="0"/>
          <w:sz w:val="24"/>
          <w:lang w:eastAsia="pl-PL"/>
          <w14:ligatures w14:val="none"/>
        </w:rPr>
        <w:t>Projektowana z</w:t>
      </w:r>
      <w:r w:rsidR="00CD00ED" w:rsidRPr="00C835AB">
        <w:rPr>
          <w:rFonts w:ascii="Times New Roman" w:eastAsia="Times New Roman" w:hAnsi="Times New Roman" w:cs="Times New Roman"/>
          <w:color w:val="auto"/>
          <w:kern w:val="0"/>
          <w:sz w:val="24"/>
          <w:lang w:eastAsia="pl-PL"/>
          <w14:ligatures w14:val="none"/>
        </w:rPr>
        <w:t xml:space="preserve">miana art. 101 § </w:t>
      </w:r>
      <w:proofErr w:type="spellStart"/>
      <w:r w:rsidR="00CD00ED" w:rsidRPr="00C835AB">
        <w:rPr>
          <w:rFonts w:ascii="Times New Roman" w:eastAsia="Times New Roman" w:hAnsi="Times New Roman" w:cs="Times New Roman"/>
          <w:color w:val="auto"/>
          <w:kern w:val="0"/>
          <w:sz w:val="24"/>
          <w:lang w:eastAsia="pl-PL"/>
          <w14:ligatures w14:val="none"/>
        </w:rPr>
        <w:t>1b</w:t>
      </w:r>
      <w:proofErr w:type="spellEnd"/>
      <w:r w:rsidR="00CD00ED" w:rsidRPr="00C835AB">
        <w:rPr>
          <w:rFonts w:ascii="Times New Roman" w:eastAsia="Times New Roman" w:hAnsi="Times New Roman" w:cs="Times New Roman"/>
          <w:color w:val="auto"/>
          <w:kern w:val="0"/>
          <w:sz w:val="24"/>
          <w:lang w:eastAsia="pl-PL"/>
          <w14:ligatures w14:val="none"/>
        </w:rPr>
        <w:t xml:space="preserve"> </w:t>
      </w:r>
      <w:proofErr w:type="spellStart"/>
      <w:r w:rsidR="00CD00ED" w:rsidRPr="00C835AB">
        <w:rPr>
          <w:rFonts w:ascii="Times New Roman" w:eastAsia="Times New Roman" w:hAnsi="Times New Roman" w:cs="Times New Roman"/>
          <w:color w:val="auto"/>
          <w:kern w:val="0"/>
          <w:sz w:val="24"/>
          <w:lang w:eastAsia="pl-PL"/>
          <w14:ligatures w14:val="none"/>
        </w:rPr>
        <w:t>k.p.w</w:t>
      </w:r>
      <w:proofErr w:type="spellEnd"/>
      <w:r w:rsidR="00CD00ED" w:rsidRPr="00C835AB">
        <w:rPr>
          <w:rFonts w:ascii="Times New Roman" w:eastAsia="Times New Roman" w:hAnsi="Times New Roman" w:cs="Times New Roman"/>
          <w:color w:val="auto"/>
          <w:kern w:val="0"/>
          <w:sz w:val="24"/>
          <w:lang w:eastAsia="pl-PL"/>
          <w14:ligatures w14:val="none"/>
        </w:rPr>
        <w:t>.</w:t>
      </w:r>
      <w:r w:rsidR="00CD00ED" w:rsidRPr="00C835AB">
        <w:rPr>
          <w:rFonts w:ascii="Times New Roman" w:eastAsia="Times New Roman" w:hAnsi="Times New Roman" w:cs="Times New Roman"/>
          <w:b/>
          <w:bCs/>
          <w:color w:val="auto"/>
          <w:kern w:val="0"/>
          <w:sz w:val="24"/>
          <w:lang w:eastAsia="pl-PL"/>
          <w14:ligatures w14:val="none"/>
        </w:rPr>
        <w:t xml:space="preserve"> </w:t>
      </w:r>
      <w:r w:rsidR="00CD00ED" w:rsidRPr="00C835AB">
        <w:rPr>
          <w:rFonts w:ascii="Times New Roman" w:eastAsia="Times New Roman" w:hAnsi="Times New Roman" w:cs="Times New Roman"/>
          <w:color w:val="auto"/>
          <w:kern w:val="0"/>
          <w:sz w:val="24"/>
          <w:lang w:eastAsia="pl-PL"/>
          <w14:ligatures w14:val="none"/>
        </w:rPr>
        <w:t xml:space="preserve">ma na celu rozszerzenie przesłanek pozwalających na uchylenie prawomocnego mandatu karnego. </w:t>
      </w:r>
    </w:p>
    <w:p w14:paraId="23495960" w14:textId="77777777" w:rsidR="00CD00ED" w:rsidRPr="00C835AB" w:rsidRDefault="00CD00ED" w:rsidP="00D823D0">
      <w:pPr>
        <w:autoSpaceDE w:val="0"/>
        <w:autoSpaceDN w:val="0"/>
        <w:adjustRightInd w:val="0"/>
        <w:ind w:firstLine="360"/>
        <w:rPr>
          <w:rFonts w:ascii="Times New Roman" w:eastAsia="Times New Roman" w:hAnsi="Times New Roman" w:cs="Times New Roman"/>
          <w:color w:val="auto"/>
          <w:kern w:val="0"/>
          <w:sz w:val="24"/>
          <w:lang w:eastAsia="pl-PL"/>
          <w14:ligatures w14:val="none"/>
        </w:rPr>
      </w:pPr>
      <w:r w:rsidRPr="00C835AB">
        <w:rPr>
          <w:rFonts w:ascii="Times New Roman" w:eastAsia="Times New Roman" w:hAnsi="Times New Roman" w:cs="Times New Roman"/>
          <w:color w:val="auto"/>
          <w:kern w:val="0"/>
          <w:sz w:val="24"/>
          <w:lang w:eastAsia="pl-PL"/>
          <w14:ligatures w14:val="none"/>
        </w:rPr>
        <w:t xml:space="preserve">Aktualnie ustawodawca w art. 101 </w:t>
      </w:r>
      <w:proofErr w:type="spellStart"/>
      <w:r w:rsidRPr="00C835AB">
        <w:rPr>
          <w:rFonts w:ascii="Times New Roman" w:eastAsia="Times New Roman" w:hAnsi="Times New Roman" w:cs="Times New Roman"/>
          <w:color w:val="auto"/>
          <w:kern w:val="0"/>
          <w:sz w:val="24"/>
          <w:lang w:eastAsia="pl-PL"/>
          <w14:ligatures w14:val="none"/>
        </w:rPr>
        <w:t>k.p.w</w:t>
      </w:r>
      <w:proofErr w:type="spellEnd"/>
      <w:r w:rsidRPr="00C835AB">
        <w:rPr>
          <w:rFonts w:ascii="Times New Roman" w:eastAsia="Times New Roman" w:hAnsi="Times New Roman" w:cs="Times New Roman"/>
          <w:color w:val="auto"/>
          <w:kern w:val="0"/>
          <w:sz w:val="24"/>
          <w:lang w:eastAsia="pl-PL"/>
          <w14:ligatures w14:val="none"/>
        </w:rPr>
        <w:t>. przewidział siedem przesłanek, przy spełnieniu których może dojść do uchylenia prawomocnego mandatu karnego, tj. gdy:</w:t>
      </w:r>
    </w:p>
    <w:p w14:paraId="4FF677DD" w14:textId="783D36B9" w:rsidR="00CD00ED" w:rsidRPr="00C835AB" w:rsidRDefault="00CD00ED" w:rsidP="00D823D0">
      <w:pPr>
        <w:pStyle w:val="Akapitzlist"/>
        <w:numPr>
          <w:ilvl w:val="0"/>
          <w:numId w:val="27"/>
        </w:numPr>
        <w:autoSpaceDE w:val="0"/>
        <w:autoSpaceDN w:val="0"/>
        <w:adjustRightInd w:val="0"/>
        <w:rPr>
          <w:rFonts w:ascii="Times New Roman" w:eastAsia="Times New Roman" w:hAnsi="Times New Roman" w:cs="Times New Roman"/>
          <w:color w:val="auto"/>
          <w:kern w:val="0"/>
          <w:sz w:val="24"/>
          <w:lang w:eastAsia="pl-PL"/>
          <w14:ligatures w14:val="none"/>
        </w:rPr>
      </w:pPr>
      <w:r w:rsidRPr="00C835AB">
        <w:rPr>
          <w:rFonts w:ascii="Times New Roman" w:eastAsia="Times New Roman" w:hAnsi="Times New Roman" w:cs="Times New Roman"/>
          <w:color w:val="auto"/>
          <w:kern w:val="0"/>
          <w:sz w:val="24"/>
          <w:lang w:eastAsia="pl-PL"/>
          <w14:ligatures w14:val="none"/>
        </w:rPr>
        <w:t>grzywnę nałożono za czyn niebędący czynem zabronionym jako wykroczenie (chodzi</w:t>
      </w:r>
      <w:r w:rsidR="00BD5665">
        <w:rPr>
          <w:rFonts w:ascii="Times New Roman" w:eastAsia="Times New Roman" w:hAnsi="Times New Roman" w:cs="Times New Roman"/>
          <w:color w:val="auto"/>
          <w:kern w:val="0"/>
          <w:sz w:val="24"/>
          <w:lang w:eastAsia="pl-PL"/>
          <w14:ligatures w14:val="none"/>
        </w:rPr>
        <w:t> </w:t>
      </w:r>
      <w:r w:rsidRPr="00C835AB">
        <w:rPr>
          <w:rFonts w:ascii="Times New Roman" w:eastAsia="Times New Roman" w:hAnsi="Times New Roman" w:cs="Times New Roman"/>
          <w:color w:val="auto"/>
          <w:kern w:val="0"/>
          <w:sz w:val="24"/>
          <w:lang w:eastAsia="pl-PL"/>
          <w14:ligatures w14:val="none"/>
        </w:rPr>
        <w:t>o</w:t>
      </w:r>
      <w:r w:rsidR="00BD5665">
        <w:rPr>
          <w:rFonts w:ascii="Times New Roman" w:eastAsia="Times New Roman" w:hAnsi="Times New Roman" w:cs="Times New Roman"/>
          <w:color w:val="auto"/>
          <w:kern w:val="0"/>
          <w:sz w:val="24"/>
          <w:lang w:eastAsia="pl-PL"/>
          <w14:ligatures w14:val="none"/>
        </w:rPr>
        <w:t> </w:t>
      </w:r>
      <w:r w:rsidRPr="00C835AB">
        <w:rPr>
          <w:rFonts w:ascii="Times New Roman" w:eastAsia="Times New Roman" w:hAnsi="Times New Roman" w:cs="Times New Roman"/>
          <w:color w:val="auto"/>
          <w:kern w:val="0"/>
          <w:sz w:val="24"/>
          <w:lang w:eastAsia="pl-PL"/>
          <w14:ligatures w14:val="none"/>
        </w:rPr>
        <w:t xml:space="preserve">ustalenie, że zachowanie danej osoby jest prawnie irrelewantne, względnie </w:t>
      </w:r>
      <w:r w:rsidRPr="00C835AB">
        <w:rPr>
          <w:rFonts w:ascii="Times New Roman" w:eastAsia="Times New Roman" w:hAnsi="Times New Roman" w:cs="Times New Roman"/>
          <w:color w:val="auto"/>
          <w:kern w:val="0"/>
          <w:sz w:val="24"/>
          <w:lang w:eastAsia="pl-PL"/>
          <w14:ligatures w14:val="none"/>
        </w:rPr>
        <w:lastRenderedPageBreak/>
        <w:t>gdy należy je zakwalifikować jako przestępstwo albo jako przestępstwo lub</w:t>
      </w:r>
      <w:r w:rsidR="00BD5665">
        <w:rPr>
          <w:rFonts w:ascii="Times New Roman" w:eastAsia="Times New Roman" w:hAnsi="Times New Roman" w:cs="Times New Roman"/>
          <w:color w:val="auto"/>
          <w:kern w:val="0"/>
          <w:sz w:val="24"/>
          <w:lang w:eastAsia="pl-PL"/>
          <w14:ligatures w14:val="none"/>
        </w:rPr>
        <w:t> </w:t>
      </w:r>
      <w:r w:rsidRPr="00C835AB">
        <w:rPr>
          <w:rFonts w:ascii="Times New Roman" w:eastAsia="Times New Roman" w:hAnsi="Times New Roman" w:cs="Times New Roman"/>
          <w:color w:val="auto"/>
          <w:kern w:val="0"/>
          <w:sz w:val="24"/>
          <w:lang w:eastAsia="pl-PL"/>
          <w14:ligatures w14:val="none"/>
        </w:rPr>
        <w:t>wykroczenie skarbowe);</w:t>
      </w:r>
    </w:p>
    <w:p w14:paraId="3D6137C5" w14:textId="6D36028B" w:rsidR="00CD00ED" w:rsidRPr="00C835AB" w:rsidRDefault="00CD00ED" w:rsidP="00D823D0">
      <w:pPr>
        <w:pStyle w:val="Akapitzlist"/>
        <w:numPr>
          <w:ilvl w:val="0"/>
          <w:numId w:val="27"/>
        </w:numPr>
        <w:autoSpaceDE w:val="0"/>
        <w:autoSpaceDN w:val="0"/>
        <w:adjustRightInd w:val="0"/>
        <w:rPr>
          <w:rFonts w:ascii="Times New Roman" w:eastAsia="Times New Roman" w:hAnsi="Times New Roman" w:cs="Times New Roman"/>
          <w:color w:val="auto"/>
          <w:kern w:val="0"/>
          <w:sz w:val="24"/>
          <w:lang w:eastAsia="pl-PL"/>
          <w14:ligatures w14:val="none"/>
        </w:rPr>
      </w:pPr>
      <w:r w:rsidRPr="00C835AB">
        <w:rPr>
          <w:rFonts w:ascii="Times New Roman" w:eastAsia="Times New Roman" w:hAnsi="Times New Roman" w:cs="Times New Roman"/>
          <w:color w:val="auto"/>
          <w:kern w:val="0"/>
          <w:sz w:val="24"/>
          <w:lang w:eastAsia="pl-PL"/>
          <w14:ligatures w14:val="none"/>
        </w:rPr>
        <w:t>grzywnę nałożono na osobę, która popełniła czyn zabroniony przed ukończeniem 17</w:t>
      </w:r>
      <w:r w:rsidR="001A3D13" w:rsidRPr="00C835AB">
        <w:rPr>
          <w:rFonts w:ascii="Times New Roman" w:eastAsia="Times New Roman" w:hAnsi="Times New Roman" w:cs="Times New Roman"/>
          <w:color w:val="auto"/>
          <w:kern w:val="0"/>
          <w:sz w:val="24"/>
          <w:lang w:eastAsia="pl-PL"/>
          <w14:ligatures w14:val="none"/>
        </w:rPr>
        <w:t> </w:t>
      </w:r>
      <w:r w:rsidRPr="00C835AB">
        <w:rPr>
          <w:rFonts w:ascii="Times New Roman" w:eastAsia="Times New Roman" w:hAnsi="Times New Roman" w:cs="Times New Roman"/>
          <w:color w:val="auto"/>
          <w:kern w:val="0"/>
          <w:sz w:val="24"/>
          <w:lang w:eastAsia="pl-PL"/>
          <w14:ligatures w14:val="none"/>
        </w:rPr>
        <w:t>lat;</w:t>
      </w:r>
    </w:p>
    <w:p w14:paraId="55A55C47" w14:textId="77777777" w:rsidR="00CD00ED" w:rsidRPr="00C835AB" w:rsidRDefault="00CD00ED" w:rsidP="00D823D0">
      <w:pPr>
        <w:pStyle w:val="Akapitzlist"/>
        <w:numPr>
          <w:ilvl w:val="0"/>
          <w:numId w:val="27"/>
        </w:numPr>
        <w:autoSpaceDE w:val="0"/>
        <w:autoSpaceDN w:val="0"/>
        <w:adjustRightInd w:val="0"/>
        <w:rPr>
          <w:rFonts w:ascii="Times New Roman" w:eastAsia="Times New Roman" w:hAnsi="Times New Roman" w:cs="Times New Roman"/>
          <w:color w:val="auto"/>
          <w:kern w:val="0"/>
          <w:sz w:val="24"/>
          <w:lang w:eastAsia="pl-PL"/>
          <w14:ligatures w14:val="none"/>
        </w:rPr>
      </w:pPr>
      <w:r w:rsidRPr="00C835AB">
        <w:rPr>
          <w:rFonts w:ascii="Times New Roman" w:eastAsia="Times New Roman" w:hAnsi="Times New Roman" w:cs="Times New Roman"/>
          <w:color w:val="auto"/>
          <w:kern w:val="0"/>
          <w:sz w:val="24"/>
          <w:lang w:eastAsia="pl-PL"/>
          <w14:ligatures w14:val="none"/>
        </w:rPr>
        <w:t xml:space="preserve">ustawa stanowi, że sprawca nie popełnia wykroczenia (w tym przypadku chodzi o sytuację obrony koniecznej (art. 15 </w:t>
      </w:r>
      <w:proofErr w:type="spellStart"/>
      <w:r w:rsidRPr="00C835AB">
        <w:rPr>
          <w:rFonts w:ascii="Times New Roman" w:eastAsia="Times New Roman" w:hAnsi="Times New Roman" w:cs="Times New Roman"/>
          <w:color w:val="auto"/>
          <w:kern w:val="0"/>
          <w:sz w:val="24"/>
          <w:lang w:eastAsia="pl-PL"/>
          <w14:ligatures w14:val="none"/>
        </w:rPr>
        <w:t>k.w</w:t>
      </w:r>
      <w:proofErr w:type="spellEnd"/>
      <w:r w:rsidRPr="00C835AB">
        <w:rPr>
          <w:rFonts w:ascii="Times New Roman" w:eastAsia="Times New Roman" w:hAnsi="Times New Roman" w:cs="Times New Roman"/>
          <w:color w:val="auto"/>
          <w:kern w:val="0"/>
          <w:sz w:val="24"/>
          <w:lang w:eastAsia="pl-PL"/>
          <w14:ligatures w14:val="none"/>
        </w:rPr>
        <w:t xml:space="preserve">.), stanu wyższej konieczności (16 § 1 </w:t>
      </w:r>
      <w:proofErr w:type="spellStart"/>
      <w:r w:rsidRPr="00C835AB">
        <w:rPr>
          <w:rFonts w:ascii="Times New Roman" w:eastAsia="Times New Roman" w:hAnsi="Times New Roman" w:cs="Times New Roman"/>
          <w:color w:val="auto"/>
          <w:kern w:val="0"/>
          <w:sz w:val="24"/>
          <w:lang w:eastAsia="pl-PL"/>
          <w14:ligatures w14:val="none"/>
        </w:rPr>
        <w:t>k.w</w:t>
      </w:r>
      <w:proofErr w:type="spellEnd"/>
      <w:r w:rsidRPr="00C835AB">
        <w:rPr>
          <w:rFonts w:ascii="Times New Roman" w:eastAsia="Times New Roman" w:hAnsi="Times New Roman" w:cs="Times New Roman"/>
          <w:color w:val="auto"/>
          <w:kern w:val="0"/>
          <w:sz w:val="24"/>
          <w:lang w:eastAsia="pl-PL"/>
          <w14:ligatures w14:val="none"/>
        </w:rPr>
        <w:t xml:space="preserve">.) oraz niepoczytalności (17 § 1 </w:t>
      </w:r>
      <w:proofErr w:type="spellStart"/>
      <w:r w:rsidRPr="00C835AB">
        <w:rPr>
          <w:rFonts w:ascii="Times New Roman" w:eastAsia="Times New Roman" w:hAnsi="Times New Roman" w:cs="Times New Roman"/>
          <w:color w:val="auto"/>
          <w:kern w:val="0"/>
          <w:sz w:val="24"/>
          <w:lang w:eastAsia="pl-PL"/>
          <w14:ligatures w14:val="none"/>
        </w:rPr>
        <w:t>k.w</w:t>
      </w:r>
      <w:proofErr w:type="spellEnd"/>
      <w:r w:rsidRPr="00C835AB">
        <w:rPr>
          <w:rFonts w:ascii="Times New Roman" w:eastAsia="Times New Roman" w:hAnsi="Times New Roman" w:cs="Times New Roman"/>
          <w:color w:val="auto"/>
          <w:kern w:val="0"/>
          <w:sz w:val="24"/>
          <w:lang w:eastAsia="pl-PL"/>
          <w14:ligatures w14:val="none"/>
        </w:rPr>
        <w:t>.);</w:t>
      </w:r>
    </w:p>
    <w:p w14:paraId="43D1F638" w14:textId="0E079741" w:rsidR="00CD00ED" w:rsidRPr="00C835AB" w:rsidRDefault="00CD00ED" w:rsidP="00D823D0">
      <w:pPr>
        <w:pStyle w:val="Akapitzlist"/>
        <w:numPr>
          <w:ilvl w:val="0"/>
          <w:numId w:val="27"/>
        </w:numPr>
        <w:autoSpaceDE w:val="0"/>
        <w:autoSpaceDN w:val="0"/>
        <w:adjustRightInd w:val="0"/>
        <w:rPr>
          <w:rFonts w:ascii="Times New Roman" w:eastAsia="Times New Roman" w:hAnsi="Times New Roman" w:cs="Times New Roman"/>
          <w:color w:val="auto"/>
          <w:kern w:val="0"/>
          <w:sz w:val="24"/>
          <w:lang w:eastAsia="pl-PL"/>
          <w14:ligatures w14:val="none"/>
        </w:rPr>
      </w:pPr>
      <w:r w:rsidRPr="00C835AB">
        <w:rPr>
          <w:rFonts w:ascii="Times New Roman" w:eastAsia="Times New Roman" w:hAnsi="Times New Roman" w:cs="Times New Roman"/>
          <w:color w:val="auto"/>
          <w:kern w:val="0"/>
          <w:sz w:val="24"/>
          <w:lang w:eastAsia="pl-PL"/>
          <w14:ligatures w14:val="none"/>
        </w:rPr>
        <w:t xml:space="preserve">grzywnę nałożono wbrew zakazom określonym w art. 96 § 2 </w:t>
      </w:r>
      <w:proofErr w:type="spellStart"/>
      <w:r w:rsidRPr="00C835AB">
        <w:rPr>
          <w:rFonts w:ascii="Times New Roman" w:eastAsia="Times New Roman" w:hAnsi="Times New Roman" w:cs="Times New Roman"/>
          <w:color w:val="auto"/>
          <w:kern w:val="0"/>
          <w:sz w:val="24"/>
          <w:lang w:eastAsia="pl-PL"/>
          <w14:ligatures w14:val="none"/>
        </w:rPr>
        <w:t>k.p.w</w:t>
      </w:r>
      <w:proofErr w:type="spellEnd"/>
      <w:r w:rsidRPr="00C835AB">
        <w:rPr>
          <w:rFonts w:ascii="Times New Roman" w:eastAsia="Times New Roman" w:hAnsi="Times New Roman" w:cs="Times New Roman"/>
          <w:color w:val="auto"/>
          <w:kern w:val="0"/>
          <w:sz w:val="24"/>
          <w:lang w:eastAsia="pl-PL"/>
          <w14:ligatures w14:val="none"/>
        </w:rPr>
        <w:t>. (tj. wówczas, gdy</w:t>
      </w:r>
      <w:r w:rsidR="0099355B">
        <w:rPr>
          <w:rFonts w:ascii="Times New Roman" w:eastAsia="Times New Roman" w:hAnsi="Times New Roman" w:cs="Times New Roman"/>
          <w:color w:val="auto"/>
          <w:kern w:val="0"/>
          <w:sz w:val="24"/>
          <w:lang w:eastAsia="pl-PL"/>
          <w14:ligatures w14:val="none"/>
        </w:rPr>
        <w:t> </w:t>
      </w:r>
      <w:r w:rsidRPr="00C835AB">
        <w:rPr>
          <w:rFonts w:ascii="Times New Roman" w:eastAsia="Times New Roman" w:hAnsi="Times New Roman" w:cs="Times New Roman"/>
          <w:color w:val="auto"/>
          <w:kern w:val="0"/>
          <w:sz w:val="24"/>
          <w:lang w:eastAsia="pl-PL"/>
          <w14:ligatures w14:val="none"/>
        </w:rPr>
        <w:t>za</w:t>
      </w:r>
      <w:r w:rsidR="0099355B">
        <w:rPr>
          <w:rFonts w:ascii="Times New Roman" w:eastAsia="Times New Roman" w:hAnsi="Times New Roman" w:cs="Times New Roman"/>
          <w:color w:val="auto"/>
          <w:kern w:val="0"/>
          <w:sz w:val="24"/>
          <w:lang w:eastAsia="pl-PL"/>
          <w14:ligatures w14:val="none"/>
        </w:rPr>
        <w:t> </w:t>
      </w:r>
      <w:r w:rsidRPr="00C835AB">
        <w:rPr>
          <w:rFonts w:ascii="Times New Roman" w:eastAsia="Times New Roman" w:hAnsi="Times New Roman" w:cs="Times New Roman"/>
          <w:color w:val="auto"/>
          <w:kern w:val="0"/>
          <w:sz w:val="24"/>
          <w:lang w:eastAsia="pl-PL"/>
          <w14:ligatures w14:val="none"/>
        </w:rPr>
        <w:t>wykroczenie należałoby orzec środek karny oraz gdy zachodzi idealny zbieg wykroczenia i przestępstwa);</w:t>
      </w:r>
    </w:p>
    <w:p w14:paraId="68DFA7CB" w14:textId="77777777" w:rsidR="00CD00ED" w:rsidRPr="00C835AB" w:rsidRDefault="00CD00ED" w:rsidP="00D823D0">
      <w:pPr>
        <w:pStyle w:val="Akapitzlist"/>
        <w:numPr>
          <w:ilvl w:val="0"/>
          <w:numId w:val="27"/>
        </w:numPr>
        <w:autoSpaceDE w:val="0"/>
        <w:autoSpaceDN w:val="0"/>
        <w:adjustRightInd w:val="0"/>
        <w:rPr>
          <w:rFonts w:ascii="Times New Roman" w:eastAsia="Times New Roman" w:hAnsi="Times New Roman" w:cs="Times New Roman"/>
          <w:color w:val="auto"/>
          <w:kern w:val="0"/>
          <w:sz w:val="24"/>
          <w:lang w:eastAsia="pl-PL"/>
          <w14:ligatures w14:val="none"/>
        </w:rPr>
      </w:pPr>
      <w:r w:rsidRPr="00C835AB">
        <w:rPr>
          <w:rFonts w:ascii="Times New Roman" w:eastAsia="Times New Roman" w:hAnsi="Times New Roman" w:cs="Times New Roman"/>
          <w:color w:val="auto"/>
          <w:kern w:val="0"/>
          <w:sz w:val="24"/>
          <w:lang w:eastAsia="pl-PL"/>
          <w14:ligatures w14:val="none"/>
        </w:rPr>
        <w:t>grzywnę nałożono w wysokości wyższej, niż wynika to z art. 96 § 1–</w:t>
      </w:r>
      <w:proofErr w:type="spellStart"/>
      <w:r w:rsidRPr="00C835AB">
        <w:rPr>
          <w:rFonts w:ascii="Times New Roman" w:eastAsia="Times New Roman" w:hAnsi="Times New Roman" w:cs="Times New Roman"/>
          <w:color w:val="auto"/>
          <w:kern w:val="0"/>
          <w:sz w:val="24"/>
          <w:lang w:eastAsia="pl-PL"/>
          <w14:ligatures w14:val="none"/>
        </w:rPr>
        <w:t>1b</w:t>
      </w:r>
      <w:proofErr w:type="spellEnd"/>
      <w:r w:rsidRPr="00C835AB">
        <w:rPr>
          <w:rFonts w:ascii="Times New Roman" w:eastAsia="Times New Roman" w:hAnsi="Times New Roman" w:cs="Times New Roman"/>
          <w:color w:val="auto"/>
          <w:kern w:val="0"/>
          <w:sz w:val="24"/>
          <w:lang w:eastAsia="pl-PL"/>
          <w14:ligatures w14:val="none"/>
        </w:rPr>
        <w:t xml:space="preserve"> </w:t>
      </w:r>
      <w:proofErr w:type="spellStart"/>
      <w:r w:rsidRPr="00C835AB">
        <w:rPr>
          <w:rFonts w:ascii="Times New Roman" w:eastAsia="Times New Roman" w:hAnsi="Times New Roman" w:cs="Times New Roman"/>
          <w:color w:val="auto"/>
          <w:kern w:val="0"/>
          <w:sz w:val="24"/>
          <w:lang w:eastAsia="pl-PL"/>
          <w14:ligatures w14:val="none"/>
        </w:rPr>
        <w:t>k.p.w</w:t>
      </w:r>
      <w:proofErr w:type="spellEnd"/>
      <w:r w:rsidRPr="00C835AB">
        <w:rPr>
          <w:rFonts w:ascii="Times New Roman" w:eastAsia="Times New Roman" w:hAnsi="Times New Roman" w:cs="Times New Roman"/>
          <w:color w:val="auto"/>
          <w:kern w:val="0"/>
          <w:sz w:val="24"/>
          <w:lang w:eastAsia="pl-PL"/>
          <w14:ligatures w14:val="none"/>
        </w:rPr>
        <w:t>.;</w:t>
      </w:r>
    </w:p>
    <w:p w14:paraId="673514B3" w14:textId="77777777" w:rsidR="00CD00ED" w:rsidRPr="00C835AB" w:rsidRDefault="00CD00ED" w:rsidP="00D823D0">
      <w:pPr>
        <w:pStyle w:val="Akapitzlist"/>
        <w:numPr>
          <w:ilvl w:val="0"/>
          <w:numId w:val="27"/>
        </w:numPr>
        <w:autoSpaceDE w:val="0"/>
        <w:autoSpaceDN w:val="0"/>
        <w:adjustRightInd w:val="0"/>
        <w:rPr>
          <w:rFonts w:ascii="Times New Roman" w:eastAsia="Times New Roman" w:hAnsi="Times New Roman" w:cs="Times New Roman"/>
          <w:color w:val="auto"/>
          <w:kern w:val="0"/>
          <w:sz w:val="24"/>
          <w:lang w:eastAsia="pl-PL"/>
          <w14:ligatures w14:val="none"/>
        </w:rPr>
      </w:pPr>
      <w:r w:rsidRPr="00C835AB">
        <w:rPr>
          <w:rFonts w:ascii="Times New Roman" w:eastAsia="Times New Roman" w:hAnsi="Times New Roman" w:cs="Times New Roman"/>
          <w:color w:val="auto"/>
          <w:kern w:val="0"/>
          <w:sz w:val="24"/>
          <w:lang w:eastAsia="pl-PL"/>
          <w14:ligatures w14:val="none"/>
        </w:rPr>
        <w:t>Trybunał Konstytucyjny orzekł o niezgodności z Konstytucją, ratyfikowaną umową międzynarodową lub z ustawą przepisu prawnego, na podstawie którego została nałożona grzywna tym mandatem;</w:t>
      </w:r>
    </w:p>
    <w:p w14:paraId="7A67FDD3" w14:textId="687EBB20" w:rsidR="00CD00ED" w:rsidRPr="00C835AB" w:rsidRDefault="00CD00ED" w:rsidP="00D823D0">
      <w:pPr>
        <w:pStyle w:val="Akapitzlist"/>
        <w:numPr>
          <w:ilvl w:val="0"/>
          <w:numId w:val="27"/>
        </w:numPr>
        <w:autoSpaceDE w:val="0"/>
        <w:autoSpaceDN w:val="0"/>
        <w:adjustRightInd w:val="0"/>
        <w:rPr>
          <w:rFonts w:ascii="Times New Roman" w:eastAsia="Times New Roman" w:hAnsi="Times New Roman" w:cs="Times New Roman"/>
          <w:color w:val="auto"/>
          <w:kern w:val="0"/>
          <w:sz w:val="24"/>
          <w:lang w:eastAsia="pl-PL"/>
          <w14:ligatures w14:val="none"/>
        </w:rPr>
      </w:pPr>
      <w:r w:rsidRPr="00C835AB">
        <w:rPr>
          <w:rFonts w:ascii="Times New Roman" w:eastAsia="Times New Roman" w:hAnsi="Times New Roman" w:cs="Times New Roman"/>
          <w:color w:val="auto"/>
          <w:kern w:val="0"/>
          <w:sz w:val="24"/>
          <w:lang w:eastAsia="pl-PL"/>
          <w14:ligatures w14:val="none"/>
        </w:rPr>
        <w:t>potrzeba taka wynika z rozstrzygnięcia organu międzynarodowego działającego na</w:t>
      </w:r>
      <w:r w:rsidR="00BD5665">
        <w:rPr>
          <w:rFonts w:ascii="Times New Roman" w:eastAsia="Times New Roman" w:hAnsi="Times New Roman" w:cs="Times New Roman"/>
          <w:color w:val="auto"/>
          <w:kern w:val="0"/>
          <w:sz w:val="24"/>
          <w:lang w:eastAsia="pl-PL"/>
          <w14:ligatures w14:val="none"/>
        </w:rPr>
        <w:t> </w:t>
      </w:r>
      <w:r w:rsidRPr="00C835AB">
        <w:rPr>
          <w:rFonts w:ascii="Times New Roman" w:eastAsia="Times New Roman" w:hAnsi="Times New Roman" w:cs="Times New Roman"/>
          <w:color w:val="auto"/>
          <w:kern w:val="0"/>
          <w:sz w:val="24"/>
          <w:lang w:eastAsia="pl-PL"/>
          <w14:ligatures w14:val="none"/>
        </w:rPr>
        <w:t>mocy umowy międzynarodowej ratyfikowanej przez Rzeczpospolitą Polską.</w:t>
      </w:r>
    </w:p>
    <w:p w14:paraId="02818FF3" w14:textId="19393D2C" w:rsidR="00CD00ED" w:rsidRPr="00C835AB" w:rsidRDefault="00CD00ED" w:rsidP="00D823D0">
      <w:pPr>
        <w:ind w:firstLine="709"/>
        <w:rPr>
          <w:rFonts w:ascii="Times New Roman" w:eastAsia="Times New Roman" w:hAnsi="Times New Roman" w:cs="Times New Roman"/>
          <w:color w:val="auto"/>
          <w:kern w:val="0"/>
          <w:sz w:val="24"/>
          <w:lang w:eastAsia="pl-PL"/>
          <w14:ligatures w14:val="none"/>
        </w:rPr>
      </w:pPr>
      <w:r w:rsidRPr="00C835AB">
        <w:rPr>
          <w:rFonts w:ascii="Times New Roman" w:hAnsi="Times New Roman" w:cs="Times New Roman"/>
          <w:color w:val="auto"/>
          <w:sz w:val="24"/>
          <w:shd w:val="clear" w:color="auto" w:fill="FFFFFF"/>
        </w:rPr>
        <w:t xml:space="preserve">Zauważyć należy, że nie jest dopuszczalne wznowienie postępowania mandatowego (art. 113 </w:t>
      </w:r>
      <w:r w:rsidRPr="00C835AB">
        <w:rPr>
          <w:rFonts w:ascii="Times New Roman" w:eastAsia="Times New Roman" w:hAnsi="Times New Roman" w:cs="Times New Roman"/>
          <w:color w:val="auto"/>
          <w:kern w:val="0"/>
          <w:sz w:val="24"/>
          <w:lang w:eastAsia="pl-PL"/>
          <w14:ligatures w14:val="none"/>
        </w:rPr>
        <w:t xml:space="preserve">§ 1 </w:t>
      </w:r>
      <w:proofErr w:type="spellStart"/>
      <w:r w:rsidRPr="00C835AB">
        <w:rPr>
          <w:rFonts w:ascii="Times New Roman" w:eastAsia="Times New Roman" w:hAnsi="Times New Roman" w:cs="Times New Roman"/>
          <w:color w:val="auto"/>
          <w:kern w:val="0"/>
          <w:sz w:val="24"/>
          <w:lang w:eastAsia="pl-PL"/>
          <w14:ligatures w14:val="none"/>
        </w:rPr>
        <w:t>k.p.w</w:t>
      </w:r>
      <w:proofErr w:type="spellEnd"/>
      <w:r w:rsidRPr="00C835AB">
        <w:rPr>
          <w:rFonts w:ascii="Times New Roman" w:eastAsia="Times New Roman" w:hAnsi="Times New Roman" w:cs="Times New Roman"/>
          <w:color w:val="auto"/>
          <w:kern w:val="0"/>
          <w:sz w:val="24"/>
          <w:lang w:eastAsia="pl-PL"/>
          <w14:ligatures w14:val="none"/>
        </w:rPr>
        <w:t xml:space="preserve">. a contrario). Analizy prowadzone przez Ministerstwo Sprawiedliwości wskazują, że katalog przesłanek ingerencji sądu co do uchylenia prawomocnego mandatu karnego, określony obecnie w treści art. 101 </w:t>
      </w:r>
      <w:proofErr w:type="spellStart"/>
      <w:r w:rsidRPr="00C835AB">
        <w:rPr>
          <w:rFonts w:ascii="Times New Roman" w:eastAsia="Times New Roman" w:hAnsi="Times New Roman" w:cs="Times New Roman"/>
          <w:color w:val="auto"/>
          <w:kern w:val="0"/>
          <w:sz w:val="24"/>
          <w:lang w:eastAsia="pl-PL"/>
          <w14:ligatures w14:val="none"/>
        </w:rPr>
        <w:t>k.p.w</w:t>
      </w:r>
      <w:proofErr w:type="spellEnd"/>
      <w:r w:rsidRPr="00C835AB">
        <w:rPr>
          <w:rFonts w:ascii="Times New Roman" w:eastAsia="Times New Roman" w:hAnsi="Times New Roman" w:cs="Times New Roman"/>
          <w:color w:val="auto"/>
          <w:kern w:val="0"/>
          <w:sz w:val="24"/>
          <w:lang w:eastAsia="pl-PL"/>
          <w14:ligatures w14:val="none"/>
        </w:rPr>
        <w:t>. powoduje, ż</w:t>
      </w:r>
      <w:r w:rsidR="00F80A72" w:rsidRPr="00C835AB">
        <w:rPr>
          <w:rFonts w:ascii="Times New Roman" w:eastAsia="Times New Roman" w:hAnsi="Times New Roman" w:cs="Times New Roman"/>
          <w:color w:val="auto"/>
          <w:kern w:val="0"/>
          <w:sz w:val="24"/>
          <w:lang w:eastAsia="pl-PL"/>
          <w14:ligatures w14:val="none"/>
        </w:rPr>
        <w:t>e</w:t>
      </w:r>
      <w:r w:rsidRPr="00C835AB">
        <w:rPr>
          <w:rFonts w:ascii="Times New Roman" w:eastAsia="Times New Roman" w:hAnsi="Times New Roman" w:cs="Times New Roman"/>
          <w:color w:val="auto"/>
          <w:kern w:val="0"/>
          <w:sz w:val="24"/>
          <w:lang w:eastAsia="pl-PL"/>
          <w14:ligatures w14:val="none"/>
        </w:rPr>
        <w:t xml:space="preserve"> pominięcie w dotychczasowym rozwiązaniu objętych projektem przypadków uchylenia mandatu karnego prowadzi do faktycznego braku kontroli sądowej w tym zakresie. W związku z nazbyt wąskim zakresem sądowej kontroli prawomocnych mandatów karnych formułowane były zarzuty naruszenia art. 45 ust</w:t>
      </w:r>
      <w:r w:rsidR="00796D23">
        <w:rPr>
          <w:rFonts w:ascii="Times New Roman" w:eastAsia="Times New Roman" w:hAnsi="Times New Roman" w:cs="Times New Roman"/>
          <w:color w:val="auto"/>
          <w:kern w:val="0"/>
          <w:sz w:val="24"/>
          <w:lang w:eastAsia="pl-PL"/>
          <w14:ligatures w14:val="none"/>
        </w:rPr>
        <w:t>.</w:t>
      </w:r>
      <w:r w:rsidRPr="00C835AB">
        <w:rPr>
          <w:rFonts w:ascii="Times New Roman" w:eastAsia="Times New Roman" w:hAnsi="Times New Roman" w:cs="Times New Roman"/>
          <w:color w:val="auto"/>
          <w:kern w:val="0"/>
          <w:sz w:val="24"/>
          <w:lang w:eastAsia="pl-PL"/>
          <w14:ligatures w14:val="none"/>
        </w:rPr>
        <w:t xml:space="preserve"> 1 i art. 78 Konstytucji RP. R</w:t>
      </w:r>
      <w:r w:rsidR="00164291" w:rsidRPr="00C835AB">
        <w:rPr>
          <w:rFonts w:ascii="Times New Roman" w:eastAsia="Times New Roman" w:hAnsi="Times New Roman" w:cs="Times New Roman"/>
          <w:color w:val="auto"/>
          <w:kern w:val="0"/>
          <w:sz w:val="24"/>
          <w:lang w:eastAsia="pl-PL"/>
          <w14:ligatures w14:val="none"/>
        </w:rPr>
        <w:t>zecznik Praw Obywatelskich</w:t>
      </w:r>
      <w:r w:rsidRPr="00C835AB">
        <w:rPr>
          <w:rFonts w:ascii="Times New Roman" w:eastAsia="Times New Roman" w:hAnsi="Times New Roman" w:cs="Times New Roman"/>
          <w:color w:val="auto"/>
          <w:kern w:val="0"/>
          <w:sz w:val="24"/>
          <w:lang w:eastAsia="pl-PL"/>
          <w14:ligatures w14:val="none"/>
        </w:rPr>
        <w:t xml:space="preserve"> w piśmie z dnia 15 lutego 2024 r. (II.510.873.2023.PZ), w związku z zarzutami naruszenia wskazanych przepisów Konstytucji RP, postulował rozszerzenie przesłanek uchylenia prawomocnego mandatu karnego w sposób zbieżny z propozycjami zawartymi w niniejszym projekcie ustawy. </w:t>
      </w:r>
    </w:p>
    <w:p w14:paraId="3F7C2057" w14:textId="7070A2F0" w:rsidR="00CD00ED" w:rsidRPr="00C835AB" w:rsidRDefault="00CD00ED" w:rsidP="00D823D0">
      <w:pPr>
        <w:autoSpaceDE w:val="0"/>
        <w:autoSpaceDN w:val="0"/>
        <w:adjustRightInd w:val="0"/>
        <w:ind w:firstLine="709"/>
        <w:rPr>
          <w:rFonts w:ascii="Times New Roman" w:eastAsia="Calibri" w:hAnsi="Times New Roman" w:cs="Times New Roman"/>
          <w:color w:val="auto"/>
          <w:kern w:val="0"/>
          <w:sz w:val="24"/>
          <w14:ligatures w14:val="none"/>
        </w:rPr>
      </w:pPr>
      <w:r w:rsidRPr="00C835AB">
        <w:rPr>
          <w:rFonts w:ascii="Times New Roman" w:eastAsia="Calibri" w:hAnsi="Times New Roman" w:cs="Times New Roman"/>
          <w:color w:val="auto"/>
          <w:sz w:val="24"/>
        </w:rPr>
        <w:t xml:space="preserve">Zdaniem projektodawcy art. 101 </w:t>
      </w:r>
      <w:proofErr w:type="spellStart"/>
      <w:r w:rsidRPr="00C835AB">
        <w:rPr>
          <w:rFonts w:ascii="Times New Roman" w:eastAsia="Calibri" w:hAnsi="Times New Roman" w:cs="Times New Roman"/>
          <w:color w:val="auto"/>
          <w:sz w:val="24"/>
        </w:rPr>
        <w:t>k.p.w</w:t>
      </w:r>
      <w:proofErr w:type="spellEnd"/>
      <w:r w:rsidRPr="00C835AB">
        <w:rPr>
          <w:rFonts w:ascii="Times New Roman" w:eastAsia="Calibri" w:hAnsi="Times New Roman" w:cs="Times New Roman"/>
          <w:color w:val="auto"/>
          <w:sz w:val="24"/>
        </w:rPr>
        <w:t>. nie powinien różnicować przesłanek do</w:t>
      </w:r>
      <w:r w:rsidR="00BD5665">
        <w:rPr>
          <w:rFonts w:ascii="Times New Roman" w:eastAsia="Calibri" w:hAnsi="Times New Roman" w:cs="Times New Roman"/>
          <w:color w:val="auto"/>
          <w:sz w:val="24"/>
        </w:rPr>
        <w:t> </w:t>
      </w:r>
      <w:r w:rsidRPr="00C835AB">
        <w:rPr>
          <w:rFonts w:ascii="Times New Roman" w:eastAsia="Calibri" w:hAnsi="Times New Roman" w:cs="Times New Roman"/>
          <w:color w:val="auto"/>
          <w:sz w:val="24"/>
        </w:rPr>
        <w:t xml:space="preserve">wznowienia postępowania mandatowego względem przesłanek do wznowienia postępowania sądowego </w:t>
      </w:r>
      <w:r w:rsidRPr="00C835AB">
        <w:rPr>
          <w:rFonts w:ascii="Times New Roman" w:eastAsia="Calibri" w:hAnsi="Times New Roman" w:cs="Times New Roman"/>
          <w:color w:val="auto"/>
          <w:kern w:val="0"/>
          <w:sz w:val="24"/>
          <w14:ligatures w14:val="none"/>
        </w:rPr>
        <w:t xml:space="preserve">w sprawach o wykroczenia, przewidzianych w art. 113 </w:t>
      </w:r>
      <w:bookmarkStart w:id="8" w:name="_Hlk162271194"/>
      <w:bookmarkStart w:id="9" w:name="_Hlk161321266"/>
      <w:r w:rsidRPr="00C835AB">
        <w:rPr>
          <w:rFonts w:ascii="Times New Roman" w:eastAsia="Calibri" w:hAnsi="Times New Roman" w:cs="Times New Roman"/>
          <w:color w:val="auto"/>
          <w:kern w:val="0"/>
          <w:sz w:val="24"/>
          <w14:ligatures w14:val="none"/>
        </w:rPr>
        <w:t>§ 1</w:t>
      </w:r>
      <w:bookmarkEnd w:id="8"/>
      <w:r w:rsidRPr="00C835AB">
        <w:rPr>
          <w:rFonts w:ascii="Times New Roman" w:eastAsia="Calibri" w:hAnsi="Times New Roman" w:cs="Times New Roman"/>
          <w:color w:val="auto"/>
          <w:kern w:val="0"/>
          <w:sz w:val="24"/>
          <w14:ligatures w14:val="none"/>
        </w:rPr>
        <w:t xml:space="preserve"> </w:t>
      </w:r>
      <w:bookmarkEnd w:id="9"/>
      <w:proofErr w:type="spellStart"/>
      <w:r w:rsidRPr="00C835AB">
        <w:rPr>
          <w:rFonts w:ascii="Times New Roman" w:eastAsia="Calibri" w:hAnsi="Times New Roman" w:cs="Times New Roman"/>
          <w:color w:val="auto"/>
          <w:kern w:val="0"/>
          <w:sz w:val="24"/>
          <w14:ligatures w14:val="none"/>
        </w:rPr>
        <w:t>k.p.w</w:t>
      </w:r>
      <w:proofErr w:type="spellEnd"/>
      <w:r w:rsidRPr="00C835AB">
        <w:rPr>
          <w:rFonts w:ascii="Times New Roman" w:eastAsia="Calibri" w:hAnsi="Times New Roman" w:cs="Times New Roman"/>
          <w:color w:val="auto"/>
          <w:kern w:val="0"/>
          <w:sz w:val="24"/>
          <w14:ligatures w14:val="none"/>
        </w:rPr>
        <w:t>., na</w:t>
      </w:r>
      <w:r w:rsidR="00BD5665">
        <w:rPr>
          <w:rFonts w:ascii="Times New Roman" w:eastAsia="Calibri" w:hAnsi="Times New Roman" w:cs="Times New Roman"/>
          <w:color w:val="auto"/>
          <w:kern w:val="0"/>
          <w:sz w:val="24"/>
          <w14:ligatures w14:val="none"/>
        </w:rPr>
        <w:t> </w:t>
      </w:r>
      <w:r w:rsidRPr="00C835AB">
        <w:rPr>
          <w:rFonts w:ascii="Times New Roman" w:eastAsia="Calibri" w:hAnsi="Times New Roman" w:cs="Times New Roman"/>
          <w:color w:val="auto"/>
          <w:kern w:val="0"/>
          <w:sz w:val="24"/>
          <w14:ligatures w14:val="none"/>
        </w:rPr>
        <w:t>mocy którego art. 540 k.p.k. stosuje się odpowiednio.</w:t>
      </w:r>
    </w:p>
    <w:p w14:paraId="649844EE" w14:textId="77777777" w:rsidR="00027ADE" w:rsidRDefault="00CD00ED" w:rsidP="00027ADE">
      <w:pPr>
        <w:autoSpaceDE w:val="0"/>
        <w:autoSpaceDN w:val="0"/>
        <w:adjustRightInd w:val="0"/>
        <w:ind w:firstLine="709"/>
        <w:rPr>
          <w:rFonts w:ascii="Times New Roman" w:eastAsia="Times New Roman" w:hAnsi="Times New Roman" w:cs="Times New Roman"/>
          <w:color w:val="auto"/>
          <w:kern w:val="0"/>
          <w:sz w:val="24"/>
          <w:lang w:eastAsia="pl-PL"/>
          <w14:ligatures w14:val="none"/>
        </w:rPr>
      </w:pPr>
      <w:r w:rsidRPr="00C835AB">
        <w:rPr>
          <w:rFonts w:ascii="Times New Roman" w:eastAsia="Times New Roman" w:hAnsi="Times New Roman" w:cs="Times New Roman"/>
          <w:color w:val="auto"/>
          <w:kern w:val="0"/>
          <w:sz w:val="24"/>
          <w:lang w:eastAsia="pl-PL"/>
          <w14:ligatures w14:val="none"/>
        </w:rPr>
        <w:t>Z art. 540 § 1 k.p.k. wynika m.in., że postępowanie sądowe zakończone prawomocnym orzeczeniem wznawia się, jeżeli w związku z postępowaniem dopuszczono się przestępstwa, a</w:t>
      </w:r>
      <w:r w:rsidR="001A3D13" w:rsidRPr="00C835AB">
        <w:rPr>
          <w:rFonts w:ascii="Times New Roman" w:eastAsia="Times New Roman" w:hAnsi="Times New Roman" w:cs="Times New Roman"/>
          <w:color w:val="auto"/>
          <w:kern w:val="0"/>
          <w:sz w:val="24"/>
          <w:lang w:eastAsia="pl-PL"/>
          <w14:ligatures w14:val="none"/>
        </w:rPr>
        <w:t> </w:t>
      </w:r>
      <w:r w:rsidRPr="00C835AB">
        <w:rPr>
          <w:rFonts w:ascii="Times New Roman" w:eastAsia="Times New Roman" w:hAnsi="Times New Roman" w:cs="Times New Roman"/>
          <w:color w:val="auto"/>
          <w:kern w:val="0"/>
          <w:sz w:val="24"/>
          <w:lang w:eastAsia="pl-PL"/>
          <w14:ligatures w14:val="none"/>
        </w:rPr>
        <w:t>istnieje uzasadniona podstawa do przyjęcia, że mogło to mieć wpływ na treść orzeczenia (pkt</w:t>
      </w:r>
      <w:r w:rsidR="001A3D13" w:rsidRPr="00C835AB">
        <w:rPr>
          <w:rFonts w:ascii="Times New Roman" w:eastAsia="Times New Roman" w:hAnsi="Times New Roman" w:cs="Times New Roman"/>
          <w:color w:val="auto"/>
          <w:kern w:val="0"/>
          <w:sz w:val="24"/>
          <w:lang w:eastAsia="pl-PL"/>
          <w14:ligatures w14:val="none"/>
        </w:rPr>
        <w:t> </w:t>
      </w:r>
      <w:r w:rsidRPr="00C835AB">
        <w:rPr>
          <w:rFonts w:ascii="Times New Roman" w:eastAsia="Times New Roman" w:hAnsi="Times New Roman" w:cs="Times New Roman"/>
          <w:color w:val="auto"/>
          <w:kern w:val="0"/>
          <w:sz w:val="24"/>
          <w:lang w:eastAsia="pl-PL"/>
          <w14:ligatures w14:val="none"/>
        </w:rPr>
        <w:t xml:space="preserve">1), po wydaniu orzeczenia ujawnią się nowe fakty lub dowody wskazujące na to, </w:t>
      </w:r>
      <w:r w:rsidRPr="00C835AB">
        <w:rPr>
          <w:rFonts w:ascii="Times New Roman" w:eastAsia="Times New Roman" w:hAnsi="Times New Roman" w:cs="Times New Roman"/>
          <w:color w:val="auto"/>
          <w:kern w:val="0"/>
          <w:sz w:val="24"/>
          <w:lang w:eastAsia="pl-PL"/>
          <w14:ligatures w14:val="none"/>
        </w:rPr>
        <w:lastRenderedPageBreak/>
        <w:t>że</w:t>
      </w:r>
      <w:r w:rsidR="00BD5665">
        <w:rPr>
          <w:rFonts w:ascii="Times New Roman" w:eastAsia="Times New Roman" w:hAnsi="Times New Roman" w:cs="Times New Roman"/>
          <w:color w:val="auto"/>
          <w:kern w:val="0"/>
          <w:sz w:val="24"/>
          <w:lang w:eastAsia="pl-PL"/>
          <w14:ligatures w14:val="none"/>
        </w:rPr>
        <w:t> </w:t>
      </w:r>
      <w:r w:rsidRPr="00C835AB">
        <w:rPr>
          <w:rFonts w:ascii="Times New Roman" w:eastAsia="Times New Roman" w:hAnsi="Times New Roman" w:cs="Times New Roman"/>
          <w:color w:val="auto"/>
          <w:kern w:val="0"/>
          <w:sz w:val="24"/>
          <w:lang w:eastAsia="pl-PL"/>
          <w14:ligatures w14:val="none"/>
        </w:rPr>
        <w:t>skazany nie popełnił czynu albo czyn jego nie stanowił przestępstwa lub nie podlegał karze (pkt</w:t>
      </w:r>
      <w:r w:rsidR="001A3D13" w:rsidRPr="00C835AB">
        <w:rPr>
          <w:rFonts w:ascii="Times New Roman" w:eastAsia="Times New Roman" w:hAnsi="Times New Roman" w:cs="Times New Roman"/>
          <w:color w:val="auto"/>
          <w:kern w:val="0"/>
          <w:sz w:val="24"/>
          <w:lang w:eastAsia="pl-PL"/>
          <w14:ligatures w14:val="none"/>
        </w:rPr>
        <w:t> </w:t>
      </w:r>
      <w:r w:rsidRPr="00C835AB">
        <w:rPr>
          <w:rFonts w:ascii="Times New Roman" w:eastAsia="Times New Roman" w:hAnsi="Times New Roman" w:cs="Times New Roman"/>
          <w:color w:val="auto"/>
          <w:kern w:val="0"/>
          <w:sz w:val="24"/>
          <w:lang w:eastAsia="pl-PL"/>
          <w14:ligatures w14:val="none"/>
        </w:rPr>
        <w:t xml:space="preserve">2 lit. a). Zasadnym jest zatem ujęcie w treści art. 101 § </w:t>
      </w:r>
      <w:proofErr w:type="spellStart"/>
      <w:r w:rsidRPr="00C835AB">
        <w:rPr>
          <w:rFonts w:ascii="Times New Roman" w:eastAsia="Times New Roman" w:hAnsi="Times New Roman" w:cs="Times New Roman"/>
          <w:color w:val="auto"/>
          <w:kern w:val="0"/>
          <w:sz w:val="24"/>
          <w:lang w:eastAsia="pl-PL"/>
          <w14:ligatures w14:val="none"/>
        </w:rPr>
        <w:t>1b</w:t>
      </w:r>
      <w:proofErr w:type="spellEnd"/>
      <w:r w:rsidRPr="00C835AB">
        <w:rPr>
          <w:rFonts w:ascii="Times New Roman" w:eastAsia="Times New Roman" w:hAnsi="Times New Roman" w:cs="Times New Roman"/>
          <w:color w:val="auto"/>
          <w:kern w:val="0"/>
          <w:sz w:val="24"/>
          <w:lang w:eastAsia="pl-PL"/>
          <w14:ligatures w14:val="none"/>
        </w:rPr>
        <w:t xml:space="preserve"> </w:t>
      </w:r>
      <w:proofErr w:type="spellStart"/>
      <w:r w:rsidRPr="00C835AB">
        <w:rPr>
          <w:rFonts w:ascii="Times New Roman" w:eastAsia="Times New Roman" w:hAnsi="Times New Roman" w:cs="Times New Roman"/>
          <w:color w:val="auto"/>
          <w:kern w:val="0"/>
          <w:sz w:val="24"/>
          <w:lang w:eastAsia="pl-PL"/>
          <w14:ligatures w14:val="none"/>
        </w:rPr>
        <w:t>k.p.w</w:t>
      </w:r>
      <w:proofErr w:type="spellEnd"/>
      <w:r w:rsidRPr="00C835AB">
        <w:rPr>
          <w:rFonts w:ascii="Times New Roman" w:eastAsia="Times New Roman" w:hAnsi="Times New Roman" w:cs="Times New Roman"/>
          <w:color w:val="auto"/>
          <w:kern w:val="0"/>
          <w:sz w:val="24"/>
          <w:lang w:eastAsia="pl-PL"/>
          <w14:ligatures w14:val="none"/>
        </w:rPr>
        <w:t>. dodatkowych przesłanek uchylenia prawomocnego mandatu karnego, wskazanych w niniejszym projekcie.</w:t>
      </w:r>
    </w:p>
    <w:p w14:paraId="5D313AB7" w14:textId="77777777" w:rsidR="00027ADE" w:rsidRDefault="00027ADE" w:rsidP="00027ADE">
      <w:pPr>
        <w:autoSpaceDE w:val="0"/>
        <w:autoSpaceDN w:val="0"/>
        <w:adjustRightInd w:val="0"/>
        <w:ind w:firstLine="709"/>
        <w:rPr>
          <w:rFonts w:ascii="Times New Roman" w:eastAsia="Times New Roman" w:hAnsi="Times New Roman" w:cs="Times New Roman"/>
          <w:color w:val="auto"/>
          <w:kern w:val="0"/>
          <w:sz w:val="24"/>
          <w:lang w:eastAsia="pl-PL"/>
          <w14:ligatures w14:val="none"/>
        </w:rPr>
      </w:pPr>
      <w:r w:rsidRPr="00027ADE">
        <w:rPr>
          <w:rFonts w:ascii="Times New Roman" w:eastAsia="Times New Roman" w:hAnsi="Times New Roman" w:cs="Times New Roman"/>
          <w:color w:val="auto"/>
          <w:kern w:val="0"/>
          <w:sz w:val="24"/>
          <w:lang w:eastAsia="pl-PL"/>
          <w14:ligatures w14:val="none"/>
        </w:rPr>
        <w:t xml:space="preserve">Dodanie § 1c w art. 101 </w:t>
      </w:r>
      <w:proofErr w:type="spellStart"/>
      <w:r w:rsidRPr="00027ADE">
        <w:rPr>
          <w:rFonts w:ascii="Times New Roman" w:eastAsia="Times New Roman" w:hAnsi="Times New Roman" w:cs="Times New Roman"/>
          <w:color w:val="auto"/>
          <w:kern w:val="0"/>
          <w:sz w:val="24"/>
          <w:lang w:eastAsia="pl-PL"/>
          <w14:ligatures w14:val="none"/>
        </w:rPr>
        <w:t>k.p.w</w:t>
      </w:r>
      <w:proofErr w:type="spellEnd"/>
      <w:r w:rsidRPr="00027ADE">
        <w:rPr>
          <w:rFonts w:ascii="Times New Roman" w:eastAsia="Times New Roman" w:hAnsi="Times New Roman" w:cs="Times New Roman"/>
          <w:color w:val="auto"/>
          <w:kern w:val="0"/>
          <w:sz w:val="24"/>
          <w:lang w:eastAsia="pl-PL"/>
          <w14:ligatures w14:val="none"/>
        </w:rPr>
        <w:t>. ma na celu określenie sposobu wykazywania podstawy</w:t>
      </w:r>
      <w:r>
        <w:rPr>
          <w:rFonts w:ascii="Times New Roman" w:eastAsia="Times New Roman" w:hAnsi="Times New Roman" w:cs="Times New Roman"/>
          <w:color w:val="auto"/>
          <w:kern w:val="0"/>
          <w:sz w:val="24"/>
          <w:lang w:eastAsia="pl-PL"/>
          <w14:ligatures w14:val="none"/>
        </w:rPr>
        <w:t xml:space="preserve"> </w:t>
      </w:r>
      <w:r w:rsidRPr="00027ADE">
        <w:rPr>
          <w:rFonts w:ascii="Times New Roman" w:eastAsia="Times New Roman" w:hAnsi="Times New Roman" w:cs="Times New Roman"/>
          <w:color w:val="auto"/>
          <w:kern w:val="0"/>
          <w:sz w:val="24"/>
          <w:lang w:eastAsia="pl-PL"/>
          <w14:ligatures w14:val="none"/>
        </w:rPr>
        <w:t xml:space="preserve">uchylenia mandatu w postaci przesłanki </w:t>
      </w:r>
      <w:proofErr w:type="spellStart"/>
      <w:r w:rsidRPr="00027ADE">
        <w:rPr>
          <w:rFonts w:ascii="Times New Roman" w:eastAsia="Times New Roman" w:hAnsi="Times New Roman" w:cs="Times New Roman"/>
          <w:i/>
          <w:iCs/>
          <w:color w:val="auto"/>
          <w:kern w:val="0"/>
          <w:sz w:val="24"/>
          <w:lang w:eastAsia="pl-PL"/>
          <w14:ligatures w14:val="none"/>
        </w:rPr>
        <w:t>propter</w:t>
      </w:r>
      <w:proofErr w:type="spellEnd"/>
      <w:r w:rsidRPr="00027ADE">
        <w:rPr>
          <w:rFonts w:ascii="Times New Roman" w:eastAsia="Times New Roman" w:hAnsi="Times New Roman" w:cs="Times New Roman"/>
          <w:i/>
          <w:iCs/>
          <w:color w:val="auto"/>
          <w:kern w:val="0"/>
          <w:sz w:val="24"/>
          <w:lang w:eastAsia="pl-PL"/>
          <w14:ligatures w14:val="none"/>
        </w:rPr>
        <w:t xml:space="preserve"> </w:t>
      </w:r>
      <w:proofErr w:type="spellStart"/>
      <w:r w:rsidRPr="00027ADE">
        <w:rPr>
          <w:rFonts w:ascii="Times New Roman" w:eastAsia="Times New Roman" w:hAnsi="Times New Roman" w:cs="Times New Roman"/>
          <w:i/>
          <w:iCs/>
          <w:color w:val="auto"/>
          <w:kern w:val="0"/>
          <w:sz w:val="24"/>
          <w:lang w:eastAsia="pl-PL"/>
          <w14:ligatures w14:val="none"/>
        </w:rPr>
        <w:t>falsa</w:t>
      </w:r>
      <w:proofErr w:type="spellEnd"/>
      <w:r w:rsidRPr="00027ADE">
        <w:rPr>
          <w:rFonts w:ascii="Times New Roman" w:eastAsia="Times New Roman" w:hAnsi="Times New Roman" w:cs="Times New Roman"/>
          <w:i/>
          <w:iCs/>
          <w:color w:val="auto"/>
          <w:kern w:val="0"/>
          <w:sz w:val="24"/>
          <w:lang w:eastAsia="pl-PL"/>
          <w14:ligatures w14:val="none"/>
        </w:rPr>
        <w:t xml:space="preserve">. </w:t>
      </w:r>
      <w:r w:rsidRPr="00027ADE">
        <w:rPr>
          <w:rFonts w:ascii="Times New Roman" w:eastAsia="Times New Roman" w:hAnsi="Times New Roman" w:cs="Times New Roman"/>
          <w:color w:val="auto"/>
          <w:kern w:val="0"/>
          <w:sz w:val="24"/>
          <w:lang w:eastAsia="pl-PL"/>
          <w14:ligatures w14:val="none"/>
        </w:rPr>
        <w:t>W ocenie projektodawcy powinno</w:t>
      </w:r>
      <w:r>
        <w:rPr>
          <w:rFonts w:ascii="Times New Roman" w:eastAsia="Times New Roman" w:hAnsi="Times New Roman" w:cs="Times New Roman"/>
          <w:color w:val="auto"/>
          <w:kern w:val="0"/>
          <w:sz w:val="24"/>
          <w:lang w:eastAsia="pl-PL"/>
          <w14:ligatures w14:val="none"/>
        </w:rPr>
        <w:t xml:space="preserve"> </w:t>
      </w:r>
      <w:r w:rsidRPr="00027ADE">
        <w:rPr>
          <w:rFonts w:ascii="Times New Roman" w:eastAsia="Times New Roman" w:hAnsi="Times New Roman" w:cs="Times New Roman"/>
          <w:color w:val="auto"/>
          <w:kern w:val="0"/>
          <w:sz w:val="24"/>
          <w:lang w:eastAsia="pl-PL"/>
          <w14:ligatures w14:val="none"/>
        </w:rPr>
        <w:t>to następować analogicznie jak w postępowaniu karnym przy tożsamej przesłance</w:t>
      </w:r>
      <w:r>
        <w:rPr>
          <w:rFonts w:ascii="Times New Roman" w:eastAsia="Times New Roman" w:hAnsi="Times New Roman" w:cs="Times New Roman"/>
          <w:color w:val="auto"/>
          <w:kern w:val="0"/>
          <w:sz w:val="24"/>
          <w:lang w:eastAsia="pl-PL"/>
          <w14:ligatures w14:val="none"/>
        </w:rPr>
        <w:t xml:space="preserve"> </w:t>
      </w:r>
      <w:r w:rsidRPr="00027ADE">
        <w:rPr>
          <w:rFonts w:ascii="Times New Roman" w:eastAsia="Times New Roman" w:hAnsi="Times New Roman" w:cs="Times New Roman"/>
          <w:color w:val="auto"/>
          <w:kern w:val="0"/>
          <w:sz w:val="24"/>
          <w:lang w:eastAsia="pl-PL"/>
          <w14:ligatures w14:val="none"/>
        </w:rPr>
        <w:t>wznowienia postępowania.</w:t>
      </w:r>
    </w:p>
    <w:p w14:paraId="7C637CFD" w14:textId="22B7F102" w:rsidR="00027ADE" w:rsidRPr="00C835AB" w:rsidRDefault="00027ADE" w:rsidP="00027ADE">
      <w:pPr>
        <w:autoSpaceDE w:val="0"/>
        <w:autoSpaceDN w:val="0"/>
        <w:adjustRightInd w:val="0"/>
        <w:ind w:firstLine="709"/>
        <w:rPr>
          <w:rFonts w:ascii="Times New Roman" w:eastAsia="Times New Roman" w:hAnsi="Times New Roman" w:cs="Times New Roman"/>
          <w:color w:val="auto"/>
          <w:kern w:val="0"/>
          <w:sz w:val="24"/>
          <w:lang w:eastAsia="pl-PL"/>
          <w14:ligatures w14:val="none"/>
        </w:rPr>
      </w:pPr>
      <w:r w:rsidRPr="00027ADE">
        <w:rPr>
          <w:rFonts w:ascii="Times New Roman" w:eastAsia="Times New Roman" w:hAnsi="Times New Roman" w:cs="Times New Roman"/>
          <w:color w:val="auto"/>
          <w:kern w:val="0"/>
          <w:sz w:val="24"/>
          <w:lang w:eastAsia="pl-PL"/>
          <w14:ligatures w14:val="none"/>
        </w:rPr>
        <w:t xml:space="preserve">Zmiana w § 4 jest zmianą </w:t>
      </w:r>
      <w:proofErr w:type="spellStart"/>
      <w:r w:rsidRPr="00027ADE">
        <w:rPr>
          <w:rFonts w:ascii="Times New Roman" w:eastAsia="Times New Roman" w:hAnsi="Times New Roman" w:cs="Times New Roman"/>
          <w:color w:val="auto"/>
          <w:kern w:val="0"/>
          <w:sz w:val="24"/>
          <w:lang w:eastAsia="pl-PL"/>
          <w14:ligatures w14:val="none"/>
        </w:rPr>
        <w:t>konsekwencyjną</w:t>
      </w:r>
      <w:proofErr w:type="spellEnd"/>
      <w:r w:rsidRPr="00027ADE">
        <w:rPr>
          <w:rFonts w:ascii="Times New Roman" w:eastAsia="Times New Roman" w:hAnsi="Times New Roman" w:cs="Times New Roman"/>
          <w:color w:val="auto"/>
          <w:kern w:val="0"/>
          <w:sz w:val="24"/>
          <w:lang w:eastAsia="pl-PL"/>
          <w14:ligatures w14:val="none"/>
        </w:rPr>
        <w:t>, związaną z rozszerzeniem przesłanek</w:t>
      </w:r>
      <w:r>
        <w:rPr>
          <w:rFonts w:ascii="Times New Roman" w:eastAsia="Times New Roman" w:hAnsi="Times New Roman" w:cs="Times New Roman"/>
          <w:color w:val="auto"/>
          <w:kern w:val="0"/>
          <w:sz w:val="24"/>
          <w:lang w:eastAsia="pl-PL"/>
          <w14:ligatures w14:val="none"/>
        </w:rPr>
        <w:t xml:space="preserve"> </w:t>
      </w:r>
      <w:r w:rsidRPr="00027ADE">
        <w:rPr>
          <w:rFonts w:ascii="Times New Roman" w:eastAsia="Times New Roman" w:hAnsi="Times New Roman" w:cs="Times New Roman"/>
          <w:color w:val="auto"/>
          <w:kern w:val="0"/>
          <w:sz w:val="24"/>
          <w:lang w:eastAsia="pl-PL"/>
          <w14:ligatures w14:val="none"/>
        </w:rPr>
        <w:t>uchylenia mandatu.</w:t>
      </w:r>
      <w:r>
        <w:rPr>
          <w:rFonts w:ascii="Times New Roman" w:eastAsia="Times New Roman" w:hAnsi="Times New Roman" w:cs="Times New Roman"/>
          <w:color w:val="auto"/>
          <w:kern w:val="0"/>
          <w:sz w:val="24"/>
          <w:lang w:eastAsia="pl-PL"/>
          <w14:ligatures w14:val="none"/>
        </w:rPr>
        <w:t xml:space="preserve"> </w:t>
      </w:r>
      <w:r w:rsidRPr="00027ADE">
        <w:rPr>
          <w:rFonts w:ascii="Times New Roman" w:eastAsia="Times New Roman" w:hAnsi="Times New Roman" w:cs="Times New Roman"/>
          <w:color w:val="auto"/>
          <w:kern w:val="0"/>
          <w:sz w:val="24"/>
          <w:lang w:eastAsia="pl-PL"/>
          <w14:ligatures w14:val="none"/>
        </w:rPr>
        <w:t xml:space="preserve">Uchylenie mandatu w oparciu o przesłankę </w:t>
      </w:r>
      <w:proofErr w:type="spellStart"/>
      <w:r w:rsidRPr="00027ADE">
        <w:rPr>
          <w:rFonts w:ascii="Times New Roman" w:eastAsia="Times New Roman" w:hAnsi="Times New Roman" w:cs="Times New Roman"/>
          <w:i/>
          <w:iCs/>
          <w:color w:val="auto"/>
          <w:kern w:val="0"/>
          <w:sz w:val="24"/>
          <w:lang w:eastAsia="pl-PL"/>
          <w14:ligatures w14:val="none"/>
        </w:rPr>
        <w:t>propter</w:t>
      </w:r>
      <w:proofErr w:type="spellEnd"/>
      <w:r w:rsidRPr="00027ADE">
        <w:rPr>
          <w:rFonts w:ascii="Times New Roman" w:eastAsia="Times New Roman" w:hAnsi="Times New Roman" w:cs="Times New Roman"/>
          <w:i/>
          <w:iCs/>
          <w:color w:val="auto"/>
          <w:kern w:val="0"/>
          <w:sz w:val="24"/>
          <w:lang w:eastAsia="pl-PL"/>
          <w14:ligatures w14:val="none"/>
        </w:rPr>
        <w:t xml:space="preserve"> nova </w:t>
      </w:r>
      <w:r w:rsidRPr="00027ADE">
        <w:rPr>
          <w:rFonts w:ascii="Times New Roman" w:eastAsia="Times New Roman" w:hAnsi="Times New Roman" w:cs="Times New Roman"/>
          <w:color w:val="auto"/>
          <w:kern w:val="0"/>
          <w:sz w:val="24"/>
          <w:lang w:eastAsia="pl-PL"/>
          <w14:ligatures w14:val="none"/>
        </w:rPr>
        <w:t>w założeniu zawsze będzie</w:t>
      </w:r>
      <w:r>
        <w:rPr>
          <w:rFonts w:ascii="Times New Roman" w:eastAsia="Times New Roman" w:hAnsi="Times New Roman" w:cs="Times New Roman"/>
          <w:color w:val="auto"/>
          <w:kern w:val="0"/>
          <w:sz w:val="24"/>
          <w:lang w:eastAsia="pl-PL"/>
          <w14:ligatures w14:val="none"/>
        </w:rPr>
        <w:t xml:space="preserve"> </w:t>
      </w:r>
      <w:r w:rsidRPr="00027ADE">
        <w:rPr>
          <w:rFonts w:ascii="Times New Roman" w:eastAsia="Times New Roman" w:hAnsi="Times New Roman" w:cs="Times New Roman"/>
          <w:color w:val="auto"/>
          <w:kern w:val="0"/>
          <w:sz w:val="24"/>
          <w:lang w:eastAsia="pl-PL"/>
          <w14:ligatures w14:val="none"/>
        </w:rPr>
        <w:t>następować na korzyść ukaranego. Z tego względu należało w odniesieniu do tej</w:t>
      </w:r>
      <w:r>
        <w:rPr>
          <w:rFonts w:ascii="Times New Roman" w:eastAsia="Times New Roman" w:hAnsi="Times New Roman" w:cs="Times New Roman"/>
          <w:color w:val="auto"/>
          <w:kern w:val="0"/>
          <w:sz w:val="24"/>
          <w:lang w:eastAsia="pl-PL"/>
          <w14:ligatures w14:val="none"/>
        </w:rPr>
        <w:t xml:space="preserve"> </w:t>
      </w:r>
      <w:r w:rsidRPr="00027ADE">
        <w:rPr>
          <w:rFonts w:ascii="Times New Roman" w:eastAsia="Times New Roman" w:hAnsi="Times New Roman" w:cs="Times New Roman"/>
          <w:color w:val="auto"/>
          <w:kern w:val="0"/>
          <w:sz w:val="24"/>
          <w:lang w:eastAsia="pl-PL"/>
          <w14:ligatures w14:val="none"/>
        </w:rPr>
        <w:t xml:space="preserve">przesłanki zachować gwarancje wskazane w art. 101 § 4 </w:t>
      </w:r>
      <w:proofErr w:type="spellStart"/>
      <w:r w:rsidRPr="00027ADE">
        <w:rPr>
          <w:rFonts w:ascii="Times New Roman" w:eastAsia="Times New Roman" w:hAnsi="Times New Roman" w:cs="Times New Roman"/>
          <w:color w:val="auto"/>
          <w:kern w:val="0"/>
          <w:sz w:val="24"/>
          <w:lang w:eastAsia="pl-PL"/>
          <w14:ligatures w14:val="none"/>
        </w:rPr>
        <w:t>k.p.w</w:t>
      </w:r>
      <w:proofErr w:type="spellEnd"/>
      <w:r w:rsidRPr="00027ADE">
        <w:rPr>
          <w:rFonts w:ascii="Times New Roman" w:eastAsia="Times New Roman" w:hAnsi="Times New Roman" w:cs="Times New Roman"/>
          <w:color w:val="auto"/>
          <w:kern w:val="0"/>
          <w:sz w:val="24"/>
          <w:lang w:eastAsia="pl-PL"/>
          <w14:ligatures w14:val="none"/>
        </w:rPr>
        <w:t>. Odmiennie jest natomiast</w:t>
      </w:r>
      <w:r>
        <w:rPr>
          <w:rFonts w:ascii="Times New Roman" w:eastAsia="Times New Roman" w:hAnsi="Times New Roman" w:cs="Times New Roman"/>
          <w:color w:val="auto"/>
          <w:kern w:val="0"/>
          <w:sz w:val="24"/>
          <w:lang w:eastAsia="pl-PL"/>
          <w14:ligatures w14:val="none"/>
        </w:rPr>
        <w:t xml:space="preserve"> </w:t>
      </w:r>
      <w:r w:rsidRPr="00027ADE">
        <w:rPr>
          <w:rFonts w:ascii="Times New Roman" w:eastAsia="Times New Roman" w:hAnsi="Times New Roman" w:cs="Times New Roman"/>
          <w:color w:val="auto"/>
          <w:kern w:val="0"/>
          <w:sz w:val="24"/>
          <w:lang w:eastAsia="pl-PL"/>
          <w14:ligatures w14:val="none"/>
        </w:rPr>
        <w:t xml:space="preserve">w przypadku uchylenia mandatu w oparciu o przesłankę </w:t>
      </w:r>
      <w:proofErr w:type="spellStart"/>
      <w:r w:rsidRPr="00027ADE">
        <w:rPr>
          <w:rFonts w:ascii="Times New Roman" w:eastAsia="Times New Roman" w:hAnsi="Times New Roman" w:cs="Times New Roman"/>
          <w:i/>
          <w:iCs/>
          <w:color w:val="auto"/>
          <w:kern w:val="0"/>
          <w:sz w:val="24"/>
          <w:lang w:eastAsia="pl-PL"/>
          <w14:ligatures w14:val="none"/>
        </w:rPr>
        <w:t>propter</w:t>
      </w:r>
      <w:proofErr w:type="spellEnd"/>
      <w:r w:rsidRPr="00027ADE">
        <w:rPr>
          <w:rFonts w:ascii="Times New Roman" w:eastAsia="Times New Roman" w:hAnsi="Times New Roman" w:cs="Times New Roman"/>
          <w:i/>
          <w:iCs/>
          <w:color w:val="auto"/>
          <w:kern w:val="0"/>
          <w:sz w:val="24"/>
          <w:lang w:eastAsia="pl-PL"/>
          <w14:ligatures w14:val="none"/>
        </w:rPr>
        <w:t xml:space="preserve"> </w:t>
      </w:r>
      <w:proofErr w:type="spellStart"/>
      <w:r w:rsidRPr="00027ADE">
        <w:rPr>
          <w:rFonts w:ascii="Times New Roman" w:eastAsia="Times New Roman" w:hAnsi="Times New Roman" w:cs="Times New Roman"/>
          <w:i/>
          <w:iCs/>
          <w:color w:val="auto"/>
          <w:kern w:val="0"/>
          <w:sz w:val="24"/>
          <w:lang w:eastAsia="pl-PL"/>
          <w14:ligatures w14:val="none"/>
        </w:rPr>
        <w:t>falsa</w:t>
      </w:r>
      <w:proofErr w:type="spellEnd"/>
      <w:r w:rsidRPr="00027ADE">
        <w:rPr>
          <w:rFonts w:ascii="Times New Roman" w:eastAsia="Times New Roman" w:hAnsi="Times New Roman" w:cs="Times New Roman"/>
          <w:color w:val="auto"/>
          <w:kern w:val="0"/>
          <w:sz w:val="24"/>
          <w:lang w:eastAsia="pl-PL"/>
          <w14:ligatures w14:val="none"/>
        </w:rPr>
        <w:t>. W tym wypadku</w:t>
      </w:r>
      <w:r>
        <w:rPr>
          <w:rFonts w:ascii="Times New Roman" w:eastAsia="Times New Roman" w:hAnsi="Times New Roman" w:cs="Times New Roman"/>
          <w:color w:val="auto"/>
          <w:kern w:val="0"/>
          <w:sz w:val="24"/>
          <w:lang w:eastAsia="pl-PL"/>
          <w14:ligatures w14:val="none"/>
        </w:rPr>
        <w:t xml:space="preserve"> </w:t>
      </w:r>
      <w:r w:rsidRPr="00027ADE">
        <w:rPr>
          <w:rFonts w:ascii="Times New Roman" w:eastAsia="Times New Roman" w:hAnsi="Times New Roman" w:cs="Times New Roman"/>
          <w:color w:val="auto"/>
          <w:kern w:val="0"/>
          <w:sz w:val="24"/>
          <w:lang w:eastAsia="pl-PL"/>
          <w14:ligatures w14:val="none"/>
        </w:rPr>
        <w:t>nawet złożenie wniosku o uchylenie mandat</w:t>
      </w:r>
      <w:r>
        <w:rPr>
          <w:rFonts w:ascii="Times New Roman" w:eastAsia="Times New Roman" w:hAnsi="Times New Roman" w:cs="Times New Roman"/>
          <w:color w:val="auto"/>
          <w:kern w:val="0"/>
          <w:sz w:val="24"/>
          <w:lang w:eastAsia="pl-PL"/>
          <w14:ligatures w14:val="none"/>
        </w:rPr>
        <w:t>u</w:t>
      </w:r>
      <w:r w:rsidRPr="00027ADE">
        <w:rPr>
          <w:rFonts w:ascii="Times New Roman" w:eastAsia="Times New Roman" w:hAnsi="Times New Roman" w:cs="Times New Roman"/>
          <w:color w:val="auto"/>
          <w:kern w:val="0"/>
          <w:sz w:val="24"/>
          <w:lang w:eastAsia="pl-PL"/>
          <w14:ligatures w14:val="none"/>
        </w:rPr>
        <w:t xml:space="preserve"> przez ukaranego nie musi uzasadniać</w:t>
      </w:r>
      <w:r>
        <w:rPr>
          <w:rFonts w:ascii="Times New Roman" w:eastAsia="Times New Roman" w:hAnsi="Times New Roman" w:cs="Times New Roman"/>
          <w:color w:val="auto"/>
          <w:kern w:val="0"/>
          <w:sz w:val="24"/>
          <w:lang w:eastAsia="pl-PL"/>
          <w14:ligatures w14:val="none"/>
        </w:rPr>
        <w:t xml:space="preserve"> </w:t>
      </w:r>
      <w:r w:rsidRPr="00027ADE">
        <w:rPr>
          <w:rFonts w:ascii="Times New Roman" w:eastAsia="Times New Roman" w:hAnsi="Times New Roman" w:cs="Times New Roman"/>
          <w:color w:val="auto"/>
          <w:kern w:val="0"/>
          <w:sz w:val="24"/>
          <w:lang w:eastAsia="pl-PL"/>
          <w14:ligatures w14:val="none"/>
        </w:rPr>
        <w:t xml:space="preserve">stosowania wobec niego gwarancji przewidzianej w art. 101 § 4 </w:t>
      </w:r>
      <w:proofErr w:type="spellStart"/>
      <w:r w:rsidRPr="00027ADE">
        <w:rPr>
          <w:rFonts w:ascii="Times New Roman" w:eastAsia="Times New Roman" w:hAnsi="Times New Roman" w:cs="Times New Roman"/>
          <w:color w:val="auto"/>
          <w:kern w:val="0"/>
          <w:sz w:val="24"/>
          <w:lang w:eastAsia="pl-PL"/>
          <w14:ligatures w14:val="none"/>
        </w:rPr>
        <w:t>k.p.w</w:t>
      </w:r>
      <w:proofErr w:type="spellEnd"/>
      <w:r w:rsidRPr="00027ADE">
        <w:rPr>
          <w:rFonts w:ascii="Times New Roman" w:eastAsia="Times New Roman" w:hAnsi="Times New Roman" w:cs="Times New Roman"/>
          <w:color w:val="auto"/>
          <w:kern w:val="0"/>
          <w:sz w:val="24"/>
          <w:lang w:eastAsia="pl-PL"/>
          <w14:ligatures w14:val="none"/>
        </w:rPr>
        <w:t>., skoro to ukarany</w:t>
      </w:r>
      <w:r>
        <w:rPr>
          <w:rFonts w:ascii="Times New Roman" w:eastAsia="Times New Roman" w:hAnsi="Times New Roman" w:cs="Times New Roman"/>
          <w:color w:val="auto"/>
          <w:kern w:val="0"/>
          <w:sz w:val="24"/>
          <w:lang w:eastAsia="pl-PL"/>
          <w14:ligatures w14:val="none"/>
        </w:rPr>
        <w:t xml:space="preserve"> </w:t>
      </w:r>
      <w:r w:rsidRPr="00027ADE">
        <w:rPr>
          <w:rFonts w:ascii="Times New Roman" w:eastAsia="Times New Roman" w:hAnsi="Times New Roman" w:cs="Times New Roman"/>
          <w:color w:val="auto"/>
          <w:kern w:val="0"/>
          <w:sz w:val="24"/>
          <w:lang w:eastAsia="pl-PL"/>
          <w14:ligatures w14:val="none"/>
        </w:rPr>
        <w:t xml:space="preserve">może być sprawcą czynu zabronionego o którym mowa w projektowanym art. 101 § </w:t>
      </w:r>
      <w:proofErr w:type="spellStart"/>
      <w:r w:rsidRPr="00027ADE">
        <w:rPr>
          <w:rFonts w:ascii="Times New Roman" w:eastAsia="Times New Roman" w:hAnsi="Times New Roman" w:cs="Times New Roman"/>
          <w:color w:val="auto"/>
          <w:kern w:val="0"/>
          <w:sz w:val="24"/>
          <w:lang w:eastAsia="pl-PL"/>
          <w14:ligatures w14:val="none"/>
        </w:rPr>
        <w:t>1b</w:t>
      </w:r>
      <w:proofErr w:type="spellEnd"/>
      <w:r>
        <w:rPr>
          <w:rFonts w:ascii="Times New Roman" w:eastAsia="Times New Roman" w:hAnsi="Times New Roman" w:cs="Times New Roman"/>
          <w:color w:val="auto"/>
          <w:kern w:val="0"/>
          <w:sz w:val="24"/>
          <w:lang w:eastAsia="pl-PL"/>
          <w14:ligatures w14:val="none"/>
        </w:rPr>
        <w:t xml:space="preserve"> </w:t>
      </w:r>
      <w:r w:rsidRPr="00027ADE">
        <w:rPr>
          <w:rFonts w:ascii="Times New Roman" w:eastAsia="Times New Roman" w:hAnsi="Times New Roman" w:cs="Times New Roman"/>
          <w:color w:val="auto"/>
          <w:kern w:val="0"/>
          <w:sz w:val="24"/>
          <w:lang w:eastAsia="pl-PL"/>
          <w14:ligatures w14:val="none"/>
        </w:rPr>
        <w:t xml:space="preserve">pkt 3 </w:t>
      </w:r>
      <w:proofErr w:type="spellStart"/>
      <w:r w:rsidRPr="00027ADE">
        <w:rPr>
          <w:rFonts w:ascii="Times New Roman" w:eastAsia="Times New Roman" w:hAnsi="Times New Roman" w:cs="Times New Roman"/>
          <w:color w:val="auto"/>
          <w:kern w:val="0"/>
          <w:sz w:val="24"/>
          <w:lang w:eastAsia="pl-PL"/>
          <w14:ligatures w14:val="none"/>
        </w:rPr>
        <w:t>k.p.w</w:t>
      </w:r>
      <w:proofErr w:type="spellEnd"/>
      <w:r w:rsidRPr="00027ADE">
        <w:rPr>
          <w:rFonts w:ascii="Times New Roman" w:eastAsia="Times New Roman" w:hAnsi="Times New Roman" w:cs="Times New Roman"/>
          <w:color w:val="auto"/>
          <w:kern w:val="0"/>
          <w:sz w:val="24"/>
          <w:lang w:eastAsia="pl-PL"/>
          <w14:ligatures w14:val="none"/>
        </w:rPr>
        <w:t>.</w:t>
      </w:r>
    </w:p>
    <w:p w14:paraId="3DFA7220" w14:textId="77777777" w:rsidR="00DD0C95" w:rsidRPr="00C835AB" w:rsidRDefault="00DD0C95" w:rsidP="00D823D0">
      <w:pPr>
        <w:autoSpaceDE w:val="0"/>
        <w:autoSpaceDN w:val="0"/>
        <w:adjustRightInd w:val="0"/>
        <w:rPr>
          <w:rFonts w:ascii="Times New Roman" w:eastAsia="Times New Roman" w:hAnsi="Times New Roman" w:cs="Times New Roman"/>
          <w:color w:val="auto"/>
          <w:kern w:val="0"/>
          <w:sz w:val="24"/>
          <w:lang w:eastAsia="pl-PL"/>
          <w14:ligatures w14:val="none"/>
        </w:rPr>
      </w:pPr>
    </w:p>
    <w:p w14:paraId="2A43B764" w14:textId="69F0E0D2" w:rsidR="00DD0C95" w:rsidRPr="00C835AB" w:rsidRDefault="00DD0C95" w:rsidP="00D823D0">
      <w:pPr>
        <w:autoSpaceDE w:val="0"/>
        <w:autoSpaceDN w:val="0"/>
        <w:adjustRightInd w:val="0"/>
        <w:ind w:firstLine="709"/>
        <w:rPr>
          <w:rFonts w:ascii="Times New Roman" w:eastAsia="Times New Roman" w:hAnsi="Times New Roman" w:cs="Times New Roman"/>
          <w:b/>
          <w:bCs/>
          <w:color w:val="auto"/>
          <w:kern w:val="0"/>
          <w:sz w:val="24"/>
          <w:lang w:eastAsia="pl-PL"/>
          <w14:ligatures w14:val="none"/>
        </w:rPr>
      </w:pPr>
      <w:r w:rsidRPr="00C835AB">
        <w:rPr>
          <w:rFonts w:ascii="Times New Roman" w:eastAsia="Times New Roman" w:hAnsi="Times New Roman" w:cs="Times New Roman"/>
          <w:b/>
          <w:bCs/>
          <w:color w:val="auto"/>
          <w:kern w:val="0"/>
          <w:sz w:val="24"/>
          <w:lang w:eastAsia="pl-PL"/>
          <w14:ligatures w14:val="none"/>
        </w:rPr>
        <w:t>Art. 115</w:t>
      </w:r>
      <w:r w:rsidR="00164291" w:rsidRPr="00C835AB">
        <w:rPr>
          <w:rFonts w:ascii="Times New Roman" w:eastAsia="Times New Roman" w:hAnsi="Times New Roman" w:cs="Times New Roman"/>
          <w:b/>
          <w:bCs/>
          <w:color w:val="auto"/>
          <w:kern w:val="0"/>
          <w:sz w:val="24"/>
          <w:lang w:eastAsia="pl-PL"/>
          <w14:ligatures w14:val="none"/>
        </w:rPr>
        <w:t xml:space="preserve"> § 2 </w:t>
      </w:r>
      <w:proofErr w:type="spellStart"/>
      <w:r w:rsidR="00164291" w:rsidRPr="00C835AB">
        <w:rPr>
          <w:rFonts w:ascii="Times New Roman" w:eastAsia="Times New Roman" w:hAnsi="Times New Roman" w:cs="Times New Roman"/>
          <w:b/>
          <w:bCs/>
          <w:color w:val="auto"/>
          <w:kern w:val="0"/>
          <w:sz w:val="24"/>
          <w:lang w:eastAsia="pl-PL"/>
          <w14:ligatures w14:val="none"/>
        </w:rPr>
        <w:t>k.p.w</w:t>
      </w:r>
      <w:proofErr w:type="spellEnd"/>
      <w:r w:rsidR="00164291" w:rsidRPr="00C835AB">
        <w:rPr>
          <w:rFonts w:ascii="Times New Roman" w:eastAsia="Times New Roman" w:hAnsi="Times New Roman" w:cs="Times New Roman"/>
          <w:b/>
          <w:bCs/>
          <w:color w:val="auto"/>
          <w:kern w:val="0"/>
          <w:sz w:val="24"/>
          <w:lang w:eastAsia="pl-PL"/>
          <w14:ligatures w14:val="none"/>
        </w:rPr>
        <w:t>.</w:t>
      </w:r>
    </w:p>
    <w:p w14:paraId="24D151AC" w14:textId="0BDC7132" w:rsidR="00CD00ED" w:rsidRPr="00C835AB" w:rsidRDefault="00102413" w:rsidP="00D823D0">
      <w:pPr>
        <w:rPr>
          <w:rFonts w:ascii="Times New Roman" w:hAnsi="Times New Roman" w:cs="Times New Roman"/>
          <w:color w:val="auto"/>
          <w:sz w:val="24"/>
        </w:rPr>
      </w:pPr>
      <w:r w:rsidRPr="00C835AB">
        <w:rPr>
          <w:rFonts w:ascii="Times New Roman" w:hAnsi="Times New Roman" w:cs="Times New Roman"/>
          <w:color w:val="auto"/>
          <w:sz w:val="24"/>
          <w:shd w:val="clear" w:color="auto" w:fill="FFFFFF"/>
        </w:rPr>
        <w:tab/>
      </w:r>
      <w:r w:rsidR="00CC1D0D" w:rsidRPr="00C835AB">
        <w:rPr>
          <w:rFonts w:ascii="Times New Roman" w:hAnsi="Times New Roman" w:cs="Times New Roman"/>
          <w:color w:val="auto"/>
          <w:sz w:val="24"/>
          <w:shd w:val="clear" w:color="auto" w:fill="FFFFFF"/>
        </w:rPr>
        <w:t>Proponowane w</w:t>
      </w:r>
      <w:r w:rsidR="00CD00ED" w:rsidRPr="00C835AB">
        <w:rPr>
          <w:rFonts w:ascii="Times New Roman" w:hAnsi="Times New Roman" w:cs="Times New Roman"/>
          <w:color w:val="auto"/>
          <w:sz w:val="24"/>
          <w:shd w:val="clear" w:color="auto" w:fill="FFFFFF"/>
        </w:rPr>
        <w:t>ydłużenie terminu przedawnienia w art. 115 § 2</w:t>
      </w:r>
      <w:r w:rsidR="00CD00ED" w:rsidRPr="00C835AB">
        <w:rPr>
          <w:rFonts w:ascii="Times New Roman" w:hAnsi="Times New Roman" w:cs="Times New Roman"/>
          <w:color w:val="auto"/>
          <w:sz w:val="24"/>
        </w:rPr>
        <w:t xml:space="preserve"> </w:t>
      </w:r>
      <w:proofErr w:type="spellStart"/>
      <w:r w:rsidR="00CD00ED" w:rsidRPr="00C835AB">
        <w:rPr>
          <w:rFonts w:ascii="Times New Roman" w:hAnsi="Times New Roman" w:cs="Times New Roman"/>
          <w:color w:val="auto"/>
          <w:sz w:val="24"/>
        </w:rPr>
        <w:t>k.p.w</w:t>
      </w:r>
      <w:proofErr w:type="spellEnd"/>
      <w:r w:rsidR="00CD00ED" w:rsidRPr="00C835AB">
        <w:rPr>
          <w:rFonts w:ascii="Times New Roman" w:hAnsi="Times New Roman" w:cs="Times New Roman"/>
          <w:color w:val="auto"/>
          <w:sz w:val="24"/>
        </w:rPr>
        <w:t>. jest</w:t>
      </w:r>
      <w:r w:rsidR="00BD5665">
        <w:rPr>
          <w:rFonts w:ascii="Times New Roman" w:hAnsi="Times New Roman" w:cs="Times New Roman"/>
          <w:color w:val="auto"/>
          <w:sz w:val="24"/>
        </w:rPr>
        <w:t> </w:t>
      </w:r>
      <w:r w:rsidR="00CD00ED" w:rsidRPr="00C835AB">
        <w:rPr>
          <w:rFonts w:ascii="Times New Roman" w:hAnsi="Times New Roman" w:cs="Times New Roman"/>
          <w:color w:val="auto"/>
          <w:sz w:val="24"/>
        </w:rPr>
        <w:t>k</w:t>
      </w:r>
      <w:r w:rsidR="00CD00ED" w:rsidRPr="00C835AB">
        <w:rPr>
          <w:rFonts w:ascii="Times New Roman" w:hAnsi="Times New Roman" w:cs="Times New Roman"/>
          <w:color w:val="auto"/>
          <w:sz w:val="24"/>
          <w:shd w:val="clear" w:color="auto" w:fill="FFFFFF"/>
        </w:rPr>
        <w:t xml:space="preserve">onsekwencją </w:t>
      </w:r>
      <w:r w:rsidR="00B80FA1" w:rsidRPr="00C835AB">
        <w:rPr>
          <w:rFonts w:ascii="Times New Roman" w:hAnsi="Times New Roman" w:cs="Times New Roman"/>
          <w:color w:val="auto"/>
          <w:sz w:val="24"/>
          <w:shd w:val="clear" w:color="auto" w:fill="FFFFFF"/>
        </w:rPr>
        <w:t xml:space="preserve">projektowanej </w:t>
      </w:r>
      <w:r w:rsidR="00CD00ED" w:rsidRPr="00C835AB">
        <w:rPr>
          <w:rFonts w:ascii="Times New Roman" w:hAnsi="Times New Roman" w:cs="Times New Roman"/>
          <w:color w:val="auto"/>
          <w:sz w:val="24"/>
          <w:shd w:val="clear" w:color="auto" w:fill="FFFFFF"/>
        </w:rPr>
        <w:t xml:space="preserve">zmiany art. 555 k.p.k. </w:t>
      </w:r>
      <w:r w:rsidR="00CD00ED" w:rsidRPr="00C835AB">
        <w:rPr>
          <w:rFonts w:ascii="Times New Roman" w:hAnsi="Times New Roman" w:cs="Times New Roman"/>
          <w:color w:val="auto"/>
          <w:sz w:val="24"/>
        </w:rPr>
        <w:t>Różnicowanie wskazanych terminów przewidzianych w Kodeksie postępowania karnego i Kodeksie postępowania w sprawach o</w:t>
      </w:r>
      <w:r w:rsidR="001A3D13" w:rsidRPr="00C835AB">
        <w:rPr>
          <w:rFonts w:ascii="Times New Roman" w:hAnsi="Times New Roman" w:cs="Times New Roman"/>
          <w:color w:val="auto"/>
          <w:sz w:val="24"/>
        </w:rPr>
        <w:t> </w:t>
      </w:r>
      <w:r w:rsidR="00CD00ED" w:rsidRPr="00C835AB">
        <w:rPr>
          <w:rFonts w:ascii="Times New Roman" w:hAnsi="Times New Roman" w:cs="Times New Roman"/>
          <w:color w:val="auto"/>
          <w:sz w:val="24"/>
        </w:rPr>
        <w:t xml:space="preserve">wykroczenia nie znajduje uzasadnienia. </w:t>
      </w:r>
    </w:p>
    <w:p w14:paraId="5C6C6B39" w14:textId="77777777" w:rsidR="00CD00ED" w:rsidRPr="00C835AB" w:rsidRDefault="00CD00ED" w:rsidP="00D823D0">
      <w:pPr>
        <w:rPr>
          <w:rFonts w:ascii="Times New Roman" w:eastAsia="Times New Roman" w:hAnsi="Times New Roman" w:cs="Times New Roman"/>
          <w:b/>
          <w:color w:val="auto"/>
          <w:kern w:val="0"/>
          <w:sz w:val="24"/>
          <w:lang w:eastAsia="pl-PL"/>
          <w14:ligatures w14:val="none"/>
        </w:rPr>
      </w:pPr>
    </w:p>
    <w:p w14:paraId="4E8826AE" w14:textId="399A258B" w:rsidR="00031C8A" w:rsidRPr="00C835AB" w:rsidRDefault="00102413" w:rsidP="00D823D0">
      <w:pPr>
        <w:rPr>
          <w:rFonts w:ascii="Times New Roman" w:hAnsi="Times New Roman" w:cs="Times New Roman"/>
          <w:b/>
          <w:bCs/>
          <w:color w:val="auto"/>
          <w:sz w:val="24"/>
          <w:u w:val="single"/>
          <w:shd w:val="clear" w:color="auto" w:fill="FFFFFF"/>
        </w:rPr>
      </w:pPr>
      <w:r w:rsidRPr="00C835AB">
        <w:rPr>
          <w:rFonts w:ascii="Times New Roman" w:hAnsi="Times New Roman" w:cs="Times New Roman"/>
          <w:b/>
          <w:bCs/>
          <w:color w:val="auto"/>
          <w:sz w:val="24"/>
          <w:u w:val="single"/>
        </w:rPr>
        <w:t>Zmiany w u</w:t>
      </w:r>
      <w:r w:rsidR="00031C8A" w:rsidRPr="00C835AB">
        <w:rPr>
          <w:rFonts w:ascii="Times New Roman" w:hAnsi="Times New Roman" w:cs="Times New Roman"/>
          <w:b/>
          <w:bCs/>
          <w:color w:val="auto"/>
          <w:sz w:val="24"/>
          <w:u w:val="single"/>
        </w:rPr>
        <w:t>staw</w:t>
      </w:r>
      <w:r w:rsidRPr="00C835AB">
        <w:rPr>
          <w:rFonts w:ascii="Times New Roman" w:hAnsi="Times New Roman" w:cs="Times New Roman"/>
          <w:b/>
          <w:bCs/>
          <w:color w:val="auto"/>
          <w:sz w:val="24"/>
          <w:u w:val="single"/>
        </w:rPr>
        <w:t>ie</w:t>
      </w:r>
      <w:r w:rsidR="00031C8A" w:rsidRPr="00C835AB">
        <w:rPr>
          <w:rFonts w:ascii="Times New Roman" w:hAnsi="Times New Roman" w:cs="Times New Roman"/>
          <w:b/>
          <w:bCs/>
          <w:color w:val="auto"/>
          <w:sz w:val="24"/>
          <w:u w:val="single"/>
        </w:rPr>
        <w:t xml:space="preserve"> z dnia 28 lipca 2005 r.</w:t>
      </w:r>
      <w:r w:rsidR="00031C8A" w:rsidRPr="00C835AB">
        <w:rPr>
          <w:rFonts w:ascii="Times New Roman" w:hAnsi="Times New Roman" w:cs="Times New Roman"/>
          <w:b/>
          <w:bCs/>
          <w:color w:val="auto"/>
          <w:sz w:val="24"/>
          <w:u w:val="single"/>
          <w:shd w:val="clear" w:color="auto" w:fill="FFFFFF"/>
        </w:rPr>
        <w:t xml:space="preserve"> o kosztach sądowych w sprawach cywilnych</w:t>
      </w:r>
    </w:p>
    <w:p w14:paraId="1F438B16" w14:textId="77777777" w:rsidR="00102413" w:rsidRPr="00C835AB" w:rsidRDefault="00102413" w:rsidP="00D823D0">
      <w:pPr>
        <w:rPr>
          <w:rFonts w:ascii="Times New Roman" w:hAnsi="Times New Roman" w:cs="Times New Roman"/>
          <w:b/>
          <w:bCs/>
          <w:color w:val="auto"/>
          <w:sz w:val="24"/>
          <w:shd w:val="clear" w:color="auto" w:fill="FFFFFF"/>
        </w:rPr>
      </w:pPr>
    </w:p>
    <w:p w14:paraId="04F8D544" w14:textId="67643CC0" w:rsidR="00031C8A" w:rsidRPr="00C835AB" w:rsidRDefault="00031C8A" w:rsidP="00D823D0">
      <w:pPr>
        <w:ind w:firstLine="709"/>
        <w:rPr>
          <w:rFonts w:ascii="Times New Roman" w:hAnsi="Times New Roman" w:cs="Times New Roman"/>
          <w:color w:val="auto"/>
          <w:sz w:val="24"/>
        </w:rPr>
      </w:pPr>
      <w:r w:rsidRPr="00C835AB">
        <w:rPr>
          <w:rFonts w:ascii="Times New Roman" w:hAnsi="Times New Roman" w:cs="Times New Roman"/>
          <w:color w:val="auto"/>
          <w:sz w:val="24"/>
        </w:rPr>
        <w:t>Zmiana przewidziana w art. 86 ust. 3 ustawy z dnia 28 lipca 2005 r.</w:t>
      </w:r>
      <w:r w:rsidRPr="00C835AB">
        <w:rPr>
          <w:rFonts w:ascii="Times New Roman" w:hAnsi="Times New Roman" w:cs="Times New Roman"/>
          <w:color w:val="auto"/>
          <w:sz w:val="24"/>
          <w:shd w:val="clear" w:color="auto" w:fill="FFFFFF"/>
        </w:rPr>
        <w:t xml:space="preserve"> o kosztach sądowych w sprawach cywilnych</w:t>
      </w:r>
      <w:r w:rsidRPr="00C835AB">
        <w:rPr>
          <w:rFonts w:ascii="Times New Roman" w:hAnsi="Times New Roman" w:cs="Times New Roman"/>
          <w:color w:val="auto"/>
          <w:sz w:val="24"/>
        </w:rPr>
        <w:t xml:space="preserve"> (Dz.</w:t>
      </w:r>
      <w:r w:rsidR="001007CC"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 xml:space="preserve">U. z </w:t>
      </w:r>
      <w:r w:rsidR="009D7536" w:rsidRPr="00C835AB">
        <w:rPr>
          <w:rFonts w:ascii="Times New Roman" w:hAnsi="Times New Roman" w:cs="Times New Roman"/>
          <w:color w:val="auto"/>
          <w:sz w:val="24"/>
        </w:rPr>
        <w:t>202</w:t>
      </w:r>
      <w:r w:rsidR="009D7536">
        <w:rPr>
          <w:rFonts w:ascii="Times New Roman" w:hAnsi="Times New Roman" w:cs="Times New Roman"/>
          <w:color w:val="auto"/>
          <w:sz w:val="24"/>
        </w:rPr>
        <w:t>4</w:t>
      </w:r>
      <w:r w:rsidR="009D7536"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 xml:space="preserve">r. poz. </w:t>
      </w:r>
      <w:r w:rsidR="009D7536">
        <w:rPr>
          <w:rFonts w:ascii="Times New Roman" w:hAnsi="Times New Roman" w:cs="Times New Roman"/>
          <w:color w:val="auto"/>
          <w:sz w:val="24"/>
        </w:rPr>
        <w:t>959</w:t>
      </w:r>
      <w:r w:rsidR="001107E6" w:rsidRPr="00C835AB">
        <w:rPr>
          <w:rFonts w:ascii="Times New Roman" w:hAnsi="Times New Roman" w:cs="Times New Roman"/>
          <w:color w:val="auto"/>
          <w:sz w:val="24"/>
        </w:rPr>
        <w:t xml:space="preserve">, z </w:t>
      </w:r>
      <w:proofErr w:type="spellStart"/>
      <w:r w:rsidR="001107E6" w:rsidRPr="00C835AB">
        <w:rPr>
          <w:rFonts w:ascii="Times New Roman" w:hAnsi="Times New Roman" w:cs="Times New Roman"/>
          <w:color w:val="auto"/>
          <w:sz w:val="24"/>
        </w:rPr>
        <w:t>późn</w:t>
      </w:r>
      <w:proofErr w:type="spellEnd"/>
      <w:r w:rsidR="001107E6" w:rsidRPr="00C835AB">
        <w:rPr>
          <w:rFonts w:ascii="Times New Roman" w:hAnsi="Times New Roman" w:cs="Times New Roman"/>
          <w:color w:val="auto"/>
          <w:sz w:val="24"/>
        </w:rPr>
        <w:t>. zm.</w:t>
      </w:r>
      <w:r w:rsidRPr="00C835AB">
        <w:rPr>
          <w:rFonts w:ascii="Times New Roman" w:hAnsi="Times New Roman" w:cs="Times New Roman"/>
          <w:color w:val="auto"/>
          <w:sz w:val="24"/>
        </w:rPr>
        <w:t xml:space="preserve">) znajduje analogiczne uzasadnienie jak zmiana art. 618b § 3 k.p.k. </w:t>
      </w:r>
    </w:p>
    <w:p w14:paraId="79521635" w14:textId="77777777" w:rsidR="007E2453" w:rsidRPr="00C835AB" w:rsidRDefault="007E2453" w:rsidP="00D823D0">
      <w:pPr>
        <w:rPr>
          <w:rFonts w:ascii="Times New Roman" w:hAnsi="Times New Roman" w:cs="Times New Roman"/>
          <w:b/>
          <w:bCs/>
          <w:color w:val="auto"/>
          <w:sz w:val="24"/>
          <w:shd w:val="clear" w:color="auto" w:fill="FFFFFF"/>
        </w:rPr>
      </w:pPr>
    </w:p>
    <w:p w14:paraId="1042891D" w14:textId="3ECFCC6C" w:rsidR="00DC20C5" w:rsidRPr="00C835AB" w:rsidRDefault="00102413" w:rsidP="00D823D0">
      <w:pPr>
        <w:rPr>
          <w:rFonts w:ascii="Times New Roman" w:hAnsi="Times New Roman" w:cs="Times New Roman"/>
          <w:b/>
          <w:bCs/>
          <w:color w:val="auto"/>
          <w:sz w:val="24"/>
          <w:u w:val="single"/>
        </w:rPr>
      </w:pPr>
      <w:r w:rsidRPr="00C835AB">
        <w:rPr>
          <w:rFonts w:ascii="Times New Roman" w:hAnsi="Times New Roman" w:cs="Times New Roman"/>
          <w:b/>
          <w:bCs/>
          <w:color w:val="auto"/>
          <w:sz w:val="24"/>
          <w:u w:val="single"/>
        </w:rPr>
        <w:t>Zmiany w u</w:t>
      </w:r>
      <w:r w:rsidR="00031C8A" w:rsidRPr="00C835AB">
        <w:rPr>
          <w:rFonts w:ascii="Times New Roman" w:hAnsi="Times New Roman" w:cs="Times New Roman"/>
          <w:b/>
          <w:bCs/>
          <w:color w:val="auto"/>
          <w:sz w:val="24"/>
          <w:u w:val="single"/>
        </w:rPr>
        <w:t>staw</w:t>
      </w:r>
      <w:r w:rsidRPr="00C835AB">
        <w:rPr>
          <w:rFonts w:ascii="Times New Roman" w:hAnsi="Times New Roman" w:cs="Times New Roman"/>
          <w:b/>
          <w:bCs/>
          <w:color w:val="auto"/>
          <w:sz w:val="24"/>
          <w:u w:val="single"/>
        </w:rPr>
        <w:t>ie</w:t>
      </w:r>
      <w:r w:rsidR="00031C8A" w:rsidRPr="00C835AB">
        <w:rPr>
          <w:rFonts w:ascii="Times New Roman" w:hAnsi="Times New Roman" w:cs="Times New Roman"/>
          <w:b/>
          <w:bCs/>
          <w:color w:val="auto"/>
          <w:sz w:val="24"/>
          <w:u w:val="single"/>
        </w:rPr>
        <w:t xml:space="preserve"> z dnia 16 września 2011 r. o zmianie ustawy – Kodeks postępowania karnego, ustawy o prokuraturze oraz ustawy o Krajowym Rejestrze Karnym</w:t>
      </w:r>
    </w:p>
    <w:p w14:paraId="7E9B48DB" w14:textId="77777777" w:rsidR="000365AA" w:rsidRPr="00C835AB" w:rsidRDefault="000365AA" w:rsidP="00D823D0">
      <w:pPr>
        <w:rPr>
          <w:rFonts w:ascii="Times New Roman" w:hAnsi="Times New Roman" w:cs="Times New Roman"/>
          <w:b/>
          <w:bCs/>
          <w:color w:val="auto"/>
          <w:sz w:val="24"/>
          <w:u w:val="single"/>
        </w:rPr>
      </w:pPr>
    </w:p>
    <w:p w14:paraId="17B86D41" w14:textId="7F183C0C" w:rsidR="00031C8A" w:rsidRPr="00C835AB" w:rsidRDefault="00B80FA1" w:rsidP="00D823D0">
      <w:pPr>
        <w:pStyle w:val="ARTartustawynprozporzdzenia"/>
        <w:spacing w:before="0"/>
        <w:ind w:firstLine="709"/>
        <w:rPr>
          <w:rFonts w:ascii="Times New Roman" w:hAnsi="Times New Roman" w:cs="Times New Roman"/>
          <w:szCs w:val="24"/>
        </w:rPr>
      </w:pPr>
      <w:r w:rsidRPr="00C835AB">
        <w:rPr>
          <w:rFonts w:ascii="Times New Roman" w:hAnsi="Times New Roman" w:cs="Times New Roman"/>
          <w:szCs w:val="24"/>
        </w:rPr>
        <w:t>Projektowana z</w:t>
      </w:r>
      <w:r w:rsidR="00031C8A" w:rsidRPr="00C835AB">
        <w:rPr>
          <w:rFonts w:ascii="Times New Roman" w:hAnsi="Times New Roman" w:cs="Times New Roman"/>
          <w:szCs w:val="24"/>
        </w:rPr>
        <w:t>miana w ustawie z dnia 16 września 2011 r. o zmianie ustawy – Kodeks postępowania karnego, ustawy o prokuraturze oraz ustawy o Krajowym Rejestrze Karnym (Dz.</w:t>
      </w:r>
      <w:r w:rsidR="001A3D13" w:rsidRPr="00C835AB">
        <w:rPr>
          <w:rFonts w:ascii="Times New Roman" w:hAnsi="Times New Roman" w:cs="Times New Roman"/>
          <w:szCs w:val="24"/>
        </w:rPr>
        <w:t> </w:t>
      </w:r>
      <w:r w:rsidR="00031C8A" w:rsidRPr="00C835AB">
        <w:rPr>
          <w:rFonts w:ascii="Times New Roman" w:hAnsi="Times New Roman" w:cs="Times New Roman"/>
          <w:szCs w:val="24"/>
        </w:rPr>
        <w:t xml:space="preserve">U. poz. 1430) polegająca na uchyleniu art. 4 ust. 1 tej </w:t>
      </w:r>
      <w:bookmarkStart w:id="10" w:name="_Hlk179747322"/>
      <w:r w:rsidR="00031C8A" w:rsidRPr="00C835AB">
        <w:rPr>
          <w:rFonts w:ascii="Times New Roman" w:hAnsi="Times New Roman" w:cs="Times New Roman"/>
          <w:szCs w:val="24"/>
        </w:rPr>
        <w:t xml:space="preserve">ustawy wiąże się z potrzebą </w:t>
      </w:r>
      <w:r w:rsidR="000A5FC3" w:rsidRPr="00C835AB">
        <w:rPr>
          <w:rFonts w:ascii="Times New Roman" w:hAnsi="Times New Roman" w:cs="Times New Roman"/>
          <w:szCs w:val="24"/>
        </w:rPr>
        <w:t xml:space="preserve">pełnego </w:t>
      </w:r>
      <w:r w:rsidR="00031C8A" w:rsidRPr="00C835AB">
        <w:rPr>
          <w:rFonts w:ascii="Times New Roman" w:hAnsi="Times New Roman" w:cs="Times New Roman"/>
          <w:szCs w:val="24"/>
        </w:rPr>
        <w:lastRenderedPageBreak/>
        <w:t>dostosowania polskiego prawodawstwa do przepisów prawa europejskiego</w:t>
      </w:r>
      <w:bookmarkEnd w:id="10"/>
      <w:r w:rsidR="00031C8A" w:rsidRPr="00C835AB">
        <w:rPr>
          <w:rFonts w:ascii="Times New Roman" w:hAnsi="Times New Roman" w:cs="Times New Roman"/>
          <w:szCs w:val="24"/>
        </w:rPr>
        <w:t>. W wyroku TSUE z dnia 24 czerwca 2019 r. w sprawie C</w:t>
      </w:r>
      <w:r w:rsidR="00031C8A" w:rsidRPr="00C835AB">
        <w:rPr>
          <w:rFonts w:ascii="Times New Roman" w:hAnsi="Times New Roman" w:cs="Times New Roman"/>
          <w:szCs w:val="24"/>
        </w:rPr>
        <w:noBreakHyphen/>
        <w:t xml:space="preserve">573/17 </w:t>
      </w:r>
      <w:r w:rsidR="00031C8A" w:rsidRPr="00C835AB">
        <w:rPr>
          <w:rFonts w:ascii="Times New Roman" w:hAnsi="Times New Roman" w:cs="Times New Roman"/>
          <w:i/>
          <w:iCs/>
          <w:szCs w:val="24"/>
        </w:rPr>
        <w:t xml:space="preserve">Popławski (II) </w:t>
      </w:r>
      <w:r w:rsidR="00031C8A" w:rsidRPr="00C835AB">
        <w:rPr>
          <w:rFonts w:ascii="Times New Roman" w:hAnsi="Times New Roman" w:cs="Times New Roman"/>
          <w:szCs w:val="24"/>
        </w:rPr>
        <w:t>wskazano, że „artykuł 28 ust. 2 decyzji ramowej Rady 2008/909/</w:t>
      </w:r>
      <w:proofErr w:type="spellStart"/>
      <w:r w:rsidR="00031C8A" w:rsidRPr="00C835AB">
        <w:rPr>
          <w:rFonts w:ascii="Times New Roman" w:hAnsi="Times New Roman" w:cs="Times New Roman"/>
          <w:szCs w:val="24"/>
        </w:rPr>
        <w:t>WSiSW</w:t>
      </w:r>
      <w:proofErr w:type="spellEnd"/>
      <w:r w:rsidR="00031C8A" w:rsidRPr="00C835AB">
        <w:rPr>
          <w:rFonts w:ascii="Times New Roman" w:hAnsi="Times New Roman" w:cs="Times New Roman"/>
          <w:szCs w:val="24"/>
        </w:rPr>
        <w:t xml:space="preserve"> z dnia 27 listopada 2008 r. o stosowaniu zasady wzajemnego uznawania do wyroków skazujących na karę pozbawienia wolności lub inny środek polegający na pozbawieniu wolności – w celu wykonania tych wyroków w Unii Europejskiej należy interpretować w ten sposób, że oświadczenie złożone przez państwo członkowskie na podstawie tego przepisu, po przyjęciu rzeczonej decyzji ramowej, nie może wywierać skutków prawnych”.</w:t>
      </w:r>
    </w:p>
    <w:p w14:paraId="16F5345D" w14:textId="14097EE5" w:rsidR="002B71E7" w:rsidRPr="00C835AB" w:rsidRDefault="00031C8A" w:rsidP="00603A64">
      <w:pPr>
        <w:pStyle w:val="NormalnyWeb"/>
        <w:spacing w:before="0" w:beforeAutospacing="0" w:after="0" w:afterAutospacing="0" w:line="360" w:lineRule="auto"/>
        <w:ind w:firstLine="709"/>
        <w:jc w:val="both"/>
      </w:pPr>
      <w:r w:rsidRPr="00C835AB">
        <w:t>Wskazana decyzja ramowa przewiduje wzajemne uznawanie prawomocnych kar pozbawienia wolności przez państwa członkowskie U</w:t>
      </w:r>
      <w:r w:rsidR="000F719C" w:rsidRPr="00C835AB">
        <w:t>nii Europejskiej</w:t>
      </w:r>
      <w:r w:rsidRPr="00C835AB">
        <w:t xml:space="preserve">. Implementację decyzji ramowej do prawa polskiego stanowią </w:t>
      </w:r>
      <w:r w:rsidR="00806956" w:rsidRPr="00C835AB">
        <w:t xml:space="preserve">Rozdziały </w:t>
      </w:r>
      <w:r w:rsidRPr="00C835AB">
        <w:t>66f i 66g</w:t>
      </w:r>
      <w:r w:rsidR="002B71E7" w:rsidRPr="00C835AB">
        <w:t xml:space="preserve"> k.p.k.</w:t>
      </w:r>
      <w:r w:rsidRPr="00C835AB">
        <w:t xml:space="preserve"> Możliwość zastosowania tych przepisów ogranicza jednak ustawa z </w:t>
      </w:r>
      <w:r w:rsidR="00AA5040" w:rsidRPr="00C835AB">
        <w:t xml:space="preserve">dnia </w:t>
      </w:r>
      <w:r w:rsidRPr="00C835AB">
        <w:t xml:space="preserve">16 września 2011 r. o zmianie ustawy </w:t>
      </w:r>
      <w:r w:rsidR="00AA5040" w:rsidRPr="00C835AB">
        <w:t>–</w:t>
      </w:r>
      <w:r w:rsidRPr="00C835AB">
        <w:t xml:space="preserve"> Kodeks postępowania karnego, ustawy o prokuraturze oraz ustawy o Krajowym Rejestrze Karnym. Na</w:t>
      </w:r>
      <w:r w:rsidR="001A3D13" w:rsidRPr="00C835AB">
        <w:t> </w:t>
      </w:r>
      <w:r w:rsidRPr="00C835AB">
        <w:t xml:space="preserve">jej mocy do </w:t>
      </w:r>
      <w:r w:rsidR="002B71E7" w:rsidRPr="00C835AB">
        <w:t>Kodeksu postępowania karnego</w:t>
      </w:r>
      <w:r w:rsidRPr="00C835AB">
        <w:t xml:space="preserve"> dodano </w:t>
      </w:r>
      <w:r w:rsidR="00806956" w:rsidRPr="00C835AB">
        <w:t xml:space="preserve">Rozdziały </w:t>
      </w:r>
      <w:r w:rsidRPr="00C835AB">
        <w:t xml:space="preserve">66f i 66g k.p.k., lecz zgodnie z jej art. 4 ust. 1, ich zastosowanie jest wyłączone względem orzeczeń wydanych przed </w:t>
      </w:r>
      <w:r w:rsidR="001007CC" w:rsidRPr="00C835AB">
        <w:t xml:space="preserve">dniem </w:t>
      </w:r>
      <w:r w:rsidRPr="00C835AB">
        <w:t xml:space="preserve">5 grudnia 2011 r. </w:t>
      </w:r>
    </w:p>
    <w:p w14:paraId="4C3FD153" w14:textId="33CE84FF" w:rsidR="002B71E7" w:rsidRPr="00C835AB" w:rsidRDefault="00031C8A" w:rsidP="00603A64">
      <w:pPr>
        <w:pStyle w:val="NormalnyWeb"/>
        <w:spacing w:before="0" w:beforeAutospacing="0" w:after="0" w:afterAutospacing="0" w:line="360" w:lineRule="auto"/>
        <w:ind w:firstLine="709"/>
        <w:jc w:val="both"/>
      </w:pPr>
      <w:r w:rsidRPr="00C835AB">
        <w:t>Decyzja ramowa wskazuje, że państwa członkowskie mogą złożyć oświadczenie o</w:t>
      </w:r>
      <w:r w:rsidR="001A3D13" w:rsidRPr="00C835AB">
        <w:t> </w:t>
      </w:r>
      <w:r w:rsidRPr="00C835AB">
        <w:t>niestosowaniu jej postanowień do orzeczeń wydanych przed określoną datą, nie późniejszą jednak niż właśnie dzień 5 grudnia 2011 r. Można je było jednak złożyć co do orzeczeń wydanych przed określoną datą „przy przyjęciu niniejszej decyzji ramowej przez Radę”.</w:t>
      </w:r>
    </w:p>
    <w:p w14:paraId="194404C6" w14:textId="2D7B1DF9" w:rsidR="00031C8A" w:rsidRPr="00C835AB" w:rsidRDefault="00031C8A" w:rsidP="00603A64">
      <w:pPr>
        <w:pStyle w:val="NormalnyWeb"/>
        <w:spacing w:before="0" w:beforeAutospacing="0" w:after="0" w:afterAutospacing="0" w:line="360" w:lineRule="auto"/>
        <w:ind w:firstLine="709"/>
        <w:jc w:val="both"/>
      </w:pPr>
      <w:r w:rsidRPr="00C835AB">
        <w:t xml:space="preserve">Decyzja ramowa została przyjęta </w:t>
      </w:r>
      <w:r w:rsidR="009102D8" w:rsidRPr="00C835AB">
        <w:t xml:space="preserve">w dniu </w:t>
      </w:r>
      <w:r w:rsidRPr="00C835AB">
        <w:t xml:space="preserve">27 listopada 2008 r. i </w:t>
      </w:r>
      <w:r w:rsidR="009102D8" w:rsidRPr="00C835AB">
        <w:t xml:space="preserve">w dniu </w:t>
      </w:r>
      <w:r w:rsidRPr="00C835AB">
        <w:t>5 grudnia 2008 r. ogłoszona w dzienniku urzędowym UE. Tymczasem oświadczenie na podstawie art. 28 ust. 2 decyzji ramowej zostało przez Polskę złożone dopiero w 2011 r., a zatem nie rodzi skutków prawnych. Ponieważ sama decyzja ramowa nie zawiera innych przepisów, które ograniczałyby czasowy zakres jej zastosowania i wobec wadliwości oświadczenia złożonego przez Polskę w</w:t>
      </w:r>
      <w:r w:rsidR="001A3D13" w:rsidRPr="00C835AB">
        <w:t> </w:t>
      </w:r>
      <w:r w:rsidRPr="00C835AB">
        <w:t>2011 r., należy uznać, że nie ma przesłanek, aby takie ograniczenie istniało w polskim prawie.</w:t>
      </w:r>
    </w:p>
    <w:p w14:paraId="2886BF3D" w14:textId="77777777" w:rsidR="007E2453" w:rsidRPr="00C835AB" w:rsidRDefault="007E2453" w:rsidP="00603A64">
      <w:pPr>
        <w:pStyle w:val="NormalnyWeb"/>
        <w:spacing w:before="0" w:beforeAutospacing="0" w:after="0" w:afterAutospacing="0" w:line="360" w:lineRule="auto"/>
        <w:ind w:firstLine="709"/>
        <w:jc w:val="both"/>
      </w:pPr>
    </w:p>
    <w:p w14:paraId="46515CB6" w14:textId="2AB766C2" w:rsidR="002C2FBE" w:rsidRPr="00C835AB" w:rsidRDefault="002C2FBE" w:rsidP="00603A64">
      <w:pPr>
        <w:pStyle w:val="NormalnyWeb"/>
        <w:spacing w:before="0" w:beforeAutospacing="0" w:after="0" w:afterAutospacing="0" w:line="360" w:lineRule="auto"/>
        <w:jc w:val="both"/>
        <w:rPr>
          <w:b/>
          <w:bCs/>
          <w:u w:val="single"/>
        </w:rPr>
      </w:pPr>
      <w:bookmarkStart w:id="11" w:name="_Hlk180662784"/>
      <w:r w:rsidRPr="00C835AB">
        <w:rPr>
          <w:b/>
          <w:bCs/>
          <w:u w:val="single"/>
        </w:rPr>
        <w:t>Zmiany w ustawie z dnia 28 listopada 2014 r. o ochronie i pomocy dla pokrzywdzonego i</w:t>
      </w:r>
      <w:r w:rsidR="001A3D13" w:rsidRPr="00C835AB">
        <w:rPr>
          <w:b/>
          <w:bCs/>
          <w:u w:val="single"/>
        </w:rPr>
        <w:t> </w:t>
      </w:r>
      <w:r w:rsidRPr="00C835AB">
        <w:rPr>
          <w:b/>
          <w:bCs/>
          <w:u w:val="single"/>
        </w:rPr>
        <w:t xml:space="preserve">świadka </w:t>
      </w:r>
    </w:p>
    <w:p w14:paraId="03641DC2" w14:textId="77777777" w:rsidR="000365AA" w:rsidRPr="00C835AB" w:rsidRDefault="000365AA" w:rsidP="00603A64">
      <w:pPr>
        <w:pStyle w:val="NormalnyWeb"/>
        <w:spacing w:before="0" w:beforeAutospacing="0" w:after="0" w:afterAutospacing="0" w:line="360" w:lineRule="auto"/>
        <w:jc w:val="both"/>
        <w:rPr>
          <w:b/>
          <w:bCs/>
          <w:u w:val="single"/>
        </w:rPr>
      </w:pPr>
    </w:p>
    <w:p w14:paraId="211EB922" w14:textId="10DAC4A8" w:rsidR="00992F53" w:rsidRPr="00992F53" w:rsidRDefault="00992F53" w:rsidP="00992F53">
      <w:pPr>
        <w:rPr>
          <w:rFonts w:ascii="Times New Roman" w:hAnsi="Times New Roman" w:cs="Times New Roman"/>
          <w:color w:val="000000"/>
          <w:sz w:val="24"/>
        </w:rPr>
      </w:pPr>
      <w:r w:rsidRPr="00A0500E">
        <w:rPr>
          <w:rStyle w:val="ng-binding"/>
          <w:rFonts w:ascii="Times New Roman" w:hAnsi="Times New Roman" w:cs="Times New Roman"/>
          <w:b/>
          <w:bCs/>
          <w:color w:val="000000"/>
          <w:sz w:val="24"/>
        </w:rPr>
        <w:tab/>
      </w:r>
      <w:r w:rsidRPr="00992F53">
        <w:rPr>
          <w:rFonts w:ascii="Times New Roman" w:hAnsi="Times New Roman" w:cs="Times New Roman"/>
          <w:color w:val="000000"/>
          <w:sz w:val="24"/>
        </w:rPr>
        <w:t xml:space="preserve">Zasadniczym założeniem, które legło u podstaw prac nad </w:t>
      </w:r>
      <w:r w:rsidR="00E0700E">
        <w:rPr>
          <w:rFonts w:ascii="Times New Roman" w:hAnsi="Times New Roman" w:cs="Times New Roman"/>
          <w:color w:val="000000"/>
          <w:sz w:val="24"/>
        </w:rPr>
        <w:t>zmianami</w:t>
      </w:r>
      <w:r w:rsidRPr="00992F53">
        <w:rPr>
          <w:rFonts w:ascii="Times New Roman" w:hAnsi="Times New Roman" w:cs="Times New Roman"/>
          <w:color w:val="000000"/>
          <w:sz w:val="24"/>
        </w:rPr>
        <w:t xml:space="preserve"> przepisów </w:t>
      </w:r>
      <w:r w:rsidR="00E0700E" w:rsidRPr="00E0700E">
        <w:rPr>
          <w:rFonts w:ascii="Times New Roman" w:hAnsi="Times New Roman" w:cs="Times New Roman"/>
          <w:color w:val="000000"/>
          <w:sz w:val="24"/>
        </w:rPr>
        <w:t>ustaw</w:t>
      </w:r>
      <w:r w:rsidR="00190CE7">
        <w:rPr>
          <w:rFonts w:ascii="Times New Roman" w:hAnsi="Times New Roman" w:cs="Times New Roman"/>
          <w:color w:val="000000"/>
          <w:sz w:val="24"/>
        </w:rPr>
        <w:t>y</w:t>
      </w:r>
      <w:r w:rsidR="00E0700E" w:rsidRPr="00E0700E">
        <w:rPr>
          <w:rFonts w:ascii="Times New Roman" w:hAnsi="Times New Roman" w:cs="Times New Roman"/>
          <w:color w:val="000000"/>
          <w:sz w:val="24"/>
        </w:rPr>
        <w:t xml:space="preserve"> z dnia 28 listopada 2014 r. o ochronie i pomocy dla pokrzywdzonego i świadka </w:t>
      </w:r>
      <w:r w:rsidR="00190CE7" w:rsidRPr="00190CE7">
        <w:rPr>
          <w:rFonts w:ascii="Times New Roman" w:hAnsi="Times New Roman" w:cs="Times New Roman"/>
          <w:color w:val="000000"/>
          <w:sz w:val="24"/>
        </w:rPr>
        <w:t>(Dz. U. z 2015 r. poz. 21</w:t>
      </w:r>
      <w:r w:rsidR="00A36936">
        <w:rPr>
          <w:rFonts w:ascii="Times New Roman" w:hAnsi="Times New Roman" w:cs="Times New Roman"/>
          <w:color w:val="000000"/>
          <w:sz w:val="24"/>
        </w:rPr>
        <w:t xml:space="preserve">, z </w:t>
      </w:r>
      <w:proofErr w:type="spellStart"/>
      <w:r w:rsidR="00A36936">
        <w:rPr>
          <w:rFonts w:ascii="Times New Roman" w:hAnsi="Times New Roman" w:cs="Times New Roman"/>
          <w:color w:val="000000"/>
          <w:sz w:val="24"/>
        </w:rPr>
        <w:t>późn</w:t>
      </w:r>
      <w:proofErr w:type="spellEnd"/>
      <w:r w:rsidR="00A36936">
        <w:rPr>
          <w:rFonts w:ascii="Times New Roman" w:hAnsi="Times New Roman" w:cs="Times New Roman"/>
          <w:color w:val="000000"/>
          <w:sz w:val="24"/>
        </w:rPr>
        <w:t>. zm.</w:t>
      </w:r>
      <w:r w:rsidR="00190CE7" w:rsidRPr="00190CE7">
        <w:rPr>
          <w:rFonts w:ascii="Times New Roman" w:hAnsi="Times New Roman" w:cs="Times New Roman"/>
          <w:color w:val="000000"/>
          <w:sz w:val="24"/>
        </w:rPr>
        <w:t>)</w:t>
      </w:r>
      <w:r w:rsidR="00190CE7" w:rsidRPr="00C835AB">
        <w:rPr>
          <w:rFonts w:ascii="Times New Roman" w:hAnsi="Times New Roman" w:cs="Times New Roman"/>
          <w:color w:val="auto"/>
          <w:sz w:val="24"/>
        </w:rPr>
        <w:t>, dalej „</w:t>
      </w:r>
      <w:r w:rsidR="00190CE7" w:rsidRPr="00E0700E">
        <w:rPr>
          <w:rFonts w:ascii="Times New Roman" w:hAnsi="Times New Roman" w:cs="Times New Roman"/>
          <w:color w:val="000000"/>
          <w:sz w:val="24"/>
        </w:rPr>
        <w:t>ustaw</w:t>
      </w:r>
      <w:r w:rsidR="00190CE7">
        <w:rPr>
          <w:rFonts w:ascii="Times New Roman" w:hAnsi="Times New Roman" w:cs="Times New Roman"/>
          <w:color w:val="000000"/>
          <w:sz w:val="24"/>
        </w:rPr>
        <w:t>a</w:t>
      </w:r>
      <w:r w:rsidR="00190CE7" w:rsidRPr="00E0700E">
        <w:rPr>
          <w:rFonts w:ascii="Times New Roman" w:hAnsi="Times New Roman" w:cs="Times New Roman"/>
          <w:color w:val="000000"/>
          <w:sz w:val="24"/>
        </w:rPr>
        <w:t xml:space="preserve"> </w:t>
      </w:r>
      <w:r w:rsidR="00144921" w:rsidRPr="00E0700E">
        <w:rPr>
          <w:rFonts w:ascii="Times New Roman" w:hAnsi="Times New Roman" w:cs="Times New Roman"/>
          <w:color w:val="000000"/>
          <w:sz w:val="24"/>
        </w:rPr>
        <w:t>z dnia 28 listopada 2014 r.</w:t>
      </w:r>
      <w:r w:rsidR="00190CE7" w:rsidRPr="00C835AB">
        <w:rPr>
          <w:rFonts w:ascii="Times New Roman" w:hAnsi="Times New Roman" w:cs="Times New Roman"/>
          <w:color w:val="auto"/>
          <w:sz w:val="24"/>
        </w:rPr>
        <w:t xml:space="preserve">”, </w:t>
      </w:r>
      <w:r w:rsidRPr="00992F53">
        <w:rPr>
          <w:rFonts w:ascii="Times New Roman" w:hAnsi="Times New Roman" w:cs="Times New Roman"/>
          <w:color w:val="000000"/>
          <w:sz w:val="24"/>
        </w:rPr>
        <w:t xml:space="preserve">jest pełna implementacja </w:t>
      </w:r>
      <w:r w:rsidRPr="00A0500E">
        <w:rPr>
          <w:rFonts w:ascii="Times New Roman" w:hAnsi="Times New Roman" w:cs="Times New Roman"/>
          <w:color w:val="000000"/>
          <w:sz w:val="24"/>
        </w:rPr>
        <w:lastRenderedPageBreak/>
        <w:t>dyrektywy 2017/541 w sprawie zwalczania terroryzmu i zastępująca decyzję ramową Rady 2002/475/</w:t>
      </w:r>
      <w:proofErr w:type="spellStart"/>
      <w:r w:rsidRPr="00A0500E">
        <w:rPr>
          <w:rFonts w:ascii="Times New Roman" w:hAnsi="Times New Roman" w:cs="Times New Roman"/>
          <w:color w:val="000000"/>
          <w:sz w:val="24"/>
        </w:rPr>
        <w:t>WSiSW</w:t>
      </w:r>
      <w:proofErr w:type="spellEnd"/>
      <w:r w:rsidRPr="00A0500E">
        <w:rPr>
          <w:rFonts w:ascii="Times New Roman" w:hAnsi="Times New Roman" w:cs="Times New Roman"/>
          <w:color w:val="000000"/>
          <w:sz w:val="24"/>
        </w:rPr>
        <w:t xml:space="preserve"> oraz zmieniająca decyzję Rady 2005/671/</w:t>
      </w:r>
      <w:proofErr w:type="spellStart"/>
      <w:r w:rsidRPr="00A0500E">
        <w:rPr>
          <w:rFonts w:ascii="Times New Roman" w:hAnsi="Times New Roman" w:cs="Times New Roman"/>
          <w:color w:val="000000"/>
          <w:sz w:val="24"/>
        </w:rPr>
        <w:t>WSiSW</w:t>
      </w:r>
      <w:proofErr w:type="spellEnd"/>
      <w:r w:rsidRPr="00992F53">
        <w:rPr>
          <w:rFonts w:ascii="Times New Roman" w:hAnsi="Times New Roman" w:cs="Times New Roman"/>
          <w:color w:val="000000"/>
          <w:sz w:val="24"/>
        </w:rPr>
        <w:t xml:space="preserve"> (</w:t>
      </w:r>
      <w:proofErr w:type="spellStart"/>
      <w:r w:rsidRPr="00992F53">
        <w:rPr>
          <w:rFonts w:ascii="Times New Roman" w:hAnsi="Times New Roman" w:cs="Times New Roman"/>
          <w:color w:val="000000"/>
          <w:sz w:val="24"/>
        </w:rPr>
        <w:t>Dz.U.UE.L.2017.88.6</w:t>
      </w:r>
      <w:proofErr w:type="spellEnd"/>
      <w:r w:rsidRPr="00992F53">
        <w:rPr>
          <w:rFonts w:ascii="Times New Roman" w:hAnsi="Times New Roman" w:cs="Times New Roman"/>
          <w:color w:val="000000"/>
          <w:sz w:val="24"/>
        </w:rPr>
        <w:t> z dnia 2017.03.31). Głównym celem projektowan</w:t>
      </w:r>
      <w:r>
        <w:rPr>
          <w:rFonts w:ascii="Times New Roman" w:hAnsi="Times New Roman" w:cs="Times New Roman"/>
          <w:color w:val="000000"/>
          <w:sz w:val="24"/>
        </w:rPr>
        <w:t>ych</w:t>
      </w:r>
      <w:r w:rsidRPr="00992F53">
        <w:rPr>
          <w:rFonts w:ascii="Times New Roman" w:hAnsi="Times New Roman" w:cs="Times New Roman"/>
          <w:color w:val="000000"/>
          <w:sz w:val="24"/>
        </w:rPr>
        <w:t xml:space="preserve"> zmian jest wprowadzenie w krajowym ustawodawstwie przejrzystego mechanizmu zapewniającego wsparcie pokrzywdzonym, które musi być udzielone bezpośrednio po ataku terrorystycznym. </w:t>
      </w:r>
    </w:p>
    <w:p w14:paraId="4FA406B5" w14:textId="6092C0A8" w:rsidR="00992F53" w:rsidRPr="00D84049" w:rsidRDefault="00FB3E9A" w:rsidP="00992F53">
      <w:pPr>
        <w:pStyle w:val="ARTartustawynprozporzdzenia"/>
        <w:spacing w:before="0"/>
        <w:ind w:firstLine="0"/>
        <w:rPr>
          <w:rFonts w:ascii="Times New Roman" w:hAnsi="Times New Roman" w:cs="Times New Roman"/>
          <w:color w:val="000000"/>
          <w:szCs w:val="24"/>
        </w:rPr>
      </w:pPr>
      <w:r w:rsidRPr="00A0500E">
        <w:rPr>
          <w:rFonts w:ascii="Times New Roman" w:hAnsi="Times New Roman" w:cs="Times New Roman"/>
          <w:color w:val="000000"/>
        </w:rPr>
        <w:tab/>
      </w:r>
      <w:r w:rsidR="00992F53" w:rsidRPr="00D84049">
        <w:rPr>
          <w:rFonts w:ascii="Times New Roman" w:hAnsi="Times New Roman" w:cs="Times New Roman"/>
          <w:color w:val="000000"/>
          <w:szCs w:val="24"/>
        </w:rPr>
        <w:t xml:space="preserve">Za pokrzywdzonego należy uznać osobę fizyczną, która doznała szkody, w tym krzywdy fizycznej, psychicznej lub emocjonalnej lub straty majątkowej, o ile było to bezpośrednio spowodowane przestępstwem terrorystycznym. Zakresem podmiotowym projektowanej regulacji powinien być objęty także członek rodziny osoby, która poniosła śmierć wskutek przestępstwa terrorystycznego. </w:t>
      </w:r>
    </w:p>
    <w:p w14:paraId="029C1AF9" w14:textId="1015706B" w:rsidR="00992F53" w:rsidRPr="00D84049" w:rsidRDefault="00FB3E9A" w:rsidP="00992F53">
      <w:pPr>
        <w:pStyle w:val="ARTartustawynprozporzdzenia"/>
        <w:spacing w:before="0"/>
        <w:ind w:firstLine="0"/>
        <w:rPr>
          <w:rFonts w:ascii="Times New Roman" w:hAnsi="Times New Roman" w:cs="Times New Roman"/>
          <w:szCs w:val="24"/>
          <w:u w:val="single"/>
        </w:rPr>
      </w:pPr>
      <w:r w:rsidRPr="00A0500E">
        <w:rPr>
          <w:rFonts w:ascii="Times New Roman" w:hAnsi="Times New Roman" w:cs="Times New Roman"/>
          <w:color w:val="000000"/>
        </w:rPr>
        <w:tab/>
      </w:r>
      <w:r w:rsidR="00992F53" w:rsidRPr="00D84049">
        <w:rPr>
          <w:rStyle w:val="ng-binding"/>
          <w:rFonts w:ascii="Times New Roman" w:hAnsi="Times New Roman" w:cs="Times New Roman"/>
          <w:color w:val="000000"/>
          <w:szCs w:val="24"/>
        </w:rPr>
        <w:t xml:space="preserve">Dotychczasowe rozwiązania przewidziane przepisem art. 3 ustawy </w:t>
      </w:r>
      <w:r w:rsidR="00144921" w:rsidRPr="00E0700E">
        <w:rPr>
          <w:rFonts w:ascii="Times New Roman" w:hAnsi="Times New Roman" w:cs="Times New Roman"/>
          <w:color w:val="000000"/>
        </w:rPr>
        <w:t xml:space="preserve">z dnia 28 listopada 2014 r. </w:t>
      </w:r>
      <w:r w:rsidR="00992F53" w:rsidRPr="00D84049">
        <w:rPr>
          <w:rStyle w:val="ng-binding"/>
          <w:rFonts w:ascii="Times New Roman" w:hAnsi="Times New Roman" w:cs="Times New Roman"/>
          <w:color w:val="000000"/>
          <w:szCs w:val="24"/>
        </w:rPr>
        <w:t xml:space="preserve">umożliwiają pokrzywdzonemu, świadkowi lub osobie najbliższej, udzielenie ochrony na czas czynności procesowej, ochrony osobistej oraz pomocy w zakresie zmiany miejsca pobytu. </w:t>
      </w:r>
      <w:r w:rsidR="00992F53" w:rsidRPr="00D84049">
        <w:rPr>
          <w:rFonts w:ascii="Times New Roman" w:hAnsi="Times New Roman" w:cs="Times New Roman"/>
          <w:szCs w:val="24"/>
        </w:rPr>
        <w:t xml:space="preserve">W aktualnym stanie prawnym </w:t>
      </w:r>
      <w:r w:rsidR="00992F53" w:rsidRPr="00A0500E">
        <w:rPr>
          <w:rFonts w:ascii="Times New Roman" w:hAnsi="Times New Roman" w:cs="Times New Roman"/>
          <w:szCs w:val="24"/>
        </w:rPr>
        <w:t>brak jest kompleksowych regulacji, które w sposób jednoznaczny wskazywałyby na procedury wsparcia dla ofiar przestępstw terrorystycznych, co jest wymagane przez dyrektywę 2017/541.</w:t>
      </w:r>
    </w:p>
    <w:p w14:paraId="39C365AD" w14:textId="5D286647" w:rsidR="00992F53" w:rsidRDefault="00992F53" w:rsidP="00A0500E">
      <w:pPr>
        <w:pStyle w:val="ARTartustawynprozporzdzenia"/>
        <w:spacing w:before="0"/>
        <w:ind w:firstLine="709"/>
        <w:rPr>
          <w:rFonts w:ascii="Times New Roman" w:hAnsi="Times New Roman" w:cs="Times New Roman"/>
          <w:szCs w:val="24"/>
        </w:rPr>
      </w:pPr>
      <w:r w:rsidRPr="00D84049">
        <w:rPr>
          <w:rFonts w:ascii="Times New Roman" w:hAnsi="Times New Roman" w:cs="Times New Roman"/>
          <w:szCs w:val="24"/>
        </w:rPr>
        <w:t xml:space="preserve">Projektowany przepis art. 3 ust. 1 lit. 4 </w:t>
      </w:r>
      <w:r w:rsidR="001364AB" w:rsidRPr="00D84049">
        <w:rPr>
          <w:rStyle w:val="ng-binding"/>
          <w:rFonts w:ascii="Times New Roman" w:hAnsi="Times New Roman" w:cs="Times New Roman"/>
          <w:color w:val="000000"/>
          <w:szCs w:val="24"/>
        </w:rPr>
        <w:t xml:space="preserve">ustawy </w:t>
      </w:r>
      <w:r w:rsidR="00144921" w:rsidRPr="00E0700E">
        <w:rPr>
          <w:rFonts w:ascii="Times New Roman" w:hAnsi="Times New Roman" w:cs="Times New Roman"/>
          <w:color w:val="000000"/>
        </w:rPr>
        <w:t>z dnia 28 listopada 2014 r.</w:t>
      </w:r>
      <w:r w:rsidR="001364AB" w:rsidRPr="00D84049">
        <w:rPr>
          <w:rStyle w:val="ng-binding"/>
          <w:rFonts w:ascii="Times New Roman" w:hAnsi="Times New Roman" w:cs="Times New Roman"/>
          <w:color w:val="000000"/>
          <w:szCs w:val="24"/>
        </w:rPr>
        <w:t xml:space="preserve"> </w:t>
      </w:r>
      <w:r w:rsidRPr="00D84049">
        <w:rPr>
          <w:rFonts w:ascii="Times New Roman" w:hAnsi="Times New Roman" w:cs="Times New Roman"/>
          <w:szCs w:val="24"/>
        </w:rPr>
        <w:t xml:space="preserve">przewiduje jako jeden z możliwych środków ochrony, zapewnienie systemu wsparcia dla ofiar przestępstw terrorystycznych. Możliwość udzielenia tego wsparcia, wyznaczona jest zakresem art. 1 ust. 1 i ust. 2 </w:t>
      </w:r>
      <w:r w:rsidRPr="00D84049">
        <w:rPr>
          <w:rStyle w:val="ng-binding"/>
          <w:rFonts w:ascii="Times New Roman" w:hAnsi="Times New Roman" w:cs="Times New Roman"/>
          <w:color w:val="000000"/>
          <w:szCs w:val="24"/>
        </w:rPr>
        <w:t xml:space="preserve">ustawy z dnia 28 listopada 2014 </w:t>
      </w:r>
      <w:r w:rsidR="00144921" w:rsidRPr="00D84049">
        <w:rPr>
          <w:rStyle w:val="ng-binding"/>
          <w:rFonts w:ascii="Times New Roman" w:hAnsi="Times New Roman" w:cs="Times New Roman"/>
          <w:color w:val="000000"/>
          <w:szCs w:val="24"/>
        </w:rPr>
        <w:t>r</w:t>
      </w:r>
      <w:r w:rsidR="00144921">
        <w:rPr>
          <w:rStyle w:val="ng-binding"/>
          <w:rFonts w:ascii="Times New Roman" w:hAnsi="Times New Roman" w:cs="Times New Roman"/>
          <w:color w:val="000000"/>
          <w:szCs w:val="24"/>
        </w:rPr>
        <w:t xml:space="preserve">. </w:t>
      </w:r>
      <w:r w:rsidRPr="00D84049">
        <w:rPr>
          <w:rFonts w:ascii="Times New Roman" w:hAnsi="Times New Roman" w:cs="Times New Roman"/>
          <w:szCs w:val="24"/>
        </w:rPr>
        <w:t xml:space="preserve">Proponowany przepis art. 3 ust.1 lit. 4 </w:t>
      </w:r>
      <w:r w:rsidR="001364AB" w:rsidRPr="00D84049">
        <w:rPr>
          <w:rStyle w:val="ng-binding"/>
          <w:rFonts w:ascii="Times New Roman" w:hAnsi="Times New Roman" w:cs="Times New Roman"/>
          <w:color w:val="000000"/>
          <w:szCs w:val="24"/>
        </w:rPr>
        <w:t xml:space="preserve">ustawy </w:t>
      </w:r>
      <w:r w:rsidR="00144921" w:rsidRPr="00E0700E">
        <w:rPr>
          <w:rFonts w:ascii="Times New Roman" w:hAnsi="Times New Roman" w:cs="Times New Roman"/>
          <w:color w:val="000000"/>
        </w:rPr>
        <w:t>z dnia 28 listopada 2014 r.</w:t>
      </w:r>
      <w:r w:rsidR="001364AB" w:rsidRPr="00D84049">
        <w:rPr>
          <w:rStyle w:val="ng-binding"/>
          <w:rFonts w:ascii="Times New Roman" w:hAnsi="Times New Roman" w:cs="Times New Roman"/>
          <w:color w:val="000000"/>
          <w:szCs w:val="24"/>
        </w:rPr>
        <w:t xml:space="preserve"> </w:t>
      </w:r>
      <w:r w:rsidRPr="00D84049">
        <w:rPr>
          <w:rFonts w:ascii="Times New Roman" w:hAnsi="Times New Roman" w:cs="Times New Roman"/>
          <w:szCs w:val="24"/>
        </w:rPr>
        <w:t>wypełnia dotychczasową lukę, wprowadzając do katalogu środków ochrony, mechanizm wsparcia dla ofiar przestępstwa terrorystycznego.</w:t>
      </w:r>
    </w:p>
    <w:p w14:paraId="7385B715" w14:textId="131AC29B" w:rsidR="00992F53" w:rsidRPr="00D84049" w:rsidRDefault="00FB3E9A" w:rsidP="00992F53">
      <w:pPr>
        <w:pStyle w:val="ARTartustawynprozporzdzenia"/>
        <w:spacing w:before="0"/>
        <w:ind w:firstLine="0"/>
        <w:rPr>
          <w:rFonts w:ascii="Times New Roman" w:hAnsi="Times New Roman" w:cs="Times New Roman"/>
          <w:szCs w:val="24"/>
        </w:rPr>
      </w:pPr>
      <w:r>
        <w:rPr>
          <w:rFonts w:ascii="Times New Roman" w:hAnsi="Times New Roman" w:cs="Times New Roman"/>
          <w:szCs w:val="24"/>
        </w:rPr>
        <w:tab/>
        <w:t>W projektowanym</w:t>
      </w:r>
      <w:r w:rsidRPr="00FB3E9A">
        <w:rPr>
          <w:rFonts w:ascii="Times New Roman" w:hAnsi="Times New Roman" w:cs="Times New Roman"/>
          <w:szCs w:val="24"/>
        </w:rPr>
        <w:t xml:space="preserve"> art. 10a </w:t>
      </w:r>
      <w:r w:rsidR="001364AB" w:rsidRPr="00D84049">
        <w:rPr>
          <w:rStyle w:val="ng-binding"/>
          <w:rFonts w:ascii="Times New Roman" w:hAnsi="Times New Roman" w:cs="Times New Roman"/>
          <w:color w:val="000000"/>
          <w:szCs w:val="24"/>
        </w:rPr>
        <w:t xml:space="preserve">ustawy </w:t>
      </w:r>
      <w:r w:rsidR="00144921" w:rsidRPr="00E0700E">
        <w:rPr>
          <w:rFonts w:ascii="Times New Roman" w:hAnsi="Times New Roman" w:cs="Times New Roman"/>
          <w:color w:val="000000"/>
        </w:rPr>
        <w:t xml:space="preserve">z dnia 28 listopada 2014 r. </w:t>
      </w:r>
      <w:r>
        <w:rPr>
          <w:rFonts w:ascii="Times New Roman" w:hAnsi="Times New Roman" w:cs="Times New Roman"/>
          <w:szCs w:val="24"/>
        </w:rPr>
        <w:t>zdefiniowano</w:t>
      </w:r>
      <w:r w:rsidRPr="00FB3E9A">
        <w:rPr>
          <w:rFonts w:ascii="Times New Roman" w:hAnsi="Times New Roman" w:cs="Times New Roman"/>
          <w:szCs w:val="24"/>
        </w:rPr>
        <w:t xml:space="preserve"> system wsp</w:t>
      </w:r>
      <w:r w:rsidR="000B1B05">
        <w:rPr>
          <w:rFonts w:ascii="Times New Roman" w:hAnsi="Times New Roman" w:cs="Times New Roman"/>
          <w:szCs w:val="24"/>
        </w:rPr>
        <w:t>a</w:t>
      </w:r>
      <w:r w:rsidRPr="00FB3E9A">
        <w:rPr>
          <w:rFonts w:ascii="Times New Roman" w:hAnsi="Times New Roman" w:cs="Times New Roman"/>
          <w:szCs w:val="24"/>
        </w:rPr>
        <w:t>rcia dla ofiar przestępstw o charakterze terrorystycznym</w:t>
      </w:r>
      <w:r>
        <w:rPr>
          <w:rFonts w:ascii="Times New Roman" w:hAnsi="Times New Roman" w:cs="Times New Roman"/>
          <w:szCs w:val="24"/>
        </w:rPr>
        <w:t>.</w:t>
      </w:r>
    </w:p>
    <w:p w14:paraId="18205F91" w14:textId="288D59A8" w:rsidR="00992F53" w:rsidRPr="00D84049" w:rsidRDefault="00992F53" w:rsidP="00A0500E">
      <w:pPr>
        <w:shd w:val="clear" w:color="auto" w:fill="FFFFFF"/>
        <w:ind w:firstLine="709"/>
        <w:rPr>
          <w:rFonts w:ascii="Times New Roman" w:eastAsia="Times New Roman" w:hAnsi="Times New Roman" w:cs="Times New Roman"/>
          <w:sz w:val="24"/>
        </w:rPr>
      </w:pPr>
      <w:r w:rsidRPr="00D84049">
        <w:rPr>
          <w:rStyle w:val="ng-binding"/>
          <w:rFonts w:ascii="Times New Roman" w:hAnsi="Times New Roman" w:cs="Times New Roman"/>
          <w:color w:val="000000"/>
          <w:sz w:val="24"/>
        </w:rPr>
        <w:t xml:space="preserve">Z kolei projektowany przepis art. 16a </w:t>
      </w:r>
      <w:r w:rsidR="001364AB" w:rsidRPr="00D84049">
        <w:rPr>
          <w:rStyle w:val="ng-binding"/>
          <w:rFonts w:ascii="Times New Roman" w:hAnsi="Times New Roman" w:cs="Times New Roman"/>
          <w:color w:val="000000"/>
          <w:sz w:val="24"/>
        </w:rPr>
        <w:t xml:space="preserve">ustawy </w:t>
      </w:r>
      <w:r w:rsidR="00144921" w:rsidRPr="00E0700E">
        <w:rPr>
          <w:rFonts w:ascii="Times New Roman" w:hAnsi="Times New Roman" w:cs="Times New Roman"/>
          <w:color w:val="000000"/>
          <w:sz w:val="24"/>
        </w:rPr>
        <w:t>z dnia 28 listopada 2014 r.</w:t>
      </w:r>
      <w:r w:rsidR="001364AB" w:rsidRPr="00D84049">
        <w:rPr>
          <w:rStyle w:val="ng-binding"/>
          <w:rFonts w:ascii="Times New Roman" w:hAnsi="Times New Roman" w:cs="Times New Roman"/>
          <w:color w:val="000000"/>
          <w:sz w:val="24"/>
        </w:rPr>
        <w:t xml:space="preserve"> </w:t>
      </w:r>
      <w:r w:rsidRPr="00D84049">
        <w:rPr>
          <w:rStyle w:val="ng-binding"/>
          <w:rFonts w:ascii="Times New Roman" w:hAnsi="Times New Roman" w:cs="Times New Roman"/>
          <w:color w:val="000000"/>
          <w:sz w:val="24"/>
        </w:rPr>
        <w:t xml:space="preserve">przewiduje udzielenie pomocy ofiarom przestępstw o charakterze terrorystycznym bezpośrednio po popełnieniu czynu zabronionego i tak długo jak będzie ona konieczna. </w:t>
      </w:r>
      <w:r w:rsidRPr="00D84049">
        <w:rPr>
          <w:rFonts w:ascii="Times New Roman" w:hAnsi="Times New Roman" w:cs="Times New Roman"/>
          <w:color w:val="000000"/>
          <w:sz w:val="24"/>
        </w:rPr>
        <w:t xml:space="preserve">W ramach krajowej infrastruktury służącej reagowaniu w sytuacjach kryzysowych podejmowane powinny być kompleksowe działania w odpowiedzi na szczególne potrzeby pokrzywdzonych/ofiar bezpośrednio po ataku terrorystycznym i tak długo, jak będzie to konieczne. </w:t>
      </w:r>
      <w:r w:rsidRPr="00D84049">
        <w:rPr>
          <w:rFonts w:ascii="Times New Roman" w:eastAsia="Times New Roman" w:hAnsi="Times New Roman" w:cs="Times New Roman"/>
          <w:sz w:val="24"/>
        </w:rPr>
        <w:t>Wyznaczenie jednostki Policji odpowiedzialnej za koordynację wsparcia dla ofiar przestępstw o charakterze terrorystycznym ma na celu zapewnienie spójności i skuteczności działań podejmowanych przez państwo. Policja, jako służba posiadająca szerokie kompetencje w zakresie ochrony bezpieczeństwa publicznego i wsparcia ofiar, jest właściwą instytucją do pełnienia tej roli.</w:t>
      </w:r>
    </w:p>
    <w:p w14:paraId="2CFEED42" w14:textId="77777777" w:rsidR="00992F53" w:rsidRPr="00D84049" w:rsidRDefault="00992F53" w:rsidP="00A0500E">
      <w:pPr>
        <w:pStyle w:val="ARTartustawynprozporzdzenia"/>
        <w:spacing w:before="0"/>
        <w:ind w:firstLine="709"/>
        <w:rPr>
          <w:rFonts w:ascii="Times New Roman" w:hAnsi="Times New Roman" w:cs="Times New Roman"/>
          <w:color w:val="000000"/>
          <w:szCs w:val="24"/>
        </w:rPr>
      </w:pPr>
      <w:r w:rsidRPr="00D84049">
        <w:rPr>
          <w:rFonts w:ascii="Times New Roman" w:hAnsi="Times New Roman" w:cs="Times New Roman"/>
          <w:color w:val="000000"/>
          <w:szCs w:val="24"/>
        </w:rPr>
        <w:lastRenderedPageBreak/>
        <w:t>Pomoc powinna być dostosowana indywidualnie, zgodnie z potrzebami danej osoby. Istotne jest, by taka pomoc nie była ograniczona czasowo i udzielana tak długo, jak będzie to konieczne. Jednocześnie, właściwa jednostka policji koordynująca działania, w ramach pomocy pokrzywdzonym atakiem terrorystycznym, powinna zapewnić dostępność do informacji i pouczeń pokrzywdzonych, a także dostępność doradztwa psychologicznego wskutek doznanego urazu psychicznego, realizowanego przez ośrodek wsparcia kryzysowego dla pokrzywdzonych i członków ich rodzin, który będzie udzielał natychmiastowej pomocy psychologicznej i zapewniał wsparcie emocjonalne.</w:t>
      </w:r>
    </w:p>
    <w:p w14:paraId="4AE0BD90" w14:textId="77777777" w:rsidR="00992F53" w:rsidRPr="00D84049" w:rsidRDefault="00992F53" w:rsidP="00A0500E">
      <w:pPr>
        <w:pStyle w:val="ARTartustawynprozporzdzenia"/>
        <w:spacing w:before="0"/>
        <w:ind w:firstLine="709"/>
        <w:rPr>
          <w:rFonts w:ascii="Times New Roman" w:hAnsi="Times New Roman" w:cs="Times New Roman"/>
          <w:color w:val="000000"/>
          <w:szCs w:val="24"/>
        </w:rPr>
      </w:pPr>
      <w:r w:rsidRPr="00D84049">
        <w:rPr>
          <w:rFonts w:ascii="Times New Roman" w:hAnsi="Times New Roman" w:cs="Times New Roman"/>
          <w:color w:val="000000"/>
          <w:szCs w:val="24"/>
        </w:rPr>
        <w:t xml:space="preserve">Pokrzywdzeni przestępstwem terrorystycznym powinni mieć również dostęp do informacji na temat swoich praw jako ofiary, dostępnych usług wsparcia oraz systemów odszkodowań w państwie członkowskim, w którym zostało popełnione dane przestępstwo terrorystyczne. </w:t>
      </w:r>
    </w:p>
    <w:p w14:paraId="2AD52D2F" w14:textId="77777777" w:rsidR="00992F53" w:rsidRPr="00D84049" w:rsidRDefault="00992F53" w:rsidP="00A0500E">
      <w:pPr>
        <w:pStyle w:val="ARTartustawynprozporzdzenia"/>
        <w:spacing w:before="0"/>
        <w:ind w:firstLine="709"/>
        <w:rPr>
          <w:rFonts w:ascii="Times New Roman" w:hAnsi="Times New Roman" w:cs="Times New Roman"/>
          <w:color w:val="000000"/>
          <w:szCs w:val="24"/>
        </w:rPr>
      </w:pPr>
      <w:r w:rsidRPr="00D84049">
        <w:rPr>
          <w:rFonts w:ascii="Times New Roman" w:hAnsi="Times New Roman" w:cs="Times New Roman"/>
          <w:color w:val="000000"/>
          <w:szCs w:val="24"/>
        </w:rPr>
        <w:t xml:space="preserve">Służby udzielające wsparcia powinny uwzględniać fakt, że szczególne potrzeby pokrzywdzonych przestępstwem terrorystycznym mogą się zmieniać wraz z upływem czasu, co ma prowadzić w konsekwencji do aktualizacji zakresu udzielonego wsparcia. Jednocześnie taka pomoc ma stanowić uzupełnienie w stosunku do ewentualnych roszczeń odszkodowawczych. </w:t>
      </w:r>
    </w:p>
    <w:p w14:paraId="4F331ED1" w14:textId="7E12C86B" w:rsidR="00992F53" w:rsidRPr="00D84049" w:rsidRDefault="00992F53" w:rsidP="00A0500E">
      <w:pPr>
        <w:ind w:firstLine="709"/>
        <w:rPr>
          <w:rStyle w:val="Pogrubienie"/>
          <w:rFonts w:ascii="Times New Roman" w:eastAsia="Times New Roman" w:hAnsi="Times New Roman" w:cs="Times New Roman"/>
          <w:b w:val="0"/>
          <w:bCs w:val="0"/>
          <w:color w:val="auto"/>
          <w:kern w:val="0"/>
          <w:sz w:val="24"/>
          <w:szCs w:val="20"/>
          <w:lang w:eastAsia="pl-PL"/>
          <w14:ligatures w14:val="none"/>
        </w:rPr>
      </w:pPr>
      <w:r w:rsidRPr="00D84049">
        <w:rPr>
          <w:rFonts w:ascii="Times New Roman" w:eastAsia="Times New Roman" w:hAnsi="Times New Roman" w:cs="Times New Roman"/>
          <w:sz w:val="24"/>
        </w:rPr>
        <w:t xml:space="preserve">Projektowany przepis art. 16a </w:t>
      </w:r>
      <w:r w:rsidR="001364AB" w:rsidRPr="00D84049">
        <w:rPr>
          <w:rStyle w:val="ng-binding"/>
          <w:rFonts w:ascii="Times New Roman" w:hAnsi="Times New Roman" w:cs="Times New Roman"/>
          <w:color w:val="000000"/>
          <w:sz w:val="24"/>
        </w:rPr>
        <w:t xml:space="preserve">ustawy </w:t>
      </w:r>
      <w:r w:rsidR="00144921" w:rsidRPr="00E0700E">
        <w:rPr>
          <w:rFonts w:ascii="Times New Roman" w:hAnsi="Times New Roman" w:cs="Times New Roman"/>
          <w:color w:val="000000"/>
          <w:sz w:val="24"/>
        </w:rPr>
        <w:t>z dnia 28 listopada 2014 r.</w:t>
      </w:r>
      <w:r w:rsidR="001364AB" w:rsidRPr="00D84049">
        <w:rPr>
          <w:rStyle w:val="ng-binding"/>
          <w:rFonts w:ascii="Times New Roman" w:hAnsi="Times New Roman" w:cs="Times New Roman"/>
          <w:color w:val="000000"/>
          <w:sz w:val="24"/>
        </w:rPr>
        <w:t xml:space="preserve"> </w:t>
      </w:r>
      <w:r w:rsidRPr="00D84049">
        <w:rPr>
          <w:rFonts w:ascii="Times New Roman" w:eastAsia="Times New Roman" w:hAnsi="Times New Roman" w:cs="Times New Roman"/>
          <w:sz w:val="24"/>
        </w:rPr>
        <w:t xml:space="preserve">wpisuje się również w wymóg zapewnienia kompleksowej reakcji państwa w sytuacjach kryzysowych oraz tworzenia spójnych mechanizmów współpracy między różnymi organami i instytucjami odpowiedzialnymi za wsparcie ofiar. </w:t>
      </w:r>
    </w:p>
    <w:p w14:paraId="2064F81F" w14:textId="4E7F4C76" w:rsidR="00992F53" w:rsidRDefault="00992F53">
      <w:pPr>
        <w:ind w:firstLine="709"/>
        <w:rPr>
          <w:rFonts w:ascii="Times New Roman" w:hAnsi="Times New Roman" w:cs="Times New Roman"/>
          <w:sz w:val="24"/>
        </w:rPr>
      </w:pPr>
      <w:r w:rsidRPr="00A0500E">
        <w:rPr>
          <w:rStyle w:val="Pogrubienie"/>
          <w:rFonts w:ascii="Times New Roman" w:hAnsi="Times New Roman" w:cs="Times New Roman"/>
          <w:b w:val="0"/>
          <w:bCs w:val="0"/>
          <w:sz w:val="24"/>
        </w:rPr>
        <w:t>Określenie w projekcie systemu wsparcia dla ofiar przestępstw o charakterze terrorystycznym można wzorować na brzmieniu motywu 29 o art. 24 ust. 3 dyrektywy 2017/541. Wsparcie dla ofiar ataków terrorystycznych powinno obejmować w szczególności indywidualną ocena potrzeb</w:t>
      </w:r>
      <w:r w:rsidRPr="00A0500E">
        <w:rPr>
          <w:rFonts w:ascii="Times New Roman" w:hAnsi="Times New Roman" w:cs="Times New Roman"/>
          <w:b/>
          <w:sz w:val="24"/>
        </w:rPr>
        <w:t>.</w:t>
      </w:r>
      <w:r w:rsidRPr="00D84049">
        <w:rPr>
          <w:rFonts w:ascii="Times New Roman" w:hAnsi="Times New Roman" w:cs="Times New Roman"/>
          <w:sz w:val="24"/>
        </w:rPr>
        <w:t xml:space="preserve"> Powinna ona obejmować zarówno potrzeby psychologiczne, jak i materialne, zdrowotne czy społeczne. Pomoc nie powinna być ograniczona wyłącznie do okresu bezpośrednio po ataku. Wsparcie powinno być dostępne bez cezury czasowej a jedynym uwarunkowaniem powinny być potrzeby ofiary. W kontekście projektowanych zmian należy podkreślić konieczność ścisłej współpracy między jednostkami administracji publicznej, Policją oraz organizacjami pozarządowymi, aby zapewnić wsparcie jak najbardziej dostosowane do indywidualnych potrzeb pokrzywdzonych. Istotne jest również stworzenie jasnych wytycznych dotyczących procedur współdziałania oraz standardów udzielania pomocy, co umożliwi szybkie i skuteczne reagowanie w sytuacjach kryzysowych. </w:t>
      </w:r>
    </w:p>
    <w:p w14:paraId="490F7683" w14:textId="1B2E9409" w:rsidR="00554AA5" w:rsidRDefault="00554AA5" w:rsidP="00A0500E">
      <w:pPr>
        <w:ind w:firstLine="709"/>
        <w:rPr>
          <w:rFonts w:ascii="Times New Roman" w:hAnsi="Times New Roman" w:cs="Times New Roman"/>
          <w:color w:val="000000"/>
          <w:sz w:val="24"/>
        </w:rPr>
      </w:pPr>
      <w:r>
        <w:rPr>
          <w:rFonts w:ascii="Times New Roman" w:hAnsi="Times New Roman" w:cs="Times New Roman"/>
          <w:sz w:val="24"/>
        </w:rPr>
        <w:lastRenderedPageBreak/>
        <w:t>W projektowanym przepisie art. 2</w:t>
      </w:r>
      <w:r w:rsidR="006927AD">
        <w:rPr>
          <w:rFonts w:ascii="Times New Roman" w:hAnsi="Times New Roman" w:cs="Times New Roman"/>
          <w:sz w:val="24"/>
        </w:rPr>
        <w:t>7</w:t>
      </w:r>
      <w:r>
        <w:rPr>
          <w:rFonts w:ascii="Times New Roman" w:hAnsi="Times New Roman" w:cs="Times New Roman"/>
          <w:sz w:val="24"/>
        </w:rPr>
        <w:t xml:space="preserve"> ust. 1a </w:t>
      </w:r>
      <w:r w:rsidRPr="00D84049">
        <w:rPr>
          <w:rStyle w:val="ng-binding"/>
          <w:rFonts w:ascii="Times New Roman" w:hAnsi="Times New Roman" w:cs="Times New Roman"/>
          <w:color w:val="000000"/>
          <w:sz w:val="24"/>
        </w:rPr>
        <w:t xml:space="preserve">ustawy </w:t>
      </w:r>
      <w:r w:rsidRPr="00E0700E">
        <w:rPr>
          <w:rFonts w:ascii="Times New Roman" w:hAnsi="Times New Roman" w:cs="Times New Roman"/>
          <w:color w:val="000000"/>
          <w:sz w:val="24"/>
        </w:rPr>
        <w:t>z dnia 28 listopada 2014 r.</w:t>
      </w:r>
      <w:r>
        <w:rPr>
          <w:rFonts w:ascii="Times New Roman" w:hAnsi="Times New Roman" w:cs="Times New Roman"/>
          <w:color w:val="000000"/>
          <w:sz w:val="24"/>
        </w:rPr>
        <w:t xml:space="preserve"> określono maksymalny limit wydatków budżetu państwa, będący skutkiem finansowym ustawy w latach 2025–2034.</w:t>
      </w:r>
    </w:p>
    <w:p w14:paraId="11AB5932" w14:textId="7389E361" w:rsidR="006927AD" w:rsidRPr="00992F53" w:rsidRDefault="006927AD" w:rsidP="00A0500E">
      <w:pPr>
        <w:ind w:firstLine="709"/>
        <w:rPr>
          <w:rFonts w:ascii="Times New Roman" w:hAnsi="Times New Roman" w:cs="Times New Roman"/>
          <w:sz w:val="24"/>
        </w:rPr>
      </w:pPr>
      <w:r>
        <w:rPr>
          <w:rFonts w:ascii="Times New Roman" w:hAnsi="Times New Roman" w:cs="Times New Roman"/>
          <w:color w:val="000000"/>
          <w:sz w:val="24"/>
        </w:rPr>
        <w:t xml:space="preserve">Projektowana zmiana art. 27 ust. 2 </w:t>
      </w:r>
      <w:r w:rsidRPr="00D84049">
        <w:rPr>
          <w:rStyle w:val="ng-binding"/>
          <w:rFonts w:ascii="Times New Roman" w:hAnsi="Times New Roman" w:cs="Times New Roman"/>
          <w:color w:val="000000"/>
          <w:sz w:val="24"/>
        </w:rPr>
        <w:t xml:space="preserve">ustawy </w:t>
      </w:r>
      <w:r w:rsidRPr="00E0700E">
        <w:rPr>
          <w:rFonts w:ascii="Times New Roman" w:hAnsi="Times New Roman" w:cs="Times New Roman"/>
          <w:color w:val="000000"/>
          <w:sz w:val="24"/>
        </w:rPr>
        <w:t>z dnia 28 listopada 2014 r.</w:t>
      </w:r>
      <w:r>
        <w:rPr>
          <w:rFonts w:ascii="Times New Roman" w:hAnsi="Times New Roman" w:cs="Times New Roman"/>
          <w:color w:val="000000"/>
          <w:sz w:val="24"/>
        </w:rPr>
        <w:t xml:space="preserve"> ma charakter wynikowy w związku z dodaniem ust. 1a w tym przepisie</w:t>
      </w:r>
      <w:r w:rsidR="00943432">
        <w:rPr>
          <w:rFonts w:ascii="Times New Roman" w:hAnsi="Times New Roman" w:cs="Times New Roman"/>
          <w:color w:val="000000"/>
          <w:sz w:val="24"/>
        </w:rPr>
        <w:t xml:space="preserve"> i ma na </w:t>
      </w:r>
      <w:r>
        <w:rPr>
          <w:rFonts w:ascii="Times New Roman" w:hAnsi="Times New Roman" w:cs="Times New Roman"/>
          <w:color w:val="000000"/>
          <w:sz w:val="24"/>
        </w:rPr>
        <w:t>cel</w:t>
      </w:r>
      <w:r w:rsidR="00943432">
        <w:rPr>
          <w:rFonts w:ascii="Times New Roman" w:hAnsi="Times New Roman" w:cs="Times New Roman"/>
          <w:color w:val="000000"/>
          <w:sz w:val="24"/>
        </w:rPr>
        <w:t>u</w:t>
      </w:r>
      <w:r>
        <w:rPr>
          <w:rFonts w:ascii="Times New Roman" w:hAnsi="Times New Roman" w:cs="Times New Roman"/>
          <w:color w:val="000000"/>
          <w:sz w:val="24"/>
        </w:rPr>
        <w:t xml:space="preserve"> wskazan</w:t>
      </w:r>
      <w:r w:rsidR="00943432">
        <w:rPr>
          <w:rFonts w:ascii="Times New Roman" w:hAnsi="Times New Roman" w:cs="Times New Roman"/>
          <w:color w:val="000000"/>
          <w:sz w:val="24"/>
        </w:rPr>
        <w:t>ie</w:t>
      </w:r>
      <w:r>
        <w:rPr>
          <w:rFonts w:ascii="Times New Roman" w:hAnsi="Times New Roman" w:cs="Times New Roman"/>
          <w:color w:val="000000"/>
          <w:sz w:val="24"/>
        </w:rPr>
        <w:t xml:space="preserve"> organu monitorującego zaplanowan</w:t>
      </w:r>
      <w:r w:rsidR="0062491B">
        <w:rPr>
          <w:rFonts w:ascii="Times New Roman" w:hAnsi="Times New Roman" w:cs="Times New Roman"/>
          <w:color w:val="000000"/>
          <w:sz w:val="24"/>
        </w:rPr>
        <w:t>e</w:t>
      </w:r>
      <w:r>
        <w:rPr>
          <w:rFonts w:ascii="Times New Roman" w:hAnsi="Times New Roman" w:cs="Times New Roman"/>
          <w:color w:val="000000"/>
          <w:sz w:val="24"/>
        </w:rPr>
        <w:t xml:space="preserve"> na kolejne lata wydat</w:t>
      </w:r>
      <w:r w:rsidR="0062491B">
        <w:rPr>
          <w:rFonts w:ascii="Times New Roman" w:hAnsi="Times New Roman" w:cs="Times New Roman"/>
          <w:color w:val="000000"/>
          <w:sz w:val="24"/>
        </w:rPr>
        <w:t>ki</w:t>
      </w:r>
      <w:r>
        <w:rPr>
          <w:rFonts w:ascii="Times New Roman" w:hAnsi="Times New Roman" w:cs="Times New Roman"/>
          <w:color w:val="000000"/>
          <w:sz w:val="24"/>
        </w:rPr>
        <w:t xml:space="preserve">. </w:t>
      </w:r>
    </w:p>
    <w:bookmarkEnd w:id="11"/>
    <w:p w14:paraId="1E7396C6" w14:textId="77777777" w:rsidR="002059B5" w:rsidRPr="00C835AB" w:rsidRDefault="002059B5" w:rsidP="008518EA">
      <w:pPr>
        <w:pStyle w:val="NormalnyWeb"/>
        <w:spacing w:before="0" w:beforeAutospacing="0" w:after="0" w:afterAutospacing="0" w:line="360" w:lineRule="auto"/>
        <w:ind w:firstLine="709"/>
        <w:jc w:val="both"/>
        <w:rPr>
          <w:b/>
          <w:u w:val="single"/>
        </w:rPr>
      </w:pPr>
    </w:p>
    <w:p w14:paraId="170B9505" w14:textId="0EBF96F2" w:rsidR="000D7091" w:rsidRPr="00C835AB" w:rsidRDefault="009535F3" w:rsidP="00D823D0">
      <w:pPr>
        <w:rPr>
          <w:rFonts w:ascii="Times New Roman" w:hAnsi="Times New Roman" w:cs="Times New Roman"/>
          <w:b/>
          <w:color w:val="auto"/>
          <w:sz w:val="24"/>
          <w:u w:val="single"/>
        </w:rPr>
      </w:pPr>
      <w:r w:rsidRPr="00C835AB">
        <w:rPr>
          <w:rFonts w:ascii="Times New Roman" w:hAnsi="Times New Roman" w:cs="Times New Roman"/>
          <w:b/>
          <w:color w:val="auto"/>
          <w:sz w:val="24"/>
          <w:u w:val="single"/>
        </w:rPr>
        <w:t>Zmiany w u</w:t>
      </w:r>
      <w:r w:rsidR="000D7091" w:rsidRPr="00C835AB">
        <w:rPr>
          <w:rFonts w:ascii="Times New Roman" w:hAnsi="Times New Roman" w:cs="Times New Roman"/>
          <w:b/>
          <w:color w:val="auto"/>
          <w:sz w:val="24"/>
          <w:u w:val="single"/>
        </w:rPr>
        <w:t>staw</w:t>
      </w:r>
      <w:r w:rsidRPr="00C835AB">
        <w:rPr>
          <w:rFonts w:ascii="Times New Roman" w:hAnsi="Times New Roman" w:cs="Times New Roman"/>
          <w:b/>
          <w:color w:val="auto"/>
          <w:sz w:val="24"/>
          <w:u w:val="single"/>
        </w:rPr>
        <w:t>ie</w:t>
      </w:r>
      <w:r w:rsidR="000D7091" w:rsidRPr="00C835AB">
        <w:rPr>
          <w:rFonts w:ascii="Times New Roman" w:hAnsi="Times New Roman" w:cs="Times New Roman"/>
          <w:b/>
          <w:color w:val="auto"/>
          <w:sz w:val="24"/>
          <w:u w:val="single"/>
        </w:rPr>
        <w:t xml:space="preserve"> z dnia 12 marca 2022 r. o pomocy obywatelom Ukrainy w związku z</w:t>
      </w:r>
      <w:r w:rsidR="001A3D13" w:rsidRPr="00C835AB">
        <w:rPr>
          <w:rFonts w:ascii="Times New Roman" w:hAnsi="Times New Roman" w:cs="Times New Roman"/>
          <w:b/>
          <w:color w:val="auto"/>
          <w:sz w:val="24"/>
          <w:u w:val="single"/>
        </w:rPr>
        <w:t> </w:t>
      </w:r>
      <w:r w:rsidR="000D7091" w:rsidRPr="00C835AB">
        <w:rPr>
          <w:rFonts w:ascii="Times New Roman" w:hAnsi="Times New Roman" w:cs="Times New Roman"/>
          <w:b/>
          <w:color w:val="auto"/>
          <w:sz w:val="24"/>
          <w:u w:val="single"/>
        </w:rPr>
        <w:t>konfliktem zbrojnym na terytorium tego państwa</w:t>
      </w:r>
    </w:p>
    <w:p w14:paraId="5E748E30" w14:textId="77777777" w:rsidR="009535F3" w:rsidRPr="00C835AB" w:rsidRDefault="009535F3" w:rsidP="00D823D0">
      <w:pPr>
        <w:rPr>
          <w:rFonts w:ascii="Times New Roman" w:hAnsi="Times New Roman" w:cs="Times New Roman"/>
          <w:b/>
          <w:color w:val="auto"/>
          <w:sz w:val="24"/>
        </w:rPr>
      </w:pPr>
    </w:p>
    <w:p w14:paraId="7E116DCC" w14:textId="0D65F36A" w:rsidR="00031C8A" w:rsidRPr="00C835AB" w:rsidRDefault="000D7091" w:rsidP="00D823D0">
      <w:pPr>
        <w:ind w:firstLine="708"/>
        <w:rPr>
          <w:rFonts w:ascii="Times New Roman" w:hAnsi="Times New Roman" w:cs="Times New Roman"/>
          <w:b/>
          <w:bCs/>
          <w:color w:val="auto"/>
          <w:sz w:val="24"/>
        </w:rPr>
      </w:pPr>
      <w:r w:rsidRPr="00C835AB">
        <w:rPr>
          <w:rFonts w:ascii="Times New Roman" w:eastAsia="Times New Roman" w:hAnsi="Times New Roman" w:cs="Times New Roman"/>
          <w:bCs/>
          <w:color w:val="auto"/>
          <w:kern w:val="0"/>
          <w:sz w:val="24"/>
          <w:lang w:eastAsia="pl-PL"/>
          <w14:ligatures w14:val="none"/>
        </w:rPr>
        <w:t xml:space="preserve">W ocenie projektodawcy </w:t>
      </w:r>
      <w:r w:rsidR="009535F3" w:rsidRPr="00C835AB">
        <w:rPr>
          <w:rFonts w:ascii="Times New Roman" w:eastAsia="Times New Roman" w:hAnsi="Times New Roman" w:cs="Times New Roman"/>
          <w:bCs/>
          <w:color w:val="auto"/>
          <w:kern w:val="0"/>
          <w:sz w:val="24"/>
          <w:lang w:eastAsia="pl-PL"/>
          <w14:ligatures w14:val="none"/>
        </w:rPr>
        <w:t>w art. 72 ust. 1 ustawy z dnia 12 marca 2022 r. o pomocy obywatelom Ukrainy w związku z konfliktem zbrojnym na terytorium tego państwa (Dz.</w:t>
      </w:r>
      <w:r w:rsidR="0099355B">
        <w:rPr>
          <w:rFonts w:ascii="Times New Roman" w:eastAsia="Times New Roman" w:hAnsi="Times New Roman" w:cs="Times New Roman"/>
          <w:bCs/>
          <w:color w:val="auto"/>
          <w:kern w:val="0"/>
          <w:sz w:val="24"/>
          <w:lang w:eastAsia="pl-PL"/>
          <w14:ligatures w14:val="none"/>
        </w:rPr>
        <w:t> </w:t>
      </w:r>
      <w:r w:rsidR="009535F3" w:rsidRPr="00C835AB">
        <w:rPr>
          <w:rFonts w:ascii="Times New Roman" w:eastAsia="Times New Roman" w:hAnsi="Times New Roman" w:cs="Times New Roman"/>
          <w:bCs/>
          <w:color w:val="auto"/>
          <w:kern w:val="0"/>
          <w:sz w:val="24"/>
          <w:lang w:eastAsia="pl-PL"/>
          <w14:ligatures w14:val="none"/>
        </w:rPr>
        <w:t>U.</w:t>
      </w:r>
      <w:r w:rsidR="0099355B">
        <w:rPr>
          <w:rFonts w:ascii="Times New Roman" w:eastAsia="Times New Roman" w:hAnsi="Times New Roman" w:cs="Times New Roman"/>
          <w:bCs/>
          <w:color w:val="auto"/>
          <w:kern w:val="0"/>
          <w:sz w:val="24"/>
          <w:lang w:eastAsia="pl-PL"/>
          <w14:ligatures w14:val="none"/>
        </w:rPr>
        <w:t> </w:t>
      </w:r>
      <w:r w:rsidR="009535F3" w:rsidRPr="00C835AB">
        <w:rPr>
          <w:rFonts w:ascii="Times New Roman" w:eastAsia="Times New Roman" w:hAnsi="Times New Roman" w:cs="Times New Roman"/>
          <w:bCs/>
          <w:color w:val="auto"/>
          <w:kern w:val="0"/>
          <w:sz w:val="24"/>
          <w:lang w:eastAsia="pl-PL"/>
          <w14:ligatures w14:val="none"/>
        </w:rPr>
        <w:t>z</w:t>
      </w:r>
      <w:r w:rsidR="001A3D13" w:rsidRPr="00C835AB">
        <w:rPr>
          <w:rFonts w:ascii="Times New Roman" w:eastAsia="Times New Roman" w:hAnsi="Times New Roman" w:cs="Times New Roman"/>
          <w:bCs/>
          <w:color w:val="auto"/>
          <w:kern w:val="0"/>
          <w:sz w:val="24"/>
          <w:lang w:eastAsia="pl-PL"/>
          <w14:ligatures w14:val="none"/>
        </w:rPr>
        <w:t> </w:t>
      </w:r>
      <w:r w:rsidR="009E13B0" w:rsidRPr="00C835AB">
        <w:rPr>
          <w:rFonts w:ascii="Times New Roman" w:eastAsia="Times New Roman" w:hAnsi="Times New Roman" w:cs="Times New Roman"/>
          <w:bCs/>
          <w:color w:val="auto"/>
          <w:kern w:val="0"/>
          <w:sz w:val="24"/>
          <w:lang w:eastAsia="pl-PL"/>
          <w14:ligatures w14:val="none"/>
        </w:rPr>
        <w:t>202</w:t>
      </w:r>
      <w:r w:rsidR="009E13B0">
        <w:rPr>
          <w:rFonts w:ascii="Times New Roman" w:eastAsia="Times New Roman" w:hAnsi="Times New Roman" w:cs="Times New Roman"/>
          <w:bCs/>
          <w:color w:val="auto"/>
          <w:kern w:val="0"/>
          <w:sz w:val="24"/>
          <w:lang w:eastAsia="pl-PL"/>
          <w14:ligatures w14:val="none"/>
        </w:rPr>
        <w:t>5</w:t>
      </w:r>
      <w:r w:rsidR="009E13B0" w:rsidRPr="00C835AB">
        <w:rPr>
          <w:rFonts w:ascii="Times New Roman" w:eastAsia="Times New Roman" w:hAnsi="Times New Roman" w:cs="Times New Roman"/>
          <w:bCs/>
          <w:color w:val="auto"/>
          <w:kern w:val="0"/>
          <w:sz w:val="24"/>
          <w:lang w:eastAsia="pl-PL"/>
          <w14:ligatures w14:val="none"/>
        </w:rPr>
        <w:t xml:space="preserve"> </w:t>
      </w:r>
      <w:r w:rsidR="009535F3" w:rsidRPr="00C835AB">
        <w:rPr>
          <w:rFonts w:ascii="Times New Roman" w:eastAsia="Times New Roman" w:hAnsi="Times New Roman" w:cs="Times New Roman"/>
          <w:bCs/>
          <w:color w:val="auto"/>
          <w:kern w:val="0"/>
          <w:sz w:val="24"/>
          <w:lang w:eastAsia="pl-PL"/>
          <w14:ligatures w14:val="none"/>
        </w:rPr>
        <w:t xml:space="preserve">r. poz. </w:t>
      </w:r>
      <w:r w:rsidR="009E13B0">
        <w:rPr>
          <w:rFonts w:ascii="Times New Roman" w:eastAsia="Times New Roman" w:hAnsi="Times New Roman" w:cs="Times New Roman"/>
          <w:bCs/>
          <w:color w:val="auto"/>
          <w:kern w:val="0"/>
          <w:sz w:val="24"/>
          <w:lang w:eastAsia="pl-PL"/>
          <w14:ligatures w14:val="none"/>
        </w:rPr>
        <w:t>337</w:t>
      </w:r>
      <w:r w:rsidR="0088125F">
        <w:rPr>
          <w:rFonts w:ascii="Times New Roman" w:eastAsia="Times New Roman" w:hAnsi="Times New Roman" w:cs="Times New Roman"/>
          <w:bCs/>
          <w:color w:val="auto"/>
          <w:kern w:val="0"/>
          <w:sz w:val="24"/>
          <w:lang w:eastAsia="pl-PL"/>
          <w14:ligatures w14:val="none"/>
        </w:rPr>
        <w:t xml:space="preserve">, z </w:t>
      </w:r>
      <w:proofErr w:type="spellStart"/>
      <w:r w:rsidR="0088125F">
        <w:rPr>
          <w:rFonts w:ascii="Times New Roman" w:eastAsia="Times New Roman" w:hAnsi="Times New Roman" w:cs="Times New Roman"/>
          <w:bCs/>
          <w:color w:val="auto"/>
          <w:kern w:val="0"/>
          <w:sz w:val="24"/>
          <w:lang w:eastAsia="pl-PL"/>
          <w14:ligatures w14:val="none"/>
        </w:rPr>
        <w:t>późn</w:t>
      </w:r>
      <w:proofErr w:type="spellEnd"/>
      <w:r w:rsidR="0088125F">
        <w:rPr>
          <w:rFonts w:ascii="Times New Roman" w:eastAsia="Times New Roman" w:hAnsi="Times New Roman" w:cs="Times New Roman"/>
          <w:bCs/>
          <w:color w:val="auto"/>
          <w:kern w:val="0"/>
          <w:sz w:val="24"/>
          <w:lang w:eastAsia="pl-PL"/>
          <w14:ligatures w14:val="none"/>
        </w:rPr>
        <w:t>. zm.</w:t>
      </w:r>
      <w:r w:rsidR="009535F3" w:rsidRPr="00C835AB">
        <w:rPr>
          <w:rFonts w:ascii="Times New Roman" w:eastAsia="Times New Roman" w:hAnsi="Times New Roman" w:cs="Times New Roman"/>
          <w:bCs/>
          <w:color w:val="auto"/>
          <w:kern w:val="0"/>
          <w:sz w:val="24"/>
          <w:lang w:eastAsia="pl-PL"/>
          <w14:ligatures w14:val="none"/>
        </w:rPr>
        <w:t xml:space="preserve">) </w:t>
      </w:r>
      <w:r w:rsidRPr="00C835AB">
        <w:rPr>
          <w:rFonts w:ascii="Times New Roman" w:eastAsia="Times New Roman" w:hAnsi="Times New Roman" w:cs="Times New Roman"/>
          <w:bCs/>
          <w:color w:val="auto"/>
          <w:kern w:val="0"/>
          <w:sz w:val="24"/>
          <w:lang w:eastAsia="pl-PL"/>
          <w14:ligatures w14:val="none"/>
        </w:rPr>
        <w:t>należy dookreślić, że znaczne zaostrzenie odpowiedzialności karnej</w:t>
      </w:r>
      <w:r w:rsidR="00B169FD" w:rsidRPr="00C835AB">
        <w:rPr>
          <w:rFonts w:ascii="Times New Roman" w:eastAsia="Times New Roman" w:hAnsi="Times New Roman" w:cs="Times New Roman"/>
          <w:bCs/>
          <w:color w:val="auto"/>
          <w:kern w:val="0"/>
          <w:sz w:val="24"/>
          <w:lang w:eastAsia="pl-PL"/>
          <w14:ligatures w14:val="none"/>
        </w:rPr>
        <w:t>,</w:t>
      </w:r>
      <w:r w:rsidRPr="00C835AB">
        <w:rPr>
          <w:rFonts w:ascii="Times New Roman" w:eastAsia="Times New Roman" w:hAnsi="Times New Roman" w:cs="Times New Roman"/>
          <w:bCs/>
          <w:color w:val="auto"/>
          <w:kern w:val="0"/>
          <w:sz w:val="24"/>
          <w:lang w:eastAsia="pl-PL"/>
          <w14:ligatures w14:val="none"/>
        </w:rPr>
        <w:t xml:space="preserve"> jakie wprowadza wskazana ustawa dotyczyć powinna czynów popełnionych w czasie i</w:t>
      </w:r>
      <w:r w:rsidR="001A3D13" w:rsidRPr="00C835AB">
        <w:rPr>
          <w:rFonts w:ascii="Times New Roman" w:eastAsia="Times New Roman" w:hAnsi="Times New Roman" w:cs="Times New Roman"/>
          <w:bCs/>
          <w:color w:val="auto"/>
          <w:kern w:val="0"/>
          <w:sz w:val="24"/>
          <w:lang w:eastAsia="pl-PL"/>
          <w14:ligatures w14:val="none"/>
        </w:rPr>
        <w:t> </w:t>
      </w:r>
      <w:r w:rsidRPr="00C835AB">
        <w:rPr>
          <w:rFonts w:ascii="Times New Roman" w:eastAsia="Times New Roman" w:hAnsi="Times New Roman" w:cs="Times New Roman"/>
          <w:bCs/>
          <w:color w:val="auto"/>
          <w:kern w:val="0"/>
          <w:sz w:val="24"/>
          <w:lang w:eastAsia="pl-PL"/>
          <w14:ligatures w14:val="none"/>
        </w:rPr>
        <w:t>w związku z konfliktem zbrojnym</w:t>
      </w:r>
      <w:r w:rsidRPr="00C835AB">
        <w:rPr>
          <w:rFonts w:ascii="Times New Roman" w:eastAsia="Times New Roman" w:hAnsi="Times New Roman" w:cs="Times New Roman"/>
          <w:color w:val="auto"/>
          <w:kern w:val="0"/>
          <w:sz w:val="24"/>
          <w:lang w:eastAsia="pl-PL"/>
          <w14:ligatures w14:val="none"/>
        </w:rPr>
        <w:t xml:space="preserve"> na terytorium Ukrainy. Brak takiego związku powoduje, że wzmożony reżim odpowiedzialności karnej nie znajduje uzasadnienia. </w:t>
      </w:r>
    </w:p>
    <w:p w14:paraId="00028EAC" w14:textId="77777777" w:rsidR="00A62858" w:rsidRPr="00C835AB" w:rsidRDefault="00A62858" w:rsidP="00D823D0">
      <w:pPr>
        <w:rPr>
          <w:rFonts w:ascii="Times New Roman" w:hAnsi="Times New Roman" w:cs="Times New Roman"/>
          <w:b/>
          <w:bCs/>
          <w:color w:val="auto"/>
          <w:sz w:val="24"/>
          <w:u w:val="single"/>
        </w:rPr>
      </w:pPr>
    </w:p>
    <w:p w14:paraId="73ED9482" w14:textId="0D372504" w:rsidR="00BD1474" w:rsidRPr="005F350A" w:rsidRDefault="00D5202A" w:rsidP="005A70C4">
      <w:pPr>
        <w:rPr>
          <w:rFonts w:ascii="Times New Roman" w:hAnsi="Times New Roman" w:cs="Times New Roman"/>
          <w:b/>
          <w:bCs/>
          <w:color w:val="auto"/>
          <w:sz w:val="24"/>
          <w:u w:val="single"/>
        </w:rPr>
      </w:pPr>
      <w:r w:rsidRPr="00C835AB">
        <w:rPr>
          <w:rFonts w:ascii="Times New Roman" w:hAnsi="Times New Roman" w:cs="Times New Roman"/>
          <w:b/>
          <w:bCs/>
          <w:color w:val="auto"/>
          <w:sz w:val="24"/>
          <w:u w:val="single"/>
        </w:rPr>
        <w:t>Zmiany w u</w:t>
      </w:r>
      <w:r w:rsidR="00031C8A" w:rsidRPr="00C835AB">
        <w:rPr>
          <w:rFonts w:ascii="Times New Roman" w:hAnsi="Times New Roman" w:cs="Times New Roman"/>
          <w:b/>
          <w:bCs/>
          <w:color w:val="auto"/>
          <w:sz w:val="24"/>
          <w:u w:val="single"/>
        </w:rPr>
        <w:t>staw</w:t>
      </w:r>
      <w:r w:rsidRPr="00C835AB">
        <w:rPr>
          <w:rFonts w:ascii="Times New Roman" w:hAnsi="Times New Roman" w:cs="Times New Roman"/>
          <w:b/>
          <w:bCs/>
          <w:color w:val="auto"/>
          <w:sz w:val="24"/>
          <w:u w:val="single"/>
        </w:rPr>
        <w:t>ie</w:t>
      </w:r>
      <w:r w:rsidR="00031C8A" w:rsidRPr="00C835AB">
        <w:rPr>
          <w:rFonts w:ascii="Times New Roman" w:hAnsi="Times New Roman" w:cs="Times New Roman"/>
          <w:b/>
          <w:bCs/>
          <w:color w:val="auto"/>
          <w:sz w:val="24"/>
          <w:u w:val="single"/>
        </w:rPr>
        <w:t xml:space="preserve"> z dnia 9 czerwca 2022 r. o wspieraniu i resocjalizacji nieletnich</w:t>
      </w:r>
    </w:p>
    <w:p w14:paraId="7A0AC778" w14:textId="77777777" w:rsidR="00F034BF" w:rsidRDefault="00F034BF" w:rsidP="00D823D0">
      <w:pPr>
        <w:ind w:firstLine="709"/>
        <w:rPr>
          <w:rFonts w:ascii="Times New Roman" w:hAnsi="Times New Roman" w:cs="Times New Roman"/>
          <w:b/>
          <w:bCs/>
          <w:color w:val="auto"/>
          <w:sz w:val="24"/>
        </w:rPr>
      </w:pPr>
    </w:p>
    <w:p w14:paraId="1037509D" w14:textId="632ABFBE" w:rsidR="00DD0C95" w:rsidRPr="00C835AB" w:rsidRDefault="00DD0C95" w:rsidP="00D823D0">
      <w:pPr>
        <w:ind w:firstLine="709"/>
        <w:rPr>
          <w:rFonts w:ascii="Times New Roman" w:hAnsi="Times New Roman" w:cs="Times New Roman"/>
          <w:b/>
          <w:bCs/>
          <w:color w:val="auto"/>
          <w:sz w:val="24"/>
        </w:rPr>
      </w:pPr>
      <w:r w:rsidRPr="00C835AB">
        <w:rPr>
          <w:rFonts w:ascii="Times New Roman" w:hAnsi="Times New Roman" w:cs="Times New Roman"/>
          <w:b/>
          <w:bCs/>
          <w:color w:val="auto"/>
          <w:sz w:val="24"/>
        </w:rPr>
        <w:t xml:space="preserve">Art. 37 </w:t>
      </w:r>
      <w:r w:rsidR="00001A40" w:rsidRPr="00C835AB">
        <w:rPr>
          <w:rFonts w:ascii="Times New Roman" w:hAnsi="Times New Roman" w:cs="Times New Roman"/>
          <w:b/>
          <w:bCs/>
          <w:color w:val="auto"/>
          <w:sz w:val="24"/>
        </w:rPr>
        <w:t xml:space="preserve">ust. 7 </w:t>
      </w:r>
    </w:p>
    <w:p w14:paraId="003C8331" w14:textId="33B72D3C" w:rsidR="00DB2DFB" w:rsidRDefault="00B80FA1" w:rsidP="00BD1474">
      <w:pPr>
        <w:ind w:firstLine="709"/>
        <w:rPr>
          <w:rFonts w:ascii="Times New Roman" w:hAnsi="Times New Roman" w:cs="Times New Roman"/>
          <w:color w:val="auto"/>
          <w:sz w:val="24"/>
        </w:rPr>
      </w:pPr>
      <w:r w:rsidRPr="00C835AB">
        <w:rPr>
          <w:rFonts w:ascii="Times New Roman" w:hAnsi="Times New Roman" w:cs="Times New Roman"/>
          <w:color w:val="auto"/>
          <w:sz w:val="24"/>
        </w:rPr>
        <w:t>Projektowana z</w:t>
      </w:r>
      <w:r w:rsidR="00745B84" w:rsidRPr="00C835AB">
        <w:rPr>
          <w:rFonts w:ascii="Times New Roman" w:hAnsi="Times New Roman" w:cs="Times New Roman"/>
          <w:color w:val="auto"/>
          <w:sz w:val="24"/>
        </w:rPr>
        <w:t xml:space="preserve">miana art. 37 ust. 7 ustawy </w:t>
      </w:r>
      <w:r w:rsidR="0088125F">
        <w:rPr>
          <w:rFonts w:ascii="Times New Roman" w:hAnsi="Times New Roman" w:cs="Times New Roman"/>
          <w:color w:val="auto"/>
          <w:sz w:val="24"/>
        </w:rPr>
        <w:t xml:space="preserve">z dnia 9 czerwca 2022 r. o </w:t>
      </w:r>
      <w:r w:rsidR="00745B84" w:rsidRPr="00C835AB">
        <w:rPr>
          <w:rFonts w:ascii="Times New Roman" w:hAnsi="Times New Roman" w:cs="Times New Roman"/>
          <w:color w:val="auto"/>
          <w:sz w:val="24"/>
        </w:rPr>
        <w:t xml:space="preserve">wspieraniu i resocjalizacji nieletnich </w:t>
      </w:r>
      <w:r w:rsidR="0088125F">
        <w:rPr>
          <w:rFonts w:ascii="Times New Roman" w:hAnsi="Times New Roman" w:cs="Times New Roman"/>
          <w:color w:val="auto"/>
          <w:sz w:val="24"/>
        </w:rPr>
        <w:t xml:space="preserve">(Dz. U. z 2024 r. poz. 978, z </w:t>
      </w:r>
      <w:proofErr w:type="spellStart"/>
      <w:r w:rsidR="0088125F">
        <w:rPr>
          <w:rFonts w:ascii="Times New Roman" w:hAnsi="Times New Roman" w:cs="Times New Roman"/>
          <w:color w:val="auto"/>
          <w:sz w:val="24"/>
        </w:rPr>
        <w:t>późn</w:t>
      </w:r>
      <w:proofErr w:type="spellEnd"/>
      <w:r w:rsidR="0088125F">
        <w:rPr>
          <w:rFonts w:ascii="Times New Roman" w:hAnsi="Times New Roman" w:cs="Times New Roman"/>
          <w:color w:val="auto"/>
          <w:sz w:val="24"/>
        </w:rPr>
        <w:t xml:space="preserve">. zm.) </w:t>
      </w:r>
      <w:r w:rsidR="00745B84" w:rsidRPr="00C835AB">
        <w:rPr>
          <w:rFonts w:ascii="Times New Roman" w:hAnsi="Times New Roman" w:cs="Times New Roman"/>
          <w:color w:val="auto"/>
          <w:sz w:val="24"/>
        </w:rPr>
        <w:t>polega na zastąpieniu odesłania do art. 517j § 1 k.p.k. i przepisów wydanych na podstawie art. 517j §</w:t>
      </w:r>
      <w:r w:rsidR="001A3D13" w:rsidRPr="00C835AB">
        <w:rPr>
          <w:rFonts w:ascii="Times New Roman" w:hAnsi="Times New Roman" w:cs="Times New Roman"/>
          <w:color w:val="auto"/>
          <w:sz w:val="24"/>
        </w:rPr>
        <w:t> </w:t>
      </w:r>
      <w:r w:rsidR="00745B84" w:rsidRPr="00C835AB">
        <w:rPr>
          <w:rFonts w:ascii="Times New Roman" w:hAnsi="Times New Roman" w:cs="Times New Roman"/>
          <w:color w:val="auto"/>
          <w:sz w:val="24"/>
        </w:rPr>
        <w:t xml:space="preserve">2 k.p.k. odesłaniem do </w:t>
      </w:r>
      <w:hyperlink r:id="rId21" w:history="1">
        <w:r w:rsidR="00745B84" w:rsidRPr="00C835AB">
          <w:rPr>
            <w:rStyle w:val="Hipercze"/>
            <w:rFonts w:ascii="Times New Roman" w:hAnsi="Times New Roman" w:cs="Times New Roman"/>
            <w:color w:val="auto"/>
            <w:sz w:val="24"/>
            <w:u w:val="none"/>
          </w:rPr>
          <w:t xml:space="preserve">art. 245 § </w:t>
        </w:r>
      </w:hyperlink>
      <w:r w:rsidR="00745B84" w:rsidRPr="00C835AB">
        <w:rPr>
          <w:rFonts w:ascii="Times New Roman" w:hAnsi="Times New Roman" w:cs="Times New Roman"/>
          <w:color w:val="auto"/>
          <w:sz w:val="24"/>
        </w:rPr>
        <w:t>2 k.p.k. oraz przepisów wydanych na podstawie art. 245 §</w:t>
      </w:r>
      <w:r w:rsidR="001A3D13" w:rsidRPr="00C835AB">
        <w:rPr>
          <w:rFonts w:ascii="Times New Roman" w:hAnsi="Times New Roman" w:cs="Times New Roman"/>
          <w:color w:val="auto"/>
          <w:sz w:val="24"/>
        </w:rPr>
        <w:t> </w:t>
      </w:r>
      <w:r w:rsidR="00745B84" w:rsidRPr="00C835AB">
        <w:rPr>
          <w:rFonts w:ascii="Times New Roman" w:hAnsi="Times New Roman" w:cs="Times New Roman"/>
          <w:color w:val="auto"/>
          <w:sz w:val="24"/>
        </w:rPr>
        <w:t>5 k.p.k. Proponowana zmiana stanowi konsekwencję zmian wprowadzonych w Kodeksie postępowania karnego.</w:t>
      </w:r>
    </w:p>
    <w:p w14:paraId="296CC1F7" w14:textId="77777777" w:rsidR="002360F7" w:rsidRPr="00C835AB" w:rsidRDefault="002360F7" w:rsidP="00D823D0">
      <w:pPr>
        <w:rPr>
          <w:rFonts w:ascii="Times New Roman" w:eastAsia="Times New Roman" w:hAnsi="Times New Roman" w:cs="Times New Roman"/>
          <w:b/>
          <w:color w:val="auto"/>
          <w:kern w:val="0"/>
          <w:sz w:val="24"/>
          <w:lang w:eastAsia="pl-PL"/>
          <w14:ligatures w14:val="none"/>
        </w:rPr>
      </w:pPr>
    </w:p>
    <w:p w14:paraId="376F433A" w14:textId="1BC990BC" w:rsidR="0091207C" w:rsidRPr="005F350A" w:rsidRDefault="00C8797D" w:rsidP="005F350A">
      <w:pPr>
        <w:rPr>
          <w:rStyle w:val="Ppogrubienie"/>
          <w:rFonts w:ascii="Times New Roman" w:hAnsi="Times New Roman" w:cs="Times New Roman"/>
          <w:bCs/>
          <w:color w:val="auto"/>
          <w:sz w:val="24"/>
          <w:u w:val="single"/>
        </w:rPr>
      </w:pPr>
      <w:r w:rsidRPr="00C835AB">
        <w:rPr>
          <w:rFonts w:ascii="Times New Roman" w:hAnsi="Times New Roman" w:cs="Times New Roman"/>
          <w:b/>
          <w:bCs/>
          <w:color w:val="auto"/>
          <w:sz w:val="24"/>
          <w:u w:val="single"/>
        </w:rPr>
        <w:t>Przepisy przejściowe</w:t>
      </w:r>
      <w:r w:rsidR="006B200E" w:rsidRPr="00C835AB">
        <w:rPr>
          <w:rFonts w:ascii="Times New Roman" w:hAnsi="Times New Roman" w:cs="Times New Roman"/>
          <w:b/>
          <w:bCs/>
          <w:color w:val="auto"/>
          <w:sz w:val="24"/>
          <w:u w:val="single"/>
        </w:rPr>
        <w:t xml:space="preserve"> i </w:t>
      </w:r>
      <w:r w:rsidRPr="00C835AB">
        <w:rPr>
          <w:rFonts w:ascii="Times New Roman" w:hAnsi="Times New Roman" w:cs="Times New Roman"/>
          <w:b/>
          <w:bCs/>
          <w:color w:val="auto"/>
          <w:sz w:val="24"/>
          <w:u w:val="single"/>
        </w:rPr>
        <w:t xml:space="preserve">przepisy końcowe </w:t>
      </w:r>
    </w:p>
    <w:p w14:paraId="3C77452B" w14:textId="77777777" w:rsidR="0091207C" w:rsidRPr="00CC4D5B" w:rsidRDefault="0091207C" w:rsidP="00E32DD7">
      <w:pPr>
        <w:pStyle w:val="pnaglowekcenter"/>
        <w:spacing w:line="360" w:lineRule="auto"/>
        <w:jc w:val="both"/>
      </w:pPr>
    </w:p>
    <w:p w14:paraId="07F8BA63" w14:textId="31B832F8" w:rsidR="0091207C" w:rsidRPr="0091207C" w:rsidRDefault="0091207C" w:rsidP="00A0500E">
      <w:pPr>
        <w:pStyle w:val="ARTartustawynprozporzdzenia"/>
        <w:spacing w:before="0"/>
        <w:rPr>
          <w:rFonts w:ascii="Times New Roman" w:hAnsi="Times New Roman" w:cs="Times New Roman"/>
          <w:szCs w:val="24"/>
        </w:rPr>
      </w:pPr>
      <w:r w:rsidRPr="0091207C">
        <w:rPr>
          <w:rStyle w:val="Ppogrubienie"/>
          <w:rFonts w:ascii="Times New Roman" w:hAnsi="Times New Roman" w:cs="Times New Roman"/>
          <w:szCs w:val="24"/>
        </w:rPr>
        <w:t>Art. 2</w:t>
      </w:r>
      <w:r w:rsidR="008A1B53">
        <w:rPr>
          <w:rStyle w:val="Ppogrubienie"/>
          <w:rFonts w:ascii="Times New Roman" w:hAnsi="Times New Roman" w:cs="Times New Roman"/>
          <w:szCs w:val="24"/>
        </w:rPr>
        <w:t>3</w:t>
      </w:r>
      <w:r w:rsidR="00AC7398">
        <w:rPr>
          <w:rStyle w:val="Ppogrubienie"/>
          <w:rFonts w:ascii="Times New Roman" w:hAnsi="Times New Roman" w:cs="Times New Roman"/>
          <w:szCs w:val="24"/>
        </w:rPr>
        <w:t xml:space="preserve"> i</w:t>
      </w:r>
      <w:r w:rsidRPr="0091207C">
        <w:rPr>
          <w:rStyle w:val="Ppogrubienie"/>
          <w:rFonts w:ascii="Times New Roman" w:hAnsi="Times New Roman" w:cs="Times New Roman"/>
          <w:szCs w:val="24"/>
        </w:rPr>
        <w:t xml:space="preserve"> 2</w:t>
      </w:r>
      <w:r w:rsidR="008A1B53">
        <w:rPr>
          <w:rStyle w:val="Ppogrubienie"/>
          <w:rFonts w:ascii="Times New Roman" w:hAnsi="Times New Roman" w:cs="Times New Roman"/>
          <w:szCs w:val="24"/>
        </w:rPr>
        <w:t>5</w:t>
      </w:r>
    </w:p>
    <w:p w14:paraId="6C132567" w14:textId="2FF91483" w:rsidR="0091207C" w:rsidRPr="0091207C" w:rsidRDefault="0091207C" w:rsidP="00A0500E">
      <w:pPr>
        <w:pStyle w:val="ARTartustawynprozporzdzenia"/>
        <w:spacing w:before="0"/>
        <w:rPr>
          <w:rFonts w:ascii="Times New Roman" w:hAnsi="Times New Roman" w:cs="Times New Roman"/>
          <w:szCs w:val="24"/>
        </w:rPr>
      </w:pPr>
      <w:r w:rsidRPr="0091207C">
        <w:rPr>
          <w:rFonts w:ascii="Times New Roman" w:hAnsi="Times New Roman" w:cs="Times New Roman"/>
          <w:szCs w:val="24"/>
        </w:rPr>
        <w:t>Zgodnie ze wskazaną regulacją wymienione w niej przepisy stosuje się do spraw wszczętych przed dniem jej wejścia w życie, jeżeli brak przepisów, które stanowią inaczej. Cechą charakterystyczną projektowanych przepisów jest ich proceduralny charakter. Dopełnieniem wskazanej wyżej regulacji jest kolejny przepis, stanowiący</w:t>
      </w:r>
      <w:r w:rsidR="005F05E0">
        <w:rPr>
          <w:rFonts w:ascii="Times New Roman" w:hAnsi="Times New Roman" w:cs="Times New Roman"/>
          <w:szCs w:val="24"/>
        </w:rPr>
        <w:t>,</w:t>
      </w:r>
      <w:r w:rsidRPr="0091207C">
        <w:rPr>
          <w:rFonts w:ascii="Times New Roman" w:hAnsi="Times New Roman" w:cs="Times New Roman"/>
          <w:szCs w:val="24"/>
        </w:rPr>
        <w:t xml:space="preserve"> że „W przypadku </w:t>
      </w:r>
      <w:r w:rsidRPr="0091207C">
        <w:rPr>
          <w:rFonts w:ascii="Times New Roman" w:hAnsi="Times New Roman" w:cs="Times New Roman"/>
          <w:szCs w:val="24"/>
        </w:rPr>
        <w:lastRenderedPageBreak/>
        <w:t>wątpliwości czy stosować prawo dotychczasowe, czy przepisy niniejszej ustawy, stosuje się niniejszą ustawę”.</w:t>
      </w:r>
    </w:p>
    <w:p w14:paraId="358EDE86" w14:textId="3BA116D6" w:rsidR="0091207C" w:rsidRPr="00CA344E" w:rsidRDefault="0091207C" w:rsidP="00A0500E">
      <w:pPr>
        <w:ind w:firstLine="510"/>
        <w:rPr>
          <w:rFonts w:ascii="Times New Roman" w:hAnsi="Times New Roman" w:cs="Times New Roman"/>
          <w:bCs/>
          <w:i/>
          <w:iCs/>
          <w:sz w:val="24"/>
        </w:rPr>
      </w:pPr>
      <w:r w:rsidRPr="00A0500E">
        <w:rPr>
          <w:rFonts w:ascii="Times New Roman" w:hAnsi="Times New Roman" w:cs="Times New Roman"/>
          <w:sz w:val="24"/>
        </w:rPr>
        <w:t>Jak wskazuje SN „</w:t>
      </w:r>
      <w:r w:rsidRPr="00A0500E">
        <w:rPr>
          <w:rFonts w:ascii="Times New Roman" w:hAnsi="Times New Roman" w:cs="Times New Roman"/>
          <w:i/>
          <w:iCs/>
          <w:sz w:val="24"/>
        </w:rPr>
        <w:t xml:space="preserve">Podstawową formą rozwiązywania problemów intertemporalnych na gruncie prawa karnego procesowego jest przy tym reguła stosowania prawa nowego (lex nova), zwana regułą bezpośredniego stosowania ustawy nowej albo regułą „chwytania w locie” (zob. H. Paluszkiewicz, Studia z zakresu problematyki intertemporalnej w prawie karnym procesowym, Warszawa 2016, s. 3, 15 i 19). </w:t>
      </w:r>
      <w:r w:rsidRPr="00CA344E">
        <w:rPr>
          <w:rFonts w:ascii="Times New Roman" w:hAnsi="Times New Roman" w:cs="Times New Roman"/>
          <w:bCs/>
          <w:i/>
          <w:iCs/>
          <w:sz w:val="24"/>
        </w:rPr>
        <w:t xml:space="preserve">W uzasadnieniu postanowienia Sądu Najwyższego z dnia 24 sierpnia 2016 r., </w:t>
      </w:r>
      <w:r w:rsidRPr="00CA344E">
        <w:rPr>
          <w:rFonts w:ascii="Times New Roman" w:hAnsi="Times New Roman" w:cs="Times New Roman"/>
          <w:bCs/>
          <w:sz w:val="24"/>
        </w:rPr>
        <w:t>IV KZ 38/16</w:t>
      </w:r>
      <w:r w:rsidRPr="00CA344E">
        <w:rPr>
          <w:rFonts w:ascii="Times New Roman" w:hAnsi="Times New Roman" w:cs="Times New Roman"/>
          <w:bCs/>
          <w:i/>
          <w:iCs/>
          <w:sz w:val="24"/>
        </w:rPr>
        <w:t xml:space="preserve">, przyznano, że zasada tzw. „chwytania w locie” jest podstawową zasadą prawa intertemporalnego i wskazano, że jest ona stosowana w drodze </w:t>
      </w:r>
      <w:proofErr w:type="spellStart"/>
      <w:r w:rsidRPr="00CA344E">
        <w:rPr>
          <w:rFonts w:ascii="Times New Roman" w:hAnsi="Times New Roman" w:cs="Times New Roman"/>
          <w:bCs/>
          <w:i/>
          <w:iCs/>
          <w:sz w:val="24"/>
        </w:rPr>
        <w:t>analogiae</w:t>
      </w:r>
      <w:proofErr w:type="spellEnd"/>
      <w:r w:rsidRPr="00CA344E">
        <w:rPr>
          <w:rFonts w:ascii="Times New Roman" w:hAnsi="Times New Roman" w:cs="Times New Roman"/>
          <w:bCs/>
          <w:i/>
          <w:iCs/>
          <w:sz w:val="24"/>
        </w:rPr>
        <w:t xml:space="preserve"> legis wówczas, gdy ustawodawca wprowadzając zmiany w prawie nie zamieści przepisów przejściowych.</w:t>
      </w:r>
    </w:p>
    <w:p w14:paraId="44FB8921" w14:textId="77777777" w:rsidR="0091207C" w:rsidRPr="00A0500E" w:rsidRDefault="0091207C" w:rsidP="00A0500E">
      <w:pPr>
        <w:ind w:firstLine="510"/>
        <w:rPr>
          <w:rFonts w:ascii="Times New Roman" w:hAnsi="Times New Roman" w:cs="Times New Roman"/>
          <w:i/>
          <w:iCs/>
          <w:sz w:val="24"/>
        </w:rPr>
      </w:pPr>
      <w:r w:rsidRPr="00A0500E">
        <w:rPr>
          <w:rFonts w:ascii="Times New Roman" w:hAnsi="Times New Roman" w:cs="Times New Roman"/>
          <w:i/>
          <w:iCs/>
          <w:sz w:val="24"/>
        </w:rPr>
        <w:t xml:space="preserve">Zasada „chwytania w locie” jest zatem w odniesieniu do przepisów procesowych swego rodzaju </w:t>
      </w:r>
      <w:proofErr w:type="spellStart"/>
      <w:r w:rsidRPr="00A0500E">
        <w:rPr>
          <w:rFonts w:ascii="Times New Roman" w:hAnsi="Times New Roman" w:cs="Times New Roman"/>
          <w:i/>
          <w:iCs/>
          <w:sz w:val="24"/>
        </w:rPr>
        <w:t>metazasadą</w:t>
      </w:r>
      <w:proofErr w:type="spellEnd"/>
      <w:r w:rsidRPr="00A0500E">
        <w:rPr>
          <w:rFonts w:ascii="Times New Roman" w:hAnsi="Times New Roman" w:cs="Times New Roman"/>
          <w:i/>
          <w:iCs/>
          <w:sz w:val="24"/>
        </w:rPr>
        <w:t xml:space="preserve"> intertemporalną i nawet wtedy, gdy nie jest wprost zapisana w ustawie należy domniemywać jej obowiązywanie. Zasada stosowania prawa nowego to jednocześnie zasada ultima ratio, znajdująca zastosowanie wówczas, gdy organ stosujący prawo ma trudności z usunięciem wątpliwości co do tego, które przepisy stosować.</w:t>
      </w:r>
    </w:p>
    <w:p w14:paraId="00C897A6" w14:textId="1A8BB683" w:rsidR="0091207C" w:rsidRPr="00A0500E" w:rsidRDefault="0091207C" w:rsidP="00A0500E">
      <w:pPr>
        <w:ind w:firstLine="510"/>
        <w:rPr>
          <w:rFonts w:ascii="Times New Roman" w:hAnsi="Times New Roman" w:cs="Times New Roman"/>
          <w:sz w:val="24"/>
        </w:rPr>
      </w:pPr>
      <w:r w:rsidRPr="00A0500E">
        <w:rPr>
          <w:rFonts w:ascii="Times New Roman" w:hAnsi="Times New Roman" w:cs="Times New Roman"/>
          <w:i/>
          <w:iCs/>
          <w:sz w:val="24"/>
        </w:rPr>
        <w:t xml:space="preserve">Z reguły ustawodawca dodatkowo wprost nakazuje stosowanie ustawy nowej w razie wątpliwości, czy stosować prawo dotychczasowe, czy prawo nowe (in dubio lex nova). Taki przepis przejściowy znalazł się zarówno w ustawie z dnia 27 września 2013 r. </w:t>
      </w:r>
      <w:r w:rsidR="00796D23">
        <w:rPr>
          <w:rFonts w:ascii="Times New Roman" w:hAnsi="Times New Roman" w:cs="Times New Roman"/>
          <w:i/>
          <w:iCs/>
          <w:sz w:val="24"/>
        </w:rPr>
        <w:t>–</w:t>
      </w:r>
      <w:r w:rsidRPr="00A0500E">
        <w:rPr>
          <w:rFonts w:ascii="Times New Roman" w:hAnsi="Times New Roman" w:cs="Times New Roman"/>
          <w:i/>
          <w:iCs/>
          <w:sz w:val="24"/>
        </w:rPr>
        <w:t xml:space="preserve"> art. 29, jak i w ustawie z dnia 11 marca 2016 r. </w:t>
      </w:r>
      <w:r w:rsidR="00796D23">
        <w:rPr>
          <w:rFonts w:ascii="Times New Roman" w:hAnsi="Times New Roman" w:cs="Times New Roman"/>
          <w:i/>
          <w:iCs/>
          <w:sz w:val="24"/>
        </w:rPr>
        <w:t>–</w:t>
      </w:r>
      <w:r w:rsidRPr="00A0500E">
        <w:rPr>
          <w:rFonts w:ascii="Times New Roman" w:hAnsi="Times New Roman" w:cs="Times New Roman"/>
          <w:i/>
          <w:iCs/>
          <w:sz w:val="24"/>
        </w:rPr>
        <w:t xml:space="preserve"> art. 21. Pamiętać przy tym należy</w:t>
      </w:r>
      <w:r w:rsidRPr="00CA344E">
        <w:rPr>
          <w:rFonts w:ascii="Times New Roman" w:hAnsi="Times New Roman" w:cs="Times New Roman"/>
          <w:i/>
          <w:iCs/>
          <w:sz w:val="24"/>
        </w:rPr>
        <w:t xml:space="preserve">, że w prawie karnym procesowym nie obowiązuje reguła intertemporalna podobna do zawartej w </w:t>
      </w:r>
      <w:hyperlink r:id="rId22" w:history="1">
        <w:r w:rsidRPr="00CA344E">
          <w:rPr>
            <w:rStyle w:val="Hipercze"/>
            <w:rFonts w:ascii="Times New Roman" w:hAnsi="Times New Roman" w:cs="Times New Roman"/>
            <w:i/>
            <w:iCs/>
            <w:color w:val="auto"/>
            <w:sz w:val="24"/>
            <w:u w:val="none"/>
          </w:rPr>
          <w:t>art. 4</w:t>
        </w:r>
      </w:hyperlink>
      <w:r w:rsidRPr="00CA344E">
        <w:rPr>
          <w:rFonts w:ascii="Times New Roman" w:hAnsi="Times New Roman" w:cs="Times New Roman"/>
          <w:i/>
          <w:iCs/>
          <w:sz w:val="24"/>
        </w:rPr>
        <w:t xml:space="preserve"> KK,</w:t>
      </w:r>
      <w:r w:rsidRPr="00A0500E">
        <w:rPr>
          <w:rFonts w:ascii="Times New Roman" w:hAnsi="Times New Roman" w:cs="Times New Roman"/>
          <w:b/>
          <w:i/>
          <w:iCs/>
          <w:sz w:val="24"/>
        </w:rPr>
        <w:t xml:space="preserve"> </w:t>
      </w:r>
      <w:r w:rsidRPr="00A0500E">
        <w:rPr>
          <w:rFonts w:ascii="Times New Roman" w:hAnsi="Times New Roman" w:cs="Times New Roman"/>
          <w:i/>
          <w:iCs/>
          <w:sz w:val="24"/>
        </w:rPr>
        <w:t xml:space="preserve">która w odniesieniu do przepisów prawa karnego materialnego nakazuje porównywać przepisy „prawa dawnego” i „prawa nowego” z uwagi na to, które są względniejsze (bardziej korzystne) dla sprawcy. Brak takiego rozwiązania w przepisach procesowych wynika z tego, że normują one uprawnienia nie tylko oskarżonego (podejrzanego), ale także innych stron, czy szerzej </w:t>
      </w:r>
      <w:r w:rsidR="00796D23">
        <w:rPr>
          <w:rFonts w:ascii="Times New Roman" w:hAnsi="Times New Roman" w:cs="Times New Roman"/>
          <w:i/>
          <w:iCs/>
          <w:sz w:val="24"/>
        </w:rPr>
        <w:t>–</w:t>
      </w:r>
      <w:r w:rsidRPr="00A0500E">
        <w:rPr>
          <w:rFonts w:ascii="Times New Roman" w:hAnsi="Times New Roman" w:cs="Times New Roman"/>
          <w:i/>
          <w:iCs/>
          <w:sz w:val="24"/>
        </w:rPr>
        <w:t xml:space="preserve"> uczestników postępowania. Zmieniający się przepis, który jest korzystny z punktu widzenia jednej ze stron, może być niekorzystny z punktu widzenia innej. Różne interesy procesowe uczestników postępowania i to, że regulacje karno-procesowe nie są zorientowane tylko na ochronę uprawnień oskarżonego (podejrzanego), ale także uprawnień innych stron i uczestników postępowania powoduje, że w Kodeksie postępowania karnego brak odpowiednika </w:t>
      </w:r>
      <w:r w:rsidRPr="00A0500E">
        <w:rPr>
          <w:rFonts w:ascii="Times New Roman" w:hAnsi="Times New Roman" w:cs="Times New Roman"/>
          <w:sz w:val="24"/>
        </w:rPr>
        <w:t>art. 4</w:t>
      </w:r>
      <w:r w:rsidRPr="00A0500E">
        <w:rPr>
          <w:rFonts w:ascii="Times New Roman" w:hAnsi="Times New Roman" w:cs="Times New Roman"/>
          <w:i/>
          <w:iCs/>
          <w:sz w:val="24"/>
        </w:rPr>
        <w:t xml:space="preserve"> KK</w:t>
      </w:r>
      <w:r w:rsidRPr="00A0500E">
        <w:rPr>
          <w:rFonts w:ascii="Times New Roman" w:hAnsi="Times New Roman" w:cs="Times New Roman"/>
          <w:sz w:val="24"/>
        </w:rPr>
        <w:t>” (uchwała siedmiu sędziów SN z dnia 29 listopada 2016 r. I KZP 10/16).</w:t>
      </w:r>
    </w:p>
    <w:p w14:paraId="2A6E7AEC" w14:textId="77777777" w:rsidR="0091207C" w:rsidRPr="0091207C" w:rsidRDefault="0091207C" w:rsidP="00A0500E">
      <w:pPr>
        <w:pStyle w:val="ARTartustawynprozporzdzenia"/>
        <w:spacing w:before="0"/>
        <w:rPr>
          <w:rFonts w:ascii="Times New Roman" w:hAnsi="Times New Roman" w:cs="Times New Roman"/>
          <w:szCs w:val="24"/>
        </w:rPr>
      </w:pPr>
      <w:r w:rsidRPr="0091207C">
        <w:rPr>
          <w:rFonts w:ascii="Times New Roman" w:hAnsi="Times New Roman" w:cs="Times New Roman"/>
          <w:szCs w:val="24"/>
        </w:rPr>
        <w:t xml:space="preserve">Projekt nowelizacji, przyjmując zatem jako zasadę stosowanie nowych regulacji także do spraw wszczętych przed dniem wejścia w życie ustawy nowelizującej, powiela dotychczasowe, sprawdzone reguły intertemporalne, które nie były w orzecznictwie podważane. Prymat </w:t>
      </w:r>
      <w:r w:rsidRPr="0091207C">
        <w:rPr>
          <w:rFonts w:ascii="Times New Roman" w:hAnsi="Times New Roman" w:cs="Times New Roman"/>
          <w:szCs w:val="24"/>
        </w:rPr>
        <w:lastRenderedPageBreak/>
        <w:t>stosowania ustawy nowej ma obowiązywać także w przypadku wątpliwości interpretacyjnych co do ewentualnego dalszego stosowania przepisów dotychczasowych, co również jest rozwiązaniem powszechnie stosowanym i akceptowanym. Jak wyżej wskazano zasada in dubio lex nova to zasada ultima ratio, znajdująca zastosowanie wówczas, gdy organ stosujący prawo ma trudności z usunięciem wątpliwości co do tego, które przepisy stosować.</w:t>
      </w:r>
    </w:p>
    <w:p w14:paraId="6B6E6B60" w14:textId="77777777" w:rsidR="0091207C" w:rsidRPr="0091207C" w:rsidRDefault="0091207C" w:rsidP="00A0500E">
      <w:pPr>
        <w:pStyle w:val="ARTartustawynprozporzdzenia"/>
        <w:spacing w:before="0"/>
        <w:ind w:firstLine="0"/>
        <w:rPr>
          <w:rFonts w:ascii="Times New Roman" w:hAnsi="Times New Roman" w:cs="Times New Roman"/>
          <w:szCs w:val="24"/>
        </w:rPr>
      </w:pPr>
      <w:r w:rsidRPr="0091207C">
        <w:rPr>
          <w:rFonts w:ascii="Times New Roman" w:hAnsi="Times New Roman" w:cs="Times New Roman"/>
          <w:szCs w:val="24"/>
        </w:rPr>
        <w:t xml:space="preserve">Zarówno </w:t>
      </w:r>
      <w:proofErr w:type="spellStart"/>
      <w:r w:rsidRPr="0091207C">
        <w:rPr>
          <w:rFonts w:ascii="Times New Roman" w:hAnsi="Times New Roman" w:cs="Times New Roman"/>
          <w:szCs w:val="24"/>
        </w:rPr>
        <w:t>TK</w:t>
      </w:r>
      <w:proofErr w:type="spellEnd"/>
      <w:r w:rsidRPr="0091207C">
        <w:rPr>
          <w:rFonts w:ascii="Times New Roman" w:hAnsi="Times New Roman" w:cs="Times New Roman"/>
          <w:szCs w:val="24"/>
        </w:rPr>
        <w:t xml:space="preserve"> jak i </w:t>
      </w:r>
      <w:proofErr w:type="spellStart"/>
      <w:r w:rsidRPr="0091207C">
        <w:rPr>
          <w:rFonts w:ascii="Times New Roman" w:hAnsi="Times New Roman" w:cs="Times New Roman"/>
          <w:szCs w:val="24"/>
        </w:rPr>
        <w:t>ETPCz</w:t>
      </w:r>
      <w:proofErr w:type="spellEnd"/>
      <w:r w:rsidRPr="0091207C">
        <w:rPr>
          <w:rFonts w:ascii="Times New Roman" w:hAnsi="Times New Roman" w:cs="Times New Roman"/>
          <w:szCs w:val="24"/>
        </w:rPr>
        <w:t xml:space="preserve"> akceptują zasadę bezpośredniego działania nowego prawa procesowego, co potwierdza poniższe orzecznictwo.</w:t>
      </w:r>
    </w:p>
    <w:p w14:paraId="061A3DB3" w14:textId="15D50C87" w:rsidR="0091207C" w:rsidRPr="0091207C" w:rsidRDefault="0091207C" w:rsidP="00A0500E">
      <w:pPr>
        <w:pStyle w:val="ARTartustawynprozporzdzenia"/>
        <w:spacing w:before="0"/>
        <w:ind w:firstLine="709"/>
        <w:rPr>
          <w:rFonts w:ascii="Times New Roman" w:hAnsi="Times New Roman" w:cs="Times New Roman"/>
          <w:szCs w:val="24"/>
        </w:rPr>
      </w:pPr>
      <w:r w:rsidRPr="0091207C">
        <w:rPr>
          <w:rFonts w:ascii="Times New Roman" w:hAnsi="Times New Roman" w:cs="Times New Roman"/>
          <w:szCs w:val="24"/>
        </w:rPr>
        <w:t xml:space="preserve">Jak wskazuje TK </w:t>
      </w:r>
      <w:r w:rsidRPr="0091207C">
        <w:rPr>
          <w:rFonts w:ascii="Times New Roman" w:hAnsi="Times New Roman" w:cs="Times New Roman"/>
          <w:i/>
          <w:iCs/>
          <w:szCs w:val="24"/>
        </w:rPr>
        <w:t xml:space="preserve">„podziela w tym względzie argumentację (…) uznając, że w myśl ogólnie akceptowanych zasad intertemporalnych, w tym wypadku znajdzie zastosowanie zasada bezpośredniego działania nowego prawa. </w:t>
      </w:r>
      <w:r w:rsidRPr="00CA344E">
        <w:rPr>
          <w:rFonts w:ascii="Times New Roman" w:hAnsi="Times New Roman" w:cs="Times New Roman"/>
          <w:bCs/>
          <w:i/>
          <w:iCs/>
          <w:szCs w:val="24"/>
        </w:rPr>
        <w:t>Zasada ta powinna być zresztą stosowana w szczególności do przepisów proceduralnych, a zwłaszcza procedury karnej</w:t>
      </w:r>
      <w:r w:rsidRPr="0091207C">
        <w:rPr>
          <w:rFonts w:ascii="Times New Roman" w:hAnsi="Times New Roman" w:cs="Times New Roman"/>
          <w:i/>
          <w:iCs/>
          <w:szCs w:val="24"/>
        </w:rPr>
        <w:t xml:space="preserve"> (zob. np. wyrok TK z 11 stycznia 2005 r., sygn. SK 60/03, OTK ZU nr 1/A/2005, poz. 2, cz. III, pkt 3 uzasadnienia). </w:t>
      </w:r>
      <w:r w:rsidRPr="0091207C">
        <w:rPr>
          <w:rFonts w:ascii="Times New Roman" w:hAnsi="Times New Roman" w:cs="Times New Roman"/>
          <w:szCs w:val="24"/>
        </w:rPr>
        <w:t>(postanowienie TK z dnia 4 kwietnia 2012 r. SK 7/10).</w:t>
      </w:r>
    </w:p>
    <w:p w14:paraId="034570F8" w14:textId="1353E9ED" w:rsidR="0091207C" w:rsidRDefault="0091207C" w:rsidP="006B2304">
      <w:pPr>
        <w:pStyle w:val="ARTartustawynprozporzdzenia"/>
        <w:spacing w:before="0"/>
        <w:ind w:firstLine="709"/>
        <w:rPr>
          <w:rFonts w:ascii="Times New Roman" w:hAnsi="Times New Roman" w:cs="Times New Roman"/>
          <w:szCs w:val="24"/>
        </w:rPr>
      </w:pPr>
      <w:proofErr w:type="spellStart"/>
      <w:r w:rsidRPr="0091207C">
        <w:rPr>
          <w:rFonts w:ascii="Times New Roman" w:hAnsi="Times New Roman" w:cs="Times New Roman"/>
          <w:szCs w:val="24"/>
        </w:rPr>
        <w:t>ETPCz</w:t>
      </w:r>
      <w:proofErr w:type="spellEnd"/>
      <w:r w:rsidRPr="0091207C">
        <w:rPr>
          <w:rFonts w:ascii="Times New Roman" w:hAnsi="Times New Roman" w:cs="Times New Roman"/>
          <w:szCs w:val="24"/>
        </w:rPr>
        <w:t xml:space="preserve"> zaś wskazuje, że „​​zasady dotyczące retrospektywności określone w art. 7 Konwencji mają zastosowanie tylko do przepisów określających przestępstwa i kary za nie; </w:t>
      </w:r>
      <w:r w:rsidRPr="0091207C">
        <w:rPr>
          <w:rFonts w:ascii="Times New Roman" w:hAnsi="Times New Roman" w:cs="Times New Roman"/>
          <w:bCs/>
          <w:szCs w:val="24"/>
        </w:rPr>
        <w:t xml:space="preserve">z drugiej strony, w innych sprawach Trybunał uznał, że </w:t>
      </w:r>
      <w:r w:rsidRPr="00CA344E">
        <w:rPr>
          <w:rFonts w:ascii="Times New Roman" w:hAnsi="Times New Roman" w:cs="Times New Roman"/>
          <w:bCs/>
          <w:szCs w:val="24"/>
        </w:rPr>
        <w:t>uzasadnione jest, aby sądy krajowe stosowały zasadę </w:t>
      </w:r>
      <w:proofErr w:type="spellStart"/>
      <w:r w:rsidRPr="00CA344E">
        <w:rPr>
          <w:rFonts w:ascii="Times New Roman" w:hAnsi="Times New Roman" w:cs="Times New Roman"/>
          <w:bCs/>
          <w:szCs w:val="24"/>
        </w:rPr>
        <w:t>tempus</w:t>
      </w:r>
      <w:proofErr w:type="spellEnd"/>
      <w:r w:rsidRPr="00CA344E">
        <w:rPr>
          <w:rFonts w:ascii="Times New Roman" w:hAnsi="Times New Roman" w:cs="Times New Roman"/>
          <w:bCs/>
          <w:szCs w:val="24"/>
        </w:rPr>
        <w:t xml:space="preserve"> </w:t>
      </w:r>
      <w:proofErr w:type="spellStart"/>
      <w:r w:rsidRPr="00CA344E">
        <w:rPr>
          <w:rFonts w:ascii="Times New Roman" w:hAnsi="Times New Roman" w:cs="Times New Roman"/>
          <w:bCs/>
          <w:szCs w:val="24"/>
        </w:rPr>
        <w:t>regit</w:t>
      </w:r>
      <w:proofErr w:type="spellEnd"/>
      <w:r w:rsidRPr="00CA344E">
        <w:rPr>
          <w:rFonts w:ascii="Times New Roman" w:hAnsi="Times New Roman" w:cs="Times New Roman"/>
          <w:bCs/>
          <w:szCs w:val="24"/>
        </w:rPr>
        <w:t xml:space="preserve"> </w:t>
      </w:r>
      <w:proofErr w:type="spellStart"/>
      <w:r w:rsidRPr="00CA344E">
        <w:rPr>
          <w:rFonts w:ascii="Times New Roman" w:hAnsi="Times New Roman" w:cs="Times New Roman"/>
          <w:bCs/>
          <w:szCs w:val="24"/>
        </w:rPr>
        <w:t>actum</w:t>
      </w:r>
      <w:proofErr w:type="spellEnd"/>
      <w:r w:rsidRPr="00CA344E">
        <w:rPr>
          <w:rFonts w:ascii="Times New Roman" w:hAnsi="Times New Roman" w:cs="Times New Roman"/>
          <w:bCs/>
          <w:szCs w:val="24"/>
        </w:rPr>
        <w:t> w odniesieniu do przepisów proceduralnych</w:t>
      </w:r>
      <w:r w:rsidRPr="0091207C">
        <w:rPr>
          <w:rFonts w:ascii="Times New Roman" w:hAnsi="Times New Roman" w:cs="Times New Roman"/>
          <w:szCs w:val="24"/>
        </w:rPr>
        <w:t xml:space="preserve"> (wyrok </w:t>
      </w:r>
      <w:bookmarkStart w:id="12" w:name="_Hlk186982056"/>
      <w:r w:rsidRPr="0091207C">
        <w:rPr>
          <w:rFonts w:ascii="Times New Roman" w:hAnsi="Times New Roman" w:cs="Times New Roman"/>
          <w:szCs w:val="24"/>
        </w:rPr>
        <w:t xml:space="preserve">w sprawie </w:t>
      </w:r>
      <w:proofErr w:type="spellStart"/>
      <w:r w:rsidRPr="0091207C">
        <w:rPr>
          <w:rFonts w:ascii="Times New Roman" w:hAnsi="Times New Roman" w:cs="Times New Roman"/>
          <w:szCs w:val="24"/>
        </w:rPr>
        <w:t>Scoppola</w:t>
      </w:r>
      <w:proofErr w:type="spellEnd"/>
      <w:r w:rsidRPr="0091207C">
        <w:rPr>
          <w:rFonts w:ascii="Times New Roman" w:hAnsi="Times New Roman" w:cs="Times New Roman"/>
          <w:szCs w:val="24"/>
        </w:rPr>
        <w:t xml:space="preserve"> przeciwko Włochom (nr 2) [Wielka Izba], nr 10249/03, 17 września 2009 r. pkt 110, </w:t>
      </w:r>
      <w:bookmarkEnd w:id="12"/>
      <w:r w:rsidRPr="00A0500E">
        <w:t>https://hudoc.echr.coe.int/fre#{%22itemid%22:[%22001-94135%22]}</w:t>
      </w:r>
      <w:r w:rsidRPr="0091207C">
        <w:rPr>
          <w:rFonts w:ascii="Times New Roman" w:hAnsi="Times New Roman" w:cs="Times New Roman"/>
          <w:szCs w:val="24"/>
        </w:rPr>
        <w:t>).</w:t>
      </w:r>
    </w:p>
    <w:p w14:paraId="273D75E5" w14:textId="77777777" w:rsidR="0091207C" w:rsidRPr="0091207C" w:rsidRDefault="0091207C" w:rsidP="00A0500E">
      <w:pPr>
        <w:pStyle w:val="ARTartustawynprozporzdzenia"/>
        <w:spacing w:before="0"/>
        <w:ind w:firstLine="0"/>
      </w:pPr>
    </w:p>
    <w:p w14:paraId="1A0B8E3F" w14:textId="0288235F" w:rsidR="0091207C" w:rsidRPr="0091207C" w:rsidRDefault="0091207C" w:rsidP="00A0500E">
      <w:pPr>
        <w:pStyle w:val="ARTartustawynprozporzdzenia"/>
        <w:spacing w:before="0"/>
        <w:rPr>
          <w:rFonts w:ascii="Times New Roman" w:hAnsi="Times New Roman" w:cs="Times New Roman"/>
          <w:szCs w:val="24"/>
        </w:rPr>
      </w:pPr>
      <w:r w:rsidRPr="0091207C">
        <w:rPr>
          <w:rStyle w:val="Ppogrubienie"/>
          <w:rFonts w:ascii="Times New Roman" w:hAnsi="Times New Roman" w:cs="Times New Roman"/>
          <w:szCs w:val="24"/>
        </w:rPr>
        <w:t>Art. 2</w:t>
      </w:r>
      <w:r w:rsidR="008A1B53">
        <w:rPr>
          <w:rStyle w:val="Ppogrubienie"/>
          <w:rFonts w:ascii="Times New Roman" w:hAnsi="Times New Roman" w:cs="Times New Roman"/>
          <w:szCs w:val="24"/>
        </w:rPr>
        <w:t>4</w:t>
      </w:r>
    </w:p>
    <w:p w14:paraId="1FCBE73C" w14:textId="1899FD13" w:rsidR="0091207C" w:rsidRDefault="0091207C" w:rsidP="0091207C">
      <w:pPr>
        <w:pStyle w:val="ARTartustawynprozporzdzenia"/>
        <w:spacing w:before="0"/>
        <w:rPr>
          <w:rFonts w:ascii="Times New Roman" w:hAnsi="Times New Roman" w:cs="Times New Roman"/>
          <w:szCs w:val="24"/>
        </w:rPr>
      </w:pPr>
      <w:r w:rsidRPr="0091207C">
        <w:rPr>
          <w:rFonts w:ascii="Times New Roman" w:hAnsi="Times New Roman" w:cs="Times New Roman"/>
          <w:szCs w:val="24"/>
        </w:rPr>
        <w:t>Wskazany przepis stanowi, że „Czynności procesowe dokonane przed dniem wejścia w życie niniejszej ustawy są skuteczne, jeżeli zostały dokonane z zachowaniem przepisów dotychczasowych”. Respektowanie tej zasady jest powszechnie przyjęte przy dokonywaniu zmian przepisów procesowych ustaw karnych. W ten sposób ustawa nowelizacyjna zapewnia poszanowanie praw nabytych mające zakotwiczenie konstytucyjne. Jak wskazuje TK, "</w:t>
      </w:r>
      <w:r w:rsidRPr="0091207C">
        <w:rPr>
          <w:rFonts w:ascii="Times New Roman" w:hAnsi="Times New Roman" w:cs="Times New Roman"/>
          <w:i/>
          <w:iCs/>
          <w:szCs w:val="24"/>
        </w:rPr>
        <w:t>Zasadę niedziałania prawa wstecz TK rozumie szerzej, nie tylko jako zakaz stanowie</w:t>
      </w:r>
      <w:r w:rsidRPr="0091207C">
        <w:rPr>
          <w:rFonts w:ascii="Times New Roman" w:hAnsi="Times New Roman" w:cs="Times New Roman"/>
          <w:bCs/>
          <w:i/>
          <w:iCs/>
          <w:szCs w:val="24"/>
        </w:rPr>
        <w:t xml:space="preserve">nia norm prawnych, które nakazywałyby stosować nowo ustanowione normy prawne do zdarzeń, które miały miejsce przed ich wejściem w życie i z którymi prawo nie wiązało dotąd skutków prawnych (zasada lex retro non </w:t>
      </w:r>
      <w:proofErr w:type="spellStart"/>
      <w:r w:rsidRPr="0091207C">
        <w:rPr>
          <w:rFonts w:ascii="Times New Roman" w:hAnsi="Times New Roman" w:cs="Times New Roman"/>
          <w:bCs/>
          <w:i/>
          <w:iCs/>
          <w:szCs w:val="24"/>
        </w:rPr>
        <w:t>agit</w:t>
      </w:r>
      <w:proofErr w:type="spellEnd"/>
      <w:r w:rsidRPr="0091207C">
        <w:rPr>
          <w:rFonts w:ascii="Times New Roman" w:hAnsi="Times New Roman" w:cs="Times New Roman"/>
          <w:bCs/>
          <w:i/>
          <w:iCs/>
          <w:szCs w:val="24"/>
        </w:rPr>
        <w:t xml:space="preserve"> we właściwym tego słowa znaczeniu), lecz także jako</w:t>
      </w:r>
      <w:r w:rsidRPr="0091207C">
        <w:rPr>
          <w:rFonts w:ascii="Times New Roman" w:hAnsi="Times New Roman" w:cs="Times New Roman"/>
          <w:b/>
          <w:i/>
          <w:iCs/>
          <w:szCs w:val="24"/>
        </w:rPr>
        <w:t xml:space="preserve"> </w:t>
      </w:r>
      <w:r w:rsidRPr="00CA344E">
        <w:rPr>
          <w:rFonts w:ascii="Times New Roman" w:hAnsi="Times New Roman" w:cs="Times New Roman"/>
          <w:bCs/>
          <w:i/>
          <w:iCs/>
          <w:szCs w:val="24"/>
        </w:rPr>
        <w:t>zakaz stanowienia intertemporalnych reguł, które mają określić treść stosunków prawnych powstałych pod rządami dawnych norm, a trwających w okresie wejścia w życie</w:t>
      </w:r>
      <w:r w:rsidRPr="0091207C">
        <w:rPr>
          <w:rFonts w:ascii="Times New Roman" w:hAnsi="Times New Roman" w:cs="Times New Roman"/>
          <w:b/>
          <w:i/>
          <w:iCs/>
          <w:szCs w:val="24"/>
        </w:rPr>
        <w:t xml:space="preserve"> </w:t>
      </w:r>
      <w:r w:rsidRPr="0091207C">
        <w:rPr>
          <w:rFonts w:ascii="Times New Roman" w:hAnsi="Times New Roman" w:cs="Times New Roman"/>
          <w:bCs/>
          <w:i/>
          <w:iCs/>
          <w:szCs w:val="24"/>
        </w:rPr>
        <w:t xml:space="preserve">norm nowo ustanowionych, jeżeli reguły te wywołują ujemne prawne (a w konsekwencji społeczne) następstwa dla bezpieczeństwa prawnego i </w:t>
      </w:r>
      <w:r w:rsidRPr="00CA344E">
        <w:rPr>
          <w:rFonts w:ascii="Times New Roman" w:hAnsi="Times New Roman" w:cs="Times New Roman"/>
          <w:bCs/>
          <w:i/>
          <w:iCs/>
          <w:szCs w:val="24"/>
        </w:rPr>
        <w:t>poszanowania praw nabytych.</w:t>
      </w:r>
      <w:r w:rsidRPr="0091207C">
        <w:rPr>
          <w:rFonts w:ascii="Times New Roman" w:hAnsi="Times New Roman" w:cs="Times New Roman"/>
          <w:bCs/>
          <w:i/>
          <w:iCs/>
          <w:szCs w:val="24"/>
        </w:rPr>
        <w:t xml:space="preserve"> (…) zasada zaufania </w:t>
      </w:r>
      <w:r w:rsidRPr="0091207C">
        <w:rPr>
          <w:rFonts w:ascii="Times New Roman" w:hAnsi="Times New Roman" w:cs="Times New Roman"/>
          <w:bCs/>
          <w:i/>
          <w:iCs/>
          <w:szCs w:val="24"/>
        </w:rPr>
        <w:lastRenderedPageBreak/>
        <w:t>do państwa wymaga, by mocy wstecznej nie nadawać przepisom, które regulują prawa i obowiązki obywateli i pogarszają ich sytuację prawną</w:t>
      </w:r>
      <w:r w:rsidRPr="0091207C">
        <w:rPr>
          <w:rFonts w:ascii="Times New Roman" w:hAnsi="Times New Roman" w:cs="Times New Roman"/>
          <w:bCs/>
          <w:szCs w:val="24"/>
        </w:rPr>
        <w:t>"</w:t>
      </w:r>
      <w:r w:rsidRPr="0091207C">
        <w:rPr>
          <w:rFonts w:ascii="Times New Roman" w:hAnsi="Times New Roman" w:cs="Times New Roman"/>
          <w:szCs w:val="24"/>
        </w:rPr>
        <w:t xml:space="preserve"> (wyrok TK z dnia 19 marca 2007 r. K 47/05).</w:t>
      </w:r>
    </w:p>
    <w:p w14:paraId="7C886AF6" w14:textId="77777777" w:rsidR="006C0A8D" w:rsidRPr="00CC4D5B" w:rsidRDefault="006C0A8D" w:rsidP="00A0500E">
      <w:pPr>
        <w:pStyle w:val="ARTartustawynprozporzdzenia"/>
        <w:spacing w:before="0"/>
        <w:rPr>
          <w:bCs/>
        </w:rPr>
      </w:pPr>
    </w:p>
    <w:p w14:paraId="20FAEE3F" w14:textId="1032BDF3" w:rsidR="0091207C" w:rsidRDefault="0091207C" w:rsidP="00A0500E">
      <w:pPr>
        <w:pStyle w:val="NormalnyWeb"/>
        <w:spacing w:before="0" w:beforeAutospacing="0" w:after="0" w:afterAutospacing="0" w:line="360" w:lineRule="auto"/>
        <w:ind w:firstLine="510"/>
        <w:jc w:val="both"/>
        <w:rPr>
          <w:b/>
          <w:bCs/>
        </w:rPr>
      </w:pPr>
      <w:r w:rsidRPr="0091207C">
        <w:rPr>
          <w:b/>
          <w:bCs/>
        </w:rPr>
        <w:t>Art. 2</w:t>
      </w:r>
      <w:r w:rsidR="008A1B53">
        <w:rPr>
          <w:b/>
          <w:bCs/>
        </w:rPr>
        <w:t>6</w:t>
      </w:r>
      <w:r w:rsidRPr="0091207C">
        <w:rPr>
          <w:b/>
          <w:bCs/>
        </w:rPr>
        <w:t xml:space="preserve"> i </w:t>
      </w:r>
      <w:r w:rsidR="00DC1753">
        <w:rPr>
          <w:b/>
          <w:bCs/>
        </w:rPr>
        <w:t>3</w:t>
      </w:r>
      <w:r w:rsidR="008A1B53">
        <w:rPr>
          <w:b/>
          <w:bCs/>
        </w:rPr>
        <w:t>3</w:t>
      </w:r>
    </w:p>
    <w:p w14:paraId="0AA43D01" w14:textId="64F1DB3C" w:rsidR="0091207C" w:rsidRPr="00A0500E" w:rsidRDefault="0091207C" w:rsidP="00A0500E">
      <w:pPr>
        <w:pStyle w:val="NormalnyWeb"/>
        <w:spacing w:before="0" w:beforeAutospacing="0" w:after="0" w:afterAutospacing="0" w:line="360" w:lineRule="auto"/>
        <w:ind w:firstLine="510"/>
        <w:jc w:val="both"/>
        <w:rPr>
          <w:b/>
          <w:bCs/>
        </w:rPr>
      </w:pPr>
      <w:r w:rsidRPr="0091207C">
        <w:t xml:space="preserve">Pierwszy ze wskazanych przepisów stanowi, że „Jeżeli na podstawie niniejszej ustawy nastąpiła zmiana właściwości lub składu sądu, do czasu zakończenia postępowania w danej instancji orzeka sąd dotychczas właściwy lub w dotychczasowym składzie”. Natomiast drugi z przepisów wskazuje, że „Postępowanie przygotowawcze wszczęte i niezakończone przed dniem wejścia w życie niniejszej ustawy, </w:t>
      </w:r>
      <w:r w:rsidR="006B2304">
        <w:t xml:space="preserve">jest </w:t>
      </w:r>
      <w:r w:rsidRPr="0091207C">
        <w:t>prowadzone nadal w dotychczasowej formie”.</w:t>
      </w:r>
    </w:p>
    <w:p w14:paraId="255BC04D" w14:textId="59C9A48D" w:rsidR="0091207C" w:rsidRPr="0091207C" w:rsidRDefault="0091207C" w:rsidP="00A0500E">
      <w:pPr>
        <w:pStyle w:val="NormalnyWeb"/>
        <w:spacing w:before="0" w:beforeAutospacing="0" w:after="0" w:afterAutospacing="0" w:line="360" w:lineRule="auto"/>
        <w:ind w:firstLine="510"/>
        <w:jc w:val="both"/>
      </w:pPr>
      <w:r w:rsidRPr="0091207C">
        <w:t>Przewidziane w tych przepisach regulacje stanowią wyjątki od zasady bezpośredniego działania nowego prawa procesowego. Są to przepisy powszechnie stosowane przy nowelizacji przepisów Kodeksu postepowania karnego. Ich celem jest zapewnienie ekonomiki i sprawnego zakończenia postępowania, które zaczęło się toczyć przed wejściem w życie nowelizacji. Zasada stosowania przepisów dotychczasowych, określających skład i właściwość sądu obowiązuje do czasu zakończenia sprawy w danej instancji, także jeżeli nastąpiło odroczenie rozprawy, czy też podjęcie zawieszonego postępowania.</w:t>
      </w:r>
    </w:p>
    <w:p w14:paraId="3411BD87" w14:textId="77777777" w:rsidR="0091207C" w:rsidRDefault="0091207C" w:rsidP="0091207C">
      <w:pPr>
        <w:pStyle w:val="ARTartustawynprozporzdzenia"/>
        <w:spacing w:before="0"/>
        <w:ind w:firstLine="0"/>
        <w:rPr>
          <w:rStyle w:val="Ppogrubienie"/>
          <w:rFonts w:ascii="Times New Roman" w:hAnsi="Times New Roman" w:cs="Times New Roman"/>
          <w:szCs w:val="24"/>
        </w:rPr>
      </w:pPr>
    </w:p>
    <w:p w14:paraId="4BED1F04" w14:textId="05ADC3AF" w:rsidR="0091207C" w:rsidRPr="0091207C" w:rsidRDefault="0091207C" w:rsidP="00A0500E">
      <w:pPr>
        <w:pStyle w:val="ARTartustawynprozporzdzenia"/>
        <w:spacing w:before="0"/>
        <w:rPr>
          <w:rFonts w:ascii="Times New Roman" w:hAnsi="Times New Roman" w:cs="Times New Roman"/>
          <w:szCs w:val="24"/>
        </w:rPr>
      </w:pPr>
      <w:r w:rsidRPr="0091207C">
        <w:rPr>
          <w:rStyle w:val="Ppogrubienie"/>
          <w:rFonts w:ascii="Times New Roman" w:hAnsi="Times New Roman" w:cs="Times New Roman"/>
          <w:szCs w:val="24"/>
        </w:rPr>
        <w:t xml:space="preserve">Art. </w:t>
      </w:r>
      <w:r w:rsidR="008A1B53">
        <w:rPr>
          <w:rStyle w:val="Ppogrubienie"/>
          <w:rFonts w:ascii="Times New Roman" w:hAnsi="Times New Roman" w:cs="Times New Roman"/>
          <w:szCs w:val="24"/>
        </w:rPr>
        <w:t>27</w:t>
      </w:r>
    </w:p>
    <w:p w14:paraId="3D0BC22F" w14:textId="053AE298" w:rsidR="0091207C" w:rsidRDefault="0091207C" w:rsidP="005F350A">
      <w:pPr>
        <w:pStyle w:val="ARTartustawynprozporzdzenia"/>
        <w:spacing w:before="0"/>
        <w:rPr>
          <w:rFonts w:ascii="Times New Roman" w:eastAsia="Times New Roman" w:hAnsi="Times New Roman" w:cs="Times New Roman"/>
          <w:szCs w:val="24"/>
        </w:rPr>
      </w:pPr>
      <w:r w:rsidRPr="0091207C">
        <w:rPr>
          <w:rFonts w:ascii="Times New Roman" w:hAnsi="Times New Roman" w:cs="Times New Roman"/>
          <w:szCs w:val="24"/>
        </w:rPr>
        <w:t xml:space="preserve">Wskazany przepis stanowi, że „Niezwłocznie po dniu wejścia w życie niniejszej ustawy właściwy organ procesowy przekazuje stronom i innym osobom uprawnionym informację o zmianie zakresu ich uprawnień lub obowiązków wynikających ze zmiany ustawy zmienianej w art. 2 w brzmieniu nadanym niniejszą ustawą”. </w:t>
      </w:r>
      <w:r w:rsidRPr="0091207C">
        <w:rPr>
          <w:rFonts w:ascii="Times New Roman" w:eastAsia="Times New Roman" w:hAnsi="Times New Roman" w:cs="Times New Roman"/>
          <w:szCs w:val="24"/>
        </w:rPr>
        <w:t>Z uwagi na zmiany zakresu uprawnień i obowiązków stron procesowych, jakie przewiduje ustawa nowelizująca projekt zakłada obowiązek organów procesowych, właściwych w danej fazie postępowania,</w:t>
      </w:r>
      <w:r w:rsidR="00F8431D">
        <w:rPr>
          <w:rFonts w:ascii="Times New Roman" w:eastAsia="Times New Roman" w:hAnsi="Times New Roman" w:cs="Times New Roman"/>
          <w:szCs w:val="24"/>
        </w:rPr>
        <w:t xml:space="preserve"> </w:t>
      </w:r>
      <w:r w:rsidRPr="0091207C">
        <w:rPr>
          <w:rFonts w:ascii="Times New Roman" w:eastAsia="Times New Roman" w:hAnsi="Times New Roman" w:cs="Times New Roman"/>
          <w:szCs w:val="24"/>
        </w:rPr>
        <w:t xml:space="preserve">niezwłocznego poinformowania stron i innych podmiotów uprawnionych, o zmianie dotychczasowego zakresu praw i obowiązków procesowych. Brak takiego poinformowania mógłby w niektórych przypadkach stanowić podstawę do stwierdzenia naruszenia uprawnień procesowych stron, stąd tak istotnym jest, by nastąpiło ono niezwłocznie po wejściu w życiu projektowanej ustawy. </w:t>
      </w:r>
    </w:p>
    <w:p w14:paraId="4264D5B2" w14:textId="77777777" w:rsidR="005F350A" w:rsidRDefault="005F350A" w:rsidP="005F350A">
      <w:pPr>
        <w:pStyle w:val="ARTartustawynprozporzdzenia"/>
        <w:spacing w:before="0"/>
        <w:rPr>
          <w:b/>
          <w:bCs/>
        </w:rPr>
      </w:pPr>
    </w:p>
    <w:p w14:paraId="3215C5BF" w14:textId="2EB3CA4E" w:rsidR="004C02F0" w:rsidRPr="00A0500E" w:rsidRDefault="004C02F0" w:rsidP="005F350A">
      <w:pPr>
        <w:pStyle w:val="ARTartustawynprozporzdzenia"/>
        <w:spacing w:before="0"/>
        <w:rPr>
          <w:b/>
          <w:bCs/>
        </w:rPr>
      </w:pPr>
      <w:r w:rsidRPr="00A0500E">
        <w:rPr>
          <w:b/>
          <w:bCs/>
        </w:rPr>
        <w:t xml:space="preserve">Art. </w:t>
      </w:r>
      <w:r w:rsidR="008A1B53">
        <w:rPr>
          <w:b/>
          <w:bCs/>
        </w:rPr>
        <w:t>28</w:t>
      </w:r>
    </w:p>
    <w:p w14:paraId="380D42B4" w14:textId="7CE57F21" w:rsidR="004C02F0" w:rsidRDefault="004C02F0" w:rsidP="005F350A">
      <w:pPr>
        <w:pStyle w:val="ARTartustawynprozporzdzenia"/>
        <w:spacing w:before="0"/>
      </w:pPr>
      <w:r>
        <w:t>Zgodnie z projektowanym przepisem przejściowym</w:t>
      </w:r>
      <w:r w:rsidR="00D440ED">
        <w:t xml:space="preserve"> dotyczącym nowelizacji k.p.k.</w:t>
      </w:r>
      <w:r>
        <w:t xml:space="preserve">, w przypadku, gdy </w:t>
      </w:r>
      <w:r w:rsidR="00733504">
        <w:t>powstała</w:t>
      </w:r>
      <w:r>
        <w:t xml:space="preserve"> potrzeba wyznaczenia obrońcy dla os</w:t>
      </w:r>
      <w:r w:rsidR="00733504">
        <w:t>oby, która wcześniej korzystała z obrońcy na podstawie</w:t>
      </w:r>
      <w:r>
        <w:t xml:space="preserve"> art. 79 </w:t>
      </w:r>
      <w:r w:rsidRPr="00D20780">
        <w:t>§</w:t>
      </w:r>
      <w:r>
        <w:t xml:space="preserve"> 1 pkt 1 </w:t>
      </w:r>
      <w:r w:rsidR="00D440ED">
        <w:t>ww. ustawy (oskarżony</w:t>
      </w:r>
      <w:r w:rsidR="00796D23">
        <w:t xml:space="preserve"> – </w:t>
      </w:r>
      <w:r w:rsidR="00D440ED">
        <w:t>jeżeli nie ukończył 18 lat)</w:t>
      </w:r>
      <w:r>
        <w:t xml:space="preserve">, </w:t>
      </w:r>
      <w:r>
        <w:lastRenderedPageBreak/>
        <w:t xml:space="preserve">wyznacza się obrońcę i określa czas niezbędny na zapoznanie się ze sprawą. W </w:t>
      </w:r>
      <w:r w:rsidR="00D440ED">
        <w:t>tym przypadku</w:t>
      </w:r>
      <w:r>
        <w:t xml:space="preserve"> na wniosek oskarżonego lub obrońcy</w:t>
      </w:r>
      <w:r w:rsidR="00D440ED">
        <w:t xml:space="preserve"> będzie</w:t>
      </w:r>
      <w:r>
        <w:t xml:space="preserve"> powtarza</w:t>
      </w:r>
      <w:r w:rsidR="00D440ED">
        <w:t>ło</w:t>
      </w:r>
      <w:r>
        <w:t xml:space="preserve"> się czynności dowodowe</w:t>
      </w:r>
      <w:r w:rsidR="00733504">
        <w:t xml:space="preserve"> dokonane bez udziału obrońcy</w:t>
      </w:r>
      <w:r>
        <w:t xml:space="preserve">, chyba że nie </w:t>
      </w:r>
      <w:r w:rsidR="00D440ED">
        <w:t>będzie</w:t>
      </w:r>
      <w:r>
        <w:t xml:space="preserve"> to możliwe, albo </w:t>
      </w:r>
      <w:r w:rsidR="00D440ED">
        <w:t>będzie</w:t>
      </w:r>
      <w:r>
        <w:t xml:space="preserve"> to znacznie utrudnione</w:t>
      </w:r>
      <w:r w:rsidR="00733504">
        <w:t xml:space="preserve">, a </w:t>
      </w:r>
      <w:r w:rsidR="006B2304">
        <w:t>po</w:t>
      </w:r>
      <w:r w:rsidR="00733504">
        <w:t>nadto gdy jest oczywiste, że odstąpienie od przeprowadzenia tych czynności nie naruszy prawa oskarżonego do rzetelnego procesu</w:t>
      </w:r>
      <w:r>
        <w:t xml:space="preserve">. </w:t>
      </w:r>
    </w:p>
    <w:p w14:paraId="0DFB3EBC" w14:textId="77777777" w:rsidR="005F350A" w:rsidRDefault="005F350A" w:rsidP="005F350A">
      <w:pPr>
        <w:pStyle w:val="ARTartustawynprozporzdzenia"/>
        <w:spacing w:before="0"/>
        <w:rPr>
          <w:b/>
          <w:bCs/>
        </w:rPr>
      </w:pPr>
    </w:p>
    <w:p w14:paraId="69427D0C" w14:textId="7F62D7BC" w:rsidR="00D07552" w:rsidRPr="00A0500E" w:rsidRDefault="004C02F0" w:rsidP="005F350A">
      <w:pPr>
        <w:pStyle w:val="ARTartustawynprozporzdzenia"/>
        <w:spacing w:before="0"/>
        <w:rPr>
          <w:b/>
          <w:bCs/>
        </w:rPr>
      </w:pPr>
      <w:r w:rsidRPr="00A0500E">
        <w:rPr>
          <w:b/>
          <w:bCs/>
        </w:rPr>
        <w:t xml:space="preserve">Art. </w:t>
      </w:r>
      <w:r w:rsidR="008A1B53">
        <w:rPr>
          <w:b/>
          <w:bCs/>
        </w:rPr>
        <w:t>29</w:t>
      </w:r>
    </w:p>
    <w:p w14:paraId="6FC4C68F" w14:textId="66D15E88" w:rsidR="004C02F0" w:rsidRDefault="00D07552" w:rsidP="005F350A">
      <w:pPr>
        <w:pStyle w:val="ARTartustawynprozporzdzenia"/>
        <w:spacing w:before="0"/>
      </w:pPr>
      <w:r>
        <w:t xml:space="preserve">Na podstawie projektowanego </w:t>
      </w:r>
      <w:r w:rsidR="008A1B53">
        <w:t>przepisu</w:t>
      </w:r>
      <w:r>
        <w:t xml:space="preserve"> p</w:t>
      </w:r>
      <w:r w:rsidR="004C02F0">
        <w:t>ostanowieni</w:t>
      </w:r>
      <w:r w:rsidR="00733504">
        <w:t xml:space="preserve">e o zwolnieniu z tajemnicy tłumacza przysięgłego wydane na podstawie art. 180 § 1 </w:t>
      </w:r>
      <w:r w:rsidR="00C75A7C">
        <w:t>k.p.k.</w:t>
      </w:r>
      <w:r w:rsidR="00733504">
        <w:t>, staje się bezskuteczne</w:t>
      </w:r>
      <w:r w:rsidR="004771D2">
        <w:t>,</w:t>
      </w:r>
      <w:r w:rsidR="00362092">
        <w:t xml:space="preserve"> </w:t>
      </w:r>
      <w:r w:rsidR="00733504">
        <w:t xml:space="preserve">chyba że doszło już do przesłuchania osoby zwolnionej w tajemnicy. Wykonalność postanowień wydanych na podstawie art. 180 § 2 k.p.k., przed dniem wejścia w życie projektowanych rozwiązań, będzie podlegała ocenie </w:t>
      </w:r>
      <w:r w:rsidR="00C75A7C">
        <w:t xml:space="preserve">według przepisów obowiązujących w dniu wydania tych postanowień. </w:t>
      </w:r>
    </w:p>
    <w:p w14:paraId="2FDE57E5" w14:textId="77777777" w:rsidR="005F350A" w:rsidRDefault="005F350A" w:rsidP="005F350A">
      <w:pPr>
        <w:pStyle w:val="ARTartustawynprozporzdzenia"/>
        <w:spacing w:before="0"/>
        <w:rPr>
          <w:b/>
          <w:bCs/>
        </w:rPr>
      </w:pPr>
    </w:p>
    <w:p w14:paraId="7227500C" w14:textId="439114F8" w:rsidR="00D07552" w:rsidRDefault="004C02F0" w:rsidP="005F350A">
      <w:pPr>
        <w:pStyle w:val="ARTartustawynprozporzdzenia"/>
        <w:spacing w:before="0"/>
        <w:rPr>
          <w:b/>
          <w:bCs/>
        </w:rPr>
      </w:pPr>
      <w:r w:rsidRPr="00A0500E">
        <w:rPr>
          <w:b/>
          <w:bCs/>
        </w:rPr>
        <w:t>Art. 3</w:t>
      </w:r>
      <w:r w:rsidR="008A1B53">
        <w:rPr>
          <w:b/>
          <w:bCs/>
        </w:rPr>
        <w:t>0</w:t>
      </w:r>
    </w:p>
    <w:p w14:paraId="1FBBFB31" w14:textId="092463B9" w:rsidR="00C75A7C" w:rsidRPr="00A0500E" w:rsidRDefault="00C75A7C" w:rsidP="005F350A">
      <w:pPr>
        <w:pStyle w:val="ARTartustawynprozporzdzenia"/>
        <w:spacing w:before="0"/>
        <w:rPr>
          <w:b/>
          <w:bCs/>
        </w:rPr>
      </w:pPr>
      <w:r>
        <w:t>P</w:t>
      </w:r>
      <w:r w:rsidRPr="00E6583D">
        <w:t>ostanowienie o zwolnieniu z tajemnicy notarialnej, doradcy podatkowego, tłumacza przysięgłego oraz tajemnicy Prokuratorii Generalnej Rzeczypospolitej Polskiej wydane na podstawie art. 41 §</w:t>
      </w:r>
      <w:r>
        <w:t xml:space="preserve"> </w:t>
      </w:r>
      <w:r w:rsidRPr="00E6583D">
        <w:t xml:space="preserve">3 </w:t>
      </w:r>
      <w:proofErr w:type="spellStart"/>
      <w:r>
        <w:t>k.p.w</w:t>
      </w:r>
      <w:proofErr w:type="spellEnd"/>
      <w:r>
        <w:t>.,</w:t>
      </w:r>
      <w:r w:rsidRPr="00E6583D">
        <w:t xml:space="preserve"> staje się bezskuteczne</w:t>
      </w:r>
      <w:r w:rsidR="00C63ABF">
        <w:t>,</w:t>
      </w:r>
      <w:r w:rsidRPr="00E6583D">
        <w:t xml:space="preserve"> chyba że doszło już do przesłuchania osoby zwolnionej z tej tajemnicy</w:t>
      </w:r>
      <w:r w:rsidR="00D05C81">
        <w:t>.</w:t>
      </w:r>
    </w:p>
    <w:p w14:paraId="3501BFE4" w14:textId="77777777" w:rsidR="005F350A" w:rsidRDefault="005F350A" w:rsidP="005F350A">
      <w:pPr>
        <w:pStyle w:val="ARTartustawynprozporzdzenia"/>
        <w:spacing w:before="0"/>
        <w:rPr>
          <w:b/>
          <w:bCs/>
        </w:rPr>
      </w:pPr>
    </w:p>
    <w:p w14:paraId="4B9C211F" w14:textId="180C901F" w:rsidR="005B78FC" w:rsidRPr="00A0500E" w:rsidRDefault="004C02F0" w:rsidP="005F350A">
      <w:pPr>
        <w:pStyle w:val="ARTartustawynprozporzdzenia"/>
        <w:spacing w:before="0"/>
        <w:rPr>
          <w:b/>
          <w:bCs/>
        </w:rPr>
      </w:pPr>
      <w:r w:rsidRPr="00A0500E">
        <w:rPr>
          <w:b/>
          <w:bCs/>
        </w:rPr>
        <w:t>Art. 3</w:t>
      </w:r>
      <w:r w:rsidR="008A1B53">
        <w:rPr>
          <w:b/>
          <w:bCs/>
        </w:rPr>
        <w:t>1</w:t>
      </w:r>
    </w:p>
    <w:p w14:paraId="52686F01" w14:textId="216D7FED" w:rsidR="004C02F0" w:rsidRDefault="005B78FC" w:rsidP="005F350A">
      <w:pPr>
        <w:pStyle w:val="ARTartustawynprozporzdzenia"/>
        <w:spacing w:before="0"/>
      </w:pPr>
      <w:r>
        <w:t>Zgodnie z projektowanym przepisem j</w:t>
      </w:r>
      <w:r w:rsidR="004C02F0">
        <w:t xml:space="preserve">eżeli w toku postępowania prowadzonego przez sąd na podstawie art. 378a </w:t>
      </w:r>
      <w:r w:rsidR="004C02F0" w:rsidRPr="00D20780">
        <w:t>§</w:t>
      </w:r>
      <w:r w:rsidR="004C02F0">
        <w:t xml:space="preserve"> 1 </w:t>
      </w:r>
      <w:r w:rsidR="00D3208B">
        <w:t>k.p.k.</w:t>
      </w:r>
      <w:r w:rsidR="004C02F0">
        <w:t xml:space="preserve"> w brzmieniu dotychczasowym, przeprowadzono post</w:t>
      </w:r>
      <w:r w:rsidR="00D3208B">
        <w:t>ę</w:t>
      </w:r>
      <w:r w:rsidR="004C02F0">
        <w:t xml:space="preserve">powanie dowodowe pod nieobecność obrońcy, </w:t>
      </w:r>
      <w:r w:rsidR="00A049F6">
        <w:t xml:space="preserve">w wypadkach określonych w art. 79 § 1 i w art. 80 k.p.k. </w:t>
      </w:r>
      <w:r w:rsidR="004C02F0">
        <w:t>na wniosek obrońcy lub oskarżonego czynności te przeprowadz</w:t>
      </w:r>
      <w:r w:rsidR="00D3208B">
        <w:t>i</w:t>
      </w:r>
      <w:r w:rsidR="004C02F0">
        <w:t xml:space="preserve"> się ponownie, chyba że nie </w:t>
      </w:r>
      <w:r w:rsidR="00D3208B">
        <w:t>będzie</w:t>
      </w:r>
      <w:r w:rsidR="004C02F0">
        <w:t xml:space="preserve"> to możliwe, albo </w:t>
      </w:r>
      <w:r w:rsidR="00D3208B">
        <w:t>będzie</w:t>
      </w:r>
      <w:r w:rsidR="004C02F0">
        <w:t xml:space="preserve"> to znacznie utrudnione, a </w:t>
      </w:r>
      <w:r w:rsidR="006B2304">
        <w:t>po</w:t>
      </w:r>
      <w:r w:rsidR="004C02F0">
        <w:t xml:space="preserve">nadto gdy </w:t>
      </w:r>
      <w:r w:rsidR="00D3208B">
        <w:t>będzie</w:t>
      </w:r>
      <w:r w:rsidR="004C02F0">
        <w:t xml:space="preserve"> oczyw</w:t>
      </w:r>
      <w:r w:rsidR="00D3208B">
        <w:t>ist</w:t>
      </w:r>
      <w:r w:rsidR="004C02F0">
        <w:t xml:space="preserve">e, że odstąpienie od przeprowadzenia tych czynności nie naruszy prawa oskarżonego do rzetelnego procesu. </w:t>
      </w:r>
    </w:p>
    <w:p w14:paraId="0853026F" w14:textId="77777777" w:rsidR="005F350A" w:rsidRDefault="005F350A" w:rsidP="005F350A">
      <w:pPr>
        <w:pStyle w:val="ARTartustawynprozporzdzenia"/>
        <w:spacing w:before="0"/>
        <w:rPr>
          <w:b/>
          <w:bCs/>
        </w:rPr>
      </w:pPr>
    </w:p>
    <w:p w14:paraId="310316FF" w14:textId="38B4BA11" w:rsidR="00D3208B" w:rsidRPr="00A0500E" w:rsidRDefault="004C02F0" w:rsidP="005F350A">
      <w:pPr>
        <w:pStyle w:val="ARTartustawynprozporzdzenia"/>
        <w:spacing w:before="0"/>
        <w:rPr>
          <w:b/>
          <w:bCs/>
        </w:rPr>
      </w:pPr>
      <w:r w:rsidRPr="00A0500E">
        <w:rPr>
          <w:b/>
          <w:bCs/>
        </w:rPr>
        <w:t>Art. 3</w:t>
      </w:r>
      <w:r w:rsidR="008A1B53">
        <w:rPr>
          <w:b/>
          <w:bCs/>
        </w:rPr>
        <w:t>2</w:t>
      </w:r>
    </w:p>
    <w:p w14:paraId="34A38A35" w14:textId="29BE2F31" w:rsidR="0091207C" w:rsidRDefault="00A049F6" w:rsidP="00CD76C2">
      <w:pPr>
        <w:pStyle w:val="ARTartustawynprozporzdzenia"/>
        <w:spacing w:before="0"/>
        <w:rPr>
          <w:rStyle w:val="Ppogrubienie"/>
          <w:rFonts w:ascii="Times New Roman" w:hAnsi="Times New Roman" w:cs="Times New Roman"/>
          <w:szCs w:val="24"/>
        </w:rPr>
      </w:pPr>
      <w:r>
        <w:t>Zgodnie z projektowanym przepisem w</w:t>
      </w:r>
      <w:r w:rsidRPr="009C5818">
        <w:t xml:space="preserve"> sprawach</w:t>
      </w:r>
      <w:r>
        <w:t>,</w:t>
      </w:r>
      <w:r w:rsidRPr="009C5818">
        <w:t xml:space="preserve"> w których wniesiono apelację od wyroku częściowego przepis art. 448 § 1a </w:t>
      </w:r>
      <w:r>
        <w:t>k.p.k.</w:t>
      </w:r>
      <w:r w:rsidRPr="009C5818">
        <w:t xml:space="preserve"> w brzmieniu dotychczasowym</w:t>
      </w:r>
      <w:r>
        <w:t>,</w:t>
      </w:r>
      <w:r w:rsidRPr="009C5818">
        <w:t xml:space="preserve"> stosuje się w postępowaniu</w:t>
      </w:r>
      <w:r>
        <w:t>,</w:t>
      </w:r>
      <w:r w:rsidRPr="009C5818">
        <w:t xml:space="preserve"> w którym taka apelacja jest rozpoznawana</w:t>
      </w:r>
      <w:r w:rsidR="004771D2">
        <w:t>.</w:t>
      </w:r>
    </w:p>
    <w:p w14:paraId="43C8D61B" w14:textId="77777777" w:rsidR="005F350A" w:rsidRDefault="005F350A" w:rsidP="005F350A">
      <w:pPr>
        <w:pStyle w:val="ARTartustawynprozporzdzenia"/>
        <w:spacing w:before="0"/>
        <w:rPr>
          <w:rStyle w:val="Ppogrubienie"/>
          <w:rFonts w:ascii="Times New Roman" w:hAnsi="Times New Roman" w:cs="Times New Roman"/>
          <w:szCs w:val="24"/>
        </w:rPr>
      </w:pPr>
    </w:p>
    <w:p w14:paraId="072561B0" w14:textId="668CD4B3" w:rsidR="0091207C" w:rsidRPr="0091207C" w:rsidRDefault="0091207C" w:rsidP="005F350A">
      <w:pPr>
        <w:pStyle w:val="ARTartustawynprozporzdzenia"/>
        <w:spacing w:before="0"/>
        <w:rPr>
          <w:rFonts w:ascii="Times New Roman" w:hAnsi="Times New Roman" w:cs="Times New Roman"/>
          <w:szCs w:val="24"/>
        </w:rPr>
      </w:pPr>
      <w:r w:rsidRPr="0091207C">
        <w:rPr>
          <w:rStyle w:val="Ppogrubienie"/>
          <w:rFonts w:ascii="Times New Roman" w:hAnsi="Times New Roman" w:cs="Times New Roman"/>
          <w:szCs w:val="24"/>
        </w:rPr>
        <w:t>Art.</w:t>
      </w:r>
      <w:r w:rsidRPr="0091207C">
        <w:rPr>
          <w:rFonts w:ascii="Times New Roman" w:hAnsi="Times New Roman" w:cs="Times New Roman"/>
          <w:szCs w:val="24"/>
        </w:rPr>
        <w:t xml:space="preserve"> </w:t>
      </w:r>
      <w:r w:rsidR="00DC1753">
        <w:rPr>
          <w:rStyle w:val="Ppogrubienie"/>
          <w:rFonts w:ascii="Times New Roman" w:hAnsi="Times New Roman" w:cs="Times New Roman"/>
          <w:szCs w:val="24"/>
        </w:rPr>
        <w:t>3</w:t>
      </w:r>
      <w:r w:rsidR="008A1B53">
        <w:rPr>
          <w:rStyle w:val="Ppogrubienie"/>
          <w:rFonts w:ascii="Times New Roman" w:hAnsi="Times New Roman" w:cs="Times New Roman"/>
          <w:szCs w:val="24"/>
        </w:rPr>
        <w:t>4</w:t>
      </w:r>
    </w:p>
    <w:p w14:paraId="402163E5" w14:textId="77777777" w:rsidR="0091207C" w:rsidRPr="0091207C" w:rsidRDefault="0091207C" w:rsidP="005F350A">
      <w:pPr>
        <w:pStyle w:val="ARTartustawynprozporzdzenia"/>
        <w:spacing w:before="0"/>
        <w:rPr>
          <w:rFonts w:ascii="Times New Roman" w:hAnsi="Times New Roman" w:cs="Times New Roman"/>
          <w:szCs w:val="24"/>
        </w:rPr>
      </w:pPr>
      <w:r w:rsidRPr="0091207C">
        <w:rPr>
          <w:rFonts w:ascii="Times New Roman" w:hAnsi="Times New Roman" w:cs="Times New Roman"/>
          <w:szCs w:val="24"/>
        </w:rPr>
        <w:lastRenderedPageBreak/>
        <w:t xml:space="preserve">Analizowany przepis stanowi, że „Jeżeli po dniu wejścia w życie niniejszej ustawy brak jest podstaw prawnych do stosowania środka zapobiegawczego, środek taki należy niezwłocznie uchylić lub zmienić”. </w:t>
      </w:r>
      <w:r w:rsidRPr="0091207C">
        <w:rPr>
          <w:rFonts w:ascii="Times New Roman" w:eastAsia="Times New Roman" w:hAnsi="Times New Roman" w:cs="Times New Roman"/>
          <w:szCs w:val="24"/>
        </w:rPr>
        <w:t xml:space="preserve">Regulacja ta stanowi wyjątek od zasady, w myśl której czynności procesowe dokonane przed wejściem w życie nowej ustawy zachowują swoją skuteczność także później, o ile były dokonane z zachowaniem przepisów dotychczasowych. Nie powinno bowiem budzić wątpliwości, że stosowanie środków zapobiegawczych, jako ograniczających prawa i wolności obywatelskie, musi podlegać zasadzie ultima ratio a co za tym idzie, zostać zakończone jeżeli ich dalsze stosowanie nie jest bezwzględnie konieczne lub dopuszczalne. </w:t>
      </w:r>
    </w:p>
    <w:p w14:paraId="5C02228E" w14:textId="77777777" w:rsidR="0091207C" w:rsidRPr="0091207C" w:rsidRDefault="0091207C" w:rsidP="00A0500E">
      <w:pPr>
        <w:pStyle w:val="ARTartustawynprozporzdzenia"/>
        <w:spacing w:before="0"/>
        <w:ind w:firstLine="0"/>
        <w:rPr>
          <w:rFonts w:ascii="Times New Roman" w:hAnsi="Times New Roman" w:cs="Times New Roman"/>
          <w:szCs w:val="24"/>
        </w:rPr>
      </w:pPr>
    </w:p>
    <w:p w14:paraId="58F47DAC" w14:textId="46D11CBC" w:rsidR="0091207C" w:rsidRPr="0091207C" w:rsidRDefault="0091207C" w:rsidP="00A0500E">
      <w:pPr>
        <w:pStyle w:val="ARTartustawynprozporzdzenia"/>
        <w:spacing w:before="0"/>
        <w:rPr>
          <w:rFonts w:ascii="Times New Roman" w:hAnsi="Times New Roman" w:cs="Times New Roman"/>
          <w:szCs w:val="24"/>
        </w:rPr>
      </w:pPr>
      <w:r w:rsidRPr="0091207C">
        <w:rPr>
          <w:rStyle w:val="Ppogrubienie"/>
          <w:rFonts w:ascii="Times New Roman" w:hAnsi="Times New Roman" w:cs="Times New Roman"/>
          <w:szCs w:val="24"/>
        </w:rPr>
        <w:t xml:space="preserve">Art. </w:t>
      </w:r>
      <w:r w:rsidR="00DC1753">
        <w:rPr>
          <w:rStyle w:val="Ppogrubienie"/>
          <w:rFonts w:ascii="Times New Roman" w:hAnsi="Times New Roman" w:cs="Times New Roman"/>
          <w:szCs w:val="24"/>
        </w:rPr>
        <w:t>3</w:t>
      </w:r>
      <w:r w:rsidR="008A1B53">
        <w:rPr>
          <w:rStyle w:val="Ppogrubienie"/>
          <w:rFonts w:ascii="Times New Roman" w:hAnsi="Times New Roman" w:cs="Times New Roman"/>
          <w:szCs w:val="24"/>
        </w:rPr>
        <w:t>5</w:t>
      </w:r>
    </w:p>
    <w:p w14:paraId="507C572D" w14:textId="34CE4ECB" w:rsidR="0091207C" w:rsidRDefault="0091207C" w:rsidP="0091207C">
      <w:pPr>
        <w:pStyle w:val="ARTartustawynprozporzdzenia"/>
        <w:spacing w:before="0"/>
        <w:rPr>
          <w:rFonts w:ascii="Times New Roman" w:hAnsi="Times New Roman" w:cs="Times New Roman"/>
          <w:szCs w:val="24"/>
        </w:rPr>
      </w:pPr>
      <w:r w:rsidRPr="0091207C">
        <w:rPr>
          <w:rFonts w:ascii="Times New Roman" w:hAnsi="Times New Roman" w:cs="Times New Roman"/>
          <w:szCs w:val="24"/>
        </w:rPr>
        <w:t>Wskazany przepis stanowi, że „Do postanowień o umorzeniu postępowania przygotowawczego lub odmowie jego wszczęcia wydanych przed dniem wejścia w życie niniejszej ustawy stosuje się przepisy art. 55 § 1, 2 i 2b oraz art. 330 § 2 i 2a ustawy zmienianej w art. 2 w brzmieniu dotychczasowym”. Stanowi on wyjątek od zasady bezpośredniego działania ustawy nowej. Intencją zamieszczenia tego przepisu w projekcie jest zapewnienie</w:t>
      </w:r>
      <w:r w:rsidR="00F8431D">
        <w:rPr>
          <w:rFonts w:ascii="Times New Roman" w:hAnsi="Times New Roman" w:cs="Times New Roman"/>
          <w:szCs w:val="24"/>
        </w:rPr>
        <w:t xml:space="preserve"> </w:t>
      </w:r>
      <w:r w:rsidRPr="0091207C">
        <w:rPr>
          <w:rFonts w:ascii="Times New Roman" w:hAnsi="Times New Roman" w:cs="Times New Roman"/>
          <w:szCs w:val="24"/>
        </w:rPr>
        <w:t>ekonomiki i sprawnego kontynuowania postępowania w tym uniknięcie chaosu jaki mógłby powstać gdyby nowe przepisy „chwytały w locie”, a związanego np. z doręczeniem</w:t>
      </w:r>
      <w:r w:rsidR="00F8431D">
        <w:rPr>
          <w:rFonts w:ascii="Times New Roman" w:hAnsi="Times New Roman" w:cs="Times New Roman"/>
          <w:szCs w:val="24"/>
        </w:rPr>
        <w:t xml:space="preserve"> </w:t>
      </w:r>
      <w:r w:rsidRPr="0091207C">
        <w:rPr>
          <w:rFonts w:ascii="Times New Roman" w:hAnsi="Times New Roman" w:cs="Times New Roman"/>
          <w:szCs w:val="24"/>
        </w:rPr>
        <w:t xml:space="preserve">pokrzywdzonemu odpisu postanowienia o którym mowa w art. 330 § 2 k.p.k. dzień przed wejściem w życie ustawy i wniesieniem np. w dniu jej wejścia w życie zażalenia zgodnie z otrzymanym pouczeniem. </w:t>
      </w:r>
    </w:p>
    <w:p w14:paraId="01AF36EE" w14:textId="77777777" w:rsidR="006C0A8D" w:rsidRPr="0091207C" w:rsidRDefault="006C0A8D" w:rsidP="00A0500E">
      <w:pPr>
        <w:pStyle w:val="ARTartustawynprozporzdzenia"/>
        <w:spacing w:before="0"/>
      </w:pPr>
    </w:p>
    <w:p w14:paraId="4B9DBC77" w14:textId="5F4830A3" w:rsidR="0091207C" w:rsidRDefault="0091207C" w:rsidP="00A0500E">
      <w:pPr>
        <w:pStyle w:val="NormalnyWeb"/>
        <w:spacing w:before="0" w:beforeAutospacing="0" w:after="0" w:afterAutospacing="0" w:line="360" w:lineRule="auto"/>
        <w:ind w:firstLine="510"/>
        <w:jc w:val="both"/>
        <w:rPr>
          <w:b/>
          <w:bCs/>
        </w:rPr>
      </w:pPr>
      <w:r w:rsidRPr="0091207C">
        <w:rPr>
          <w:b/>
          <w:bCs/>
        </w:rPr>
        <w:t xml:space="preserve">Art. </w:t>
      </w:r>
      <w:r w:rsidR="00CB489A">
        <w:rPr>
          <w:b/>
          <w:bCs/>
        </w:rPr>
        <w:t>3</w:t>
      </w:r>
      <w:r w:rsidR="008A1B53">
        <w:rPr>
          <w:b/>
          <w:bCs/>
        </w:rPr>
        <w:t>6</w:t>
      </w:r>
    </w:p>
    <w:p w14:paraId="08A7D77A" w14:textId="37FF60A6" w:rsidR="0091207C" w:rsidRDefault="0091207C" w:rsidP="0091207C">
      <w:pPr>
        <w:pStyle w:val="NormalnyWeb"/>
        <w:spacing w:before="0" w:beforeAutospacing="0" w:after="0" w:afterAutospacing="0" w:line="360" w:lineRule="auto"/>
        <w:ind w:firstLine="510"/>
        <w:jc w:val="both"/>
        <w:rPr>
          <w:b/>
          <w:bCs/>
        </w:rPr>
      </w:pPr>
      <w:r w:rsidRPr="0091207C">
        <w:t xml:space="preserve">W przepisach przejściowych przyjęto, że art. 114 § 3 k.p.k. </w:t>
      </w:r>
      <w:r w:rsidR="006C0A8D" w:rsidRPr="00A0500E">
        <w:t>i</w:t>
      </w:r>
      <w:r w:rsidRPr="00A0500E">
        <w:t xml:space="preserve"> art. 457 § 2</w:t>
      </w:r>
      <w:r w:rsidRPr="00A0500E">
        <w:rPr>
          <w:b/>
          <w:bCs/>
        </w:rPr>
        <w:t xml:space="preserve"> </w:t>
      </w:r>
      <w:r w:rsidRPr="0091207C">
        <w:t>k.p.k. w brzmieniu nadanym niniejszą ustawą stosuje się do wyroków wydanych po dniu wejścia w życie niniejszej ustawy.</w:t>
      </w:r>
    </w:p>
    <w:p w14:paraId="4F681C1B" w14:textId="5D40591F" w:rsidR="0091207C" w:rsidRDefault="0091207C">
      <w:pPr>
        <w:pStyle w:val="NormalnyWeb"/>
        <w:spacing w:before="0" w:beforeAutospacing="0" w:after="0" w:afterAutospacing="0" w:line="360" w:lineRule="auto"/>
        <w:ind w:firstLine="510"/>
        <w:jc w:val="both"/>
      </w:pPr>
      <w:r w:rsidRPr="0091207C">
        <w:t xml:space="preserve">Przepis ten zamieszczono w projekcie, aby wykluczyć wszelkie wątpliwości jakie mogłyby się pojawić przy stosowaniu zasad ogólnych, związanych z bezpośrednim stosowaniem nowych przepisów do wyroków wydanych przed wejściem w życie ustawy ale jeszcze nie prawomocnych w tej dacie. Przyjęte rozwiązanie jest proste i nie powinno budzić wątpliwości interpretacyjnych. </w:t>
      </w:r>
    </w:p>
    <w:p w14:paraId="54D23D38" w14:textId="77777777" w:rsidR="0039649A" w:rsidRDefault="0039649A">
      <w:pPr>
        <w:pStyle w:val="NormalnyWeb"/>
        <w:spacing w:before="0" w:beforeAutospacing="0" w:after="0" w:afterAutospacing="0" w:line="360" w:lineRule="auto"/>
        <w:ind w:firstLine="510"/>
        <w:jc w:val="both"/>
      </w:pPr>
    </w:p>
    <w:p w14:paraId="4300F6C6" w14:textId="6F7EBCF8" w:rsidR="0039649A" w:rsidRDefault="0039649A" w:rsidP="0039649A">
      <w:pPr>
        <w:pStyle w:val="ARTartustawynprozporzdzenia"/>
        <w:spacing w:before="0"/>
        <w:rPr>
          <w:rStyle w:val="Ppogrubienie"/>
          <w:rFonts w:ascii="Times New Roman" w:hAnsi="Times New Roman" w:cs="Times New Roman"/>
          <w:szCs w:val="24"/>
        </w:rPr>
      </w:pPr>
      <w:r w:rsidRPr="0091207C">
        <w:rPr>
          <w:rStyle w:val="Ppogrubienie"/>
          <w:rFonts w:ascii="Times New Roman" w:hAnsi="Times New Roman" w:cs="Times New Roman"/>
          <w:szCs w:val="24"/>
        </w:rPr>
        <w:t>Art. </w:t>
      </w:r>
      <w:r w:rsidR="008A1B53">
        <w:rPr>
          <w:rStyle w:val="Ppogrubienie"/>
          <w:rFonts w:ascii="Times New Roman" w:hAnsi="Times New Roman" w:cs="Times New Roman"/>
          <w:szCs w:val="24"/>
        </w:rPr>
        <w:t>37</w:t>
      </w:r>
    </w:p>
    <w:p w14:paraId="0C8DE1BA" w14:textId="081926A0" w:rsidR="0039649A" w:rsidRPr="0091207C" w:rsidRDefault="0039649A" w:rsidP="0039649A">
      <w:pPr>
        <w:pStyle w:val="ARTartustawynprozporzdzenia"/>
        <w:spacing w:before="0"/>
        <w:rPr>
          <w:rFonts w:ascii="Times New Roman" w:hAnsi="Times New Roman" w:cs="Times New Roman"/>
          <w:b/>
          <w:szCs w:val="24"/>
        </w:rPr>
      </w:pPr>
      <w:r>
        <w:lastRenderedPageBreak/>
        <w:t xml:space="preserve">Zgodnie z projektowanym przepisem, jeżeli przed dniem wejścia w życie projektowanej ustawy doszło w sprawie do rozpoczęcia przewodu sądowego, przepis art. 12 </w:t>
      </w:r>
      <w:r w:rsidRPr="007901C9">
        <w:t>§</w:t>
      </w:r>
      <w:r>
        <w:t xml:space="preserve"> 3 k.p.k., stosuje</w:t>
      </w:r>
      <w:r w:rsidR="00781608">
        <w:t xml:space="preserve"> się</w:t>
      </w:r>
      <w:r>
        <w:t xml:space="preserve"> w brzmieniu dotychczasowym, z wyjątkiem zdania drugiego tego przepisu.</w:t>
      </w:r>
    </w:p>
    <w:p w14:paraId="3F92A2A7" w14:textId="77777777" w:rsidR="00DC1753" w:rsidRDefault="00DC1753">
      <w:pPr>
        <w:pStyle w:val="ARTartustawynprozporzdzenia"/>
        <w:spacing w:before="0"/>
        <w:rPr>
          <w:rStyle w:val="Ppogrubienie"/>
          <w:rFonts w:ascii="Times New Roman" w:hAnsi="Times New Roman" w:cs="Times New Roman"/>
          <w:szCs w:val="24"/>
        </w:rPr>
      </w:pPr>
      <w:bookmarkStart w:id="13" w:name="_Hlk178513057"/>
    </w:p>
    <w:p w14:paraId="1EF8472A" w14:textId="6C247B8A" w:rsidR="0091207C" w:rsidRPr="0091207C" w:rsidRDefault="0091207C" w:rsidP="00A0500E">
      <w:pPr>
        <w:pStyle w:val="ARTartustawynprozporzdzenia"/>
        <w:spacing w:before="0"/>
        <w:rPr>
          <w:rFonts w:ascii="Times New Roman" w:hAnsi="Times New Roman" w:cs="Times New Roman"/>
          <w:b/>
          <w:szCs w:val="24"/>
        </w:rPr>
      </w:pPr>
      <w:r w:rsidRPr="0091207C">
        <w:rPr>
          <w:rStyle w:val="Ppogrubienie"/>
          <w:rFonts w:ascii="Times New Roman" w:hAnsi="Times New Roman" w:cs="Times New Roman"/>
          <w:szCs w:val="24"/>
        </w:rPr>
        <w:t>Art. </w:t>
      </w:r>
      <w:r w:rsidR="008A1B53">
        <w:rPr>
          <w:rStyle w:val="Ppogrubienie"/>
          <w:rFonts w:ascii="Times New Roman" w:hAnsi="Times New Roman" w:cs="Times New Roman"/>
          <w:szCs w:val="24"/>
        </w:rPr>
        <w:t>38</w:t>
      </w:r>
    </w:p>
    <w:p w14:paraId="0D3B171C" w14:textId="54125B4A" w:rsidR="00FF7BD2" w:rsidRDefault="0091207C" w:rsidP="00CD76C2">
      <w:pPr>
        <w:pStyle w:val="ARTartustawynprozporzdzenia"/>
        <w:suppressAutoHyphens w:val="0"/>
        <w:autoSpaceDE/>
        <w:autoSpaceDN/>
        <w:adjustRightInd/>
        <w:spacing w:before="0"/>
        <w:rPr>
          <w:rFonts w:ascii="Times New Roman" w:hAnsi="Times New Roman" w:cs="Times New Roman"/>
          <w:szCs w:val="24"/>
        </w:rPr>
      </w:pPr>
      <w:r w:rsidRPr="0091207C">
        <w:rPr>
          <w:rFonts w:ascii="Times New Roman" w:hAnsi="Times New Roman" w:cs="Times New Roman"/>
          <w:szCs w:val="24"/>
        </w:rPr>
        <w:t>W projektowany</w:t>
      </w:r>
      <w:r w:rsidR="00CB489A">
        <w:rPr>
          <w:rFonts w:ascii="Times New Roman" w:hAnsi="Times New Roman" w:cs="Times New Roman"/>
          <w:szCs w:val="24"/>
        </w:rPr>
        <w:t>m</w:t>
      </w:r>
      <w:r w:rsidRPr="0091207C">
        <w:rPr>
          <w:rFonts w:ascii="Times New Roman" w:hAnsi="Times New Roman" w:cs="Times New Roman"/>
          <w:szCs w:val="24"/>
        </w:rPr>
        <w:t xml:space="preserve"> </w:t>
      </w:r>
      <w:r w:rsidR="008A1B53">
        <w:rPr>
          <w:rFonts w:ascii="Times New Roman" w:hAnsi="Times New Roman" w:cs="Times New Roman"/>
          <w:szCs w:val="24"/>
        </w:rPr>
        <w:t>przepisie</w:t>
      </w:r>
      <w:r w:rsidRPr="0091207C">
        <w:rPr>
          <w:rFonts w:ascii="Times New Roman" w:hAnsi="Times New Roman" w:cs="Times New Roman"/>
          <w:szCs w:val="24"/>
        </w:rPr>
        <w:t xml:space="preserve"> utrzymuje się w mocy wskazane dotychczasowe rozporządzenia wykonawcze, nie dłużej </w:t>
      </w:r>
      <w:r w:rsidR="00781608">
        <w:rPr>
          <w:rFonts w:ascii="Times New Roman" w:hAnsi="Times New Roman" w:cs="Times New Roman"/>
          <w:szCs w:val="24"/>
        </w:rPr>
        <w:t xml:space="preserve">jednak </w:t>
      </w:r>
      <w:r w:rsidRPr="0091207C">
        <w:rPr>
          <w:rFonts w:ascii="Times New Roman" w:hAnsi="Times New Roman" w:cs="Times New Roman"/>
          <w:szCs w:val="24"/>
        </w:rPr>
        <w:t xml:space="preserve">niż na określone w tych przepisach okresy. </w:t>
      </w:r>
    </w:p>
    <w:p w14:paraId="6F14F1A2" w14:textId="77777777" w:rsidR="005F350A" w:rsidRDefault="005F350A" w:rsidP="005F350A">
      <w:pPr>
        <w:pStyle w:val="ARTartustawynprozporzdzenia"/>
        <w:autoSpaceDN/>
        <w:spacing w:before="0"/>
        <w:rPr>
          <w:rFonts w:ascii="Times New Roman" w:hAnsi="Times New Roman" w:cs="Times New Roman"/>
          <w:b/>
          <w:bCs/>
        </w:rPr>
      </w:pPr>
    </w:p>
    <w:p w14:paraId="5514FE07" w14:textId="6709692E" w:rsidR="00FF7BD2" w:rsidRPr="00FF7BD2" w:rsidRDefault="00FF7BD2" w:rsidP="005F350A">
      <w:pPr>
        <w:pStyle w:val="ARTartustawynprozporzdzenia"/>
        <w:autoSpaceDN/>
        <w:spacing w:before="0"/>
        <w:rPr>
          <w:rFonts w:ascii="Times New Roman" w:hAnsi="Times New Roman" w:cs="Times New Roman"/>
          <w:b/>
          <w:bCs/>
        </w:rPr>
      </w:pPr>
      <w:r w:rsidRPr="00FF7BD2">
        <w:rPr>
          <w:rFonts w:ascii="Times New Roman" w:hAnsi="Times New Roman" w:cs="Times New Roman"/>
          <w:b/>
          <w:bCs/>
        </w:rPr>
        <w:t xml:space="preserve">Art. </w:t>
      </w:r>
      <w:r w:rsidR="008A1B53">
        <w:rPr>
          <w:rFonts w:ascii="Times New Roman" w:hAnsi="Times New Roman" w:cs="Times New Roman"/>
          <w:b/>
          <w:bCs/>
        </w:rPr>
        <w:t>39</w:t>
      </w:r>
      <w:r w:rsidRPr="00FF7BD2">
        <w:rPr>
          <w:rFonts w:ascii="Times New Roman" w:hAnsi="Times New Roman" w:cs="Times New Roman"/>
          <w:b/>
          <w:bCs/>
        </w:rPr>
        <w:t xml:space="preserve"> i 4</w:t>
      </w:r>
      <w:r w:rsidR="008A1B53">
        <w:rPr>
          <w:rFonts w:ascii="Times New Roman" w:hAnsi="Times New Roman" w:cs="Times New Roman"/>
          <w:b/>
          <w:bCs/>
        </w:rPr>
        <w:t>0</w:t>
      </w:r>
    </w:p>
    <w:p w14:paraId="0A01179C" w14:textId="631B4C7B" w:rsidR="00470863" w:rsidRPr="00FF7BD2" w:rsidRDefault="00FF7BD2" w:rsidP="005F350A">
      <w:pPr>
        <w:pStyle w:val="ARTartustawynprozporzdzenia"/>
        <w:spacing w:before="0"/>
        <w:rPr>
          <w:rFonts w:ascii="Times New Roman" w:hAnsi="Times New Roman" w:cs="Times New Roman"/>
        </w:rPr>
      </w:pPr>
      <w:r w:rsidRPr="00FF7BD2">
        <w:rPr>
          <w:rFonts w:ascii="Times New Roman" w:hAnsi="Times New Roman" w:cs="Times New Roman"/>
        </w:rPr>
        <w:t>W projektowany</w:t>
      </w:r>
      <w:r w:rsidR="008A1B53">
        <w:rPr>
          <w:rFonts w:ascii="Times New Roman" w:hAnsi="Times New Roman" w:cs="Times New Roman"/>
        </w:rPr>
        <w:t xml:space="preserve">ch przepisach </w:t>
      </w:r>
      <w:r w:rsidRPr="00FF7BD2">
        <w:rPr>
          <w:rFonts w:ascii="Times New Roman" w:hAnsi="Times New Roman" w:cs="Times New Roman"/>
        </w:rPr>
        <w:t xml:space="preserve">określono </w:t>
      </w:r>
      <w:bookmarkStart w:id="14" w:name="_Hlk196342447"/>
      <w:r w:rsidRPr="00FF7BD2">
        <w:rPr>
          <w:rFonts w:ascii="Times New Roman" w:hAnsi="Times New Roman" w:cs="Times New Roman"/>
        </w:rPr>
        <w:t>maksymalny limit wydatków Komendanta Głównego Policji i Komendanta Głównego Straży Granicznej, będący skutkiem finansowym wejścia w życie projektowanej ustawy w latach 2025–</w:t>
      </w:r>
      <w:r w:rsidR="008A1B53" w:rsidRPr="00FF7BD2">
        <w:rPr>
          <w:rFonts w:ascii="Times New Roman" w:hAnsi="Times New Roman" w:cs="Times New Roman"/>
        </w:rPr>
        <w:t>203</w:t>
      </w:r>
      <w:r w:rsidR="00FF5C16">
        <w:rPr>
          <w:rFonts w:ascii="Times New Roman" w:hAnsi="Times New Roman" w:cs="Times New Roman"/>
        </w:rPr>
        <w:t>4</w:t>
      </w:r>
      <w:r w:rsidRPr="00FF7BD2">
        <w:rPr>
          <w:rFonts w:ascii="Times New Roman" w:hAnsi="Times New Roman" w:cs="Times New Roman"/>
        </w:rPr>
        <w:t>.</w:t>
      </w:r>
      <w:bookmarkEnd w:id="14"/>
    </w:p>
    <w:bookmarkEnd w:id="13"/>
    <w:p w14:paraId="0C5CA6FE" w14:textId="77777777" w:rsidR="0091207C" w:rsidRDefault="0091207C" w:rsidP="00A0500E">
      <w:pPr>
        <w:pStyle w:val="ARTartustawynprozporzdzenia"/>
        <w:suppressAutoHyphens w:val="0"/>
        <w:autoSpaceDE/>
        <w:autoSpaceDN/>
        <w:adjustRightInd/>
        <w:spacing w:before="0"/>
      </w:pPr>
    </w:p>
    <w:p w14:paraId="7D49B1A3" w14:textId="21AFEF6C" w:rsidR="0091207C" w:rsidRDefault="0091207C" w:rsidP="00A0500E">
      <w:pPr>
        <w:pStyle w:val="NormalnyWeb"/>
        <w:spacing w:before="0" w:beforeAutospacing="0" w:after="0" w:afterAutospacing="0" w:line="360" w:lineRule="auto"/>
        <w:ind w:firstLine="510"/>
        <w:jc w:val="both"/>
        <w:rPr>
          <w:b/>
          <w:bCs/>
        </w:rPr>
      </w:pPr>
      <w:r w:rsidRPr="0091207C">
        <w:rPr>
          <w:b/>
          <w:bCs/>
        </w:rPr>
        <w:t xml:space="preserve">Art. </w:t>
      </w:r>
      <w:r w:rsidR="004C02F0">
        <w:rPr>
          <w:b/>
          <w:bCs/>
        </w:rPr>
        <w:t>4</w:t>
      </w:r>
      <w:r w:rsidR="008A1B53">
        <w:rPr>
          <w:b/>
          <w:bCs/>
        </w:rPr>
        <w:t>1</w:t>
      </w:r>
    </w:p>
    <w:p w14:paraId="70D999C0" w14:textId="032BFF22" w:rsidR="0091207C" w:rsidRDefault="0091207C" w:rsidP="00A0500E">
      <w:pPr>
        <w:pStyle w:val="NormalnyWeb"/>
        <w:spacing w:before="0" w:beforeAutospacing="0" w:after="0" w:afterAutospacing="0" w:line="360" w:lineRule="auto"/>
        <w:ind w:firstLine="510"/>
        <w:jc w:val="both"/>
      </w:pPr>
      <w:r w:rsidRPr="0091207C">
        <w:t>Przyjęte w projekcie vacatio legis uwzględnia z jednej strony pilny charakter projektowanych zmian a z drugiej strony uwzględnia konieczność zapoznania się z treścią ustawy szerokiego kręgu adresatów. Wzięto również pod uwagę konieczność przygotowania organów postępowania przygotowawczego do stworzenia warunków technicznych do realizacji obowiązku z art. 147 § 2a k.p.k.</w:t>
      </w:r>
    </w:p>
    <w:p w14:paraId="1C0246B7" w14:textId="77777777" w:rsidR="00BD56D3" w:rsidRDefault="00BD56D3" w:rsidP="00E11A68">
      <w:pPr>
        <w:pStyle w:val="NormalnyWeb"/>
        <w:spacing w:before="0" w:beforeAutospacing="0" w:after="0" w:afterAutospacing="0" w:line="360" w:lineRule="auto"/>
        <w:ind w:firstLine="708"/>
        <w:jc w:val="both"/>
      </w:pPr>
    </w:p>
    <w:p w14:paraId="32FA1ED6" w14:textId="2D75D1E7" w:rsidR="00B92242" w:rsidRDefault="00B92242" w:rsidP="00E11A68">
      <w:pPr>
        <w:pStyle w:val="NormalnyWeb"/>
        <w:spacing w:before="0" w:beforeAutospacing="0" w:after="0" w:afterAutospacing="0" w:line="360" w:lineRule="auto"/>
        <w:ind w:firstLine="708"/>
        <w:jc w:val="both"/>
      </w:pPr>
      <w:r w:rsidRPr="00B92242">
        <w:t>Projektowana regulacja nie jest sprzeczna z zakresem prawa Unii Europejskiej.</w:t>
      </w:r>
    </w:p>
    <w:p w14:paraId="278640B4" w14:textId="08D328AD" w:rsidR="00B92242" w:rsidRPr="00A0500E" w:rsidRDefault="00B92242" w:rsidP="00A0500E">
      <w:pPr>
        <w:pBdr>
          <w:top w:val="nil"/>
          <w:left w:val="nil"/>
          <w:bottom w:val="nil"/>
          <w:right w:val="nil"/>
          <w:between w:val="nil"/>
          <w:bar w:val="nil"/>
        </w:pBdr>
        <w:suppressAutoHyphens/>
        <w:ind w:firstLine="708"/>
        <w:contextualSpacing/>
        <w:rPr>
          <w:rFonts w:eastAsia="Arial Unicode MS"/>
          <w:u w:color="000000"/>
          <w:bdr w:val="nil"/>
        </w:rPr>
      </w:pPr>
      <w:r w:rsidRPr="00C835AB">
        <w:rPr>
          <w:rFonts w:ascii="Times New Roman" w:eastAsia="Arial Unicode MS" w:hAnsi="Times New Roman" w:cs="Times New Roman"/>
          <w:color w:val="auto"/>
          <w:sz w:val="24"/>
          <w:u w:color="000000"/>
          <w:bdr w:val="nil"/>
          <w:lang w:eastAsia="pl-PL"/>
        </w:rPr>
        <w:t xml:space="preserve">Projekt nie wymaga przedstawienia właściwym organom i instytucjom Unii Europejskiej, w tym Europejskiemu Bankowi Centralnemu, w celu uzyskania opinii, dokonania powiadomienia, konsultacji albo </w:t>
      </w:r>
      <w:r>
        <w:rPr>
          <w:rFonts w:ascii="Times New Roman" w:eastAsia="Arial Unicode MS" w:hAnsi="Times New Roman" w:cs="Times New Roman"/>
          <w:color w:val="auto"/>
          <w:sz w:val="24"/>
          <w:u w:color="000000"/>
          <w:bdr w:val="nil"/>
          <w:lang w:eastAsia="pl-PL"/>
        </w:rPr>
        <w:t>uzgodnienia</w:t>
      </w:r>
      <w:r w:rsidRPr="00C835AB">
        <w:rPr>
          <w:rFonts w:ascii="Times New Roman" w:eastAsia="Arial Unicode MS" w:hAnsi="Times New Roman" w:cs="Times New Roman"/>
          <w:color w:val="auto"/>
          <w:sz w:val="24"/>
          <w:u w:color="000000"/>
          <w:bdr w:val="nil"/>
          <w:lang w:eastAsia="pl-PL"/>
        </w:rPr>
        <w:t xml:space="preserve">. </w:t>
      </w:r>
    </w:p>
    <w:p w14:paraId="655ADB07" w14:textId="12A3D1E5" w:rsidR="00373C3F" w:rsidRPr="00C835AB" w:rsidRDefault="00373C3F" w:rsidP="00B92242">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Projekt nie zawiera przepisów technicznych, zatem nie podlega procedurze notyfikacji zgodnie z trybem przewidzianym w rozporządzeniu Rady Ministrów z dnia 23 grudnia 2002 r. </w:t>
      </w:r>
      <w:r w:rsidRPr="00C835AB">
        <w:rPr>
          <w:rFonts w:ascii="Times New Roman" w:hAnsi="Times New Roman" w:cs="Times New Roman"/>
          <w:iCs/>
          <w:color w:val="auto"/>
          <w:sz w:val="24"/>
        </w:rPr>
        <w:t>w sprawie sposobu funkcjonowania krajowego systemu notyfikacji norm i aktów prawnych</w:t>
      </w:r>
      <w:r w:rsidRPr="00C835AB">
        <w:rPr>
          <w:rFonts w:ascii="Times New Roman" w:hAnsi="Times New Roman" w:cs="Times New Roman"/>
          <w:color w:val="auto"/>
          <w:sz w:val="24"/>
        </w:rPr>
        <w:t xml:space="preserve"> (Dz. U. poz. 2039</w:t>
      </w:r>
      <w:r w:rsidR="00B92242">
        <w:rPr>
          <w:rFonts w:ascii="Times New Roman" w:hAnsi="Times New Roman" w:cs="Times New Roman"/>
          <w:color w:val="auto"/>
          <w:sz w:val="24"/>
        </w:rPr>
        <w:t xml:space="preserve">, z </w:t>
      </w:r>
      <w:proofErr w:type="spellStart"/>
      <w:r w:rsidR="00B92242">
        <w:rPr>
          <w:rFonts w:ascii="Times New Roman" w:hAnsi="Times New Roman" w:cs="Times New Roman"/>
          <w:color w:val="auto"/>
          <w:sz w:val="24"/>
        </w:rPr>
        <w:t>późn</w:t>
      </w:r>
      <w:proofErr w:type="spellEnd"/>
      <w:r w:rsidR="00B92242">
        <w:rPr>
          <w:rFonts w:ascii="Times New Roman" w:hAnsi="Times New Roman" w:cs="Times New Roman"/>
          <w:color w:val="auto"/>
          <w:sz w:val="24"/>
        </w:rPr>
        <w:t>. zm.</w:t>
      </w:r>
      <w:r w:rsidRPr="00C835AB">
        <w:rPr>
          <w:rFonts w:ascii="Times New Roman" w:hAnsi="Times New Roman" w:cs="Times New Roman"/>
          <w:color w:val="auto"/>
          <w:sz w:val="24"/>
        </w:rPr>
        <w:t>).</w:t>
      </w:r>
    </w:p>
    <w:p w14:paraId="596CCAC4" w14:textId="671FFCA6" w:rsidR="00373C3F" w:rsidRPr="00C835AB" w:rsidRDefault="00373C3F"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Zawarte w projekcie regulacje nie będą miały wpływu na działalność </w:t>
      </w:r>
      <w:proofErr w:type="spellStart"/>
      <w:r w:rsidRPr="00C835AB">
        <w:rPr>
          <w:rFonts w:ascii="Times New Roman" w:hAnsi="Times New Roman" w:cs="Times New Roman"/>
          <w:color w:val="auto"/>
          <w:sz w:val="24"/>
        </w:rPr>
        <w:t>mikroprzedsiębiorców</w:t>
      </w:r>
      <w:proofErr w:type="spellEnd"/>
      <w:r w:rsidRPr="00C835AB">
        <w:rPr>
          <w:rFonts w:ascii="Times New Roman" w:hAnsi="Times New Roman" w:cs="Times New Roman"/>
          <w:color w:val="auto"/>
          <w:sz w:val="24"/>
        </w:rPr>
        <w:t>, małych i średnich przedsiębiorców, o których mowa w ustawie z dnia 6</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marca 2018 r. – Prawo przedsiębiorców (Dz. U. z 2024 r. poz. 236</w:t>
      </w:r>
      <w:r w:rsidR="003117B4" w:rsidRPr="00C835AB">
        <w:rPr>
          <w:rFonts w:ascii="Times New Roman" w:hAnsi="Times New Roman" w:cs="Times New Roman"/>
          <w:color w:val="auto"/>
          <w:sz w:val="24"/>
        </w:rPr>
        <w:t xml:space="preserve">, z </w:t>
      </w:r>
      <w:proofErr w:type="spellStart"/>
      <w:r w:rsidR="003117B4" w:rsidRPr="00C835AB">
        <w:rPr>
          <w:rFonts w:ascii="Times New Roman" w:hAnsi="Times New Roman" w:cs="Times New Roman"/>
          <w:color w:val="auto"/>
          <w:sz w:val="24"/>
        </w:rPr>
        <w:t>późn</w:t>
      </w:r>
      <w:proofErr w:type="spellEnd"/>
      <w:r w:rsidR="003117B4" w:rsidRPr="00C835AB">
        <w:rPr>
          <w:rFonts w:ascii="Times New Roman" w:hAnsi="Times New Roman" w:cs="Times New Roman"/>
          <w:color w:val="auto"/>
          <w:sz w:val="24"/>
        </w:rPr>
        <w:t>. zm.</w:t>
      </w:r>
      <w:r w:rsidRPr="00C835AB">
        <w:rPr>
          <w:rFonts w:ascii="Times New Roman" w:hAnsi="Times New Roman" w:cs="Times New Roman"/>
          <w:color w:val="auto"/>
          <w:sz w:val="24"/>
        </w:rPr>
        <w:t>).</w:t>
      </w:r>
    </w:p>
    <w:p w14:paraId="7BF62943" w14:textId="3CAC1759" w:rsidR="00373C3F" w:rsidRPr="00C835AB" w:rsidRDefault="00373C3F" w:rsidP="00D823D0">
      <w:pPr>
        <w:ind w:firstLine="708"/>
        <w:rPr>
          <w:rFonts w:ascii="Times New Roman" w:hAnsi="Times New Roman" w:cs="Times New Roman"/>
          <w:color w:val="auto"/>
          <w:sz w:val="24"/>
          <w:vertAlign w:val="superscript"/>
        </w:rPr>
      </w:pPr>
      <w:r w:rsidRPr="00C835AB">
        <w:rPr>
          <w:rFonts w:ascii="Times New Roman" w:hAnsi="Times New Roman" w:cs="Times New Roman"/>
          <w:color w:val="auto"/>
          <w:sz w:val="24"/>
        </w:rPr>
        <w:t xml:space="preserve">Projekt nie podlegał dokonaniu oceny OSR przez koordynatora OSR w trybie § 32 uchwały nr 190 Rady Ministrów z dnia 29 października 2013 r. – </w:t>
      </w:r>
      <w:r w:rsidRPr="00C835AB">
        <w:rPr>
          <w:rFonts w:ascii="Times New Roman" w:hAnsi="Times New Roman" w:cs="Times New Roman"/>
          <w:iCs/>
          <w:color w:val="auto"/>
          <w:sz w:val="24"/>
        </w:rPr>
        <w:t xml:space="preserve">Regulamin pracy Rady Ministrów </w:t>
      </w:r>
      <w:r w:rsidRPr="00C835AB">
        <w:rPr>
          <w:rFonts w:ascii="Times New Roman" w:hAnsi="Times New Roman" w:cs="Times New Roman"/>
          <w:color w:val="auto"/>
          <w:sz w:val="24"/>
        </w:rPr>
        <w:t>(M.P. z 202</w:t>
      </w:r>
      <w:r w:rsidR="00B75E80" w:rsidRPr="00C835AB">
        <w:rPr>
          <w:rFonts w:ascii="Times New Roman" w:hAnsi="Times New Roman" w:cs="Times New Roman"/>
          <w:color w:val="auto"/>
          <w:sz w:val="24"/>
        </w:rPr>
        <w:t>4</w:t>
      </w:r>
      <w:r w:rsidRPr="00C835AB">
        <w:rPr>
          <w:rFonts w:ascii="Times New Roman" w:hAnsi="Times New Roman" w:cs="Times New Roman"/>
          <w:color w:val="auto"/>
          <w:sz w:val="24"/>
        </w:rPr>
        <w:t xml:space="preserve"> r. poz. </w:t>
      </w:r>
      <w:r w:rsidR="00B75E80" w:rsidRPr="00C835AB">
        <w:rPr>
          <w:rFonts w:ascii="Times New Roman" w:hAnsi="Times New Roman" w:cs="Times New Roman"/>
          <w:color w:val="auto"/>
          <w:sz w:val="24"/>
        </w:rPr>
        <w:t>806</w:t>
      </w:r>
      <w:r w:rsidR="00082DC5">
        <w:rPr>
          <w:rFonts w:ascii="Times New Roman" w:hAnsi="Times New Roman" w:cs="Times New Roman"/>
          <w:color w:val="auto"/>
          <w:sz w:val="24"/>
        </w:rPr>
        <w:t xml:space="preserve">, z </w:t>
      </w:r>
      <w:proofErr w:type="spellStart"/>
      <w:r w:rsidR="00082DC5">
        <w:rPr>
          <w:rFonts w:ascii="Times New Roman" w:hAnsi="Times New Roman" w:cs="Times New Roman"/>
          <w:color w:val="auto"/>
          <w:sz w:val="24"/>
        </w:rPr>
        <w:t>późn</w:t>
      </w:r>
      <w:proofErr w:type="spellEnd"/>
      <w:r w:rsidR="00082DC5">
        <w:rPr>
          <w:rFonts w:ascii="Times New Roman" w:hAnsi="Times New Roman" w:cs="Times New Roman"/>
          <w:color w:val="auto"/>
          <w:sz w:val="24"/>
        </w:rPr>
        <w:t>. zm.</w:t>
      </w:r>
      <w:r w:rsidRPr="00C835AB">
        <w:rPr>
          <w:rFonts w:ascii="Times New Roman" w:hAnsi="Times New Roman" w:cs="Times New Roman"/>
          <w:color w:val="auto"/>
          <w:sz w:val="24"/>
        </w:rPr>
        <w:t>)</w:t>
      </w:r>
      <w:r w:rsidRPr="00C835AB">
        <w:rPr>
          <w:rFonts w:ascii="Times New Roman" w:hAnsi="Times New Roman" w:cs="Times New Roman"/>
          <w:iCs/>
          <w:color w:val="auto"/>
          <w:sz w:val="24"/>
        </w:rPr>
        <w:t>.</w:t>
      </w:r>
    </w:p>
    <w:p w14:paraId="5B5A4183" w14:textId="099CAFA6" w:rsidR="00B92242" w:rsidRDefault="00B92242">
      <w:pPr>
        <w:ind w:firstLine="708"/>
        <w:rPr>
          <w:rFonts w:ascii="Times New Roman" w:eastAsia="Arial Unicode MS" w:hAnsi="Times New Roman" w:cs="Times New Roman"/>
          <w:color w:val="auto"/>
          <w:sz w:val="24"/>
          <w:u w:color="000000"/>
          <w:bdr w:val="nil"/>
          <w:lang w:eastAsia="pl-PL"/>
        </w:rPr>
      </w:pPr>
      <w:r w:rsidRPr="00B92242">
        <w:rPr>
          <w:rFonts w:ascii="Times New Roman" w:eastAsia="Arial Unicode MS" w:hAnsi="Times New Roman" w:cs="Times New Roman"/>
          <w:color w:val="auto"/>
          <w:sz w:val="24"/>
          <w:u w:color="000000"/>
          <w:bdr w:val="nil"/>
          <w:lang w:eastAsia="pl-PL"/>
        </w:rPr>
        <w:lastRenderedPageBreak/>
        <w:t>Zgodnie z § 52 uchwały nr 190 Rady Ministrów z dnia 29 października 2013 r. – Regulamin pracy Rady Ministrów oraz stosownie do wymogów art. 5 ustawy z dnia 7 lipca 2005 r. o działalności lobbingowej w procesie stanowienia prawa (Dz. U. z</w:t>
      </w:r>
      <w:r w:rsidR="00082DC5">
        <w:rPr>
          <w:rFonts w:ascii="Times New Roman" w:eastAsia="Arial Unicode MS" w:hAnsi="Times New Roman" w:cs="Times New Roman"/>
          <w:color w:val="auto"/>
          <w:sz w:val="24"/>
          <w:u w:color="000000"/>
          <w:bdr w:val="nil"/>
          <w:lang w:eastAsia="pl-PL"/>
        </w:rPr>
        <w:t xml:space="preserve"> 2025 r. poz. 677</w:t>
      </w:r>
      <w:r w:rsidRPr="00B92242">
        <w:rPr>
          <w:rFonts w:ascii="Times New Roman" w:eastAsia="Arial Unicode MS" w:hAnsi="Times New Roman" w:cs="Times New Roman"/>
          <w:color w:val="auto"/>
          <w:sz w:val="24"/>
          <w:u w:color="000000"/>
          <w:bdr w:val="nil"/>
          <w:lang w:eastAsia="pl-PL"/>
        </w:rPr>
        <w:t>) projekt zosta</w:t>
      </w:r>
      <w:r>
        <w:rPr>
          <w:rFonts w:ascii="Times New Roman" w:eastAsia="Arial Unicode MS" w:hAnsi="Times New Roman" w:cs="Times New Roman"/>
          <w:color w:val="auto"/>
          <w:sz w:val="24"/>
          <w:u w:color="000000"/>
          <w:bdr w:val="nil"/>
          <w:lang w:eastAsia="pl-PL"/>
        </w:rPr>
        <w:t>ł</w:t>
      </w:r>
      <w:r w:rsidRPr="00B92242">
        <w:rPr>
          <w:rFonts w:ascii="Times New Roman" w:eastAsia="Arial Unicode MS" w:hAnsi="Times New Roman" w:cs="Times New Roman"/>
          <w:color w:val="auto"/>
          <w:sz w:val="24"/>
          <w:u w:color="000000"/>
          <w:bdr w:val="nil"/>
          <w:lang w:eastAsia="pl-PL"/>
        </w:rPr>
        <w:t xml:space="preserve"> udostępniony w Biuletynie Informacji Publicznej na stronie podmiotowej Rządowego Centrum Legislacji w serwisie Rządowy Proces Legislacyjny.</w:t>
      </w:r>
    </w:p>
    <w:p w14:paraId="12A11679" w14:textId="56013441" w:rsidR="00373C3F" w:rsidRPr="00C835AB" w:rsidRDefault="00373C3F"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 xml:space="preserve">W celu spełnienia wymogów, o których mowa w § 42 ust. 1 uchwały nr 190 Rady Ministrów z dnia 29 października 2013 r. – Regulamin pracy Rady Ministrów, projekt </w:t>
      </w:r>
      <w:r w:rsidR="00B92242" w:rsidRPr="00C835AB">
        <w:rPr>
          <w:rFonts w:ascii="Times New Roman" w:hAnsi="Times New Roman" w:cs="Times New Roman"/>
          <w:color w:val="auto"/>
          <w:sz w:val="24"/>
        </w:rPr>
        <w:t>zosta</w:t>
      </w:r>
      <w:r w:rsidR="00B92242">
        <w:rPr>
          <w:rFonts w:ascii="Times New Roman" w:hAnsi="Times New Roman" w:cs="Times New Roman"/>
          <w:color w:val="auto"/>
          <w:sz w:val="24"/>
        </w:rPr>
        <w:t>ł</w:t>
      </w:r>
      <w:r w:rsidR="00B92242" w:rsidRPr="00C835AB">
        <w:rPr>
          <w:rFonts w:ascii="Times New Roman" w:hAnsi="Times New Roman" w:cs="Times New Roman"/>
          <w:color w:val="auto"/>
          <w:sz w:val="24"/>
        </w:rPr>
        <w:t xml:space="preserve"> </w:t>
      </w:r>
      <w:r w:rsidRPr="00C835AB">
        <w:rPr>
          <w:rFonts w:ascii="Times New Roman" w:hAnsi="Times New Roman" w:cs="Times New Roman"/>
          <w:color w:val="auto"/>
          <w:sz w:val="24"/>
        </w:rPr>
        <w:t xml:space="preserve">skierowany do koordynatora OSR. </w:t>
      </w:r>
    </w:p>
    <w:p w14:paraId="48E7D4C8" w14:textId="2B1E7B86" w:rsidR="00373C3F" w:rsidRDefault="00373C3F" w:rsidP="00D823D0">
      <w:pPr>
        <w:ind w:firstLine="708"/>
        <w:rPr>
          <w:rFonts w:ascii="Times New Roman" w:hAnsi="Times New Roman" w:cs="Times New Roman"/>
          <w:color w:val="auto"/>
          <w:sz w:val="24"/>
        </w:rPr>
      </w:pPr>
      <w:r w:rsidRPr="00C835AB">
        <w:rPr>
          <w:rFonts w:ascii="Times New Roman" w:hAnsi="Times New Roman" w:cs="Times New Roman"/>
          <w:color w:val="auto"/>
          <w:sz w:val="24"/>
        </w:rPr>
        <w:t>Projekt nie dotyczy warunków określonych w uchwale nr 20 Rady Ministrów z dnia 18</w:t>
      </w:r>
      <w:r w:rsidR="001A3D13" w:rsidRPr="00C835AB">
        <w:rPr>
          <w:rFonts w:ascii="Times New Roman" w:hAnsi="Times New Roman" w:cs="Times New Roman"/>
          <w:color w:val="auto"/>
          <w:sz w:val="24"/>
        </w:rPr>
        <w:t> </w:t>
      </w:r>
      <w:r w:rsidRPr="00C835AB">
        <w:rPr>
          <w:rFonts w:ascii="Times New Roman" w:hAnsi="Times New Roman" w:cs="Times New Roman"/>
          <w:color w:val="auto"/>
          <w:sz w:val="24"/>
        </w:rPr>
        <w:t>lutego 2014 r. w sprawie zaleceń ujednolicenia terminów wejścia w życie niektórych aktów normatywnych (M.P. poz. 205).</w:t>
      </w:r>
    </w:p>
    <w:p w14:paraId="1982C2B3" w14:textId="6B2B05FE" w:rsidR="006A5382" w:rsidRPr="006A5382" w:rsidRDefault="00B92242" w:rsidP="009E13B0">
      <w:pPr>
        <w:ind w:firstLine="708"/>
        <w:rPr>
          <w:rFonts w:ascii="Times New Roman" w:hAnsi="Times New Roman" w:cs="Times New Roman"/>
          <w:sz w:val="24"/>
        </w:rPr>
      </w:pPr>
      <w:r w:rsidRPr="00BA664D">
        <w:rPr>
          <w:rFonts w:ascii="Times New Roman" w:hAnsi="Times New Roman" w:cs="Times New Roman"/>
          <w:sz w:val="24"/>
        </w:rPr>
        <w:t>Zgłoszenie</w:t>
      </w:r>
      <w:r w:rsidR="006A5382" w:rsidRPr="006A5382">
        <w:t xml:space="preserve"> </w:t>
      </w:r>
      <w:r w:rsidR="006A5382" w:rsidRPr="006A5382">
        <w:rPr>
          <w:rFonts w:ascii="Times New Roman" w:hAnsi="Times New Roman" w:cs="Times New Roman"/>
          <w:sz w:val="24"/>
        </w:rPr>
        <w:t>zainteresowania pracami nad projektem w trybie przepisów o działalności lobbingowej w procesie stanowienia prawa przedstawiły podmioty:</w:t>
      </w:r>
    </w:p>
    <w:p w14:paraId="487409B8" w14:textId="55AE8149" w:rsidR="006A5382" w:rsidRPr="006A5382" w:rsidRDefault="006A5382" w:rsidP="00A0500E">
      <w:pPr>
        <w:tabs>
          <w:tab w:val="left" w:pos="284"/>
        </w:tabs>
        <w:rPr>
          <w:rFonts w:ascii="Times New Roman" w:hAnsi="Times New Roman" w:cs="Times New Roman"/>
          <w:sz w:val="24"/>
        </w:rPr>
      </w:pPr>
      <w:r w:rsidRPr="006A5382">
        <w:rPr>
          <w:rFonts w:ascii="Times New Roman" w:hAnsi="Times New Roman" w:cs="Times New Roman"/>
          <w:sz w:val="24"/>
        </w:rPr>
        <w:t>1.</w:t>
      </w:r>
      <w:r w:rsidRPr="006A5382">
        <w:rPr>
          <w:rFonts w:ascii="Times New Roman" w:hAnsi="Times New Roman" w:cs="Times New Roman"/>
          <w:sz w:val="24"/>
        </w:rPr>
        <w:tab/>
        <w:t>YOLO Katarzyna Ewa Wierzbicka, wpisany do rejestru podmiotów wykonujących zawodową działalność lobbingową pod numerem 00530 – w dniu 26 grudnia 202</w:t>
      </w:r>
      <w:r w:rsidR="00C45A57">
        <w:rPr>
          <w:rFonts w:ascii="Times New Roman" w:hAnsi="Times New Roman" w:cs="Times New Roman"/>
          <w:sz w:val="24"/>
        </w:rPr>
        <w:t>4</w:t>
      </w:r>
      <w:r w:rsidRPr="006A5382">
        <w:rPr>
          <w:rFonts w:ascii="Times New Roman" w:hAnsi="Times New Roman" w:cs="Times New Roman"/>
          <w:sz w:val="24"/>
        </w:rPr>
        <w:t xml:space="preserve"> r. (data wpływu);</w:t>
      </w:r>
    </w:p>
    <w:p w14:paraId="26A5B6A1" w14:textId="77777777" w:rsidR="006A5382" w:rsidRPr="006A5382" w:rsidRDefault="006A5382" w:rsidP="00A0500E">
      <w:pPr>
        <w:tabs>
          <w:tab w:val="left" w:pos="284"/>
        </w:tabs>
        <w:rPr>
          <w:rFonts w:ascii="Times New Roman" w:hAnsi="Times New Roman" w:cs="Times New Roman"/>
          <w:sz w:val="24"/>
        </w:rPr>
      </w:pPr>
      <w:r w:rsidRPr="006A5382">
        <w:rPr>
          <w:rFonts w:ascii="Times New Roman" w:hAnsi="Times New Roman" w:cs="Times New Roman"/>
          <w:sz w:val="24"/>
        </w:rPr>
        <w:t>2.</w:t>
      </w:r>
      <w:r w:rsidRPr="006A5382">
        <w:rPr>
          <w:rFonts w:ascii="Times New Roman" w:hAnsi="Times New Roman" w:cs="Times New Roman"/>
          <w:sz w:val="24"/>
        </w:rPr>
        <w:tab/>
        <w:t>HACK&amp;PHACK DEFENCE LTD Piotr Marcin Wierzbicki, wpisany do rejestru podmiotów wykonujących zawodową działalność lobbingową pod numerem 00539 – w dniu 26 grudnia 2024 r. (data wpływu).</w:t>
      </w:r>
    </w:p>
    <w:p w14:paraId="3E5C0FB6" w14:textId="77777777" w:rsidR="006A5382" w:rsidRPr="006A5382" w:rsidRDefault="006A5382" w:rsidP="009E13B0">
      <w:pPr>
        <w:ind w:firstLine="708"/>
        <w:rPr>
          <w:rFonts w:ascii="Times New Roman" w:hAnsi="Times New Roman" w:cs="Times New Roman"/>
          <w:sz w:val="24"/>
        </w:rPr>
      </w:pPr>
      <w:r w:rsidRPr="006A5382">
        <w:rPr>
          <w:rFonts w:ascii="Times New Roman" w:hAnsi="Times New Roman" w:cs="Times New Roman"/>
          <w:sz w:val="24"/>
        </w:rPr>
        <w:t>W dniu 17 stycznia 2025 r. w systemie legislacja.rcl.gov.pl dodano komentarz osoby prywatnej do zgłoszenia lobbingowego podmiotu YOLO Katarzyna Ewa Wierzbicka.</w:t>
      </w:r>
    </w:p>
    <w:p w14:paraId="2CB27974" w14:textId="3183BE52" w:rsidR="00EB5A00" w:rsidRPr="00C835AB" w:rsidRDefault="006A5382" w:rsidP="00A0500E">
      <w:pPr>
        <w:ind w:firstLine="708"/>
      </w:pPr>
      <w:r w:rsidRPr="006A5382">
        <w:rPr>
          <w:rFonts w:ascii="Times New Roman" w:hAnsi="Times New Roman" w:cs="Times New Roman"/>
          <w:sz w:val="24"/>
        </w:rPr>
        <w:t>Zgłoszenia lobbingowe ww. podmiotów nie wywarły wpływu na projekt. Propozycje zawarte w zgłoszeniach lobbingowych wykraczają poza zakres projektowanej ustawy.</w:t>
      </w:r>
    </w:p>
    <w:sectPr w:rsidR="00EB5A00" w:rsidRPr="00C835AB" w:rsidSect="00A53C66">
      <w:footerReference w:type="defaul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F24E" w14:textId="77777777" w:rsidR="00577D16" w:rsidRDefault="00577D16" w:rsidP="00480AF2">
      <w:pPr>
        <w:spacing w:line="240" w:lineRule="auto"/>
      </w:pPr>
      <w:r>
        <w:separator/>
      </w:r>
    </w:p>
  </w:endnote>
  <w:endnote w:type="continuationSeparator" w:id="0">
    <w:p w14:paraId="1E5B77F5" w14:textId="77777777" w:rsidR="00577D16" w:rsidRDefault="00577D16" w:rsidP="00480A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019299"/>
      <w:docPartObj>
        <w:docPartGallery w:val="Page Numbers (Bottom of Page)"/>
        <w:docPartUnique/>
      </w:docPartObj>
    </w:sdtPr>
    <w:sdtEndPr>
      <w:rPr>
        <w:rFonts w:ascii="Times New Roman" w:hAnsi="Times New Roman" w:cs="Times New Roman"/>
        <w:sz w:val="24"/>
      </w:rPr>
    </w:sdtEndPr>
    <w:sdtContent>
      <w:p w14:paraId="2603CA34" w14:textId="5FBB1567" w:rsidR="00DC6CC1" w:rsidRPr="00A53C66" w:rsidRDefault="00DC6CC1" w:rsidP="00A53C66">
        <w:pPr>
          <w:pStyle w:val="Stopka"/>
          <w:jc w:val="center"/>
          <w:rPr>
            <w:rFonts w:ascii="Times New Roman" w:hAnsi="Times New Roman" w:cs="Times New Roman"/>
            <w:sz w:val="24"/>
          </w:rPr>
        </w:pPr>
        <w:r w:rsidRPr="00A53C66">
          <w:rPr>
            <w:rFonts w:ascii="Times New Roman" w:hAnsi="Times New Roman" w:cs="Times New Roman"/>
            <w:sz w:val="24"/>
          </w:rPr>
          <w:fldChar w:fldCharType="begin"/>
        </w:r>
        <w:r w:rsidRPr="00A53C66">
          <w:rPr>
            <w:rFonts w:ascii="Times New Roman" w:hAnsi="Times New Roman" w:cs="Times New Roman"/>
            <w:sz w:val="24"/>
          </w:rPr>
          <w:instrText>PAGE   \* MERGEFORMAT</w:instrText>
        </w:r>
        <w:r w:rsidRPr="00A53C66">
          <w:rPr>
            <w:rFonts w:ascii="Times New Roman" w:hAnsi="Times New Roman" w:cs="Times New Roman"/>
            <w:sz w:val="24"/>
          </w:rPr>
          <w:fldChar w:fldCharType="separate"/>
        </w:r>
        <w:r w:rsidRPr="00A53C66">
          <w:rPr>
            <w:rFonts w:ascii="Times New Roman" w:hAnsi="Times New Roman" w:cs="Times New Roman"/>
            <w:sz w:val="24"/>
          </w:rPr>
          <w:t>2</w:t>
        </w:r>
        <w:r w:rsidRPr="00A53C66">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7D589" w14:textId="77777777" w:rsidR="00577D16" w:rsidRDefault="00577D16" w:rsidP="00480AF2">
      <w:pPr>
        <w:spacing w:line="240" w:lineRule="auto"/>
      </w:pPr>
      <w:r>
        <w:separator/>
      </w:r>
    </w:p>
  </w:footnote>
  <w:footnote w:type="continuationSeparator" w:id="0">
    <w:p w14:paraId="7812F7DE" w14:textId="77777777" w:rsidR="00577D16" w:rsidRDefault="00577D16" w:rsidP="00480AF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0CD9"/>
    <w:multiLevelType w:val="hybridMultilevel"/>
    <w:tmpl w:val="8CC4ADE2"/>
    <w:lvl w:ilvl="0" w:tplc="E5DA7A7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AB15A1"/>
    <w:multiLevelType w:val="hybridMultilevel"/>
    <w:tmpl w:val="F43AD99C"/>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0B9F13CC"/>
    <w:multiLevelType w:val="hybridMultilevel"/>
    <w:tmpl w:val="3DEE5190"/>
    <w:lvl w:ilvl="0" w:tplc="320C6308">
      <w:start w:val="1"/>
      <w:numFmt w:val="decimal"/>
      <w:lvlText w:val="%1."/>
      <w:lvlJc w:val="left"/>
      <w:pPr>
        <w:ind w:left="360" w:hanging="360"/>
      </w:pPr>
      <w:rPr>
        <w:rFonts w:cs="Times New Roman" w:hint="default"/>
        <w:color w:val="auto"/>
      </w:rPr>
    </w:lvl>
    <w:lvl w:ilvl="1" w:tplc="0415000F">
      <w:start w:val="1"/>
      <w:numFmt w:val="decimal"/>
      <w:lvlText w:val="%2."/>
      <w:lvlJc w:val="left"/>
      <w:pPr>
        <w:ind w:left="502" w:hanging="360"/>
      </w:p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11326425"/>
    <w:multiLevelType w:val="hybridMultilevel"/>
    <w:tmpl w:val="CD0E292C"/>
    <w:lvl w:ilvl="0" w:tplc="0415000F">
      <w:start w:val="1"/>
      <w:numFmt w:val="decimal"/>
      <w:lvlText w:val="%1."/>
      <w:lvlJc w:val="left"/>
      <w:pPr>
        <w:ind w:left="720" w:hanging="360"/>
      </w:pPr>
      <w:rPr>
        <w:rFonts w:hint="default"/>
      </w:rPr>
    </w:lvl>
    <w:lvl w:ilvl="1" w:tplc="67B6092E">
      <w:numFmt w:val="bullet"/>
      <w:lvlText w:val=""/>
      <w:lvlJc w:val="left"/>
      <w:pPr>
        <w:ind w:left="1440" w:hanging="360"/>
      </w:pPr>
      <w:rPr>
        <w:rFonts w:ascii="Symbol" w:eastAsia="Calibri" w:hAnsi="Symbol" w:cs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940D43"/>
    <w:multiLevelType w:val="hybridMultilevel"/>
    <w:tmpl w:val="C7CEC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670794"/>
    <w:multiLevelType w:val="hybridMultilevel"/>
    <w:tmpl w:val="B2F4EF7A"/>
    <w:lvl w:ilvl="0" w:tplc="0415000F">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rPr>
        <w:rFonts w:cs="Times New Roman"/>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6" w15:restartNumberingAfterBreak="0">
    <w:nsid w:val="28BC010A"/>
    <w:multiLevelType w:val="hybridMultilevel"/>
    <w:tmpl w:val="30E89A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101807"/>
    <w:multiLevelType w:val="hybridMultilevel"/>
    <w:tmpl w:val="F50C96B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7F027B"/>
    <w:multiLevelType w:val="hybridMultilevel"/>
    <w:tmpl w:val="C5389F7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3412EDBD"/>
    <w:multiLevelType w:val="hybridMultilevel"/>
    <w:tmpl w:val="FF946996"/>
    <w:lvl w:ilvl="0" w:tplc="3648CF0A">
      <w:start w:val="1"/>
      <w:numFmt w:val="upperLetter"/>
      <w:lvlText w:val="%1."/>
      <w:lvlJc w:val="left"/>
      <w:pPr>
        <w:ind w:left="720" w:hanging="360"/>
      </w:pPr>
    </w:lvl>
    <w:lvl w:ilvl="1" w:tplc="6346135C">
      <w:start w:val="1"/>
      <w:numFmt w:val="lowerLetter"/>
      <w:lvlText w:val="%2."/>
      <w:lvlJc w:val="left"/>
      <w:pPr>
        <w:ind w:left="1440" w:hanging="360"/>
      </w:pPr>
    </w:lvl>
    <w:lvl w:ilvl="2" w:tplc="2174A8F4">
      <w:start w:val="1"/>
      <w:numFmt w:val="lowerRoman"/>
      <w:lvlText w:val="%3."/>
      <w:lvlJc w:val="right"/>
      <w:pPr>
        <w:ind w:left="2160" w:hanging="180"/>
      </w:pPr>
    </w:lvl>
    <w:lvl w:ilvl="3" w:tplc="40CC2D7E">
      <w:start w:val="1"/>
      <w:numFmt w:val="decimal"/>
      <w:lvlText w:val="%4."/>
      <w:lvlJc w:val="left"/>
      <w:pPr>
        <w:ind w:left="2880" w:hanging="360"/>
      </w:pPr>
    </w:lvl>
    <w:lvl w:ilvl="4" w:tplc="81A4D962">
      <w:start w:val="1"/>
      <w:numFmt w:val="lowerLetter"/>
      <w:lvlText w:val="%5."/>
      <w:lvlJc w:val="left"/>
      <w:pPr>
        <w:ind w:left="3600" w:hanging="360"/>
      </w:pPr>
    </w:lvl>
    <w:lvl w:ilvl="5" w:tplc="2CB80EDA">
      <w:start w:val="1"/>
      <w:numFmt w:val="lowerRoman"/>
      <w:lvlText w:val="%6."/>
      <w:lvlJc w:val="right"/>
      <w:pPr>
        <w:ind w:left="4320" w:hanging="180"/>
      </w:pPr>
    </w:lvl>
    <w:lvl w:ilvl="6" w:tplc="1F905D4C">
      <w:start w:val="1"/>
      <w:numFmt w:val="decimal"/>
      <w:lvlText w:val="%7."/>
      <w:lvlJc w:val="left"/>
      <w:pPr>
        <w:ind w:left="5040" w:hanging="360"/>
      </w:pPr>
    </w:lvl>
    <w:lvl w:ilvl="7" w:tplc="A8983DFC">
      <w:start w:val="1"/>
      <w:numFmt w:val="lowerLetter"/>
      <w:lvlText w:val="%8."/>
      <w:lvlJc w:val="left"/>
      <w:pPr>
        <w:ind w:left="5760" w:hanging="360"/>
      </w:pPr>
    </w:lvl>
    <w:lvl w:ilvl="8" w:tplc="6A606FC4">
      <w:start w:val="1"/>
      <w:numFmt w:val="lowerRoman"/>
      <w:lvlText w:val="%9."/>
      <w:lvlJc w:val="right"/>
      <w:pPr>
        <w:ind w:left="6480" w:hanging="180"/>
      </w:pPr>
    </w:lvl>
  </w:abstractNum>
  <w:abstractNum w:abstractNumId="10" w15:restartNumberingAfterBreak="0">
    <w:nsid w:val="364B08BE"/>
    <w:multiLevelType w:val="hybridMultilevel"/>
    <w:tmpl w:val="04DA7610"/>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A45F42"/>
    <w:multiLevelType w:val="hybridMultilevel"/>
    <w:tmpl w:val="AB7C5126"/>
    <w:lvl w:ilvl="0" w:tplc="99562558">
      <w:start w:val="1"/>
      <w:numFmt w:val="decimal"/>
      <w:lvlText w:val="%1."/>
      <w:lvlJc w:val="left"/>
      <w:pPr>
        <w:ind w:left="720" w:hanging="360"/>
      </w:pPr>
      <w:rPr>
        <w:rFonts w:hint="default"/>
        <w:i w:val="0"/>
        <w:i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FA6612"/>
    <w:multiLevelType w:val="hybridMultilevel"/>
    <w:tmpl w:val="FB66129A"/>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15:restartNumberingAfterBreak="0">
    <w:nsid w:val="3A6737C7"/>
    <w:multiLevelType w:val="hybridMultilevel"/>
    <w:tmpl w:val="E876AA8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941AB0"/>
    <w:multiLevelType w:val="hybridMultilevel"/>
    <w:tmpl w:val="CFC66A78"/>
    <w:lvl w:ilvl="0" w:tplc="CE2C0D0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68CBE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968DD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0E269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368D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22F0E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F038C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E02D0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C091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4D73011"/>
    <w:multiLevelType w:val="hybridMultilevel"/>
    <w:tmpl w:val="CFACA444"/>
    <w:lvl w:ilvl="0" w:tplc="2662ECEE">
      <w:start w:val="1"/>
      <w:numFmt w:val="lowerLetter"/>
      <w:lvlText w:val="%1)"/>
      <w:lvlJc w:val="left"/>
      <w:pPr>
        <w:ind w:left="1080" w:hanging="360"/>
      </w:pPr>
      <w:rPr>
        <w:rFonts w:hint="default"/>
      </w:rPr>
    </w:lvl>
    <w:lvl w:ilvl="1" w:tplc="39A4DB70">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F83141A"/>
    <w:multiLevelType w:val="hybridMultilevel"/>
    <w:tmpl w:val="B28E6044"/>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50D5366E"/>
    <w:multiLevelType w:val="hybridMultilevel"/>
    <w:tmpl w:val="9F40F4F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50FB74AE"/>
    <w:multiLevelType w:val="hybridMultilevel"/>
    <w:tmpl w:val="A072C3AE"/>
    <w:lvl w:ilvl="0" w:tplc="F7C046F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BB6823"/>
    <w:multiLevelType w:val="hybridMultilevel"/>
    <w:tmpl w:val="CA9C4B6A"/>
    <w:lvl w:ilvl="0" w:tplc="724068B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A71651A"/>
    <w:multiLevelType w:val="hybridMultilevel"/>
    <w:tmpl w:val="BC303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D574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651979"/>
    <w:multiLevelType w:val="hybridMultilevel"/>
    <w:tmpl w:val="39641CE0"/>
    <w:lvl w:ilvl="0" w:tplc="616E0D5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485FA0"/>
    <w:multiLevelType w:val="hybridMultilevel"/>
    <w:tmpl w:val="1772CEC0"/>
    <w:lvl w:ilvl="0" w:tplc="FFFFFFFF">
      <w:start w:val="1"/>
      <w:numFmt w:val="decimal"/>
      <w:lvlText w:val="%1."/>
      <w:lvlJc w:val="left"/>
      <w:pPr>
        <w:ind w:left="502" w:hanging="360"/>
      </w:pPr>
    </w:lvl>
    <w:lvl w:ilvl="1" w:tplc="2D846E10">
      <w:start w:val="1"/>
      <w:numFmt w:val="decimal"/>
      <w:lvlText w:val="%2."/>
      <w:lvlJc w:val="left"/>
      <w:pPr>
        <w:ind w:left="501" w:hanging="360"/>
      </w:pPr>
      <w:rPr>
        <w:rFonts w:ascii="Times New Roman" w:eastAsiaTheme="minorHAnsi" w:hAnsi="Times New Roman" w:cs="Times New Roman"/>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6A9F31DF"/>
    <w:multiLevelType w:val="hybridMultilevel"/>
    <w:tmpl w:val="F7A28A9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9B5851"/>
    <w:multiLevelType w:val="hybridMultilevel"/>
    <w:tmpl w:val="0E2AB5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8A7581"/>
    <w:multiLevelType w:val="hybridMultilevel"/>
    <w:tmpl w:val="DEC4B6E4"/>
    <w:lvl w:ilvl="0" w:tplc="0415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72237F92"/>
    <w:multiLevelType w:val="hybridMultilevel"/>
    <w:tmpl w:val="A0848A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F26C2C"/>
    <w:multiLevelType w:val="hybridMultilevel"/>
    <w:tmpl w:val="BC30F48E"/>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044216"/>
    <w:multiLevelType w:val="hybridMultilevel"/>
    <w:tmpl w:val="68DE7F46"/>
    <w:lvl w:ilvl="0" w:tplc="C492B2FE">
      <w:start w:val="1"/>
      <w:numFmt w:val="lowerLetter"/>
      <w:lvlText w:val="%1)"/>
      <w:lvlJc w:val="left"/>
      <w:pPr>
        <w:ind w:left="1080" w:hanging="360"/>
      </w:pPr>
      <w:rPr>
        <w:rFonts w:hint="default"/>
      </w:rPr>
    </w:lvl>
    <w:lvl w:ilvl="1" w:tplc="1C3A4D6C">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7A7F27C8"/>
    <w:multiLevelType w:val="hybridMultilevel"/>
    <w:tmpl w:val="D4EAD5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06052865">
    <w:abstractNumId w:val="9"/>
  </w:num>
  <w:num w:numId="2" w16cid:durableId="2117631202">
    <w:abstractNumId w:val="10"/>
  </w:num>
  <w:num w:numId="3" w16cid:durableId="1917088164">
    <w:abstractNumId w:val="7"/>
  </w:num>
  <w:num w:numId="4" w16cid:durableId="1309241707">
    <w:abstractNumId w:val="28"/>
  </w:num>
  <w:num w:numId="5" w16cid:durableId="438180885">
    <w:abstractNumId w:val="29"/>
  </w:num>
  <w:num w:numId="6" w16cid:durableId="2097970392">
    <w:abstractNumId w:val="15"/>
  </w:num>
  <w:num w:numId="7" w16cid:durableId="1051927890">
    <w:abstractNumId w:val="11"/>
  </w:num>
  <w:num w:numId="8" w16cid:durableId="1980573278">
    <w:abstractNumId w:val="2"/>
  </w:num>
  <w:num w:numId="9" w16cid:durableId="412362037">
    <w:abstractNumId w:val="5"/>
  </w:num>
  <w:num w:numId="10" w16cid:durableId="1240990427">
    <w:abstractNumId w:val="19"/>
  </w:num>
  <w:num w:numId="11" w16cid:durableId="915818302">
    <w:abstractNumId w:val="22"/>
  </w:num>
  <w:num w:numId="12" w16cid:durableId="1691951926">
    <w:abstractNumId w:val="25"/>
  </w:num>
  <w:num w:numId="13" w16cid:durableId="662123026">
    <w:abstractNumId w:val="18"/>
  </w:num>
  <w:num w:numId="14" w16cid:durableId="516236781">
    <w:abstractNumId w:val="21"/>
  </w:num>
  <w:num w:numId="15" w16cid:durableId="220530417">
    <w:abstractNumId w:val="13"/>
  </w:num>
  <w:num w:numId="16" w16cid:durableId="1362437135">
    <w:abstractNumId w:val="24"/>
  </w:num>
  <w:num w:numId="17" w16cid:durableId="1170096105">
    <w:abstractNumId w:val="12"/>
  </w:num>
  <w:num w:numId="18" w16cid:durableId="1488983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0881937">
    <w:abstractNumId w:val="3"/>
  </w:num>
  <w:num w:numId="20" w16cid:durableId="1033842018">
    <w:abstractNumId w:val="14"/>
  </w:num>
  <w:num w:numId="21" w16cid:durableId="611013820">
    <w:abstractNumId w:val="1"/>
  </w:num>
  <w:num w:numId="22" w16cid:durableId="902257196">
    <w:abstractNumId w:val="30"/>
  </w:num>
  <w:num w:numId="23" w16cid:durableId="1762680064">
    <w:abstractNumId w:val="16"/>
  </w:num>
  <w:num w:numId="24" w16cid:durableId="2025589119">
    <w:abstractNumId w:val="23"/>
  </w:num>
  <w:num w:numId="25" w16cid:durableId="1557660045">
    <w:abstractNumId w:val="26"/>
  </w:num>
  <w:num w:numId="26" w16cid:durableId="1372995274">
    <w:abstractNumId w:val="6"/>
  </w:num>
  <w:num w:numId="27" w16cid:durableId="2019963138">
    <w:abstractNumId w:val="20"/>
  </w:num>
  <w:num w:numId="28" w16cid:durableId="1921714240">
    <w:abstractNumId w:val="27"/>
  </w:num>
  <w:num w:numId="29" w16cid:durableId="2102213341">
    <w:abstractNumId w:val="0"/>
  </w:num>
  <w:num w:numId="30" w16cid:durableId="1169950756">
    <w:abstractNumId w:val="8"/>
  </w:num>
  <w:num w:numId="31" w16cid:durableId="1178807527">
    <w:abstractNumId w:val="17"/>
  </w:num>
  <w:num w:numId="32" w16cid:durableId="1096681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CF"/>
    <w:rsid w:val="00000822"/>
    <w:rsid w:val="00000ADE"/>
    <w:rsid w:val="00001A40"/>
    <w:rsid w:val="0000232D"/>
    <w:rsid w:val="00002ABB"/>
    <w:rsid w:val="0000361C"/>
    <w:rsid w:val="00003A89"/>
    <w:rsid w:val="00006BB2"/>
    <w:rsid w:val="00006EBF"/>
    <w:rsid w:val="0000720B"/>
    <w:rsid w:val="00010121"/>
    <w:rsid w:val="00010A19"/>
    <w:rsid w:val="00011D7D"/>
    <w:rsid w:val="0001272B"/>
    <w:rsid w:val="000137D9"/>
    <w:rsid w:val="00013E3D"/>
    <w:rsid w:val="00016111"/>
    <w:rsid w:val="000234C6"/>
    <w:rsid w:val="0002467E"/>
    <w:rsid w:val="000256FD"/>
    <w:rsid w:val="00025777"/>
    <w:rsid w:val="00027ACD"/>
    <w:rsid w:val="00027ADE"/>
    <w:rsid w:val="00031362"/>
    <w:rsid w:val="00031C8A"/>
    <w:rsid w:val="00032D18"/>
    <w:rsid w:val="000364E4"/>
    <w:rsid w:val="0003652D"/>
    <w:rsid w:val="000365AA"/>
    <w:rsid w:val="000407F9"/>
    <w:rsid w:val="00040F0D"/>
    <w:rsid w:val="0004211D"/>
    <w:rsid w:val="00043C7D"/>
    <w:rsid w:val="0004458F"/>
    <w:rsid w:val="000515C4"/>
    <w:rsid w:val="00051619"/>
    <w:rsid w:val="00051DAE"/>
    <w:rsid w:val="0005242C"/>
    <w:rsid w:val="000543C2"/>
    <w:rsid w:val="00056098"/>
    <w:rsid w:val="00056F83"/>
    <w:rsid w:val="00056F87"/>
    <w:rsid w:val="000608D1"/>
    <w:rsid w:val="00062176"/>
    <w:rsid w:val="000627D8"/>
    <w:rsid w:val="000645FE"/>
    <w:rsid w:val="00064CE7"/>
    <w:rsid w:val="0006729B"/>
    <w:rsid w:val="0006778E"/>
    <w:rsid w:val="0006790D"/>
    <w:rsid w:val="000702CD"/>
    <w:rsid w:val="00070C69"/>
    <w:rsid w:val="000711B3"/>
    <w:rsid w:val="00071827"/>
    <w:rsid w:val="000748E8"/>
    <w:rsid w:val="00075036"/>
    <w:rsid w:val="000763F0"/>
    <w:rsid w:val="0007681C"/>
    <w:rsid w:val="0007A0EC"/>
    <w:rsid w:val="000801F6"/>
    <w:rsid w:val="000827B1"/>
    <w:rsid w:val="00082DC5"/>
    <w:rsid w:val="0008368E"/>
    <w:rsid w:val="00084172"/>
    <w:rsid w:val="00084644"/>
    <w:rsid w:val="000850AE"/>
    <w:rsid w:val="0008573B"/>
    <w:rsid w:val="0008661C"/>
    <w:rsid w:val="000878D6"/>
    <w:rsid w:val="00087AC3"/>
    <w:rsid w:val="000902F1"/>
    <w:rsid w:val="0009148F"/>
    <w:rsid w:val="000914B6"/>
    <w:rsid w:val="00091B91"/>
    <w:rsid w:val="00091FB8"/>
    <w:rsid w:val="0009230E"/>
    <w:rsid w:val="000933BE"/>
    <w:rsid w:val="0009354B"/>
    <w:rsid w:val="00093EAF"/>
    <w:rsid w:val="00095D90"/>
    <w:rsid w:val="00096B28"/>
    <w:rsid w:val="000A1319"/>
    <w:rsid w:val="000A1681"/>
    <w:rsid w:val="000A2473"/>
    <w:rsid w:val="000A4D33"/>
    <w:rsid w:val="000A5FC3"/>
    <w:rsid w:val="000A6B6D"/>
    <w:rsid w:val="000A7A44"/>
    <w:rsid w:val="000A7A77"/>
    <w:rsid w:val="000B011F"/>
    <w:rsid w:val="000B01A6"/>
    <w:rsid w:val="000B0347"/>
    <w:rsid w:val="000B13BA"/>
    <w:rsid w:val="000B1B05"/>
    <w:rsid w:val="000B40B2"/>
    <w:rsid w:val="000B47B0"/>
    <w:rsid w:val="000B4B4B"/>
    <w:rsid w:val="000B5DC9"/>
    <w:rsid w:val="000B7A29"/>
    <w:rsid w:val="000C0BB9"/>
    <w:rsid w:val="000C1417"/>
    <w:rsid w:val="000C3479"/>
    <w:rsid w:val="000C4D3E"/>
    <w:rsid w:val="000C5819"/>
    <w:rsid w:val="000C6987"/>
    <w:rsid w:val="000C7766"/>
    <w:rsid w:val="000D0175"/>
    <w:rsid w:val="000D317A"/>
    <w:rsid w:val="000D54BA"/>
    <w:rsid w:val="000D5D83"/>
    <w:rsid w:val="000D5FCA"/>
    <w:rsid w:val="000D6DEC"/>
    <w:rsid w:val="000D7091"/>
    <w:rsid w:val="000E177B"/>
    <w:rsid w:val="000E1C2C"/>
    <w:rsid w:val="000E50C7"/>
    <w:rsid w:val="000E5CD1"/>
    <w:rsid w:val="000E65A7"/>
    <w:rsid w:val="000E6647"/>
    <w:rsid w:val="000F0B85"/>
    <w:rsid w:val="000F376F"/>
    <w:rsid w:val="000F514D"/>
    <w:rsid w:val="000F5519"/>
    <w:rsid w:val="000F5C2F"/>
    <w:rsid w:val="000F64DC"/>
    <w:rsid w:val="000F6611"/>
    <w:rsid w:val="000F719C"/>
    <w:rsid w:val="000F75E0"/>
    <w:rsid w:val="000F794E"/>
    <w:rsid w:val="000F7DFE"/>
    <w:rsid w:val="00100014"/>
    <w:rsid w:val="001007CC"/>
    <w:rsid w:val="00102413"/>
    <w:rsid w:val="00102AF0"/>
    <w:rsid w:val="00103B97"/>
    <w:rsid w:val="00103EE0"/>
    <w:rsid w:val="00107F9F"/>
    <w:rsid w:val="0011062A"/>
    <w:rsid w:val="001107E6"/>
    <w:rsid w:val="00112AC4"/>
    <w:rsid w:val="00114607"/>
    <w:rsid w:val="00114A60"/>
    <w:rsid w:val="00121970"/>
    <w:rsid w:val="0012316D"/>
    <w:rsid w:val="00123199"/>
    <w:rsid w:val="00126C1A"/>
    <w:rsid w:val="00130C52"/>
    <w:rsid w:val="00130E3F"/>
    <w:rsid w:val="001320A6"/>
    <w:rsid w:val="00134480"/>
    <w:rsid w:val="00134590"/>
    <w:rsid w:val="001364AB"/>
    <w:rsid w:val="001418CA"/>
    <w:rsid w:val="00142437"/>
    <w:rsid w:val="00143362"/>
    <w:rsid w:val="00143415"/>
    <w:rsid w:val="0014343C"/>
    <w:rsid w:val="00143D6E"/>
    <w:rsid w:val="00144921"/>
    <w:rsid w:val="00144D8C"/>
    <w:rsid w:val="00144EF5"/>
    <w:rsid w:val="001463C5"/>
    <w:rsid w:val="00146646"/>
    <w:rsid w:val="00146D86"/>
    <w:rsid w:val="00146DB0"/>
    <w:rsid w:val="00147148"/>
    <w:rsid w:val="00147D76"/>
    <w:rsid w:val="00150523"/>
    <w:rsid w:val="00151AAA"/>
    <w:rsid w:val="00153698"/>
    <w:rsid w:val="00153D94"/>
    <w:rsid w:val="00155B41"/>
    <w:rsid w:val="00157452"/>
    <w:rsid w:val="001600E7"/>
    <w:rsid w:val="0016225B"/>
    <w:rsid w:val="00163369"/>
    <w:rsid w:val="001634A6"/>
    <w:rsid w:val="0016358D"/>
    <w:rsid w:val="00163634"/>
    <w:rsid w:val="00164078"/>
    <w:rsid w:val="00164291"/>
    <w:rsid w:val="00164D22"/>
    <w:rsid w:val="00164D63"/>
    <w:rsid w:val="00164DE1"/>
    <w:rsid w:val="00165BFB"/>
    <w:rsid w:val="00165DBC"/>
    <w:rsid w:val="001663EB"/>
    <w:rsid w:val="00166903"/>
    <w:rsid w:val="00166993"/>
    <w:rsid w:val="00167123"/>
    <w:rsid w:val="0016730E"/>
    <w:rsid w:val="00167828"/>
    <w:rsid w:val="00167E72"/>
    <w:rsid w:val="0016BC29"/>
    <w:rsid w:val="00170EBE"/>
    <w:rsid w:val="00171011"/>
    <w:rsid w:val="00172776"/>
    <w:rsid w:val="00172AF3"/>
    <w:rsid w:val="00172EA3"/>
    <w:rsid w:val="00173696"/>
    <w:rsid w:val="0017385A"/>
    <w:rsid w:val="00173940"/>
    <w:rsid w:val="00173F47"/>
    <w:rsid w:val="001746E5"/>
    <w:rsid w:val="00175184"/>
    <w:rsid w:val="0017612D"/>
    <w:rsid w:val="00176B64"/>
    <w:rsid w:val="001778D9"/>
    <w:rsid w:val="00180685"/>
    <w:rsid w:val="00181865"/>
    <w:rsid w:val="00181D4C"/>
    <w:rsid w:val="00182807"/>
    <w:rsid w:val="00183062"/>
    <w:rsid w:val="00184B4C"/>
    <w:rsid w:val="00184F71"/>
    <w:rsid w:val="00187882"/>
    <w:rsid w:val="001879F1"/>
    <w:rsid w:val="001901F4"/>
    <w:rsid w:val="0019099C"/>
    <w:rsid w:val="00190CE7"/>
    <w:rsid w:val="001912F0"/>
    <w:rsid w:val="001915A1"/>
    <w:rsid w:val="00191601"/>
    <w:rsid w:val="001919BD"/>
    <w:rsid w:val="00191B25"/>
    <w:rsid w:val="001944FB"/>
    <w:rsid w:val="00195026"/>
    <w:rsid w:val="001953D7"/>
    <w:rsid w:val="00195FFF"/>
    <w:rsid w:val="001977F0"/>
    <w:rsid w:val="001A00CB"/>
    <w:rsid w:val="001A046B"/>
    <w:rsid w:val="001A1526"/>
    <w:rsid w:val="001A371F"/>
    <w:rsid w:val="001A3D13"/>
    <w:rsid w:val="001A4550"/>
    <w:rsid w:val="001A53CD"/>
    <w:rsid w:val="001A6163"/>
    <w:rsid w:val="001A727A"/>
    <w:rsid w:val="001A73FA"/>
    <w:rsid w:val="001A74A1"/>
    <w:rsid w:val="001A7F42"/>
    <w:rsid w:val="001B10A0"/>
    <w:rsid w:val="001B1235"/>
    <w:rsid w:val="001B1F0C"/>
    <w:rsid w:val="001B2169"/>
    <w:rsid w:val="001B4F5A"/>
    <w:rsid w:val="001B4F9E"/>
    <w:rsid w:val="001B6171"/>
    <w:rsid w:val="001B79CC"/>
    <w:rsid w:val="001B7F4A"/>
    <w:rsid w:val="001C0934"/>
    <w:rsid w:val="001C15B0"/>
    <w:rsid w:val="001C1C7E"/>
    <w:rsid w:val="001C1FA8"/>
    <w:rsid w:val="001D03CC"/>
    <w:rsid w:val="001D3092"/>
    <w:rsid w:val="001D3346"/>
    <w:rsid w:val="001D3B7E"/>
    <w:rsid w:val="001D3C92"/>
    <w:rsid w:val="001D3F2A"/>
    <w:rsid w:val="001D6E31"/>
    <w:rsid w:val="001D7C18"/>
    <w:rsid w:val="001E003C"/>
    <w:rsid w:val="001E1201"/>
    <w:rsid w:val="001E233C"/>
    <w:rsid w:val="001E2E72"/>
    <w:rsid w:val="001E3003"/>
    <w:rsid w:val="001E335A"/>
    <w:rsid w:val="001E3633"/>
    <w:rsid w:val="001E5B29"/>
    <w:rsid w:val="001E5DA7"/>
    <w:rsid w:val="001E652C"/>
    <w:rsid w:val="001F14D6"/>
    <w:rsid w:val="001F3085"/>
    <w:rsid w:val="001F38DC"/>
    <w:rsid w:val="001F3A30"/>
    <w:rsid w:val="001F4826"/>
    <w:rsid w:val="001F4F2C"/>
    <w:rsid w:val="001F5146"/>
    <w:rsid w:val="001F5750"/>
    <w:rsid w:val="001F5C37"/>
    <w:rsid w:val="001F671A"/>
    <w:rsid w:val="001F698E"/>
    <w:rsid w:val="0020030B"/>
    <w:rsid w:val="00201C51"/>
    <w:rsid w:val="002059B5"/>
    <w:rsid w:val="00206FF7"/>
    <w:rsid w:val="002071AF"/>
    <w:rsid w:val="00207C9D"/>
    <w:rsid w:val="00207EF7"/>
    <w:rsid w:val="00210ECE"/>
    <w:rsid w:val="0021283F"/>
    <w:rsid w:val="00212FEF"/>
    <w:rsid w:val="002131D0"/>
    <w:rsid w:val="0021342D"/>
    <w:rsid w:val="002140CB"/>
    <w:rsid w:val="00214B2B"/>
    <w:rsid w:val="00214B30"/>
    <w:rsid w:val="002151BE"/>
    <w:rsid w:val="00215D85"/>
    <w:rsid w:val="0021796A"/>
    <w:rsid w:val="0022031E"/>
    <w:rsid w:val="00221D23"/>
    <w:rsid w:val="002221E4"/>
    <w:rsid w:val="002222C9"/>
    <w:rsid w:val="00222C5D"/>
    <w:rsid w:val="00223FF3"/>
    <w:rsid w:val="002267C1"/>
    <w:rsid w:val="002271D6"/>
    <w:rsid w:val="002272D7"/>
    <w:rsid w:val="00230AEC"/>
    <w:rsid w:val="002360F7"/>
    <w:rsid w:val="00240265"/>
    <w:rsid w:val="00242738"/>
    <w:rsid w:val="002431CF"/>
    <w:rsid w:val="00243DAF"/>
    <w:rsid w:val="00244CE7"/>
    <w:rsid w:val="0024506E"/>
    <w:rsid w:val="002500EC"/>
    <w:rsid w:val="00252EE7"/>
    <w:rsid w:val="00254E8E"/>
    <w:rsid w:val="00255F0D"/>
    <w:rsid w:val="002566C8"/>
    <w:rsid w:val="00260014"/>
    <w:rsid w:val="00264306"/>
    <w:rsid w:val="002652C6"/>
    <w:rsid w:val="00265CD3"/>
    <w:rsid w:val="002671FB"/>
    <w:rsid w:val="002672EC"/>
    <w:rsid w:val="00267E41"/>
    <w:rsid w:val="0027029B"/>
    <w:rsid w:val="00270BD4"/>
    <w:rsid w:val="0027168D"/>
    <w:rsid w:val="002724B8"/>
    <w:rsid w:val="00275535"/>
    <w:rsid w:val="00275822"/>
    <w:rsid w:val="00275B5F"/>
    <w:rsid w:val="00280BD8"/>
    <w:rsid w:val="00280FBE"/>
    <w:rsid w:val="00281004"/>
    <w:rsid w:val="00281C3B"/>
    <w:rsid w:val="002826DF"/>
    <w:rsid w:val="00283116"/>
    <w:rsid w:val="002834FB"/>
    <w:rsid w:val="00283799"/>
    <w:rsid w:val="0028628C"/>
    <w:rsid w:val="002862EB"/>
    <w:rsid w:val="002868B2"/>
    <w:rsid w:val="00290DC8"/>
    <w:rsid w:val="002912DB"/>
    <w:rsid w:val="0029194D"/>
    <w:rsid w:val="00294411"/>
    <w:rsid w:val="0029673A"/>
    <w:rsid w:val="00296BDC"/>
    <w:rsid w:val="002A0062"/>
    <w:rsid w:val="002A1409"/>
    <w:rsid w:val="002A162D"/>
    <w:rsid w:val="002A1968"/>
    <w:rsid w:val="002A2AAF"/>
    <w:rsid w:val="002A32EE"/>
    <w:rsid w:val="002A4AD8"/>
    <w:rsid w:val="002A4CE6"/>
    <w:rsid w:val="002A6359"/>
    <w:rsid w:val="002A6A21"/>
    <w:rsid w:val="002A741A"/>
    <w:rsid w:val="002A7743"/>
    <w:rsid w:val="002A7BB5"/>
    <w:rsid w:val="002AC875"/>
    <w:rsid w:val="002B0738"/>
    <w:rsid w:val="002B0CF0"/>
    <w:rsid w:val="002B141E"/>
    <w:rsid w:val="002B1B45"/>
    <w:rsid w:val="002B2A48"/>
    <w:rsid w:val="002B2DFA"/>
    <w:rsid w:val="002B52CE"/>
    <w:rsid w:val="002B6B4A"/>
    <w:rsid w:val="002B6F4A"/>
    <w:rsid w:val="002B71E7"/>
    <w:rsid w:val="002C0CE1"/>
    <w:rsid w:val="002C22A2"/>
    <w:rsid w:val="002C2FBE"/>
    <w:rsid w:val="002C4DE3"/>
    <w:rsid w:val="002C7E7D"/>
    <w:rsid w:val="002D06BE"/>
    <w:rsid w:val="002D10CF"/>
    <w:rsid w:val="002D181C"/>
    <w:rsid w:val="002D42A5"/>
    <w:rsid w:val="002D47FE"/>
    <w:rsid w:val="002D6334"/>
    <w:rsid w:val="002D779D"/>
    <w:rsid w:val="002E0067"/>
    <w:rsid w:val="002E028A"/>
    <w:rsid w:val="002E0453"/>
    <w:rsid w:val="002E0684"/>
    <w:rsid w:val="002E0689"/>
    <w:rsid w:val="002E0761"/>
    <w:rsid w:val="002E3FE2"/>
    <w:rsid w:val="002E5875"/>
    <w:rsid w:val="002E602C"/>
    <w:rsid w:val="002E69F9"/>
    <w:rsid w:val="002E7486"/>
    <w:rsid w:val="002E77DA"/>
    <w:rsid w:val="002F0019"/>
    <w:rsid w:val="002F07AB"/>
    <w:rsid w:val="002F0B48"/>
    <w:rsid w:val="002F1398"/>
    <w:rsid w:val="002F2358"/>
    <w:rsid w:val="002F593D"/>
    <w:rsid w:val="00301BF6"/>
    <w:rsid w:val="00302465"/>
    <w:rsid w:val="00303EB0"/>
    <w:rsid w:val="00304E00"/>
    <w:rsid w:val="00305F1C"/>
    <w:rsid w:val="003117B4"/>
    <w:rsid w:val="00312965"/>
    <w:rsid w:val="0031342F"/>
    <w:rsid w:val="00314917"/>
    <w:rsid w:val="00315AE2"/>
    <w:rsid w:val="00320B4C"/>
    <w:rsid w:val="00322649"/>
    <w:rsid w:val="003228CB"/>
    <w:rsid w:val="00322D21"/>
    <w:rsid w:val="003249AE"/>
    <w:rsid w:val="00326786"/>
    <w:rsid w:val="00330223"/>
    <w:rsid w:val="003304DC"/>
    <w:rsid w:val="003338DF"/>
    <w:rsid w:val="00333D36"/>
    <w:rsid w:val="00334274"/>
    <w:rsid w:val="00334606"/>
    <w:rsid w:val="00334F46"/>
    <w:rsid w:val="00337695"/>
    <w:rsid w:val="003409EF"/>
    <w:rsid w:val="00341D8D"/>
    <w:rsid w:val="003442F5"/>
    <w:rsid w:val="003456FE"/>
    <w:rsid w:val="00345BBF"/>
    <w:rsid w:val="0034670E"/>
    <w:rsid w:val="0034798C"/>
    <w:rsid w:val="00351527"/>
    <w:rsid w:val="00352221"/>
    <w:rsid w:val="00352A11"/>
    <w:rsid w:val="00353290"/>
    <w:rsid w:val="003600D8"/>
    <w:rsid w:val="00360D7B"/>
    <w:rsid w:val="00362092"/>
    <w:rsid w:val="0036231B"/>
    <w:rsid w:val="003629EC"/>
    <w:rsid w:val="00364031"/>
    <w:rsid w:val="00367997"/>
    <w:rsid w:val="00367C99"/>
    <w:rsid w:val="00373C3F"/>
    <w:rsid w:val="003745F2"/>
    <w:rsid w:val="00374BEE"/>
    <w:rsid w:val="00375867"/>
    <w:rsid w:val="0037634E"/>
    <w:rsid w:val="00380CDD"/>
    <w:rsid w:val="003817F3"/>
    <w:rsid w:val="003823E6"/>
    <w:rsid w:val="003837BF"/>
    <w:rsid w:val="003847BB"/>
    <w:rsid w:val="00387387"/>
    <w:rsid w:val="00391442"/>
    <w:rsid w:val="00391EEF"/>
    <w:rsid w:val="00391F08"/>
    <w:rsid w:val="00393F5B"/>
    <w:rsid w:val="00394589"/>
    <w:rsid w:val="00395C39"/>
    <w:rsid w:val="00396118"/>
    <w:rsid w:val="0039649A"/>
    <w:rsid w:val="00396E54"/>
    <w:rsid w:val="00396E65"/>
    <w:rsid w:val="003A0988"/>
    <w:rsid w:val="003A1507"/>
    <w:rsid w:val="003A1DB5"/>
    <w:rsid w:val="003A30CF"/>
    <w:rsid w:val="003A498F"/>
    <w:rsid w:val="003A5AE4"/>
    <w:rsid w:val="003A63F3"/>
    <w:rsid w:val="003A7826"/>
    <w:rsid w:val="003A7E91"/>
    <w:rsid w:val="003B0209"/>
    <w:rsid w:val="003B04AB"/>
    <w:rsid w:val="003B0F84"/>
    <w:rsid w:val="003B123C"/>
    <w:rsid w:val="003B2A60"/>
    <w:rsid w:val="003B3191"/>
    <w:rsid w:val="003B3F0A"/>
    <w:rsid w:val="003B4264"/>
    <w:rsid w:val="003B4CA1"/>
    <w:rsid w:val="003B5D9A"/>
    <w:rsid w:val="003B618F"/>
    <w:rsid w:val="003B6DDC"/>
    <w:rsid w:val="003B7261"/>
    <w:rsid w:val="003C0335"/>
    <w:rsid w:val="003C1571"/>
    <w:rsid w:val="003C2ABF"/>
    <w:rsid w:val="003C3826"/>
    <w:rsid w:val="003C3D8A"/>
    <w:rsid w:val="003C69F6"/>
    <w:rsid w:val="003C6D54"/>
    <w:rsid w:val="003D17BC"/>
    <w:rsid w:val="003D20FA"/>
    <w:rsid w:val="003D21B2"/>
    <w:rsid w:val="003D32ED"/>
    <w:rsid w:val="003D33EF"/>
    <w:rsid w:val="003D3E59"/>
    <w:rsid w:val="003D711B"/>
    <w:rsid w:val="003D7355"/>
    <w:rsid w:val="003D73CE"/>
    <w:rsid w:val="003D7C97"/>
    <w:rsid w:val="003E0D7A"/>
    <w:rsid w:val="003E153B"/>
    <w:rsid w:val="003E223F"/>
    <w:rsid w:val="003E2AE5"/>
    <w:rsid w:val="003F0315"/>
    <w:rsid w:val="003F0D7B"/>
    <w:rsid w:val="003F2183"/>
    <w:rsid w:val="003F4B1C"/>
    <w:rsid w:val="004042EB"/>
    <w:rsid w:val="0040477C"/>
    <w:rsid w:val="00405AFC"/>
    <w:rsid w:val="00405C45"/>
    <w:rsid w:val="004060F7"/>
    <w:rsid w:val="00406B73"/>
    <w:rsid w:val="00406DC7"/>
    <w:rsid w:val="00406E42"/>
    <w:rsid w:val="004076DC"/>
    <w:rsid w:val="00411E9B"/>
    <w:rsid w:val="00413F12"/>
    <w:rsid w:val="00414C15"/>
    <w:rsid w:val="004153C7"/>
    <w:rsid w:val="00415ED2"/>
    <w:rsid w:val="004168F2"/>
    <w:rsid w:val="004171BB"/>
    <w:rsid w:val="00417D3A"/>
    <w:rsid w:val="00420874"/>
    <w:rsid w:val="004216EB"/>
    <w:rsid w:val="00422A33"/>
    <w:rsid w:val="00422AD9"/>
    <w:rsid w:val="0042420D"/>
    <w:rsid w:val="0042422E"/>
    <w:rsid w:val="00424FDC"/>
    <w:rsid w:val="0042569C"/>
    <w:rsid w:val="00425FB5"/>
    <w:rsid w:val="00434D99"/>
    <w:rsid w:val="004363C1"/>
    <w:rsid w:val="0044024E"/>
    <w:rsid w:val="00441CC6"/>
    <w:rsid w:val="00443DEC"/>
    <w:rsid w:val="00444584"/>
    <w:rsid w:val="00447612"/>
    <w:rsid w:val="00448CB9"/>
    <w:rsid w:val="00450F5F"/>
    <w:rsid w:val="00453BDB"/>
    <w:rsid w:val="004541BB"/>
    <w:rsid w:val="004603C5"/>
    <w:rsid w:val="0046155A"/>
    <w:rsid w:val="00461BD4"/>
    <w:rsid w:val="0046268B"/>
    <w:rsid w:val="00463561"/>
    <w:rsid w:val="00465031"/>
    <w:rsid w:val="00466FE8"/>
    <w:rsid w:val="00467FDF"/>
    <w:rsid w:val="004703C3"/>
    <w:rsid w:val="00470863"/>
    <w:rsid w:val="00471107"/>
    <w:rsid w:val="00471BC1"/>
    <w:rsid w:val="00472CE9"/>
    <w:rsid w:val="004761D5"/>
    <w:rsid w:val="004771D2"/>
    <w:rsid w:val="004809E3"/>
    <w:rsid w:val="00480AF2"/>
    <w:rsid w:val="00481E55"/>
    <w:rsid w:val="0048217F"/>
    <w:rsid w:val="00482E27"/>
    <w:rsid w:val="00484024"/>
    <w:rsid w:val="0048529F"/>
    <w:rsid w:val="00485ACF"/>
    <w:rsid w:val="00485BC5"/>
    <w:rsid w:val="00486677"/>
    <w:rsid w:val="00486748"/>
    <w:rsid w:val="00486A5E"/>
    <w:rsid w:val="004908EC"/>
    <w:rsid w:val="00490A67"/>
    <w:rsid w:val="00490E99"/>
    <w:rsid w:val="00491FA9"/>
    <w:rsid w:val="00492EBB"/>
    <w:rsid w:val="004978E9"/>
    <w:rsid w:val="00497C14"/>
    <w:rsid w:val="00497D4E"/>
    <w:rsid w:val="004A0E1D"/>
    <w:rsid w:val="004A2050"/>
    <w:rsid w:val="004A2366"/>
    <w:rsid w:val="004A254C"/>
    <w:rsid w:val="004A2DAF"/>
    <w:rsid w:val="004A4910"/>
    <w:rsid w:val="004A6CA2"/>
    <w:rsid w:val="004A6D8A"/>
    <w:rsid w:val="004A6F9F"/>
    <w:rsid w:val="004A765A"/>
    <w:rsid w:val="004B0FAC"/>
    <w:rsid w:val="004B1197"/>
    <w:rsid w:val="004B1F3A"/>
    <w:rsid w:val="004B2110"/>
    <w:rsid w:val="004B6571"/>
    <w:rsid w:val="004C02F0"/>
    <w:rsid w:val="004C06AB"/>
    <w:rsid w:val="004C1FEB"/>
    <w:rsid w:val="004C33B8"/>
    <w:rsid w:val="004C3791"/>
    <w:rsid w:val="004C584F"/>
    <w:rsid w:val="004C612C"/>
    <w:rsid w:val="004C66AF"/>
    <w:rsid w:val="004C676A"/>
    <w:rsid w:val="004C6BE6"/>
    <w:rsid w:val="004C6E21"/>
    <w:rsid w:val="004C76EC"/>
    <w:rsid w:val="004C797B"/>
    <w:rsid w:val="004D2F2E"/>
    <w:rsid w:val="004D3C3F"/>
    <w:rsid w:val="004D3EB3"/>
    <w:rsid w:val="004D3EBB"/>
    <w:rsid w:val="004D3EC3"/>
    <w:rsid w:val="004D3FA2"/>
    <w:rsid w:val="004D4A52"/>
    <w:rsid w:val="004D6709"/>
    <w:rsid w:val="004D67CC"/>
    <w:rsid w:val="004E0BED"/>
    <w:rsid w:val="004E11BE"/>
    <w:rsid w:val="004E2F5F"/>
    <w:rsid w:val="004E37BA"/>
    <w:rsid w:val="004E404E"/>
    <w:rsid w:val="004E508D"/>
    <w:rsid w:val="004E54D5"/>
    <w:rsid w:val="004E5A08"/>
    <w:rsid w:val="004E66E0"/>
    <w:rsid w:val="004E692A"/>
    <w:rsid w:val="004E7E3A"/>
    <w:rsid w:val="004F0AD1"/>
    <w:rsid w:val="004F247B"/>
    <w:rsid w:val="004F2B36"/>
    <w:rsid w:val="004F41BC"/>
    <w:rsid w:val="004F4AC9"/>
    <w:rsid w:val="004F4CB4"/>
    <w:rsid w:val="004F61C0"/>
    <w:rsid w:val="004F6C44"/>
    <w:rsid w:val="004F7416"/>
    <w:rsid w:val="005005A7"/>
    <w:rsid w:val="00501F94"/>
    <w:rsid w:val="005023F9"/>
    <w:rsid w:val="0050304B"/>
    <w:rsid w:val="005037EB"/>
    <w:rsid w:val="00505673"/>
    <w:rsid w:val="00506C4C"/>
    <w:rsid w:val="00510137"/>
    <w:rsid w:val="005103E6"/>
    <w:rsid w:val="00510607"/>
    <w:rsid w:val="00510E13"/>
    <w:rsid w:val="005117BE"/>
    <w:rsid w:val="00512053"/>
    <w:rsid w:val="005169A2"/>
    <w:rsid w:val="00516F6E"/>
    <w:rsid w:val="00517097"/>
    <w:rsid w:val="00520B56"/>
    <w:rsid w:val="00520FC2"/>
    <w:rsid w:val="00521793"/>
    <w:rsid w:val="0052341E"/>
    <w:rsid w:val="005241AB"/>
    <w:rsid w:val="005264DD"/>
    <w:rsid w:val="005304E7"/>
    <w:rsid w:val="005371DB"/>
    <w:rsid w:val="00537907"/>
    <w:rsid w:val="00540267"/>
    <w:rsid w:val="005413CA"/>
    <w:rsid w:val="00544C1E"/>
    <w:rsid w:val="0054675A"/>
    <w:rsid w:val="005473F5"/>
    <w:rsid w:val="005506E8"/>
    <w:rsid w:val="005518F1"/>
    <w:rsid w:val="00551C94"/>
    <w:rsid w:val="00551F12"/>
    <w:rsid w:val="00554AA5"/>
    <w:rsid w:val="005575ED"/>
    <w:rsid w:val="00557962"/>
    <w:rsid w:val="00560F4C"/>
    <w:rsid w:val="00561BDF"/>
    <w:rsid w:val="00561E57"/>
    <w:rsid w:val="005623E6"/>
    <w:rsid w:val="00563891"/>
    <w:rsid w:val="00564A07"/>
    <w:rsid w:val="00565F9C"/>
    <w:rsid w:val="0056685B"/>
    <w:rsid w:val="00570FD7"/>
    <w:rsid w:val="0057139F"/>
    <w:rsid w:val="00571DE4"/>
    <w:rsid w:val="005728CC"/>
    <w:rsid w:val="00573323"/>
    <w:rsid w:val="00573509"/>
    <w:rsid w:val="0057385A"/>
    <w:rsid w:val="0057509B"/>
    <w:rsid w:val="00575B1F"/>
    <w:rsid w:val="00576F9B"/>
    <w:rsid w:val="00577C7E"/>
    <w:rsid w:val="00577D16"/>
    <w:rsid w:val="00580AF3"/>
    <w:rsid w:val="00581BF1"/>
    <w:rsid w:val="00582499"/>
    <w:rsid w:val="00582F53"/>
    <w:rsid w:val="00583F05"/>
    <w:rsid w:val="00584594"/>
    <w:rsid w:val="0058499E"/>
    <w:rsid w:val="00584AF5"/>
    <w:rsid w:val="005853E2"/>
    <w:rsid w:val="005854E9"/>
    <w:rsid w:val="00586158"/>
    <w:rsid w:val="00586B43"/>
    <w:rsid w:val="00587243"/>
    <w:rsid w:val="005872F3"/>
    <w:rsid w:val="005875E9"/>
    <w:rsid w:val="00590557"/>
    <w:rsid w:val="00590621"/>
    <w:rsid w:val="00590DFB"/>
    <w:rsid w:val="0059380F"/>
    <w:rsid w:val="00593AA4"/>
    <w:rsid w:val="00594CD2"/>
    <w:rsid w:val="005954BB"/>
    <w:rsid w:val="00595866"/>
    <w:rsid w:val="00596A5F"/>
    <w:rsid w:val="005A0F08"/>
    <w:rsid w:val="005A215D"/>
    <w:rsid w:val="005A3FE3"/>
    <w:rsid w:val="005A4E0C"/>
    <w:rsid w:val="005A5A64"/>
    <w:rsid w:val="005A6BA2"/>
    <w:rsid w:val="005A70C4"/>
    <w:rsid w:val="005A7D6D"/>
    <w:rsid w:val="005B12CF"/>
    <w:rsid w:val="005B19C6"/>
    <w:rsid w:val="005B1B1C"/>
    <w:rsid w:val="005B1BC7"/>
    <w:rsid w:val="005B4416"/>
    <w:rsid w:val="005B4528"/>
    <w:rsid w:val="005B4598"/>
    <w:rsid w:val="005B6984"/>
    <w:rsid w:val="005B73FD"/>
    <w:rsid w:val="005B78FC"/>
    <w:rsid w:val="005C0292"/>
    <w:rsid w:val="005C1A22"/>
    <w:rsid w:val="005C27BE"/>
    <w:rsid w:val="005C47EC"/>
    <w:rsid w:val="005C50EF"/>
    <w:rsid w:val="005C641A"/>
    <w:rsid w:val="005C79EB"/>
    <w:rsid w:val="005D0711"/>
    <w:rsid w:val="005D16C8"/>
    <w:rsid w:val="005D4E9B"/>
    <w:rsid w:val="005D4F54"/>
    <w:rsid w:val="005D5D44"/>
    <w:rsid w:val="005D6143"/>
    <w:rsid w:val="005D633B"/>
    <w:rsid w:val="005D6DC9"/>
    <w:rsid w:val="005D767E"/>
    <w:rsid w:val="005E238B"/>
    <w:rsid w:val="005E7296"/>
    <w:rsid w:val="005E788C"/>
    <w:rsid w:val="005F05E0"/>
    <w:rsid w:val="005F09E9"/>
    <w:rsid w:val="005F14BA"/>
    <w:rsid w:val="005F1677"/>
    <w:rsid w:val="005F350A"/>
    <w:rsid w:val="005F4F5A"/>
    <w:rsid w:val="005F642D"/>
    <w:rsid w:val="005F6D18"/>
    <w:rsid w:val="005F7CC8"/>
    <w:rsid w:val="00600B2A"/>
    <w:rsid w:val="006010D2"/>
    <w:rsid w:val="00601967"/>
    <w:rsid w:val="00603657"/>
    <w:rsid w:val="00603A64"/>
    <w:rsid w:val="00604531"/>
    <w:rsid w:val="006057A6"/>
    <w:rsid w:val="00605812"/>
    <w:rsid w:val="006069C3"/>
    <w:rsid w:val="00606A63"/>
    <w:rsid w:val="006133F9"/>
    <w:rsid w:val="006145C4"/>
    <w:rsid w:val="00615157"/>
    <w:rsid w:val="006151E9"/>
    <w:rsid w:val="00616764"/>
    <w:rsid w:val="00617E58"/>
    <w:rsid w:val="00620C0A"/>
    <w:rsid w:val="006216EE"/>
    <w:rsid w:val="00621B23"/>
    <w:rsid w:val="00621D09"/>
    <w:rsid w:val="0062274E"/>
    <w:rsid w:val="0062491B"/>
    <w:rsid w:val="00625100"/>
    <w:rsid w:val="00625337"/>
    <w:rsid w:val="006270FE"/>
    <w:rsid w:val="00630036"/>
    <w:rsid w:val="0063032B"/>
    <w:rsid w:val="0063344B"/>
    <w:rsid w:val="00633974"/>
    <w:rsid w:val="00633AA6"/>
    <w:rsid w:val="006347DB"/>
    <w:rsid w:val="0063598B"/>
    <w:rsid w:val="006375CB"/>
    <w:rsid w:val="00637B5D"/>
    <w:rsid w:val="00640075"/>
    <w:rsid w:val="0064088C"/>
    <w:rsid w:val="0064121C"/>
    <w:rsid w:val="0064150D"/>
    <w:rsid w:val="006417B2"/>
    <w:rsid w:val="00642483"/>
    <w:rsid w:val="00642A21"/>
    <w:rsid w:val="006430F2"/>
    <w:rsid w:val="006452FE"/>
    <w:rsid w:val="00645AFD"/>
    <w:rsid w:val="006463E0"/>
    <w:rsid w:val="00646966"/>
    <w:rsid w:val="00647D88"/>
    <w:rsid w:val="00651112"/>
    <w:rsid w:val="00651A95"/>
    <w:rsid w:val="00651C05"/>
    <w:rsid w:val="00652A8A"/>
    <w:rsid w:val="00652C56"/>
    <w:rsid w:val="006531DB"/>
    <w:rsid w:val="00653E32"/>
    <w:rsid w:val="006555CB"/>
    <w:rsid w:val="00655C12"/>
    <w:rsid w:val="00655EE8"/>
    <w:rsid w:val="00660F23"/>
    <w:rsid w:val="006614A5"/>
    <w:rsid w:val="006614D6"/>
    <w:rsid w:val="00662587"/>
    <w:rsid w:val="006636FE"/>
    <w:rsid w:val="00664587"/>
    <w:rsid w:val="006650D0"/>
    <w:rsid w:val="006659B8"/>
    <w:rsid w:val="0066645A"/>
    <w:rsid w:val="0066744A"/>
    <w:rsid w:val="00667A46"/>
    <w:rsid w:val="00670952"/>
    <w:rsid w:val="00670DE9"/>
    <w:rsid w:val="00670EDF"/>
    <w:rsid w:val="00671698"/>
    <w:rsid w:val="00671E22"/>
    <w:rsid w:val="006726CA"/>
    <w:rsid w:val="00673686"/>
    <w:rsid w:val="0067410A"/>
    <w:rsid w:val="006749AA"/>
    <w:rsid w:val="00674E15"/>
    <w:rsid w:val="00674F53"/>
    <w:rsid w:val="00675E06"/>
    <w:rsid w:val="00676775"/>
    <w:rsid w:val="00676AA8"/>
    <w:rsid w:val="0067700C"/>
    <w:rsid w:val="00677058"/>
    <w:rsid w:val="00677EA4"/>
    <w:rsid w:val="00681F91"/>
    <w:rsid w:val="00682A77"/>
    <w:rsid w:val="0068347A"/>
    <w:rsid w:val="00686B51"/>
    <w:rsid w:val="006878EB"/>
    <w:rsid w:val="00690277"/>
    <w:rsid w:val="00691718"/>
    <w:rsid w:val="006927AD"/>
    <w:rsid w:val="006929AD"/>
    <w:rsid w:val="006938EC"/>
    <w:rsid w:val="00694A56"/>
    <w:rsid w:val="00694C13"/>
    <w:rsid w:val="0069543A"/>
    <w:rsid w:val="00696360"/>
    <w:rsid w:val="006966BF"/>
    <w:rsid w:val="00696AD5"/>
    <w:rsid w:val="00697BAB"/>
    <w:rsid w:val="006A0E1C"/>
    <w:rsid w:val="006A1664"/>
    <w:rsid w:val="006A26F2"/>
    <w:rsid w:val="006A278E"/>
    <w:rsid w:val="006A3AD9"/>
    <w:rsid w:val="006A418E"/>
    <w:rsid w:val="006A4551"/>
    <w:rsid w:val="006A5382"/>
    <w:rsid w:val="006A72E0"/>
    <w:rsid w:val="006A7D00"/>
    <w:rsid w:val="006B07A7"/>
    <w:rsid w:val="006B0C2A"/>
    <w:rsid w:val="006B1175"/>
    <w:rsid w:val="006B200E"/>
    <w:rsid w:val="006B2304"/>
    <w:rsid w:val="006B333B"/>
    <w:rsid w:val="006B3CD3"/>
    <w:rsid w:val="006B46E9"/>
    <w:rsid w:val="006B487E"/>
    <w:rsid w:val="006B72A1"/>
    <w:rsid w:val="006C0363"/>
    <w:rsid w:val="006C0A8D"/>
    <w:rsid w:val="006C0E7F"/>
    <w:rsid w:val="006C192D"/>
    <w:rsid w:val="006C1A6C"/>
    <w:rsid w:val="006C3391"/>
    <w:rsid w:val="006C4943"/>
    <w:rsid w:val="006C4BFF"/>
    <w:rsid w:val="006C6CA2"/>
    <w:rsid w:val="006C7236"/>
    <w:rsid w:val="006C760E"/>
    <w:rsid w:val="006D0277"/>
    <w:rsid w:val="006D0EB5"/>
    <w:rsid w:val="006D11B8"/>
    <w:rsid w:val="006D12E2"/>
    <w:rsid w:val="006D295A"/>
    <w:rsid w:val="006D4F17"/>
    <w:rsid w:val="006D5D8B"/>
    <w:rsid w:val="006D6E24"/>
    <w:rsid w:val="006D7244"/>
    <w:rsid w:val="006E26D2"/>
    <w:rsid w:val="006E4CB5"/>
    <w:rsid w:val="006E51ED"/>
    <w:rsid w:val="006E60AB"/>
    <w:rsid w:val="006E791D"/>
    <w:rsid w:val="006F0DC9"/>
    <w:rsid w:val="006F2BE9"/>
    <w:rsid w:val="006F364D"/>
    <w:rsid w:val="006F562F"/>
    <w:rsid w:val="006F59A3"/>
    <w:rsid w:val="006F603E"/>
    <w:rsid w:val="00700F0A"/>
    <w:rsid w:val="00701B97"/>
    <w:rsid w:val="00701B9D"/>
    <w:rsid w:val="0070310B"/>
    <w:rsid w:val="00703515"/>
    <w:rsid w:val="007038C2"/>
    <w:rsid w:val="00704905"/>
    <w:rsid w:val="00704952"/>
    <w:rsid w:val="00704D92"/>
    <w:rsid w:val="00705AAB"/>
    <w:rsid w:val="00706A84"/>
    <w:rsid w:val="0070730B"/>
    <w:rsid w:val="00710D4B"/>
    <w:rsid w:val="00712F2B"/>
    <w:rsid w:val="00713FAC"/>
    <w:rsid w:val="00714260"/>
    <w:rsid w:val="007142F6"/>
    <w:rsid w:val="00715D11"/>
    <w:rsid w:val="007166B5"/>
    <w:rsid w:val="00720DAF"/>
    <w:rsid w:val="0072161F"/>
    <w:rsid w:val="00724EE0"/>
    <w:rsid w:val="00725EFD"/>
    <w:rsid w:val="00730524"/>
    <w:rsid w:val="00730A31"/>
    <w:rsid w:val="00731375"/>
    <w:rsid w:val="00732669"/>
    <w:rsid w:val="00732BF0"/>
    <w:rsid w:val="007330DE"/>
    <w:rsid w:val="0073339F"/>
    <w:rsid w:val="00733504"/>
    <w:rsid w:val="00733622"/>
    <w:rsid w:val="00733FBA"/>
    <w:rsid w:val="00735B3E"/>
    <w:rsid w:val="00737918"/>
    <w:rsid w:val="0073793B"/>
    <w:rsid w:val="00740129"/>
    <w:rsid w:val="0074022E"/>
    <w:rsid w:val="007403CA"/>
    <w:rsid w:val="00740511"/>
    <w:rsid w:val="00740659"/>
    <w:rsid w:val="00741AA8"/>
    <w:rsid w:val="00741E58"/>
    <w:rsid w:val="007429F9"/>
    <w:rsid w:val="00742B18"/>
    <w:rsid w:val="00742EDB"/>
    <w:rsid w:val="007436AF"/>
    <w:rsid w:val="00743813"/>
    <w:rsid w:val="00743F11"/>
    <w:rsid w:val="00744B6C"/>
    <w:rsid w:val="007453DA"/>
    <w:rsid w:val="00745B84"/>
    <w:rsid w:val="00747A58"/>
    <w:rsid w:val="007523D2"/>
    <w:rsid w:val="007534CF"/>
    <w:rsid w:val="00753A66"/>
    <w:rsid w:val="00754680"/>
    <w:rsid w:val="00754C10"/>
    <w:rsid w:val="00755D24"/>
    <w:rsid w:val="00756388"/>
    <w:rsid w:val="0075658A"/>
    <w:rsid w:val="00756E95"/>
    <w:rsid w:val="007609B3"/>
    <w:rsid w:val="00763023"/>
    <w:rsid w:val="00764BD0"/>
    <w:rsid w:val="0076631C"/>
    <w:rsid w:val="007709FC"/>
    <w:rsid w:val="00770E3B"/>
    <w:rsid w:val="00770F6F"/>
    <w:rsid w:val="00771922"/>
    <w:rsid w:val="007722E7"/>
    <w:rsid w:val="007723EF"/>
    <w:rsid w:val="007737A5"/>
    <w:rsid w:val="00773A7C"/>
    <w:rsid w:val="00777976"/>
    <w:rsid w:val="00777BF1"/>
    <w:rsid w:val="00780787"/>
    <w:rsid w:val="00781608"/>
    <w:rsid w:val="00781D0F"/>
    <w:rsid w:val="007833F8"/>
    <w:rsid w:val="00784273"/>
    <w:rsid w:val="00784317"/>
    <w:rsid w:val="0078537E"/>
    <w:rsid w:val="007869FC"/>
    <w:rsid w:val="00790A65"/>
    <w:rsid w:val="00791980"/>
    <w:rsid w:val="00792714"/>
    <w:rsid w:val="00792B75"/>
    <w:rsid w:val="00793846"/>
    <w:rsid w:val="00794028"/>
    <w:rsid w:val="00796D23"/>
    <w:rsid w:val="00797790"/>
    <w:rsid w:val="00797D20"/>
    <w:rsid w:val="007A00DD"/>
    <w:rsid w:val="007A1F44"/>
    <w:rsid w:val="007A281F"/>
    <w:rsid w:val="007A2993"/>
    <w:rsid w:val="007A2C0A"/>
    <w:rsid w:val="007A3D76"/>
    <w:rsid w:val="007A597D"/>
    <w:rsid w:val="007A6759"/>
    <w:rsid w:val="007A78D3"/>
    <w:rsid w:val="007A79B7"/>
    <w:rsid w:val="007B0652"/>
    <w:rsid w:val="007B0925"/>
    <w:rsid w:val="007B1983"/>
    <w:rsid w:val="007B2F29"/>
    <w:rsid w:val="007B31FE"/>
    <w:rsid w:val="007B43DA"/>
    <w:rsid w:val="007B4F7C"/>
    <w:rsid w:val="007B58E5"/>
    <w:rsid w:val="007B73D3"/>
    <w:rsid w:val="007B79EF"/>
    <w:rsid w:val="007C0BDC"/>
    <w:rsid w:val="007C1568"/>
    <w:rsid w:val="007C1B50"/>
    <w:rsid w:val="007C1DD5"/>
    <w:rsid w:val="007C2E8C"/>
    <w:rsid w:val="007C3D3F"/>
    <w:rsid w:val="007C46DE"/>
    <w:rsid w:val="007C4942"/>
    <w:rsid w:val="007C57D4"/>
    <w:rsid w:val="007C5E2B"/>
    <w:rsid w:val="007C5E50"/>
    <w:rsid w:val="007C77DB"/>
    <w:rsid w:val="007D151D"/>
    <w:rsid w:val="007D247C"/>
    <w:rsid w:val="007D29A0"/>
    <w:rsid w:val="007D345E"/>
    <w:rsid w:val="007D424A"/>
    <w:rsid w:val="007D62B2"/>
    <w:rsid w:val="007D7BBB"/>
    <w:rsid w:val="007E0E70"/>
    <w:rsid w:val="007E2453"/>
    <w:rsid w:val="007E5236"/>
    <w:rsid w:val="007E6894"/>
    <w:rsid w:val="007E6D94"/>
    <w:rsid w:val="007E7FF4"/>
    <w:rsid w:val="007F099F"/>
    <w:rsid w:val="007F11B8"/>
    <w:rsid w:val="007F2DEF"/>
    <w:rsid w:val="007F3617"/>
    <w:rsid w:val="007F38F5"/>
    <w:rsid w:val="007F4310"/>
    <w:rsid w:val="007F4B72"/>
    <w:rsid w:val="007F547F"/>
    <w:rsid w:val="007F69EA"/>
    <w:rsid w:val="007F76CD"/>
    <w:rsid w:val="008007A1"/>
    <w:rsid w:val="00801F5F"/>
    <w:rsid w:val="00806091"/>
    <w:rsid w:val="00806956"/>
    <w:rsid w:val="00806C35"/>
    <w:rsid w:val="00806E59"/>
    <w:rsid w:val="00811D32"/>
    <w:rsid w:val="008136F6"/>
    <w:rsid w:val="008141CB"/>
    <w:rsid w:val="0081543D"/>
    <w:rsid w:val="0081617D"/>
    <w:rsid w:val="008169D0"/>
    <w:rsid w:val="00816D8A"/>
    <w:rsid w:val="00822478"/>
    <w:rsid w:val="00822B4C"/>
    <w:rsid w:val="008235F0"/>
    <w:rsid w:val="00823624"/>
    <w:rsid w:val="00824B45"/>
    <w:rsid w:val="00827ED2"/>
    <w:rsid w:val="00832700"/>
    <w:rsid w:val="00833138"/>
    <w:rsid w:val="0083380C"/>
    <w:rsid w:val="00833AF5"/>
    <w:rsid w:val="008350D1"/>
    <w:rsid w:val="00835D6C"/>
    <w:rsid w:val="00836DD0"/>
    <w:rsid w:val="00837036"/>
    <w:rsid w:val="008372BA"/>
    <w:rsid w:val="00841DBF"/>
    <w:rsid w:val="00842711"/>
    <w:rsid w:val="00844B86"/>
    <w:rsid w:val="008459CD"/>
    <w:rsid w:val="00846C08"/>
    <w:rsid w:val="0084752C"/>
    <w:rsid w:val="00847574"/>
    <w:rsid w:val="00847FEF"/>
    <w:rsid w:val="00847FF7"/>
    <w:rsid w:val="008502D0"/>
    <w:rsid w:val="008518EA"/>
    <w:rsid w:val="0085407F"/>
    <w:rsid w:val="0085595C"/>
    <w:rsid w:val="00856E1E"/>
    <w:rsid w:val="00857459"/>
    <w:rsid w:val="008610B9"/>
    <w:rsid w:val="008624BC"/>
    <w:rsid w:val="00862520"/>
    <w:rsid w:val="00862BCC"/>
    <w:rsid w:val="008635FC"/>
    <w:rsid w:val="00863C61"/>
    <w:rsid w:val="00865052"/>
    <w:rsid w:val="0086745D"/>
    <w:rsid w:val="00870B47"/>
    <w:rsid w:val="00871D33"/>
    <w:rsid w:val="00873A3A"/>
    <w:rsid w:val="0087684F"/>
    <w:rsid w:val="00876C0D"/>
    <w:rsid w:val="00877415"/>
    <w:rsid w:val="0087DE14"/>
    <w:rsid w:val="00880605"/>
    <w:rsid w:val="008811BA"/>
    <w:rsid w:val="0088125F"/>
    <w:rsid w:val="00881DD6"/>
    <w:rsid w:val="00882533"/>
    <w:rsid w:val="008827FD"/>
    <w:rsid w:val="00882A4B"/>
    <w:rsid w:val="0088494D"/>
    <w:rsid w:val="00885397"/>
    <w:rsid w:val="008873B9"/>
    <w:rsid w:val="00890016"/>
    <w:rsid w:val="0089038E"/>
    <w:rsid w:val="00891471"/>
    <w:rsid w:val="0089239D"/>
    <w:rsid w:val="0089243B"/>
    <w:rsid w:val="00893E5E"/>
    <w:rsid w:val="0089466C"/>
    <w:rsid w:val="0089767F"/>
    <w:rsid w:val="008A1B53"/>
    <w:rsid w:val="008A361C"/>
    <w:rsid w:val="008A3E23"/>
    <w:rsid w:val="008A4C71"/>
    <w:rsid w:val="008A6F61"/>
    <w:rsid w:val="008B2D75"/>
    <w:rsid w:val="008B3712"/>
    <w:rsid w:val="008B3C08"/>
    <w:rsid w:val="008B5EF0"/>
    <w:rsid w:val="008C2665"/>
    <w:rsid w:val="008C2A01"/>
    <w:rsid w:val="008C3097"/>
    <w:rsid w:val="008C35B1"/>
    <w:rsid w:val="008C3DC7"/>
    <w:rsid w:val="008C426F"/>
    <w:rsid w:val="008C42CA"/>
    <w:rsid w:val="008C4C5C"/>
    <w:rsid w:val="008C633E"/>
    <w:rsid w:val="008D0041"/>
    <w:rsid w:val="008D04BC"/>
    <w:rsid w:val="008D0D0D"/>
    <w:rsid w:val="008D14FE"/>
    <w:rsid w:val="008D2670"/>
    <w:rsid w:val="008D2967"/>
    <w:rsid w:val="008D32F5"/>
    <w:rsid w:val="008D3A31"/>
    <w:rsid w:val="008D4498"/>
    <w:rsid w:val="008D466B"/>
    <w:rsid w:val="008D5433"/>
    <w:rsid w:val="008D63FA"/>
    <w:rsid w:val="008E0DEA"/>
    <w:rsid w:val="008E1362"/>
    <w:rsid w:val="008E1B5F"/>
    <w:rsid w:val="008E2370"/>
    <w:rsid w:val="008E3AB2"/>
    <w:rsid w:val="008E44D1"/>
    <w:rsid w:val="008E4D09"/>
    <w:rsid w:val="008E66EA"/>
    <w:rsid w:val="008E7C93"/>
    <w:rsid w:val="008F3E02"/>
    <w:rsid w:val="008F5AD2"/>
    <w:rsid w:val="008F62A1"/>
    <w:rsid w:val="008F6479"/>
    <w:rsid w:val="009007DE"/>
    <w:rsid w:val="009008AD"/>
    <w:rsid w:val="00900CF6"/>
    <w:rsid w:val="009026A3"/>
    <w:rsid w:val="0090377C"/>
    <w:rsid w:val="0090425A"/>
    <w:rsid w:val="00907844"/>
    <w:rsid w:val="009102D8"/>
    <w:rsid w:val="0091207C"/>
    <w:rsid w:val="0091232B"/>
    <w:rsid w:val="00913063"/>
    <w:rsid w:val="009148E0"/>
    <w:rsid w:val="00915E43"/>
    <w:rsid w:val="00915F2D"/>
    <w:rsid w:val="0091635A"/>
    <w:rsid w:val="00917832"/>
    <w:rsid w:val="009200DE"/>
    <w:rsid w:val="00920FA5"/>
    <w:rsid w:val="00921E54"/>
    <w:rsid w:val="009221EB"/>
    <w:rsid w:val="00922A4D"/>
    <w:rsid w:val="00924F8E"/>
    <w:rsid w:val="00925723"/>
    <w:rsid w:val="009257DF"/>
    <w:rsid w:val="009258EC"/>
    <w:rsid w:val="00926F8E"/>
    <w:rsid w:val="009302DE"/>
    <w:rsid w:val="009304F1"/>
    <w:rsid w:val="00930AEF"/>
    <w:rsid w:val="0093181B"/>
    <w:rsid w:val="00931E5E"/>
    <w:rsid w:val="009321A7"/>
    <w:rsid w:val="00933694"/>
    <w:rsid w:val="00935313"/>
    <w:rsid w:val="00935B72"/>
    <w:rsid w:val="0093714E"/>
    <w:rsid w:val="00937689"/>
    <w:rsid w:val="0094179A"/>
    <w:rsid w:val="00941A17"/>
    <w:rsid w:val="00943432"/>
    <w:rsid w:val="00943C27"/>
    <w:rsid w:val="00943F48"/>
    <w:rsid w:val="00944D83"/>
    <w:rsid w:val="0094534D"/>
    <w:rsid w:val="00946500"/>
    <w:rsid w:val="00946C01"/>
    <w:rsid w:val="00947A3D"/>
    <w:rsid w:val="009535F3"/>
    <w:rsid w:val="00956415"/>
    <w:rsid w:val="00957D41"/>
    <w:rsid w:val="009606F7"/>
    <w:rsid w:val="00960D31"/>
    <w:rsid w:val="0096201E"/>
    <w:rsid w:val="00962BFD"/>
    <w:rsid w:val="00963080"/>
    <w:rsid w:val="009646C1"/>
    <w:rsid w:val="00964FB5"/>
    <w:rsid w:val="00967643"/>
    <w:rsid w:val="00967FD3"/>
    <w:rsid w:val="0097228F"/>
    <w:rsid w:val="00973953"/>
    <w:rsid w:val="0097536C"/>
    <w:rsid w:val="00975886"/>
    <w:rsid w:val="009759FA"/>
    <w:rsid w:val="00976758"/>
    <w:rsid w:val="00982650"/>
    <w:rsid w:val="00983FC5"/>
    <w:rsid w:val="009851F6"/>
    <w:rsid w:val="0098583E"/>
    <w:rsid w:val="00987EFE"/>
    <w:rsid w:val="0099075F"/>
    <w:rsid w:val="0099147B"/>
    <w:rsid w:val="00992172"/>
    <w:rsid w:val="00992F53"/>
    <w:rsid w:val="0099355B"/>
    <w:rsid w:val="009936C9"/>
    <w:rsid w:val="0099543A"/>
    <w:rsid w:val="0099577C"/>
    <w:rsid w:val="009A0D91"/>
    <w:rsid w:val="009A1C36"/>
    <w:rsid w:val="009A2945"/>
    <w:rsid w:val="009A2A9A"/>
    <w:rsid w:val="009A2CD0"/>
    <w:rsid w:val="009A4764"/>
    <w:rsid w:val="009A4FF3"/>
    <w:rsid w:val="009A5666"/>
    <w:rsid w:val="009A6276"/>
    <w:rsid w:val="009A795E"/>
    <w:rsid w:val="009B1C2A"/>
    <w:rsid w:val="009B5568"/>
    <w:rsid w:val="009B5D64"/>
    <w:rsid w:val="009B77C0"/>
    <w:rsid w:val="009C088E"/>
    <w:rsid w:val="009C096F"/>
    <w:rsid w:val="009C099A"/>
    <w:rsid w:val="009C1129"/>
    <w:rsid w:val="009C26DA"/>
    <w:rsid w:val="009C4641"/>
    <w:rsid w:val="009C4817"/>
    <w:rsid w:val="009C5442"/>
    <w:rsid w:val="009C5DCB"/>
    <w:rsid w:val="009C611D"/>
    <w:rsid w:val="009C6671"/>
    <w:rsid w:val="009C76F2"/>
    <w:rsid w:val="009D1486"/>
    <w:rsid w:val="009D2C6D"/>
    <w:rsid w:val="009D3F47"/>
    <w:rsid w:val="009D3FD0"/>
    <w:rsid w:val="009D407F"/>
    <w:rsid w:val="009D71A9"/>
    <w:rsid w:val="009D7536"/>
    <w:rsid w:val="009E00BF"/>
    <w:rsid w:val="009E13B0"/>
    <w:rsid w:val="009E43FA"/>
    <w:rsid w:val="009E4A48"/>
    <w:rsid w:val="009E510D"/>
    <w:rsid w:val="009E6A3C"/>
    <w:rsid w:val="009E7036"/>
    <w:rsid w:val="009F0190"/>
    <w:rsid w:val="009F206B"/>
    <w:rsid w:val="009F2132"/>
    <w:rsid w:val="009F4016"/>
    <w:rsid w:val="009F49A6"/>
    <w:rsid w:val="009F5147"/>
    <w:rsid w:val="009F60D8"/>
    <w:rsid w:val="009F6615"/>
    <w:rsid w:val="00A006AF"/>
    <w:rsid w:val="00A00BAB"/>
    <w:rsid w:val="00A01237"/>
    <w:rsid w:val="00A0164C"/>
    <w:rsid w:val="00A01E55"/>
    <w:rsid w:val="00A029EB"/>
    <w:rsid w:val="00A03248"/>
    <w:rsid w:val="00A049F6"/>
    <w:rsid w:val="00A0500E"/>
    <w:rsid w:val="00A05115"/>
    <w:rsid w:val="00A0654E"/>
    <w:rsid w:val="00A07C85"/>
    <w:rsid w:val="00A11602"/>
    <w:rsid w:val="00A12747"/>
    <w:rsid w:val="00A14B5F"/>
    <w:rsid w:val="00A15F66"/>
    <w:rsid w:val="00A1658C"/>
    <w:rsid w:val="00A17430"/>
    <w:rsid w:val="00A17B86"/>
    <w:rsid w:val="00A2019F"/>
    <w:rsid w:val="00A201C7"/>
    <w:rsid w:val="00A20417"/>
    <w:rsid w:val="00A20639"/>
    <w:rsid w:val="00A227DA"/>
    <w:rsid w:val="00A23CE1"/>
    <w:rsid w:val="00A24EFF"/>
    <w:rsid w:val="00A2596E"/>
    <w:rsid w:val="00A26F3E"/>
    <w:rsid w:val="00A27A72"/>
    <w:rsid w:val="00A30655"/>
    <w:rsid w:val="00A309AB"/>
    <w:rsid w:val="00A30B07"/>
    <w:rsid w:val="00A31260"/>
    <w:rsid w:val="00A312DE"/>
    <w:rsid w:val="00A321F0"/>
    <w:rsid w:val="00A32986"/>
    <w:rsid w:val="00A331C3"/>
    <w:rsid w:val="00A33355"/>
    <w:rsid w:val="00A33C06"/>
    <w:rsid w:val="00A36936"/>
    <w:rsid w:val="00A36E5B"/>
    <w:rsid w:val="00A4098C"/>
    <w:rsid w:val="00A41205"/>
    <w:rsid w:val="00A428E0"/>
    <w:rsid w:val="00A432A7"/>
    <w:rsid w:val="00A45CEA"/>
    <w:rsid w:val="00A4611F"/>
    <w:rsid w:val="00A4616F"/>
    <w:rsid w:val="00A468D6"/>
    <w:rsid w:val="00A50053"/>
    <w:rsid w:val="00A50908"/>
    <w:rsid w:val="00A53A34"/>
    <w:rsid w:val="00A53C66"/>
    <w:rsid w:val="00A54E86"/>
    <w:rsid w:val="00A556CB"/>
    <w:rsid w:val="00A55895"/>
    <w:rsid w:val="00A55BA4"/>
    <w:rsid w:val="00A56282"/>
    <w:rsid w:val="00A56833"/>
    <w:rsid w:val="00A57AEB"/>
    <w:rsid w:val="00A6009A"/>
    <w:rsid w:val="00A6175B"/>
    <w:rsid w:val="00A619B9"/>
    <w:rsid w:val="00A62858"/>
    <w:rsid w:val="00A64430"/>
    <w:rsid w:val="00A6445C"/>
    <w:rsid w:val="00A6600E"/>
    <w:rsid w:val="00A6709D"/>
    <w:rsid w:val="00A676AD"/>
    <w:rsid w:val="00A704D9"/>
    <w:rsid w:val="00A71629"/>
    <w:rsid w:val="00A737A3"/>
    <w:rsid w:val="00A75540"/>
    <w:rsid w:val="00A759F7"/>
    <w:rsid w:val="00A75E29"/>
    <w:rsid w:val="00A76A6B"/>
    <w:rsid w:val="00A7717E"/>
    <w:rsid w:val="00A77EB3"/>
    <w:rsid w:val="00A820AE"/>
    <w:rsid w:val="00A82D27"/>
    <w:rsid w:val="00A82D84"/>
    <w:rsid w:val="00A85A99"/>
    <w:rsid w:val="00A90814"/>
    <w:rsid w:val="00A90EEA"/>
    <w:rsid w:val="00A917EC"/>
    <w:rsid w:val="00A91DCE"/>
    <w:rsid w:val="00A92CF7"/>
    <w:rsid w:val="00A945E0"/>
    <w:rsid w:val="00A94B89"/>
    <w:rsid w:val="00A94FE4"/>
    <w:rsid w:val="00A952AE"/>
    <w:rsid w:val="00AA0949"/>
    <w:rsid w:val="00AA314D"/>
    <w:rsid w:val="00AA31ED"/>
    <w:rsid w:val="00AA3787"/>
    <w:rsid w:val="00AA4BBD"/>
    <w:rsid w:val="00AA5040"/>
    <w:rsid w:val="00AA6524"/>
    <w:rsid w:val="00AA7A7D"/>
    <w:rsid w:val="00AA7EEA"/>
    <w:rsid w:val="00AB0B0B"/>
    <w:rsid w:val="00AB0BD0"/>
    <w:rsid w:val="00AB16E0"/>
    <w:rsid w:val="00AB1C9F"/>
    <w:rsid w:val="00AB37F1"/>
    <w:rsid w:val="00AB3BD0"/>
    <w:rsid w:val="00AB4156"/>
    <w:rsid w:val="00AB4DF7"/>
    <w:rsid w:val="00AB7AEA"/>
    <w:rsid w:val="00AC00D0"/>
    <w:rsid w:val="00AC1CDB"/>
    <w:rsid w:val="00AC2255"/>
    <w:rsid w:val="00AC394F"/>
    <w:rsid w:val="00AC626A"/>
    <w:rsid w:val="00AC7398"/>
    <w:rsid w:val="00AD0F63"/>
    <w:rsid w:val="00AD1DBB"/>
    <w:rsid w:val="00AD1F2A"/>
    <w:rsid w:val="00AD261E"/>
    <w:rsid w:val="00AD3DC7"/>
    <w:rsid w:val="00AD42B4"/>
    <w:rsid w:val="00AD4E77"/>
    <w:rsid w:val="00AD605B"/>
    <w:rsid w:val="00AD6100"/>
    <w:rsid w:val="00AD69F7"/>
    <w:rsid w:val="00AE00CA"/>
    <w:rsid w:val="00AE1F63"/>
    <w:rsid w:val="00AE313B"/>
    <w:rsid w:val="00AE401A"/>
    <w:rsid w:val="00AE78C5"/>
    <w:rsid w:val="00AF0253"/>
    <w:rsid w:val="00AF1074"/>
    <w:rsid w:val="00AF1608"/>
    <w:rsid w:val="00AF1E39"/>
    <w:rsid w:val="00AF21EE"/>
    <w:rsid w:val="00AF3342"/>
    <w:rsid w:val="00AF50C9"/>
    <w:rsid w:val="00AF6673"/>
    <w:rsid w:val="00AF6FDA"/>
    <w:rsid w:val="00AF7311"/>
    <w:rsid w:val="00AF7352"/>
    <w:rsid w:val="00B00AC6"/>
    <w:rsid w:val="00B032F2"/>
    <w:rsid w:val="00B034D8"/>
    <w:rsid w:val="00B054EC"/>
    <w:rsid w:val="00B0714E"/>
    <w:rsid w:val="00B07C26"/>
    <w:rsid w:val="00B10AEE"/>
    <w:rsid w:val="00B10DEA"/>
    <w:rsid w:val="00B10F2C"/>
    <w:rsid w:val="00B10F58"/>
    <w:rsid w:val="00B12544"/>
    <w:rsid w:val="00B1403C"/>
    <w:rsid w:val="00B14347"/>
    <w:rsid w:val="00B14C9C"/>
    <w:rsid w:val="00B14E14"/>
    <w:rsid w:val="00B15426"/>
    <w:rsid w:val="00B158F3"/>
    <w:rsid w:val="00B15B9B"/>
    <w:rsid w:val="00B15F3D"/>
    <w:rsid w:val="00B169FD"/>
    <w:rsid w:val="00B21242"/>
    <w:rsid w:val="00B21563"/>
    <w:rsid w:val="00B21F1D"/>
    <w:rsid w:val="00B220E3"/>
    <w:rsid w:val="00B22B74"/>
    <w:rsid w:val="00B23BA3"/>
    <w:rsid w:val="00B2413F"/>
    <w:rsid w:val="00B26C2B"/>
    <w:rsid w:val="00B30444"/>
    <w:rsid w:val="00B35AC5"/>
    <w:rsid w:val="00B3612F"/>
    <w:rsid w:val="00B362E8"/>
    <w:rsid w:val="00B3698E"/>
    <w:rsid w:val="00B37B80"/>
    <w:rsid w:val="00B41200"/>
    <w:rsid w:val="00B432D4"/>
    <w:rsid w:val="00B439E8"/>
    <w:rsid w:val="00B440F4"/>
    <w:rsid w:val="00B503DE"/>
    <w:rsid w:val="00B504CD"/>
    <w:rsid w:val="00B50C8A"/>
    <w:rsid w:val="00B547B9"/>
    <w:rsid w:val="00B54A69"/>
    <w:rsid w:val="00B54FD2"/>
    <w:rsid w:val="00B55738"/>
    <w:rsid w:val="00B55769"/>
    <w:rsid w:val="00B55946"/>
    <w:rsid w:val="00B57CC6"/>
    <w:rsid w:val="00B60200"/>
    <w:rsid w:val="00B6034F"/>
    <w:rsid w:val="00B61B0E"/>
    <w:rsid w:val="00B623CC"/>
    <w:rsid w:val="00B62408"/>
    <w:rsid w:val="00B636B3"/>
    <w:rsid w:val="00B64108"/>
    <w:rsid w:val="00B648E0"/>
    <w:rsid w:val="00B66118"/>
    <w:rsid w:val="00B70614"/>
    <w:rsid w:val="00B70F62"/>
    <w:rsid w:val="00B72428"/>
    <w:rsid w:val="00B75006"/>
    <w:rsid w:val="00B75624"/>
    <w:rsid w:val="00B75E80"/>
    <w:rsid w:val="00B80FA1"/>
    <w:rsid w:val="00B817CE"/>
    <w:rsid w:val="00B82735"/>
    <w:rsid w:val="00B8424E"/>
    <w:rsid w:val="00B8594B"/>
    <w:rsid w:val="00B85D4C"/>
    <w:rsid w:val="00B8623B"/>
    <w:rsid w:val="00B873DE"/>
    <w:rsid w:val="00B91B53"/>
    <w:rsid w:val="00B92242"/>
    <w:rsid w:val="00B9251A"/>
    <w:rsid w:val="00B939A4"/>
    <w:rsid w:val="00B9678D"/>
    <w:rsid w:val="00B9FA5C"/>
    <w:rsid w:val="00BA192C"/>
    <w:rsid w:val="00BA2009"/>
    <w:rsid w:val="00BA2720"/>
    <w:rsid w:val="00BA41F2"/>
    <w:rsid w:val="00BA524B"/>
    <w:rsid w:val="00BA5EAE"/>
    <w:rsid w:val="00BB3B99"/>
    <w:rsid w:val="00BB691E"/>
    <w:rsid w:val="00BC0E14"/>
    <w:rsid w:val="00BC0E9D"/>
    <w:rsid w:val="00BC25FD"/>
    <w:rsid w:val="00BC417C"/>
    <w:rsid w:val="00BC44F7"/>
    <w:rsid w:val="00BC61DF"/>
    <w:rsid w:val="00BD1474"/>
    <w:rsid w:val="00BD3933"/>
    <w:rsid w:val="00BD3E09"/>
    <w:rsid w:val="00BD49F2"/>
    <w:rsid w:val="00BD5571"/>
    <w:rsid w:val="00BD5665"/>
    <w:rsid w:val="00BD56D3"/>
    <w:rsid w:val="00BD587D"/>
    <w:rsid w:val="00BD63E4"/>
    <w:rsid w:val="00BD6ED6"/>
    <w:rsid w:val="00BE0AD6"/>
    <w:rsid w:val="00BE1832"/>
    <w:rsid w:val="00BE1844"/>
    <w:rsid w:val="00BE348A"/>
    <w:rsid w:val="00BE355D"/>
    <w:rsid w:val="00BE413D"/>
    <w:rsid w:val="00BE4DA2"/>
    <w:rsid w:val="00BE5081"/>
    <w:rsid w:val="00BE537C"/>
    <w:rsid w:val="00BE7F23"/>
    <w:rsid w:val="00BF06C9"/>
    <w:rsid w:val="00BF0866"/>
    <w:rsid w:val="00BF0FFB"/>
    <w:rsid w:val="00BF2450"/>
    <w:rsid w:val="00BF3406"/>
    <w:rsid w:val="00BF34B6"/>
    <w:rsid w:val="00BF396A"/>
    <w:rsid w:val="00BF40DF"/>
    <w:rsid w:val="00BF445B"/>
    <w:rsid w:val="00C01BBF"/>
    <w:rsid w:val="00C01F6C"/>
    <w:rsid w:val="00C0422D"/>
    <w:rsid w:val="00C053D0"/>
    <w:rsid w:val="00C05CBD"/>
    <w:rsid w:val="00C06172"/>
    <w:rsid w:val="00C0634C"/>
    <w:rsid w:val="00C06BC0"/>
    <w:rsid w:val="00C06BC2"/>
    <w:rsid w:val="00C06F87"/>
    <w:rsid w:val="00C10743"/>
    <w:rsid w:val="00C11F47"/>
    <w:rsid w:val="00C1251A"/>
    <w:rsid w:val="00C13560"/>
    <w:rsid w:val="00C143A7"/>
    <w:rsid w:val="00C14B99"/>
    <w:rsid w:val="00C14EC8"/>
    <w:rsid w:val="00C151CB"/>
    <w:rsid w:val="00C15EEF"/>
    <w:rsid w:val="00C169CA"/>
    <w:rsid w:val="00C17838"/>
    <w:rsid w:val="00C20FAE"/>
    <w:rsid w:val="00C219F6"/>
    <w:rsid w:val="00C23025"/>
    <w:rsid w:val="00C24BBE"/>
    <w:rsid w:val="00C25CFA"/>
    <w:rsid w:val="00C2716A"/>
    <w:rsid w:val="00C27EDC"/>
    <w:rsid w:val="00C30431"/>
    <w:rsid w:val="00C317BE"/>
    <w:rsid w:val="00C324BD"/>
    <w:rsid w:val="00C33A01"/>
    <w:rsid w:val="00C3415D"/>
    <w:rsid w:val="00C34350"/>
    <w:rsid w:val="00C37E1A"/>
    <w:rsid w:val="00C40CDB"/>
    <w:rsid w:val="00C40CF2"/>
    <w:rsid w:val="00C437BB"/>
    <w:rsid w:val="00C4495B"/>
    <w:rsid w:val="00C45168"/>
    <w:rsid w:val="00C45A57"/>
    <w:rsid w:val="00C46608"/>
    <w:rsid w:val="00C54FCB"/>
    <w:rsid w:val="00C572CA"/>
    <w:rsid w:val="00C57634"/>
    <w:rsid w:val="00C625CB"/>
    <w:rsid w:val="00C637E3"/>
    <w:rsid w:val="00C63ABF"/>
    <w:rsid w:val="00C640F0"/>
    <w:rsid w:val="00C64628"/>
    <w:rsid w:val="00C64EB4"/>
    <w:rsid w:val="00C6609C"/>
    <w:rsid w:val="00C66DC9"/>
    <w:rsid w:val="00C66F8E"/>
    <w:rsid w:val="00C707BB"/>
    <w:rsid w:val="00C71486"/>
    <w:rsid w:val="00C71DC4"/>
    <w:rsid w:val="00C71FB1"/>
    <w:rsid w:val="00C72724"/>
    <w:rsid w:val="00C72BE8"/>
    <w:rsid w:val="00C72E54"/>
    <w:rsid w:val="00C74583"/>
    <w:rsid w:val="00C74733"/>
    <w:rsid w:val="00C75A7C"/>
    <w:rsid w:val="00C75FED"/>
    <w:rsid w:val="00C76E0C"/>
    <w:rsid w:val="00C80A30"/>
    <w:rsid w:val="00C835AB"/>
    <w:rsid w:val="00C83771"/>
    <w:rsid w:val="00C86625"/>
    <w:rsid w:val="00C8694C"/>
    <w:rsid w:val="00C8713E"/>
    <w:rsid w:val="00C8797D"/>
    <w:rsid w:val="00C90FF9"/>
    <w:rsid w:val="00C9150D"/>
    <w:rsid w:val="00C93E2C"/>
    <w:rsid w:val="00C94894"/>
    <w:rsid w:val="00C964B0"/>
    <w:rsid w:val="00C96822"/>
    <w:rsid w:val="00C969BA"/>
    <w:rsid w:val="00C96C9E"/>
    <w:rsid w:val="00CA25C8"/>
    <w:rsid w:val="00CA2AC4"/>
    <w:rsid w:val="00CA3169"/>
    <w:rsid w:val="00CA344E"/>
    <w:rsid w:val="00CA3660"/>
    <w:rsid w:val="00CA7A5C"/>
    <w:rsid w:val="00CA7E1D"/>
    <w:rsid w:val="00CB0CAC"/>
    <w:rsid w:val="00CB0CD6"/>
    <w:rsid w:val="00CB1A30"/>
    <w:rsid w:val="00CB30E9"/>
    <w:rsid w:val="00CB31BC"/>
    <w:rsid w:val="00CB3C75"/>
    <w:rsid w:val="00CB40ED"/>
    <w:rsid w:val="00CB489A"/>
    <w:rsid w:val="00CB4BE4"/>
    <w:rsid w:val="00CB7F36"/>
    <w:rsid w:val="00CC0D29"/>
    <w:rsid w:val="00CC0EC6"/>
    <w:rsid w:val="00CC1093"/>
    <w:rsid w:val="00CC1D0D"/>
    <w:rsid w:val="00CC1E9D"/>
    <w:rsid w:val="00CC2058"/>
    <w:rsid w:val="00CC3CE3"/>
    <w:rsid w:val="00CC43FA"/>
    <w:rsid w:val="00CC44B3"/>
    <w:rsid w:val="00CC4D5B"/>
    <w:rsid w:val="00CC7E89"/>
    <w:rsid w:val="00CD00ED"/>
    <w:rsid w:val="00CD3459"/>
    <w:rsid w:val="00CD4047"/>
    <w:rsid w:val="00CD5946"/>
    <w:rsid w:val="00CD76C2"/>
    <w:rsid w:val="00CE03DD"/>
    <w:rsid w:val="00CE1409"/>
    <w:rsid w:val="00CE377F"/>
    <w:rsid w:val="00CE4ED5"/>
    <w:rsid w:val="00CE52A3"/>
    <w:rsid w:val="00CE7399"/>
    <w:rsid w:val="00CE757A"/>
    <w:rsid w:val="00CE7E48"/>
    <w:rsid w:val="00CF0FBA"/>
    <w:rsid w:val="00CF1842"/>
    <w:rsid w:val="00CF1EAC"/>
    <w:rsid w:val="00CF2B5A"/>
    <w:rsid w:val="00CF41B5"/>
    <w:rsid w:val="00CF52E4"/>
    <w:rsid w:val="00CF5562"/>
    <w:rsid w:val="00CF61BA"/>
    <w:rsid w:val="00D009C7"/>
    <w:rsid w:val="00D0121B"/>
    <w:rsid w:val="00D01B8E"/>
    <w:rsid w:val="00D01DBE"/>
    <w:rsid w:val="00D026DA"/>
    <w:rsid w:val="00D0468D"/>
    <w:rsid w:val="00D051A4"/>
    <w:rsid w:val="00D05516"/>
    <w:rsid w:val="00D05C81"/>
    <w:rsid w:val="00D05EBF"/>
    <w:rsid w:val="00D07552"/>
    <w:rsid w:val="00D10E6B"/>
    <w:rsid w:val="00D1440B"/>
    <w:rsid w:val="00D14B8B"/>
    <w:rsid w:val="00D14C6D"/>
    <w:rsid w:val="00D15794"/>
    <w:rsid w:val="00D16556"/>
    <w:rsid w:val="00D17CAC"/>
    <w:rsid w:val="00D216B3"/>
    <w:rsid w:val="00D21986"/>
    <w:rsid w:val="00D237E4"/>
    <w:rsid w:val="00D23B2F"/>
    <w:rsid w:val="00D2406B"/>
    <w:rsid w:val="00D25EAC"/>
    <w:rsid w:val="00D30C90"/>
    <w:rsid w:val="00D31AFB"/>
    <w:rsid w:val="00D3208B"/>
    <w:rsid w:val="00D320E1"/>
    <w:rsid w:val="00D35297"/>
    <w:rsid w:val="00D37EC4"/>
    <w:rsid w:val="00D421B4"/>
    <w:rsid w:val="00D43B9D"/>
    <w:rsid w:val="00D43DEE"/>
    <w:rsid w:val="00D440ED"/>
    <w:rsid w:val="00D44D04"/>
    <w:rsid w:val="00D46FA9"/>
    <w:rsid w:val="00D4799B"/>
    <w:rsid w:val="00D50BA5"/>
    <w:rsid w:val="00D51BB6"/>
    <w:rsid w:val="00D5202A"/>
    <w:rsid w:val="00D545C7"/>
    <w:rsid w:val="00D55EC1"/>
    <w:rsid w:val="00D5766C"/>
    <w:rsid w:val="00D64150"/>
    <w:rsid w:val="00D643AA"/>
    <w:rsid w:val="00D70A27"/>
    <w:rsid w:val="00D70EC9"/>
    <w:rsid w:val="00D7182B"/>
    <w:rsid w:val="00D71E14"/>
    <w:rsid w:val="00D755E4"/>
    <w:rsid w:val="00D75F75"/>
    <w:rsid w:val="00D8043E"/>
    <w:rsid w:val="00D812D9"/>
    <w:rsid w:val="00D81345"/>
    <w:rsid w:val="00D81534"/>
    <w:rsid w:val="00D81A3B"/>
    <w:rsid w:val="00D823D0"/>
    <w:rsid w:val="00D82B2C"/>
    <w:rsid w:val="00D856F3"/>
    <w:rsid w:val="00D860B2"/>
    <w:rsid w:val="00D87C2B"/>
    <w:rsid w:val="00D92A0D"/>
    <w:rsid w:val="00D95574"/>
    <w:rsid w:val="00D955A5"/>
    <w:rsid w:val="00D964F6"/>
    <w:rsid w:val="00DA02BD"/>
    <w:rsid w:val="00DA0DE4"/>
    <w:rsid w:val="00DA14CD"/>
    <w:rsid w:val="00DA1A98"/>
    <w:rsid w:val="00DA38D3"/>
    <w:rsid w:val="00DA41D5"/>
    <w:rsid w:val="00DA4846"/>
    <w:rsid w:val="00DA5DEC"/>
    <w:rsid w:val="00DA5E3E"/>
    <w:rsid w:val="00DA6B6A"/>
    <w:rsid w:val="00DA6D5D"/>
    <w:rsid w:val="00DA77F7"/>
    <w:rsid w:val="00DA7C8E"/>
    <w:rsid w:val="00DB1408"/>
    <w:rsid w:val="00DB2DFB"/>
    <w:rsid w:val="00DB3E21"/>
    <w:rsid w:val="00DB4E01"/>
    <w:rsid w:val="00DB4EA7"/>
    <w:rsid w:val="00DB5148"/>
    <w:rsid w:val="00DB65B5"/>
    <w:rsid w:val="00DB6A81"/>
    <w:rsid w:val="00DB6F05"/>
    <w:rsid w:val="00DB7DE1"/>
    <w:rsid w:val="00DB7E6E"/>
    <w:rsid w:val="00DC0021"/>
    <w:rsid w:val="00DC048F"/>
    <w:rsid w:val="00DC0DC7"/>
    <w:rsid w:val="00DC0E5A"/>
    <w:rsid w:val="00DC0FDC"/>
    <w:rsid w:val="00DC1753"/>
    <w:rsid w:val="00DC20C5"/>
    <w:rsid w:val="00DC27C2"/>
    <w:rsid w:val="00DC2C88"/>
    <w:rsid w:val="00DC3893"/>
    <w:rsid w:val="00DC6CC1"/>
    <w:rsid w:val="00DD05B4"/>
    <w:rsid w:val="00DD0887"/>
    <w:rsid w:val="00DD0C95"/>
    <w:rsid w:val="00DD1B3F"/>
    <w:rsid w:val="00DD1DDE"/>
    <w:rsid w:val="00DD2ECA"/>
    <w:rsid w:val="00DD378A"/>
    <w:rsid w:val="00DD3A0F"/>
    <w:rsid w:val="00DD7D5B"/>
    <w:rsid w:val="00DE0ABE"/>
    <w:rsid w:val="00DE17E6"/>
    <w:rsid w:val="00DE2A6E"/>
    <w:rsid w:val="00DE3330"/>
    <w:rsid w:val="00DE3856"/>
    <w:rsid w:val="00DE3EBE"/>
    <w:rsid w:val="00DE4CB8"/>
    <w:rsid w:val="00DE6064"/>
    <w:rsid w:val="00DF05BB"/>
    <w:rsid w:val="00DF149C"/>
    <w:rsid w:val="00DF2668"/>
    <w:rsid w:val="00DF3729"/>
    <w:rsid w:val="00DF57E2"/>
    <w:rsid w:val="00DF588D"/>
    <w:rsid w:val="00DF7435"/>
    <w:rsid w:val="00E000A9"/>
    <w:rsid w:val="00E0058B"/>
    <w:rsid w:val="00E01CB3"/>
    <w:rsid w:val="00E02EBA"/>
    <w:rsid w:val="00E031D1"/>
    <w:rsid w:val="00E03A61"/>
    <w:rsid w:val="00E044A3"/>
    <w:rsid w:val="00E059D1"/>
    <w:rsid w:val="00E0700E"/>
    <w:rsid w:val="00E106FA"/>
    <w:rsid w:val="00E11A68"/>
    <w:rsid w:val="00E1219C"/>
    <w:rsid w:val="00E132C0"/>
    <w:rsid w:val="00E13BE5"/>
    <w:rsid w:val="00E140B9"/>
    <w:rsid w:val="00E1442B"/>
    <w:rsid w:val="00E1520C"/>
    <w:rsid w:val="00E16062"/>
    <w:rsid w:val="00E169F5"/>
    <w:rsid w:val="00E17A1D"/>
    <w:rsid w:val="00E20C6A"/>
    <w:rsid w:val="00E20FAD"/>
    <w:rsid w:val="00E2254F"/>
    <w:rsid w:val="00E239A2"/>
    <w:rsid w:val="00E25DF2"/>
    <w:rsid w:val="00E26D4C"/>
    <w:rsid w:val="00E26E2C"/>
    <w:rsid w:val="00E3159C"/>
    <w:rsid w:val="00E32DD7"/>
    <w:rsid w:val="00E35AD4"/>
    <w:rsid w:val="00E35E45"/>
    <w:rsid w:val="00E37960"/>
    <w:rsid w:val="00E41645"/>
    <w:rsid w:val="00E42D64"/>
    <w:rsid w:val="00E4316B"/>
    <w:rsid w:val="00E4389E"/>
    <w:rsid w:val="00E460AB"/>
    <w:rsid w:val="00E511DE"/>
    <w:rsid w:val="00E5262C"/>
    <w:rsid w:val="00E611F6"/>
    <w:rsid w:val="00E6297C"/>
    <w:rsid w:val="00E64142"/>
    <w:rsid w:val="00E65538"/>
    <w:rsid w:val="00E657C3"/>
    <w:rsid w:val="00E65CDB"/>
    <w:rsid w:val="00E66526"/>
    <w:rsid w:val="00E6696C"/>
    <w:rsid w:val="00E676CA"/>
    <w:rsid w:val="00E67AF9"/>
    <w:rsid w:val="00E7414F"/>
    <w:rsid w:val="00E74B3E"/>
    <w:rsid w:val="00E74DED"/>
    <w:rsid w:val="00E768E9"/>
    <w:rsid w:val="00E76D2E"/>
    <w:rsid w:val="00E777FD"/>
    <w:rsid w:val="00E77AC5"/>
    <w:rsid w:val="00E80C46"/>
    <w:rsid w:val="00E84387"/>
    <w:rsid w:val="00E865A6"/>
    <w:rsid w:val="00E8721D"/>
    <w:rsid w:val="00E905BF"/>
    <w:rsid w:val="00E91220"/>
    <w:rsid w:val="00E934F5"/>
    <w:rsid w:val="00E93692"/>
    <w:rsid w:val="00E96D4D"/>
    <w:rsid w:val="00E970A6"/>
    <w:rsid w:val="00E97D97"/>
    <w:rsid w:val="00E97E27"/>
    <w:rsid w:val="00E97E89"/>
    <w:rsid w:val="00EA0030"/>
    <w:rsid w:val="00EA09A5"/>
    <w:rsid w:val="00EA279B"/>
    <w:rsid w:val="00EA3ABB"/>
    <w:rsid w:val="00EA6A25"/>
    <w:rsid w:val="00EB0386"/>
    <w:rsid w:val="00EB1856"/>
    <w:rsid w:val="00EB288E"/>
    <w:rsid w:val="00EB29DB"/>
    <w:rsid w:val="00EB3721"/>
    <w:rsid w:val="00EB4CB5"/>
    <w:rsid w:val="00EB5623"/>
    <w:rsid w:val="00EB5732"/>
    <w:rsid w:val="00EB5861"/>
    <w:rsid w:val="00EB5A00"/>
    <w:rsid w:val="00EB6731"/>
    <w:rsid w:val="00EB6B8C"/>
    <w:rsid w:val="00EC086C"/>
    <w:rsid w:val="00EC0D9C"/>
    <w:rsid w:val="00EC13C3"/>
    <w:rsid w:val="00EC273A"/>
    <w:rsid w:val="00EC27FF"/>
    <w:rsid w:val="00EC2CA8"/>
    <w:rsid w:val="00EC2E8F"/>
    <w:rsid w:val="00EC3047"/>
    <w:rsid w:val="00EC311C"/>
    <w:rsid w:val="00EC3606"/>
    <w:rsid w:val="00EC55EF"/>
    <w:rsid w:val="00EC58C2"/>
    <w:rsid w:val="00ED3896"/>
    <w:rsid w:val="00ED52F0"/>
    <w:rsid w:val="00ED5748"/>
    <w:rsid w:val="00ED5EE6"/>
    <w:rsid w:val="00ED78A6"/>
    <w:rsid w:val="00EE01F5"/>
    <w:rsid w:val="00EE42C4"/>
    <w:rsid w:val="00EE4956"/>
    <w:rsid w:val="00EE51B3"/>
    <w:rsid w:val="00EF0170"/>
    <w:rsid w:val="00EF033B"/>
    <w:rsid w:val="00EF1143"/>
    <w:rsid w:val="00EF1392"/>
    <w:rsid w:val="00EF48EA"/>
    <w:rsid w:val="00EF4BE9"/>
    <w:rsid w:val="00EF567F"/>
    <w:rsid w:val="00EF68CE"/>
    <w:rsid w:val="00EF7FF3"/>
    <w:rsid w:val="00F01582"/>
    <w:rsid w:val="00F02BF8"/>
    <w:rsid w:val="00F031D9"/>
    <w:rsid w:val="00F034BF"/>
    <w:rsid w:val="00F0578B"/>
    <w:rsid w:val="00F07583"/>
    <w:rsid w:val="00F10093"/>
    <w:rsid w:val="00F108F4"/>
    <w:rsid w:val="00F1159E"/>
    <w:rsid w:val="00F11A80"/>
    <w:rsid w:val="00F11BC0"/>
    <w:rsid w:val="00F15270"/>
    <w:rsid w:val="00F16976"/>
    <w:rsid w:val="00F16EA2"/>
    <w:rsid w:val="00F17A15"/>
    <w:rsid w:val="00F206C7"/>
    <w:rsid w:val="00F21E87"/>
    <w:rsid w:val="00F227E1"/>
    <w:rsid w:val="00F23DF8"/>
    <w:rsid w:val="00F2483A"/>
    <w:rsid w:val="00F2665B"/>
    <w:rsid w:val="00F26A8A"/>
    <w:rsid w:val="00F274E6"/>
    <w:rsid w:val="00F32F43"/>
    <w:rsid w:val="00F34072"/>
    <w:rsid w:val="00F34CD8"/>
    <w:rsid w:val="00F35058"/>
    <w:rsid w:val="00F3584B"/>
    <w:rsid w:val="00F35B16"/>
    <w:rsid w:val="00F3632F"/>
    <w:rsid w:val="00F371CF"/>
    <w:rsid w:val="00F372EC"/>
    <w:rsid w:val="00F37B2A"/>
    <w:rsid w:val="00F41CFF"/>
    <w:rsid w:val="00F44367"/>
    <w:rsid w:val="00F447D2"/>
    <w:rsid w:val="00F45218"/>
    <w:rsid w:val="00F4534D"/>
    <w:rsid w:val="00F45A6A"/>
    <w:rsid w:val="00F50B89"/>
    <w:rsid w:val="00F51B7D"/>
    <w:rsid w:val="00F54559"/>
    <w:rsid w:val="00F55C3F"/>
    <w:rsid w:val="00F573B7"/>
    <w:rsid w:val="00F61B54"/>
    <w:rsid w:val="00F62D9E"/>
    <w:rsid w:val="00F64C39"/>
    <w:rsid w:val="00F64CC1"/>
    <w:rsid w:val="00F65889"/>
    <w:rsid w:val="00F67145"/>
    <w:rsid w:val="00F67FD5"/>
    <w:rsid w:val="00F71112"/>
    <w:rsid w:val="00F71274"/>
    <w:rsid w:val="00F7359A"/>
    <w:rsid w:val="00F74153"/>
    <w:rsid w:val="00F74AD4"/>
    <w:rsid w:val="00F772CE"/>
    <w:rsid w:val="00F77B12"/>
    <w:rsid w:val="00F80A72"/>
    <w:rsid w:val="00F80F03"/>
    <w:rsid w:val="00F81AFD"/>
    <w:rsid w:val="00F820C3"/>
    <w:rsid w:val="00F82395"/>
    <w:rsid w:val="00F835F2"/>
    <w:rsid w:val="00F8373E"/>
    <w:rsid w:val="00F8431D"/>
    <w:rsid w:val="00F90383"/>
    <w:rsid w:val="00F903E8"/>
    <w:rsid w:val="00F909E2"/>
    <w:rsid w:val="00F90D6A"/>
    <w:rsid w:val="00F917F7"/>
    <w:rsid w:val="00F91AF4"/>
    <w:rsid w:val="00F95528"/>
    <w:rsid w:val="00F95DFF"/>
    <w:rsid w:val="00F96311"/>
    <w:rsid w:val="00F96FD5"/>
    <w:rsid w:val="00FA2358"/>
    <w:rsid w:val="00FA38A8"/>
    <w:rsid w:val="00FA5186"/>
    <w:rsid w:val="00FB14E6"/>
    <w:rsid w:val="00FB301F"/>
    <w:rsid w:val="00FB3212"/>
    <w:rsid w:val="00FB3463"/>
    <w:rsid w:val="00FB3E9A"/>
    <w:rsid w:val="00FB5874"/>
    <w:rsid w:val="00FB5BCD"/>
    <w:rsid w:val="00FB7582"/>
    <w:rsid w:val="00FC0410"/>
    <w:rsid w:val="00FC12CE"/>
    <w:rsid w:val="00FC16A2"/>
    <w:rsid w:val="00FC3B32"/>
    <w:rsid w:val="00FC445F"/>
    <w:rsid w:val="00FC6F9D"/>
    <w:rsid w:val="00FD05F8"/>
    <w:rsid w:val="00FD2289"/>
    <w:rsid w:val="00FD24B7"/>
    <w:rsid w:val="00FD455D"/>
    <w:rsid w:val="00FD5963"/>
    <w:rsid w:val="00FD6A12"/>
    <w:rsid w:val="00FE4D0B"/>
    <w:rsid w:val="00FE6043"/>
    <w:rsid w:val="00FE7570"/>
    <w:rsid w:val="00FF1B49"/>
    <w:rsid w:val="00FF27AC"/>
    <w:rsid w:val="00FF5895"/>
    <w:rsid w:val="00FF5BE9"/>
    <w:rsid w:val="00FF5C16"/>
    <w:rsid w:val="00FF654E"/>
    <w:rsid w:val="00FF6D5F"/>
    <w:rsid w:val="00FF7BD2"/>
    <w:rsid w:val="00FF7C1C"/>
    <w:rsid w:val="01030B4A"/>
    <w:rsid w:val="01418B96"/>
    <w:rsid w:val="0148855D"/>
    <w:rsid w:val="014CD4D1"/>
    <w:rsid w:val="0154C4B9"/>
    <w:rsid w:val="01608CF4"/>
    <w:rsid w:val="01DCCAE9"/>
    <w:rsid w:val="020E0204"/>
    <w:rsid w:val="02246E2D"/>
    <w:rsid w:val="0244C2F8"/>
    <w:rsid w:val="02867424"/>
    <w:rsid w:val="028B327E"/>
    <w:rsid w:val="0294E588"/>
    <w:rsid w:val="02B306A2"/>
    <w:rsid w:val="0300C59A"/>
    <w:rsid w:val="0306B0C3"/>
    <w:rsid w:val="0329AD2C"/>
    <w:rsid w:val="0360FF0F"/>
    <w:rsid w:val="0369FE93"/>
    <w:rsid w:val="038AC138"/>
    <w:rsid w:val="039323D8"/>
    <w:rsid w:val="03A50C44"/>
    <w:rsid w:val="03A7F25C"/>
    <w:rsid w:val="03D5CF25"/>
    <w:rsid w:val="03E09359"/>
    <w:rsid w:val="03E107B8"/>
    <w:rsid w:val="03F427FC"/>
    <w:rsid w:val="041EB86A"/>
    <w:rsid w:val="0438EFA4"/>
    <w:rsid w:val="044BAED5"/>
    <w:rsid w:val="04592B73"/>
    <w:rsid w:val="045A48C4"/>
    <w:rsid w:val="046C0013"/>
    <w:rsid w:val="04A14F5B"/>
    <w:rsid w:val="04AE4F1F"/>
    <w:rsid w:val="04CE9C7B"/>
    <w:rsid w:val="04D6528E"/>
    <w:rsid w:val="04F9EE0F"/>
    <w:rsid w:val="0500BA50"/>
    <w:rsid w:val="0505F2E4"/>
    <w:rsid w:val="050E1542"/>
    <w:rsid w:val="051A8F5E"/>
    <w:rsid w:val="05348D6F"/>
    <w:rsid w:val="05436AD6"/>
    <w:rsid w:val="054CBC94"/>
    <w:rsid w:val="0571BA0B"/>
    <w:rsid w:val="057C63BA"/>
    <w:rsid w:val="0582D520"/>
    <w:rsid w:val="0591185B"/>
    <w:rsid w:val="05B882B5"/>
    <w:rsid w:val="05BC4422"/>
    <w:rsid w:val="05BE8AAB"/>
    <w:rsid w:val="05E23A91"/>
    <w:rsid w:val="06420A85"/>
    <w:rsid w:val="06421620"/>
    <w:rsid w:val="064249E4"/>
    <w:rsid w:val="06766A8C"/>
    <w:rsid w:val="06AB97C5"/>
    <w:rsid w:val="06C47C2E"/>
    <w:rsid w:val="06F4141B"/>
    <w:rsid w:val="070E45FE"/>
    <w:rsid w:val="07118C9C"/>
    <w:rsid w:val="0720CC02"/>
    <w:rsid w:val="074BEF68"/>
    <w:rsid w:val="074C26B6"/>
    <w:rsid w:val="077804AD"/>
    <w:rsid w:val="07A36F6B"/>
    <w:rsid w:val="07A4E621"/>
    <w:rsid w:val="07EBBCFE"/>
    <w:rsid w:val="083763D3"/>
    <w:rsid w:val="085E579C"/>
    <w:rsid w:val="08663C49"/>
    <w:rsid w:val="08A34CBC"/>
    <w:rsid w:val="08AA73E8"/>
    <w:rsid w:val="08F8C6CF"/>
    <w:rsid w:val="0900F347"/>
    <w:rsid w:val="093B0642"/>
    <w:rsid w:val="0941918F"/>
    <w:rsid w:val="09427A41"/>
    <w:rsid w:val="0951DD78"/>
    <w:rsid w:val="09702F0C"/>
    <w:rsid w:val="0974C07E"/>
    <w:rsid w:val="098DA73D"/>
    <w:rsid w:val="09A0F7C6"/>
    <w:rsid w:val="09BE7CCA"/>
    <w:rsid w:val="0A6EE3DB"/>
    <w:rsid w:val="0A74A33D"/>
    <w:rsid w:val="0A8C03BA"/>
    <w:rsid w:val="0A90D80C"/>
    <w:rsid w:val="0A987122"/>
    <w:rsid w:val="0AAFA56F"/>
    <w:rsid w:val="0AFACA15"/>
    <w:rsid w:val="0B17710B"/>
    <w:rsid w:val="0B1C2E97"/>
    <w:rsid w:val="0B459B32"/>
    <w:rsid w:val="0B6AFD37"/>
    <w:rsid w:val="0B74C923"/>
    <w:rsid w:val="0B8D8489"/>
    <w:rsid w:val="0B8EF26E"/>
    <w:rsid w:val="0BA89277"/>
    <w:rsid w:val="0BAECDEE"/>
    <w:rsid w:val="0BCDE39B"/>
    <w:rsid w:val="0BD3B203"/>
    <w:rsid w:val="0BF21BE2"/>
    <w:rsid w:val="0C1A4E7A"/>
    <w:rsid w:val="0C3333F0"/>
    <w:rsid w:val="0C873F55"/>
    <w:rsid w:val="0CA5FAF7"/>
    <w:rsid w:val="0CC7D467"/>
    <w:rsid w:val="0CE0B9F3"/>
    <w:rsid w:val="0D003E3D"/>
    <w:rsid w:val="0D1E5233"/>
    <w:rsid w:val="0D8981F2"/>
    <w:rsid w:val="0D917DA7"/>
    <w:rsid w:val="0D92824A"/>
    <w:rsid w:val="0E03358A"/>
    <w:rsid w:val="0E06E641"/>
    <w:rsid w:val="0E155ECB"/>
    <w:rsid w:val="0E1D14E1"/>
    <w:rsid w:val="0E5639DB"/>
    <w:rsid w:val="0E802106"/>
    <w:rsid w:val="0EAFAF9E"/>
    <w:rsid w:val="0EBB18CE"/>
    <w:rsid w:val="0EF77A4E"/>
    <w:rsid w:val="0F52BC18"/>
    <w:rsid w:val="0F665580"/>
    <w:rsid w:val="0F6BF359"/>
    <w:rsid w:val="0FC6C42E"/>
    <w:rsid w:val="0FDDF41F"/>
    <w:rsid w:val="0FF4DE2E"/>
    <w:rsid w:val="1007B3C7"/>
    <w:rsid w:val="101C845F"/>
    <w:rsid w:val="102B974E"/>
    <w:rsid w:val="1051F06F"/>
    <w:rsid w:val="10661507"/>
    <w:rsid w:val="106CC09F"/>
    <w:rsid w:val="109389A0"/>
    <w:rsid w:val="1097618D"/>
    <w:rsid w:val="10CFB9F7"/>
    <w:rsid w:val="10D2B9DC"/>
    <w:rsid w:val="10ECE019"/>
    <w:rsid w:val="1104348B"/>
    <w:rsid w:val="111124DA"/>
    <w:rsid w:val="111D9C7D"/>
    <w:rsid w:val="11211C9A"/>
    <w:rsid w:val="11549609"/>
    <w:rsid w:val="116CCA96"/>
    <w:rsid w:val="11711DAE"/>
    <w:rsid w:val="11A2468C"/>
    <w:rsid w:val="11B0857B"/>
    <w:rsid w:val="11B7FE14"/>
    <w:rsid w:val="11CC0978"/>
    <w:rsid w:val="1212DFFC"/>
    <w:rsid w:val="1223A198"/>
    <w:rsid w:val="123E74B6"/>
    <w:rsid w:val="1247D9A5"/>
    <w:rsid w:val="12906003"/>
    <w:rsid w:val="12909E28"/>
    <w:rsid w:val="12A04DF9"/>
    <w:rsid w:val="12A9BF72"/>
    <w:rsid w:val="12B9485F"/>
    <w:rsid w:val="12BAAC97"/>
    <w:rsid w:val="1319C456"/>
    <w:rsid w:val="13547DC1"/>
    <w:rsid w:val="137218AA"/>
    <w:rsid w:val="1386EA89"/>
    <w:rsid w:val="139046F3"/>
    <w:rsid w:val="13974CB1"/>
    <w:rsid w:val="13AE7E0B"/>
    <w:rsid w:val="13AEBEDA"/>
    <w:rsid w:val="13F59DA6"/>
    <w:rsid w:val="14436BCE"/>
    <w:rsid w:val="14816F84"/>
    <w:rsid w:val="14850EF6"/>
    <w:rsid w:val="149FC840"/>
    <w:rsid w:val="14F4CCEB"/>
    <w:rsid w:val="1508EFF9"/>
    <w:rsid w:val="15091CF7"/>
    <w:rsid w:val="155DA46D"/>
    <w:rsid w:val="15772E43"/>
    <w:rsid w:val="15773DF5"/>
    <w:rsid w:val="15C10E53"/>
    <w:rsid w:val="15C56DBA"/>
    <w:rsid w:val="15C858E2"/>
    <w:rsid w:val="15DB885B"/>
    <w:rsid w:val="15EA578E"/>
    <w:rsid w:val="16029812"/>
    <w:rsid w:val="1625158F"/>
    <w:rsid w:val="163CFE76"/>
    <w:rsid w:val="16525E0E"/>
    <w:rsid w:val="1670A768"/>
    <w:rsid w:val="16A26206"/>
    <w:rsid w:val="17124A19"/>
    <w:rsid w:val="1712B2E9"/>
    <w:rsid w:val="1722A31E"/>
    <w:rsid w:val="172BCD35"/>
    <w:rsid w:val="172DDE1C"/>
    <w:rsid w:val="1733FA61"/>
    <w:rsid w:val="1737F3B6"/>
    <w:rsid w:val="1745CE43"/>
    <w:rsid w:val="175AD5BD"/>
    <w:rsid w:val="175B8029"/>
    <w:rsid w:val="177CE236"/>
    <w:rsid w:val="17A8987A"/>
    <w:rsid w:val="181F3A40"/>
    <w:rsid w:val="182A7200"/>
    <w:rsid w:val="183C84A6"/>
    <w:rsid w:val="1840BDB9"/>
    <w:rsid w:val="185E072E"/>
    <w:rsid w:val="18A80BBE"/>
    <w:rsid w:val="18AE834A"/>
    <w:rsid w:val="18CD1E5C"/>
    <w:rsid w:val="18CF13D8"/>
    <w:rsid w:val="18FB9243"/>
    <w:rsid w:val="1921C773"/>
    <w:rsid w:val="194532DE"/>
    <w:rsid w:val="19554AD9"/>
    <w:rsid w:val="196E979A"/>
    <w:rsid w:val="19CA9EBC"/>
    <w:rsid w:val="19F6A6AA"/>
    <w:rsid w:val="19FAE38F"/>
    <w:rsid w:val="1A657EDE"/>
    <w:rsid w:val="1A69EB8A"/>
    <w:rsid w:val="1A8D4DFC"/>
    <w:rsid w:val="1A9E65F5"/>
    <w:rsid w:val="1AA11911"/>
    <w:rsid w:val="1AAA3933"/>
    <w:rsid w:val="1ADFC478"/>
    <w:rsid w:val="1AE8D1D8"/>
    <w:rsid w:val="1AF7AEE4"/>
    <w:rsid w:val="1B2CDD72"/>
    <w:rsid w:val="1B83CACF"/>
    <w:rsid w:val="1B84B0D4"/>
    <w:rsid w:val="1B8C3588"/>
    <w:rsid w:val="1B999709"/>
    <w:rsid w:val="1BA75310"/>
    <w:rsid w:val="1BF2265C"/>
    <w:rsid w:val="1C011DB1"/>
    <w:rsid w:val="1C355074"/>
    <w:rsid w:val="1C48729C"/>
    <w:rsid w:val="1C60F32C"/>
    <w:rsid w:val="1C68D664"/>
    <w:rsid w:val="1CB33135"/>
    <w:rsid w:val="1CBA945A"/>
    <w:rsid w:val="1CC2E00F"/>
    <w:rsid w:val="1CC87492"/>
    <w:rsid w:val="1D4DF282"/>
    <w:rsid w:val="1D6AACFF"/>
    <w:rsid w:val="1D835E3E"/>
    <w:rsid w:val="1D8A96EF"/>
    <w:rsid w:val="1DAEF6E9"/>
    <w:rsid w:val="1DB71532"/>
    <w:rsid w:val="1DBBA2B7"/>
    <w:rsid w:val="1E345C65"/>
    <w:rsid w:val="1E3677DC"/>
    <w:rsid w:val="1E65474A"/>
    <w:rsid w:val="1E6D3B4A"/>
    <w:rsid w:val="1EB239B5"/>
    <w:rsid w:val="1ED6F480"/>
    <w:rsid w:val="1EE0C076"/>
    <w:rsid w:val="1EFA219A"/>
    <w:rsid w:val="1F3782BC"/>
    <w:rsid w:val="1F453D19"/>
    <w:rsid w:val="1F47E296"/>
    <w:rsid w:val="1F713DDB"/>
    <w:rsid w:val="2013BE95"/>
    <w:rsid w:val="2013D0AC"/>
    <w:rsid w:val="201A1D3C"/>
    <w:rsid w:val="2020C08F"/>
    <w:rsid w:val="202C7A49"/>
    <w:rsid w:val="204BCF9E"/>
    <w:rsid w:val="2084CB26"/>
    <w:rsid w:val="20951A13"/>
    <w:rsid w:val="20BC9CF0"/>
    <w:rsid w:val="20D88583"/>
    <w:rsid w:val="20F1AF3D"/>
    <w:rsid w:val="20FB7385"/>
    <w:rsid w:val="2145B488"/>
    <w:rsid w:val="2146AFDC"/>
    <w:rsid w:val="21496584"/>
    <w:rsid w:val="2150883D"/>
    <w:rsid w:val="217F16C9"/>
    <w:rsid w:val="21B053E5"/>
    <w:rsid w:val="21CF1982"/>
    <w:rsid w:val="21E7168B"/>
    <w:rsid w:val="21E79FFF"/>
    <w:rsid w:val="21E85F1F"/>
    <w:rsid w:val="21FEADEE"/>
    <w:rsid w:val="220FA553"/>
    <w:rsid w:val="2235A0C9"/>
    <w:rsid w:val="225D5316"/>
    <w:rsid w:val="22637D73"/>
    <w:rsid w:val="22764D4E"/>
    <w:rsid w:val="228A12E6"/>
    <w:rsid w:val="2292456C"/>
    <w:rsid w:val="22CE7BDD"/>
    <w:rsid w:val="22F7B4B6"/>
    <w:rsid w:val="23065076"/>
    <w:rsid w:val="231AA89A"/>
    <w:rsid w:val="232D12D2"/>
    <w:rsid w:val="232FFDF8"/>
    <w:rsid w:val="23402262"/>
    <w:rsid w:val="23476708"/>
    <w:rsid w:val="237D32EA"/>
    <w:rsid w:val="23889D78"/>
    <w:rsid w:val="2395B492"/>
    <w:rsid w:val="239DBBD4"/>
    <w:rsid w:val="23BF3F87"/>
    <w:rsid w:val="23C81A4A"/>
    <w:rsid w:val="23F92377"/>
    <w:rsid w:val="241327F4"/>
    <w:rsid w:val="2414EBD8"/>
    <w:rsid w:val="24412FD1"/>
    <w:rsid w:val="24B49D15"/>
    <w:rsid w:val="24CF7557"/>
    <w:rsid w:val="2517CE6F"/>
    <w:rsid w:val="2535858A"/>
    <w:rsid w:val="25393EEF"/>
    <w:rsid w:val="254E728E"/>
    <w:rsid w:val="255446EE"/>
    <w:rsid w:val="25918E94"/>
    <w:rsid w:val="25FB06CC"/>
    <w:rsid w:val="26044EA5"/>
    <w:rsid w:val="2625C0A7"/>
    <w:rsid w:val="26416044"/>
    <w:rsid w:val="264BAA76"/>
    <w:rsid w:val="26892DDE"/>
    <w:rsid w:val="26920351"/>
    <w:rsid w:val="26964B02"/>
    <w:rsid w:val="26999897"/>
    <w:rsid w:val="26C03E3A"/>
    <w:rsid w:val="26DBD175"/>
    <w:rsid w:val="26E16B06"/>
    <w:rsid w:val="26F70962"/>
    <w:rsid w:val="2730C439"/>
    <w:rsid w:val="27311BBF"/>
    <w:rsid w:val="27331519"/>
    <w:rsid w:val="2736803C"/>
    <w:rsid w:val="27619CCE"/>
    <w:rsid w:val="27BA0C10"/>
    <w:rsid w:val="27CC4C89"/>
    <w:rsid w:val="27CCE59F"/>
    <w:rsid w:val="2802DB64"/>
    <w:rsid w:val="284611B2"/>
    <w:rsid w:val="285BF265"/>
    <w:rsid w:val="286FA781"/>
    <w:rsid w:val="287FD61E"/>
    <w:rsid w:val="28BFFE30"/>
    <w:rsid w:val="28C2E38E"/>
    <w:rsid w:val="28F8B362"/>
    <w:rsid w:val="291233CF"/>
    <w:rsid w:val="292CEC7D"/>
    <w:rsid w:val="29456B47"/>
    <w:rsid w:val="2985AC2F"/>
    <w:rsid w:val="299488C4"/>
    <w:rsid w:val="29B80FF8"/>
    <w:rsid w:val="29BBCD94"/>
    <w:rsid w:val="29C518BA"/>
    <w:rsid w:val="29F3F87F"/>
    <w:rsid w:val="29FF91E8"/>
    <w:rsid w:val="2A1EB7C6"/>
    <w:rsid w:val="2A3D2AD7"/>
    <w:rsid w:val="2A3FD684"/>
    <w:rsid w:val="2A446205"/>
    <w:rsid w:val="2A475B86"/>
    <w:rsid w:val="2AA2E02B"/>
    <w:rsid w:val="2AD6BF34"/>
    <w:rsid w:val="2ADA8892"/>
    <w:rsid w:val="2B0BF227"/>
    <w:rsid w:val="2B3293DA"/>
    <w:rsid w:val="2BA6A44E"/>
    <w:rsid w:val="2BB3B17E"/>
    <w:rsid w:val="2BC88C44"/>
    <w:rsid w:val="2BCD2E33"/>
    <w:rsid w:val="2BCEF31E"/>
    <w:rsid w:val="2C669B8E"/>
    <w:rsid w:val="2C8FA221"/>
    <w:rsid w:val="2CC160CA"/>
    <w:rsid w:val="2CD6E26C"/>
    <w:rsid w:val="2D035A07"/>
    <w:rsid w:val="2D4CA08D"/>
    <w:rsid w:val="2D52254F"/>
    <w:rsid w:val="2D548DA1"/>
    <w:rsid w:val="2D9351B8"/>
    <w:rsid w:val="2D9C9390"/>
    <w:rsid w:val="2DB0C5CD"/>
    <w:rsid w:val="2DCBD1BD"/>
    <w:rsid w:val="2DD528EE"/>
    <w:rsid w:val="2E089B54"/>
    <w:rsid w:val="2E16C916"/>
    <w:rsid w:val="2E1F80F7"/>
    <w:rsid w:val="2E66A2F5"/>
    <w:rsid w:val="2E7E5324"/>
    <w:rsid w:val="2EAEB516"/>
    <w:rsid w:val="2EE9309F"/>
    <w:rsid w:val="2F098808"/>
    <w:rsid w:val="2F19AA2B"/>
    <w:rsid w:val="2F2DAA53"/>
    <w:rsid w:val="2F39A33D"/>
    <w:rsid w:val="2F506007"/>
    <w:rsid w:val="2F653073"/>
    <w:rsid w:val="2F66AADC"/>
    <w:rsid w:val="2FA7E22E"/>
    <w:rsid w:val="2FCBDA09"/>
    <w:rsid w:val="2FD49C0A"/>
    <w:rsid w:val="2FF4F21F"/>
    <w:rsid w:val="2FFBF79C"/>
    <w:rsid w:val="302AD779"/>
    <w:rsid w:val="3042B0B9"/>
    <w:rsid w:val="3057C640"/>
    <w:rsid w:val="308D22F4"/>
    <w:rsid w:val="30A0F569"/>
    <w:rsid w:val="30BDD641"/>
    <w:rsid w:val="30FEEF6C"/>
    <w:rsid w:val="3126F98E"/>
    <w:rsid w:val="3154B560"/>
    <w:rsid w:val="317496D0"/>
    <w:rsid w:val="317C2F95"/>
    <w:rsid w:val="3196BF08"/>
    <w:rsid w:val="319E3F2E"/>
    <w:rsid w:val="31C1DD81"/>
    <w:rsid w:val="31F4D74E"/>
    <w:rsid w:val="320ADE67"/>
    <w:rsid w:val="32736C06"/>
    <w:rsid w:val="327376E0"/>
    <w:rsid w:val="32802A29"/>
    <w:rsid w:val="32A5B4ED"/>
    <w:rsid w:val="32B943E6"/>
    <w:rsid w:val="32D079AA"/>
    <w:rsid w:val="32EE3DED"/>
    <w:rsid w:val="32FDC551"/>
    <w:rsid w:val="32FEF7BF"/>
    <w:rsid w:val="331CFC1A"/>
    <w:rsid w:val="332B555D"/>
    <w:rsid w:val="335BF36E"/>
    <w:rsid w:val="335E2EB3"/>
    <w:rsid w:val="3383D39B"/>
    <w:rsid w:val="3386E02D"/>
    <w:rsid w:val="3394BCE1"/>
    <w:rsid w:val="33FA8F8F"/>
    <w:rsid w:val="33FB838D"/>
    <w:rsid w:val="345FDEAC"/>
    <w:rsid w:val="34742EC0"/>
    <w:rsid w:val="34BA633D"/>
    <w:rsid w:val="34BAD04D"/>
    <w:rsid w:val="35319F21"/>
    <w:rsid w:val="35370334"/>
    <w:rsid w:val="3542295A"/>
    <w:rsid w:val="35427F29"/>
    <w:rsid w:val="35533366"/>
    <w:rsid w:val="35538D81"/>
    <w:rsid w:val="3591B0C6"/>
    <w:rsid w:val="35C88781"/>
    <w:rsid w:val="360603DD"/>
    <w:rsid w:val="3611E56A"/>
    <w:rsid w:val="3661573B"/>
    <w:rsid w:val="36B974D5"/>
    <w:rsid w:val="36CA658E"/>
    <w:rsid w:val="36FB3EBB"/>
    <w:rsid w:val="371E9393"/>
    <w:rsid w:val="3722A496"/>
    <w:rsid w:val="372A37A2"/>
    <w:rsid w:val="377B05F3"/>
    <w:rsid w:val="377F0661"/>
    <w:rsid w:val="37D9B59E"/>
    <w:rsid w:val="37E9E9F3"/>
    <w:rsid w:val="37EF274F"/>
    <w:rsid w:val="3816FD5D"/>
    <w:rsid w:val="3828A7CE"/>
    <w:rsid w:val="384A6260"/>
    <w:rsid w:val="385425A1"/>
    <w:rsid w:val="385A301C"/>
    <w:rsid w:val="386227D8"/>
    <w:rsid w:val="3884F4A2"/>
    <w:rsid w:val="388EC6FC"/>
    <w:rsid w:val="38900383"/>
    <w:rsid w:val="38A36A98"/>
    <w:rsid w:val="38BDF40E"/>
    <w:rsid w:val="38E4BB3A"/>
    <w:rsid w:val="38EE72F7"/>
    <w:rsid w:val="3906596B"/>
    <w:rsid w:val="3971F250"/>
    <w:rsid w:val="399B33F4"/>
    <w:rsid w:val="39B57606"/>
    <w:rsid w:val="39E95DD7"/>
    <w:rsid w:val="3A1E8005"/>
    <w:rsid w:val="3A255110"/>
    <w:rsid w:val="3A338FC0"/>
    <w:rsid w:val="3A66648A"/>
    <w:rsid w:val="3A77606B"/>
    <w:rsid w:val="3A8A5B22"/>
    <w:rsid w:val="3A8B3846"/>
    <w:rsid w:val="3A99B3F8"/>
    <w:rsid w:val="3AAC8445"/>
    <w:rsid w:val="3AB5CD0D"/>
    <w:rsid w:val="3AE17DB3"/>
    <w:rsid w:val="3AEB8352"/>
    <w:rsid w:val="3B0626D5"/>
    <w:rsid w:val="3B672555"/>
    <w:rsid w:val="3B7F08FA"/>
    <w:rsid w:val="3B9DDE20"/>
    <w:rsid w:val="3BA24F19"/>
    <w:rsid w:val="3C161B8B"/>
    <w:rsid w:val="3C1F0451"/>
    <w:rsid w:val="3C60BCEC"/>
    <w:rsid w:val="3CE92245"/>
    <w:rsid w:val="3CF05F59"/>
    <w:rsid w:val="3CFA98AB"/>
    <w:rsid w:val="3D037789"/>
    <w:rsid w:val="3D1B077C"/>
    <w:rsid w:val="3D4C19C6"/>
    <w:rsid w:val="3D4E1372"/>
    <w:rsid w:val="3DB7107C"/>
    <w:rsid w:val="3DE12517"/>
    <w:rsid w:val="3DF9EADB"/>
    <w:rsid w:val="3E0C164E"/>
    <w:rsid w:val="3E42C202"/>
    <w:rsid w:val="3E8F9882"/>
    <w:rsid w:val="3E9074B7"/>
    <w:rsid w:val="3E90C41D"/>
    <w:rsid w:val="3EAE7BAD"/>
    <w:rsid w:val="3EBE2B6F"/>
    <w:rsid w:val="3F0181A3"/>
    <w:rsid w:val="3F1FA64C"/>
    <w:rsid w:val="3F9AEADF"/>
    <w:rsid w:val="3FB17B45"/>
    <w:rsid w:val="3FB370D5"/>
    <w:rsid w:val="3FCB5C24"/>
    <w:rsid w:val="3FD99555"/>
    <w:rsid w:val="3FE47990"/>
    <w:rsid w:val="3FFC404F"/>
    <w:rsid w:val="4023CA92"/>
    <w:rsid w:val="402A7E5A"/>
    <w:rsid w:val="404B86AB"/>
    <w:rsid w:val="4053BB33"/>
    <w:rsid w:val="4069902A"/>
    <w:rsid w:val="4071A44D"/>
    <w:rsid w:val="4099B978"/>
    <w:rsid w:val="40BFB2E6"/>
    <w:rsid w:val="40C7CDE5"/>
    <w:rsid w:val="4124D4B7"/>
    <w:rsid w:val="41460A78"/>
    <w:rsid w:val="4153A270"/>
    <w:rsid w:val="419B08BB"/>
    <w:rsid w:val="41C9BDBB"/>
    <w:rsid w:val="41CF3987"/>
    <w:rsid w:val="41DB23EE"/>
    <w:rsid w:val="41E27003"/>
    <w:rsid w:val="424AE047"/>
    <w:rsid w:val="42DE1FAC"/>
    <w:rsid w:val="42EDC7C4"/>
    <w:rsid w:val="42F13778"/>
    <w:rsid w:val="42F72360"/>
    <w:rsid w:val="431EA47C"/>
    <w:rsid w:val="432D37A2"/>
    <w:rsid w:val="43321D46"/>
    <w:rsid w:val="435B21C8"/>
    <w:rsid w:val="4372040C"/>
    <w:rsid w:val="4380D283"/>
    <w:rsid w:val="438A4002"/>
    <w:rsid w:val="43962ACF"/>
    <w:rsid w:val="43F244B6"/>
    <w:rsid w:val="44276DE1"/>
    <w:rsid w:val="442AD278"/>
    <w:rsid w:val="44311FC9"/>
    <w:rsid w:val="44357A46"/>
    <w:rsid w:val="446D0E85"/>
    <w:rsid w:val="4471C826"/>
    <w:rsid w:val="447BA6B1"/>
    <w:rsid w:val="448938AB"/>
    <w:rsid w:val="44A1125F"/>
    <w:rsid w:val="44C1A389"/>
    <w:rsid w:val="4501940D"/>
    <w:rsid w:val="45313B19"/>
    <w:rsid w:val="456286D4"/>
    <w:rsid w:val="4587417C"/>
    <w:rsid w:val="45AE168A"/>
    <w:rsid w:val="45E1C049"/>
    <w:rsid w:val="460FA0A0"/>
    <w:rsid w:val="461DCD43"/>
    <w:rsid w:val="462BFB10"/>
    <w:rsid w:val="463A3775"/>
    <w:rsid w:val="46568D5A"/>
    <w:rsid w:val="4658226F"/>
    <w:rsid w:val="46BB73D8"/>
    <w:rsid w:val="46CED269"/>
    <w:rsid w:val="46F3475B"/>
    <w:rsid w:val="4701462F"/>
    <w:rsid w:val="4727F2CA"/>
    <w:rsid w:val="4782C905"/>
    <w:rsid w:val="4792CDC9"/>
    <w:rsid w:val="47A7EF80"/>
    <w:rsid w:val="47B87F4F"/>
    <w:rsid w:val="47CECA44"/>
    <w:rsid w:val="481AA2D2"/>
    <w:rsid w:val="4874ACFD"/>
    <w:rsid w:val="48DD2D69"/>
    <w:rsid w:val="490B0ACA"/>
    <w:rsid w:val="4960CBF2"/>
    <w:rsid w:val="49DE28AF"/>
    <w:rsid w:val="49E5BC24"/>
    <w:rsid w:val="49E8D01F"/>
    <w:rsid w:val="4A27BC66"/>
    <w:rsid w:val="4A2DB32B"/>
    <w:rsid w:val="4A47EE7D"/>
    <w:rsid w:val="4A567155"/>
    <w:rsid w:val="4A74117C"/>
    <w:rsid w:val="4A96FF62"/>
    <w:rsid w:val="4A9D950F"/>
    <w:rsid w:val="4AA2DB73"/>
    <w:rsid w:val="4AB1D031"/>
    <w:rsid w:val="4B2A0708"/>
    <w:rsid w:val="4B2D5B9B"/>
    <w:rsid w:val="4B2E0903"/>
    <w:rsid w:val="4B44C165"/>
    <w:rsid w:val="4B5EBF42"/>
    <w:rsid w:val="4B718020"/>
    <w:rsid w:val="4B89D22D"/>
    <w:rsid w:val="4BC55D07"/>
    <w:rsid w:val="4BD3CF98"/>
    <w:rsid w:val="4BD42EA4"/>
    <w:rsid w:val="4BFA3364"/>
    <w:rsid w:val="4C357511"/>
    <w:rsid w:val="4C397DE3"/>
    <w:rsid w:val="4C518BD5"/>
    <w:rsid w:val="4C95CEB3"/>
    <w:rsid w:val="4CBED223"/>
    <w:rsid w:val="4CDA1B3C"/>
    <w:rsid w:val="4CDD5B76"/>
    <w:rsid w:val="4CE96455"/>
    <w:rsid w:val="4D37A6AC"/>
    <w:rsid w:val="4D38B0C4"/>
    <w:rsid w:val="4D43B5CF"/>
    <w:rsid w:val="4D4552CF"/>
    <w:rsid w:val="4D5BFBFD"/>
    <w:rsid w:val="4D609439"/>
    <w:rsid w:val="4D625152"/>
    <w:rsid w:val="4D62CC90"/>
    <w:rsid w:val="4D74FF67"/>
    <w:rsid w:val="4DBC8C29"/>
    <w:rsid w:val="4DC5CDD9"/>
    <w:rsid w:val="4DE66708"/>
    <w:rsid w:val="4E1533F4"/>
    <w:rsid w:val="4E28E8C7"/>
    <w:rsid w:val="4E2DF754"/>
    <w:rsid w:val="4E49F78B"/>
    <w:rsid w:val="4E70ABBB"/>
    <w:rsid w:val="4E8AD9E0"/>
    <w:rsid w:val="4E93180D"/>
    <w:rsid w:val="4EAC23A2"/>
    <w:rsid w:val="4EFFD57B"/>
    <w:rsid w:val="4F186B21"/>
    <w:rsid w:val="4F3C0473"/>
    <w:rsid w:val="4F4B3B04"/>
    <w:rsid w:val="4FDA1FCF"/>
    <w:rsid w:val="4FE95B74"/>
    <w:rsid w:val="5006082C"/>
    <w:rsid w:val="50166A11"/>
    <w:rsid w:val="503EB41F"/>
    <w:rsid w:val="507A8B2F"/>
    <w:rsid w:val="50C49134"/>
    <w:rsid w:val="510A1107"/>
    <w:rsid w:val="510F0A82"/>
    <w:rsid w:val="5115BC45"/>
    <w:rsid w:val="511D52DE"/>
    <w:rsid w:val="513E2350"/>
    <w:rsid w:val="5143645D"/>
    <w:rsid w:val="514DC678"/>
    <w:rsid w:val="517E3E50"/>
    <w:rsid w:val="519C4C7C"/>
    <w:rsid w:val="51AD6B6C"/>
    <w:rsid w:val="51E98943"/>
    <w:rsid w:val="52085CBA"/>
    <w:rsid w:val="52359668"/>
    <w:rsid w:val="523D0E38"/>
    <w:rsid w:val="525F4251"/>
    <w:rsid w:val="52B06269"/>
    <w:rsid w:val="52C925F4"/>
    <w:rsid w:val="52F607B3"/>
    <w:rsid w:val="533A7861"/>
    <w:rsid w:val="53496FE5"/>
    <w:rsid w:val="534EEAFB"/>
    <w:rsid w:val="53749DD5"/>
    <w:rsid w:val="53810313"/>
    <w:rsid w:val="539B4326"/>
    <w:rsid w:val="541895FA"/>
    <w:rsid w:val="542D2B05"/>
    <w:rsid w:val="5465C5A7"/>
    <w:rsid w:val="546BAEE6"/>
    <w:rsid w:val="54789B2B"/>
    <w:rsid w:val="549BA712"/>
    <w:rsid w:val="54B1DE3B"/>
    <w:rsid w:val="54BA2386"/>
    <w:rsid w:val="54BC4CDE"/>
    <w:rsid w:val="54C0C311"/>
    <w:rsid w:val="54C591E3"/>
    <w:rsid w:val="55786386"/>
    <w:rsid w:val="557B10EA"/>
    <w:rsid w:val="5595D355"/>
    <w:rsid w:val="55C3085E"/>
    <w:rsid w:val="55CFCDCC"/>
    <w:rsid w:val="55F6E779"/>
    <w:rsid w:val="55FC1C11"/>
    <w:rsid w:val="56136424"/>
    <w:rsid w:val="561A255C"/>
    <w:rsid w:val="561F93FC"/>
    <w:rsid w:val="56469A29"/>
    <w:rsid w:val="5663E3CD"/>
    <w:rsid w:val="5685CB5F"/>
    <w:rsid w:val="56883F2A"/>
    <w:rsid w:val="5692586E"/>
    <w:rsid w:val="56963C96"/>
    <w:rsid w:val="56A0BEF5"/>
    <w:rsid w:val="56B350ED"/>
    <w:rsid w:val="56EDD6BD"/>
    <w:rsid w:val="571A8708"/>
    <w:rsid w:val="571C3628"/>
    <w:rsid w:val="5730F71B"/>
    <w:rsid w:val="57486BC9"/>
    <w:rsid w:val="57907049"/>
    <w:rsid w:val="57962F01"/>
    <w:rsid w:val="57BC06E3"/>
    <w:rsid w:val="57CD3A43"/>
    <w:rsid w:val="57DE8BA3"/>
    <w:rsid w:val="57EBC232"/>
    <w:rsid w:val="57FB29C2"/>
    <w:rsid w:val="5848EA1D"/>
    <w:rsid w:val="584FCD03"/>
    <w:rsid w:val="5861F93D"/>
    <w:rsid w:val="588238DD"/>
    <w:rsid w:val="589F31EA"/>
    <w:rsid w:val="58F87068"/>
    <w:rsid w:val="5927667C"/>
    <w:rsid w:val="59413311"/>
    <w:rsid w:val="59B59A8D"/>
    <w:rsid w:val="59B6788C"/>
    <w:rsid w:val="59D9C445"/>
    <w:rsid w:val="59DDD3CC"/>
    <w:rsid w:val="59EB9D64"/>
    <w:rsid w:val="5A0AC938"/>
    <w:rsid w:val="5A1D16ED"/>
    <w:rsid w:val="5A384CAB"/>
    <w:rsid w:val="5A854E5C"/>
    <w:rsid w:val="5A9DAF81"/>
    <w:rsid w:val="5AB8254C"/>
    <w:rsid w:val="5ABFCFDF"/>
    <w:rsid w:val="5ACF5E6B"/>
    <w:rsid w:val="5ADD0372"/>
    <w:rsid w:val="5B2BD0F0"/>
    <w:rsid w:val="5B4A6810"/>
    <w:rsid w:val="5B790CC4"/>
    <w:rsid w:val="5BC1B44B"/>
    <w:rsid w:val="5BC472DF"/>
    <w:rsid w:val="5BC92882"/>
    <w:rsid w:val="5BFE565E"/>
    <w:rsid w:val="5C29A2EE"/>
    <w:rsid w:val="5C48F5F0"/>
    <w:rsid w:val="5C61DDE0"/>
    <w:rsid w:val="5C78D3D3"/>
    <w:rsid w:val="5C8AAF33"/>
    <w:rsid w:val="5CD250E1"/>
    <w:rsid w:val="5CD75025"/>
    <w:rsid w:val="5CD8C058"/>
    <w:rsid w:val="5CDCC9C9"/>
    <w:rsid w:val="5CE6D149"/>
    <w:rsid w:val="5CE8A9E3"/>
    <w:rsid w:val="5CE966E6"/>
    <w:rsid w:val="5D0BDB7E"/>
    <w:rsid w:val="5D214B98"/>
    <w:rsid w:val="5D3EF829"/>
    <w:rsid w:val="5D3FFAE0"/>
    <w:rsid w:val="5D431678"/>
    <w:rsid w:val="5D5467B5"/>
    <w:rsid w:val="5D69DE90"/>
    <w:rsid w:val="5D79B574"/>
    <w:rsid w:val="5DD453F5"/>
    <w:rsid w:val="5DE7A769"/>
    <w:rsid w:val="5DEB3FA0"/>
    <w:rsid w:val="5DF9C680"/>
    <w:rsid w:val="5E14A434"/>
    <w:rsid w:val="5E4B4C92"/>
    <w:rsid w:val="5E53BAFD"/>
    <w:rsid w:val="5E945C1E"/>
    <w:rsid w:val="5E95348A"/>
    <w:rsid w:val="5EB221F8"/>
    <w:rsid w:val="5EB4FFFF"/>
    <w:rsid w:val="5EB82134"/>
    <w:rsid w:val="5EC93536"/>
    <w:rsid w:val="5ECB3DE7"/>
    <w:rsid w:val="5ED55A0F"/>
    <w:rsid w:val="5EF7814A"/>
    <w:rsid w:val="5F08CBCD"/>
    <w:rsid w:val="5F30693A"/>
    <w:rsid w:val="5F3198B1"/>
    <w:rsid w:val="5F48BDA9"/>
    <w:rsid w:val="5F55D86D"/>
    <w:rsid w:val="5F5DB8BF"/>
    <w:rsid w:val="5F965475"/>
    <w:rsid w:val="5F9DA3A3"/>
    <w:rsid w:val="5FBB0A75"/>
    <w:rsid w:val="5FC263A0"/>
    <w:rsid w:val="5FC5544A"/>
    <w:rsid w:val="602647CA"/>
    <w:rsid w:val="60381984"/>
    <w:rsid w:val="604A6E99"/>
    <w:rsid w:val="6062CC6E"/>
    <w:rsid w:val="608B1B4F"/>
    <w:rsid w:val="609922C6"/>
    <w:rsid w:val="60AB100F"/>
    <w:rsid w:val="61237F21"/>
    <w:rsid w:val="615B4637"/>
    <w:rsid w:val="6184A154"/>
    <w:rsid w:val="61985E27"/>
    <w:rsid w:val="61D515DA"/>
    <w:rsid w:val="61D67E1F"/>
    <w:rsid w:val="61DAB306"/>
    <w:rsid w:val="62042430"/>
    <w:rsid w:val="621B4A86"/>
    <w:rsid w:val="622066BD"/>
    <w:rsid w:val="622CD650"/>
    <w:rsid w:val="62441871"/>
    <w:rsid w:val="627E2BFF"/>
    <w:rsid w:val="629367CA"/>
    <w:rsid w:val="62AD9F33"/>
    <w:rsid w:val="630F42FD"/>
    <w:rsid w:val="63289376"/>
    <w:rsid w:val="6343BEF5"/>
    <w:rsid w:val="6353CA1B"/>
    <w:rsid w:val="6361218B"/>
    <w:rsid w:val="636F4BA6"/>
    <w:rsid w:val="63842731"/>
    <w:rsid w:val="6390B462"/>
    <w:rsid w:val="63B7199F"/>
    <w:rsid w:val="63BF1ECE"/>
    <w:rsid w:val="63CFC74C"/>
    <w:rsid w:val="63EDD4A2"/>
    <w:rsid w:val="64118218"/>
    <w:rsid w:val="641E0F98"/>
    <w:rsid w:val="6423C334"/>
    <w:rsid w:val="647D587F"/>
    <w:rsid w:val="648A34CC"/>
    <w:rsid w:val="64A278F4"/>
    <w:rsid w:val="64DDFBCD"/>
    <w:rsid w:val="64F92CEF"/>
    <w:rsid w:val="650E5E28"/>
    <w:rsid w:val="651AC6B2"/>
    <w:rsid w:val="652E8E1E"/>
    <w:rsid w:val="65806603"/>
    <w:rsid w:val="65B5CA7B"/>
    <w:rsid w:val="669EF253"/>
    <w:rsid w:val="66A842FF"/>
    <w:rsid w:val="66E928F3"/>
    <w:rsid w:val="66EC8195"/>
    <w:rsid w:val="66F7F810"/>
    <w:rsid w:val="673309C2"/>
    <w:rsid w:val="67418D10"/>
    <w:rsid w:val="677929DD"/>
    <w:rsid w:val="678165D6"/>
    <w:rsid w:val="67E0FC91"/>
    <w:rsid w:val="68079FAB"/>
    <w:rsid w:val="6828E3CD"/>
    <w:rsid w:val="68551EEA"/>
    <w:rsid w:val="6865AE32"/>
    <w:rsid w:val="688EDB5E"/>
    <w:rsid w:val="68CAE936"/>
    <w:rsid w:val="68DBF9D6"/>
    <w:rsid w:val="690C17F5"/>
    <w:rsid w:val="692568B4"/>
    <w:rsid w:val="69356CCB"/>
    <w:rsid w:val="693C12F7"/>
    <w:rsid w:val="694A68A3"/>
    <w:rsid w:val="6952C21F"/>
    <w:rsid w:val="69635A52"/>
    <w:rsid w:val="6974E454"/>
    <w:rsid w:val="698EE35E"/>
    <w:rsid w:val="698F7443"/>
    <w:rsid w:val="69B28EE2"/>
    <w:rsid w:val="69BA727F"/>
    <w:rsid w:val="6A09AEB4"/>
    <w:rsid w:val="6A7B0C66"/>
    <w:rsid w:val="6A831E4F"/>
    <w:rsid w:val="6AA59DDA"/>
    <w:rsid w:val="6AAAC7CE"/>
    <w:rsid w:val="6AB9C5E0"/>
    <w:rsid w:val="6AC55657"/>
    <w:rsid w:val="6AD83284"/>
    <w:rsid w:val="6AE1032D"/>
    <w:rsid w:val="6AE73659"/>
    <w:rsid w:val="6AF4E100"/>
    <w:rsid w:val="6AF7234A"/>
    <w:rsid w:val="6B3CCCCD"/>
    <w:rsid w:val="6B7D5C12"/>
    <w:rsid w:val="6B8C2CC7"/>
    <w:rsid w:val="6B8E1338"/>
    <w:rsid w:val="6B8E150B"/>
    <w:rsid w:val="6BA800F3"/>
    <w:rsid w:val="6BB3518B"/>
    <w:rsid w:val="6BC604D1"/>
    <w:rsid w:val="6C03FCC2"/>
    <w:rsid w:val="6C1393E1"/>
    <w:rsid w:val="6C1A38C1"/>
    <w:rsid w:val="6C4E9D7D"/>
    <w:rsid w:val="6C88EC10"/>
    <w:rsid w:val="6C89E59B"/>
    <w:rsid w:val="6CA2857B"/>
    <w:rsid w:val="6CE061F5"/>
    <w:rsid w:val="6CEEE04B"/>
    <w:rsid w:val="6D04AA9C"/>
    <w:rsid w:val="6D071F91"/>
    <w:rsid w:val="6D74B1D0"/>
    <w:rsid w:val="6DC99557"/>
    <w:rsid w:val="6DFD25C8"/>
    <w:rsid w:val="6E0D7B64"/>
    <w:rsid w:val="6E2AC614"/>
    <w:rsid w:val="6E4C02D1"/>
    <w:rsid w:val="6E4CE39D"/>
    <w:rsid w:val="6E508966"/>
    <w:rsid w:val="6E76F8A0"/>
    <w:rsid w:val="6E8EED15"/>
    <w:rsid w:val="6E9CECCA"/>
    <w:rsid w:val="6EA0537B"/>
    <w:rsid w:val="6EC29E5C"/>
    <w:rsid w:val="6ECA4DDF"/>
    <w:rsid w:val="6EE69337"/>
    <w:rsid w:val="6EE7D251"/>
    <w:rsid w:val="6EE84830"/>
    <w:rsid w:val="6EF023EA"/>
    <w:rsid w:val="6F33129F"/>
    <w:rsid w:val="6F507F56"/>
    <w:rsid w:val="6F68D232"/>
    <w:rsid w:val="6F9DEACE"/>
    <w:rsid w:val="6F9FECBB"/>
    <w:rsid w:val="6FAA76EF"/>
    <w:rsid w:val="6FC489C5"/>
    <w:rsid w:val="70296A88"/>
    <w:rsid w:val="702C51F7"/>
    <w:rsid w:val="707032A6"/>
    <w:rsid w:val="70829DD1"/>
    <w:rsid w:val="70919100"/>
    <w:rsid w:val="70D9062B"/>
    <w:rsid w:val="70EAB1D8"/>
    <w:rsid w:val="71250B96"/>
    <w:rsid w:val="715B8621"/>
    <w:rsid w:val="716CB32B"/>
    <w:rsid w:val="7171F2D4"/>
    <w:rsid w:val="71778C75"/>
    <w:rsid w:val="71A6D675"/>
    <w:rsid w:val="71BB2EC6"/>
    <w:rsid w:val="71D0F154"/>
    <w:rsid w:val="722C8C83"/>
    <w:rsid w:val="72563721"/>
    <w:rsid w:val="726F82F5"/>
    <w:rsid w:val="728462C3"/>
    <w:rsid w:val="728EECF2"/>
    <w:rsid w:val="729F1071"/>
    <w:rsid w:val="72A1E03D"/>
    <w:rsid w:val="72B120A6"/>
    <w:rsid w:val="72D42FFC"/>
    <w:rsid w:val="72DD1C09"/>
    <w:rsid w:val="72EFBD2C"/>
    <w:rsid w:val="72F8443A"/>
    <w:rsid w:val="72FED099"/>
    <w:rsid w:val="73090470"/>
    <w:rsid w:val="732054C0"/>
    <w:rsid w:val="7331E7DD"/>
    <w:rsid w:val="7354D7FB"/>
    <w:rsid w:val="73A2BB11"/>
    <w:rsid w:val="73ABA356"/>
    <w:rsid w:val="73B03BDC"/>
    <w:rsid w:val="746A9487"/>
    <w:rsid w:val="749032BD"/>
    <w:rsid w:val="749DDF47"/>
    <w:rsid w:val="7500E879"/>
    <w:rsid w:val="752935D8"/>
    <w:rsid w:val="7541E868"/>
    <w:rsid w:val="75518C04"/>
    <w:rsid w:val="755F34F4"/>
    <w:rsid w:val="7563F668"/>
    <w:rsid w:val="7569A8A1"/>
    <w:rsid w:val="758BFBA6"/>
    <w:rsid w:val="759CD038"/>
    <w:rsid w:val="75ACD5D6"/>
    <w:rsid w:val="75C184C1"/>
    <w:rsid w:val="75DF04EB"/>
    <w:rsid w:val="75EA82F2"/>
    <w:rsid w:val="7629E99B"/>
    <w:rsid w:val="76358D02"/>
    <w:rsid w:val="765065DA"/>
    <w:rsid w:val="7661217A"/>
    <w:rsid w:val="766F7949"/>
    <w:rsid w:val="7671D0F0"/>
    <w:rsid w:val="76798433"/>
    <w:rsid w:val="768A4584"/>
    <w:rsid w:val="7695811A"/>
    <w:rsid w:val="76AEF27F"/>
    <w:rsid w:val="76EB9653"/>
    <w:rsid w:val="770B215A"/>
    <w:rsid w:val="77119BDA"/>
    <w:rsid w:val="77570E5C"/>
    <w:rsid w:val="7767A313"/>
    <w:rsid w:val="777A0A8C"/>
    <w:rsid w:val="777F328F"/>
    <w:rsid w:val="77889691"/>
    <w:rsid w:val="77A3C52D"/>
    <w:rsid w:val="77B62E0C"/>
    <w:rsid w:val="77ECD445"/>
    <w:rsid w:val="77F18AFA"/>
    <w:rsid w:val="7815F185"/>
    <w:rsid w:val="788766B4"/>
    <w:rsid w:val="7889E851"/>
    <w:rsid w:val="78977B64"/>
    <w:rsid w:val="789CD4FB"/>
    <w:rsid w:val="78A36F60"/>
    <w:rsid w:val="78DB8A2E"/>
    <w:rsid w:val="78F69C84"/>
    <w:rsid w:val="7925A76F"/>
    <w:rsid w:val="796E3F84"/>
    <w:rsid w:val="79896DF1"/>
    <w:rsid w:val="79910A0C"/>
    <w:rsid w:val="79BA9E5A"/>
    <w:rsid w:val="79BEF03D"/>
    <w:rsid w:val="79C3EFA4"/>
    <w:rsid w:val="79C9BB47"/>
    <w:rsid w:val="79E229C9"/>
    <w:rsid w:val="79F5E913"/>
    <w:rsid w:val="79FDAFBA"/>
    <w:rsid w:val="7A013B58"/>
    <w:rsid w:val="7A2F1C24"/>
    <w:rsid w:val="7A8FD1C5"/>
    <w:rsid w:val="7A939768"/>
    <w:rsid w:val="7AA304D1"/>
    <w:rsid w:val="7AAB0174"/>
    <w:rsid w:val="7ACED147"/>
    <w:rsid w:val="7AD14390"/>
    <w:rsid w:val="7AED915C"/>
    <w:rsid w:val="7AEF9D6D"/>
    <w:rsid w:val="7AF8CFBA"/>
    <w:rsid w:val="7AFA6D14"/>
    <w:rsid w:val="7B02516B"/>
    <w:rsid w:val="7B29C0BF"/>
    <w:rsid w:val="7B2DCB96"/>
    <w:rsid w:val="7B5F4888"/>
    <w:rsid w:val="7B8D44C9"/>
    <w:rsid w:val="7B9532F2"/>
    <w:rsid w:val="7B964380"/>
    <w:rsid w:val="7BD19DDC"/>
    <w:rsid w:val="7C0EC38E"/>
    <w:rsid w:val="7C1AFADB"/>
    <w:rsid w:val="7C1FD64D"/>
    <w:rsid w:val="7C319F99"/>
    <w:rsid w:val="7C410F7C"/>
    <w:rsid w:val="7C419FA5"/>
    <w:rsid w:val="7C4B52F7"/>
    <w:rsid w:val="7C4E96AD"/>
    <w:rsid w:val="7C6FBA71"/>
    <w:rsid w:val="7C7B1242"/>
    <w:rsid w:val="7D11333A"/>
    <w:rsid w:val="7D412B32"/>
    <w:rsid w:val="7D59E63D"/>
    <w:rsid w:val="7D5F9AF5"/>
    <w:rsid w:val="7D8EEA75"/>
    <w:rsid w:val="7DBB2EE9"/>
    <w:rsid w:val="7DC76C2F"/>
    <w:rsid w:val="7DF6EC42"/>
    <w:rsid w:val="7E117E1E"/>
    <w:rsid w:val="7E6459DC"/>
    <w:rsid w:val="7E655D52"/>
    <w:rsid w:val="7E7BCA22"/>
    <w:rsid w:val="7E875A75"/>
    <w:rsid w:val="7EB188ED"/>
    <w:rsid w:val="7EB80D73"/>
    <w:rsid w:val="7ED7AF93"/>
    <w:rsid w:val="7EED0984"/>
    <w:rsid w:val="7F02B810"/>
    <w:rsid w:val="7F0B303A"/>
    <w:rsid w:val="7F0CF0E9"/>
    <w:rsid w:val="7F2A463C"/>
    <w:rsid w:val="7F2E163C"/>
    <w:rsid w:val="7F71308A"/>
    <w:rsid w:val="7F74C0E7"/>
    <w:rsid w:val="7F906C38"/>
    <w:rsid w:val="7FF6CC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44B5EB"/>
  <w15:chartTrackingRefBased/>
  <w15:docId w15:val="{1B8EB663-B9C1-4CB3-BCEE-E02C9895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4641"/>
    <w:pPr>
      <w:spacing w:line="360" w:lineRule="auto"/>
      <w:jc w:val="both"/>
    </w:pPr>
    <w:rPr>
      <w:rFonts w:ascii="Arial" w:hAnsi="Arial"/>
      <w:color w:val="000000" w:themeColor="text1"/>
      <w:sz w:val="22"/>
    </w:rPr>
  </w:style>
  <w:style w:type="paragraph" w:styleId="Nagwek1">
    <w:name w:val="heading 1"/>
    <w:basedOn w:val="Normalny"/>
    <w:next w:val="Normalny"/>
    <w:link w:val="Nagwek1Znak"/>
    <w:uiPriority w:val="9"/>
    <w:qFormat/>
    <w:rsid w:val="002431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2431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431C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431C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2431CF"/>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2431CF"/>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2431CF"/>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2431CF"/>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2431CF"/>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31C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2431C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431C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431CF"/>
    <w:rPr>
      <w:rFonts w:eastAsiaTheme="majorEastAsia" w:cstheme="majorBidi"/>
      <w:i/>
      <w:iCs/>
      <w:color w:val="2F5496" w:themeColor="accent1" w:themeShade="BF"/>
      <w:sz w:val="22"/>
    </w:rPr>
  </w:style>
  <w:style w:type="character" w:customStyle="1" w:styleId="Nagwek5Znak">
    <w:name w:val="Nagłówek 5 Znak"/>
    <w:basedOn w:val="Domylnaczcionkaakapitu"/>
    <w:link w:val="Nagwek5"/>
    <w:uiPriority w:val="9"/>
    <w:semiHidden/>
    <w:rsid w:val="002431CF"/>
    <w:rPr>
      <w:rFonts w:eastAsiaTheme="majorEastAsia" w:cstheme="majorBidi"/>
      <w:color w:val="2F5496" w:themeColor="accent1" w:themeShade="BF"/>
      <w:sz w:val="22"/>
    </w:rPr>
  </w:style>
  <w:style w:type="character" w:customStyle="1" w:styleId="Nagwek6Znak">
    <w:name w:val="Nagłówek 6 Znak"/>
    <w:basedOn w:val="Domylnaczcionkaakapitu"/>
    <w:link w:val="Nagwek6"/>
    <w:uiPriority w:val="9"/>
    <w:semiHidden/>
    <w:rsid w:val="002431CF"/>
    <w:rPr>
      <w:rFonts w:eastAsiaTheme="majorEastAsia" w:cstheme="majorBidi"/>
      <w:i/>
      <w:iCs/>
      <w:color w:val="595959" w:themeColor="text1" w:themeTint="A6"/>
      <w:sz w:val="22"/>
    </w:rPr>
  </w:style>
  <w:style w:type="character" w:customStyle="1" w:styleId="Nagwek7Znak">
    <w:name w:val="Nagłówek 7 Znak"/>
    <w:basedOn w:val="Domylnaczcionkaakapitu"/>
    <w:link w:val="Nagwek7"/>
    <w:uiPriority w:val="9"/>
    <w:semiHidden/>
    <w:rsid w:val="002431CF"/>
    <w:rPr>
      <w:rFonts w:eastAsiaTheme="majorEastAsia" w:cstheme="majorBidi"/>
      <w:color w:val="595959" w:themeColor="text1" w:themeTint="A6"/>
      <w:sz w:val="22"/>
    </w:rPr>
  </w:style>
  <w:style w:type="character" w:customStyle="1" w:styleId="Nagwek8Znak">
    <w:name w:val="Nagłówek 8 Znak"/>
    <w:basedOn w:val="Domylnaczcionkaakapitu"/>
    <w:link w:val="Nagwek8"/>
    <w:uiPriority w:val="9"/>
    <w:semiHidden/>
    <w:rsid w:val="002431CF"/>
    <w:rPr>
      <w:rFonts w:eastAsiaTheme="majorEastAsia" w:cstheme="majorBidi"/>
      <w:i/>
      <w:iCs/>
      <w:color w:val="272727" w:themeColor="text1" w:themeTint="D8"/>
      <w:sz w:val="22"/>
    </w:rPr>
  </w:style>
  <w:style w:type="character" w:customStyle="1" w:styleId="Nagwek9Znak">
    <w:name w:val="Nagłówek 9 Znak"/>
    <w:basedOn w:val="Domylnaczcionkaakapitu"/>
    <w:link w:val="Nagwek9"/>
    <w:uiPriority w:val="9"/>
    <w:semiHidden/>
    <w:rsid w:val="002431CF"/>
    <w:rPr>
      <w:rFonts w:eastAsiaTheme="majorEastAsia" w:cstheme="majorBidi"/>
      <w:color w:val="272727" w:themeColor="text1" w:themeTint="D8"/>
      <w:sz w:val="22"/>
    </w:rPr>
  </w:style>
  <w:style w:type="paragraph" w:styleId="Tytu">
    <w:name w:val="Title"/>
    <w:basedOn w:val="Normalny"/>
    <w:next w:val="Normalny"/>
    <w:link w:val="TytuZnak"/>
    <w:uiPriority w:val="10"/>
    <w:qFormat/>
    <w:rsid w:val="002431C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2431C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31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431C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31CF"/>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2431CF"/>
    <w:rPr>
      <w:rFonts w:ascii="Arial" w:hAnsi="Arial"/>
      <w:i/>
      <w:iCs/>
      <w:color w:val="404040" w:themeColor="text1" w:themeTint="BF"/>
      <w:sz w:val="22"/>
    </w:rPr>
  </w:style>
  <w:style w:type="paragraph" w:styleId="Akapitzlist">
    <w:name w:val="List Paragraph"/>
    <w:basedOn w:val="Normalny"/>
    <w:uiPriority w:val="34"/>
    <w:qFormat/>
    <w:rsid w:val="002431CF"/>
    <w:pPr>
      <w:ind w:left="720"/>
      <w:contextualSpacing/>
    </w:pPr>
  </w:style>
  <w:style w:type="character" w:styleId="Wyrnienieintensywne">
    <w:name w:val="Intense Emphasis"/>
    <w:basedOn w:val="Domylnaczcionkaakapitu"/>
    <w:uiPriority w:val="21"/>
    <w:qFormat/>
    <w:rsid w:val="002431CF"/>
    <w:rPr>
      <w:i/>
      <w:iCs/>
      <w:color w:val="2F5496" w:themeColor="accent1" w:themeShade="BF"/>
    </w:rPr>
  </w:style>
  <w:style w:type="paragraph" w:styleId="Cytatintensywny">
    <w:name w:val="Intense Quote"/>
    <w:basedOn w:val="Normalny"/>
    <w:next w:val="Normalny"/>
    <w:link w:val="CytatintensywnyZnak"/>
    <w:uiPriority w:val="30"/>
    <w:qFormat/>
    <w:rsid w:val="00243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431CF"/>
    <w:rPr>
      <w:rFonts w:ascii="Arial" w:hAnsi="Arial"/>
      <w:i/>
      <w:iCs/>
      <w:color w:val="2F5496" w:themeColor="accent1" w:themeShade="BF"/>
      <w:sz w:val="22"/>
    </w:rPr>
  </w:style>
  <w:style w:type="character" w:styleId="Odwoanieintensywne">
    <w:name w:val="Intense Reference"/>
    <w:basedOn w:val="Domylnaczcionkaakapitu"/>
    <w:uiPriority w:val="32"/>
    <w:qFormat/>
    <w:rsid w:val="002431CF"/>
    <w:rPr>
      <w:b/>
      <w:bCs/>
      <w:smallCaps/>
      <w:color w:val="2F5496" w:themeColor="accent1" w:themeShade="BF"/>
      <w:spacing w:val="5"/>
    </w:rPr>
  </w:style>
  <w:style w:type="table" w:styleId="Tabela-Siatka">
    <w:name w:val="Table Grid"/>
    <w:basedOn w:val="Standardowy"/>
    <w:uiPriority w:val="39"/>
    <w:rsid w:val="00A82D2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B4156"/>
    <w:pPr>
      <w:spacing w:before="100" w:beforeAutospacing="1" w:after="100" w:afterAutospacing="1" w:line="240" w:lineRule="auto"/>
      <w:jc w:val="left"/>
    </w:pPr>
    <w:rPr>
      <w:rFonts w:ascii="Times New Roman" w:eastAsia="Times New Roman" w:hAnsi="Times New Roman" w:cs="Times New Roman"/>
      <w:color w:val="auto"/>
      <w:kern w:val="0"/>
      <w:sz w:val="24"/>
      <w:lang w:eastAsia="pl-PL"/>
      <w14:ligatures w14:val="none"/>
    </w:rPr>
  </w:style>
  <w:style w:type="paragraph" w:customStyle="1" w:styleId="PISMO">
    <w:name w:val="PISMO"/>
    <w:basedOn w:val="Normalny"/>
    <w:qFormat/>
    <w:rsid w:val="00AB4156"/>
    <w:pPr>
      <w:spacing w:after="40"/>
    </w:pPr>
    <w:rPr>
      <w:rFonts w:ascii="Times New Roman" w:hAnsi="Times New Roman"/>
      <w:color w:val="auto"/>
      <w:kern w:val="0"/>
      <w:sz w:val="24"/>
      <w:szCs w:val="22"/>
      <w14:ligatures w14:val="none"/>
    </w:rPr>
  </w:style>
  <w:style w:type="character" w:customStyle="1" w:styleId="apple-converted-space">
    <w:name w:val="apple-converted-space"/>
    <w:basedOn w:val="Domylnaczcionkaakapitu"/>
    <w:rsid w:val="00AB4156"/>
  </w:style>
  <w:style w:type="character" w:styleId="Hipercze">
    <w:name w:val="Hyperlink"/>
    <w:basedOn w:val="Domylnaczcionkaakapitu"/>
    <w:uiPriority w:val="99"/>
    <w:unhideWhenUsed/>
    <w:rsid w:val="00AB4156"/>
    <w:rPr>
      <w:color w:val="0000FF"/>
      <w:u w:val="single"/>
    </w:rPr>
  </w:style>
  <w:style w:type="character" w:styleId="UyteHipercze">
    <w:name w:val="FollowedHyperlink"/>
    <w:basedOn w:val="Domylnaczcionkaakapitu"/>
    <w:uiPriority w:val="99"/>
    <w:semiHidden/>
    <w:unhideWhenUsed/>
    <w:rsid w:val="00AB4156"/>
    <w:rPr>
      <w:color w:val="954F72" w:themeColor="followedHyperlink"/>
      <w:u w:val="single"/>
    </w:rPr>
  </w:style>
  <w:style w:type="paragraph" w:styleId="Tekstprzypisudolnego">
    <w:name w:val="footnote text"/>
    <w:aliases w:val="Tekst przypisu,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unhideWhenUsed/>
    <w:qFormat/>
    <w:rsid w:val="00480AF2"/>
    <w:pPr>
      <w:spacing w:line="240" w:lineRule="auto"/>
      <w:jc w:val="left"/>
    </w:pPr>
    <w:rPr>
      <w:rFonts w:asciiTheme="minorHAnsi" w:hAnsiTheme="minorHAnsi"/>
      <w:color w:val="auto"/>
      <w:kern w:val="0"/>
      <w:sz w:val="20"/>
      <w:szCs w:val="20"/>
      <w14:ligatures w14:val="none"/>
    </w:rPr>
  </w:style>
  <w:style w:type="character" w:customStyle="1" w:styleId="TekstprzypisudolnegoZnak">
    <w:name w:val="Tekst przypisu dolnego Znak"/>
    <w:aliases w:val="Tekst przypisu Znak,Podrozdział Znak,Footnote Znak,Podrozdzia3 Znak,Tekst przypisu Znak Znak Znak Znak Znak1,Tekst przypisu Znak Znak Znak Znak Znak Znak,Tekst przypisu Znak Znak Znak Znak Znak Znak Znak Znak"/>
    <w:basedOn w:val="Domylnaczcionkaakapitu"/>
    <w:link w:val="Tekstprzypisudolnego"/>
    <w:uiPriority w:val="99"/>
    <w:rsid w:val="00480AF2"/>
    <w:rPr>
      <w:kern w:val="0"/>
      <w:sz w:val="20"/>
      <w:szCs w:val="20"/>
      <w14:ligatures w14:val="none"/>
    </w:rPr>
  </w:style>
  <w:style w:type="character" w:styleId="Odwoanieprzypisudolnego">
    <w:name w:val="footnote reference"/>
    <w:aliases w:val="FZ,Odwołanie przypisu,(Voetnootmarkering),OZNAKA OPOMBE,przypisy dolne"/>
    <w:basedOn w:val="Domylnaczcionkaakapitu"/>
    <w:uiPriority w:val="99"/>
    <w:unhideWhenUsed/>
    <w:rsid w:val="00480AF2"/>
    <w:rPr>
      <w:vertAlign w:val="superscript"/>
    </w:rPr>
  </w:style>
  <w:style w:type="character" w:styleId="Pogrubienie">
    <w:name w:val="Strong"/>
    <w:basedOn w:val="Domylnaczcionkaakapitu"/>
    <w:uiPriority w:val="22"/>
    <w:qFormat/>
    <w:rsid w:val="00520B56"/>
    <w:rPr>
      <w:b/>
      <w:bCs/>
    </w:rPr>
  </w:style>
  <w:style w:type="paragraph" w:styleId="Bezodstpw">
    <w:name w:val="No Spacing"/>
    <w:uiPriority w:val="1"/>
    <w:qFormat/>
    <w:rsid w:val="00520B56"/>
    <w:rPr>
      <w:sz w:val="22"/>
      <w:szCs w:val="22"/>
    </w:rPr>
  </w:style>
  <w:style w:type="paragraph" w:customStyle="1" w:styleId="paragraph">
    <w:name w:val="paragraph"/>
    <w:basedOn w:val="Normalny"/>
    <w:rsid w:val="00520B56"/>
    <w:pPr>
      <w:spacing w:before="100" w:beforeAutospacing="1" w:after="100" w:afterAutospacing="1" w:line="240" w:lineRule="auto"/>
      <w:jc w:val="left"/>
    </w:pPr>
    <w:rPr>
      <w:rFonts w:ascii="Times New Roman" w:eastAsia="Times New Roman" w:hAnsi="Times New Roman" w:cs="Times New Roman"/>
      <w:color w:val="auto"/>
      <w:kern w:val="0"/>
      <w:sz w:val="24"/>
      <w:lang w:eastAsia="pl-PL"/>
      <w14:ligatures w14:val="none"/>
    </w:rPr>
  </w:style>
  <w:style w:type="character" w:customStyle="1" w:styleId="normaltextrun">
    <w:name w:val="normaltextrun"/>
    <w:basedOn w:val="Domylnaczcionkaakapitu"/>
    <w:rsid w:val="00520B56"/>
  </w:style>
  <w:style w:type="character" w:customStyle="1" w:styleId="eop">
    <w:name w:val="eop"/>
    <w:basedOn w:val="Domylnaczcionkaakapitu"/>
    <w:rsid w:val="00520B56"/>
  </w:style>
  <w:style w:type="paragraph" w:customStyle="1" w:styleId="ZARTzmartartykuempunktem">
    <w:name w:val="Z/ART(§) – zm. art. (§) artykułem (punktem)"/>
    <w:basedOn w:val="Normalny"/>
    <w:uiPriority w:val="30"/>
    <w:qFormat/>
    <w:rsid w:val="00A56282"/>
    <w:pPr>
      <w:suppressAutoHyphens/>
      <w:autoSpaceDE w:val="0"/>
      <w:autoSpaceDN w:val="0"/>
      <w:adjustRightInd w:val="0"/>
      <w:ind w:left="510" w:firstLine="510"/>
    </w:pPr>
    <w:rPr>
      <w:rFonts w:ascii="Times" w:eastAsiaTheme="minorEastAsia" w:hAnsi="Times" w:cs="Arial"/>
      <w:color w:val="auto"/>
      <w:kern w:val="0"/>
      <w:sz w:val="24"/>
      <w:szCs w:val="20"/>
      <w:lang w:eastAsia="pl-PL"/>
      <w14:ligatures w14:val="none"/>
    </w:rPr>
  </w:style>
  <w:style w:type="paragraph" w:customStyle="1" w:styleId="Akapitzlist1">
    <w:name w:val="Akapit z listą1"/>
    <w:basedOn w:val="Normalny"/>
    <w:rsid w:val="00647D88"/>
    <w:pPr>
      <w:spacing w:after="160" w:line="259" w:lineRule="auto"/>
      <w:ind w:left="720"/>
      <w:contextualSpacing/>
      <w:jc w:val="left"/>
    </w:pPr>
    <w:rPr>
      <w:rFonts w:ascii="Calibri" w:eastAsia="Times New Roman" w:hAnsi="Calibri" w:cs="Times New Roman"/>
      <w:color w:val="auto"/>
      <w:kern w:val="0"/>
      <w:szCs w:val="22"/>
      <w14:ligatures w14:val="none"/>
    </w:rPr>
  </w:style>
  <w:style w:type="character" w:styleId="Odwoaniedokomentarza">
    <w:name w:val="annotation reference"/>
    <w:basedOn w:val="Domylnaczcionkaakapitu"/>
    <w:uiPriority w:val="99"/>
    <w:semiHidden/>
    <w:unhideWhenUsed/>
    <w:rsid w:val="0037634E"/>
    <w:rPr>
      <w:sz w:val="16"/>
      <w:szCs w:val="16"/>
    </w:rPr>
  </w:style>
  <w:style w:type="paragraph" w:styleId="Tekstkomentarza">
    <w:name w:val="annotation text"/>
    <w:basedOn w:val="Normalny"/>
    <w:link w:val="TekstkomentarzaZnak"/>
    <w:uiPriority w:val="99"/>
    <w:unhideWhenUsed/>
    <w:rsid w:val="0037634E"/>
    <w:pPr>
      <w:spacing w:line="240" w:lineRule="auto"/>
    </w:pPr>
    <w:rPr>
      <w:sz w:val="20"/>
      <w:szCs w:val="20"/>
    </w:rPr>
  </w:style>
  <w:style w:type="character" w:customStyle="1" w:styleId="TekstkomentarzaZnak">
    <w:name w:val="Tekst komentarza Znak"/>
    <w:basedOn w:val="Domylnaczcionkaakapitu"/>
    <w:link w:val="Tekstkomentarza"/>
    <w:uiPriority w:val="99"/>
    <w:rsid w:val="0037634E"/>
    <w:rPr>
      <w:rFonts w:ascii="Arial" w:hAnsi="Arial"/>
      <w:color w:val="000000" w:themeColor="text1"/>
      <w:sz w:val="20"/>
      <w:szCs w:val="20"/>
    </w:rPr>
  </w:style>
  <w:style w:type="paragraph" w:styleId="Tematkomentarza">
    <w:name w:val="annotation subject"/>
    <w:basedOn w:val="Tekstkomentarza"/>
    <w:next w:val="Tekstkomentarza"/>
    <w:link w:val="TematkomentarzaZnak"/>
    <w:uiPriority w:val="99"/>
    <w:semiHidden/>
    <w:unhideWhenUsed/>
    <w:rsid w:val="0037634E"/>
    <w:rPr>
      <w:b/>
      <w:bCs/>
    </w:rPr>
  </w:style>
  <w:style w:type="character" w:customStyle="1" w:styleId="TematkomentarzaZnak">
    <w:name w:val="Temat komentarza Znak"/>
    <w:basedOn w:val="TekstkomentarzaZnak"/>
    <w:link w:val="Tematkomentarza"/>
    <w:uiPriority w:val="99"/>
    <w:semiHidden/>
    <w:rsid w:val="0037634E"/>
    <w:rPr>
      <w:rFonts w:ascii="Arial" w:hAnsi="Arial"/>
      <w:b/>
      <w:bCs/>
      <w:color w:val="000000" w:themeColor="text1"/>
      <w:sz w:val="20"/>
      <w:szCs w:val="20"/>
    </w:rPr>
  </w:style>
  <w:style w:type="paragraph" w:customStyle="1" w:styleId="ZLITARTzmartliter">
    <w:name w:val="Z_LIT/ART(§) – zm. art. (§) literą"/>
    <w:basedOn w:val="Normalny"/>
    <w:uiPriority w:val="46"/>
    <w:qFormat/>
    <w:rsid w:val="0037634E"/>
    <w:pPr>
      <w:suppressAutoHyphens/>
      <w:autoSpaceDE w:val="0"/>
      <w:autoSpaceDN w:val="0"/>
      <w:adjustRightInd w:val="0"/>
      <w:ind w:left="987" w:firstLine="510"/>
    </w:pPr>
    <w:rPr>
      <w:rFonts w:ascii="Times New Roman" w:eastAsiaTheme="minorEastAsia" w:hAnsi="Times New Roman" w:cs="Arial"/>
      <w:bCs/>
      <w:color w:val="auto"/>
      <w:kern w:val="0"/>
      <w:sz w:val="24"/>
      <w:szCs w:val="20"/>
      <w:lang w:eastAsia="pl-PL"/>
      <w14:ligatures w14:val="none"/>
    </w:rPr>
  </w:style>
  <w:style w:type="paragraph" w:customStyle="1" w:styleId="ZUSTzmustartykuempunktem">
    <w:name w:val="Z/UST(§) – zm. ust. (§) artykułem (punktem)"/>
    <w:basedOn w:val="Normalny"/>
    <w:uiPriority w:val="30"/>
    <w:qFormat/>
    <w:rsid w:val="0037634E"/>
    <w:pPr>
      <w:suppressAutoHyphens/>
      <w:autoSpaceDE w:val="0"/>
      <w:autoSpaceDN w:val="0"/>
      <w:adjustRightInd w:val="0"/>
      <w:ind w:left="510" w:firstLine="510"/>
    </w:pPr>
    <w:rPr>
      <w:rFonts w:ascii="Times" w:eastAsiaTheme="minorEastAsia" w:hAnsi="Times" w:cs="Arial"/>
      <w:color w:val="auto"/>
      <w:kern w:val="0"/>
      <w:sz w:val="24"/>
      <w:szCs w:val="20"/>
      <w:lang w:eastAsia="pl-PL"/>
      <w14:ligatures w14:val="none"/>
    </w:rPr>
  </w:style>
  <w:style w:type="paragraph" w:customStyle="1" w:styleId="PKTpunkt">
    <w:name w:val="PKT – punkt"/>
    <w:uiPriority w:val="13"/>
    <w:qFormat/>
    <w:rsid w:val="0037634E"/>
    <w:pPr>
      <w:spacing w:line="360" w:lineRule="auto"/>
      <w:ind w:left="510" w:hanging="510"/>
      <w:jc w:val="both"/>
    </w:pPr>
    <w:rPr>
      <w:rFonts w:ascii="Times" w:eastAsiaTheme="minorEastAsia" w:hAnsi="Times" w:cs="Arial"/>
      <w:bCs/>
      <w:kern w:val="0"/>
      <w:szCs w:val="20"/>
      <w:lang w:eastAsia="pl-PL"/>
      <w14:ligatures w14:val="none"/>
    </w:rPr>
  </w:style>
  <w:style w:type="paragraph" w:customStyle="1" w:styleId="doc-ti">
    <w:name w:val="doc-ti"/>
    <w:basedOn w:val="Normalny"/>
    <w:rsid w:val="001F4826"/>
    <w:pPr>
      <w:spacing w:before="100" w:beforeAutospacing="1" w:after="100" w:afterAutospacing="1" w:line="240" w:lineRule="auto"/>
      <w:jc w:val="left"/>
    </w:pPr>
    <w:rPr>
      <w:rFonts w:ascii="Times New Roman" w:eastAsia="Times New Roman" w:hAnsi="Times New Roman" w:cs="Times New Roman"/>
      <w:color w:val="auto"/>
      <w:kern w:val="0"/>
      <w:sz w:val="24"/>
      <w:lang w:eastAsia="pl-PL"/>
      <w14:ligatures w14:val="none"/>
    </w:rPr>
  </w:style>
  <w:style w:type="paragraph" w:styleId="Poprawka">
    <w:name w:val="Revision"/>
    <w:hidden/>
    <w:uiPriority w:val="99"/>
    <w:semiHidden/>
    <w:rsid w:val="00DC6CC1"/>
    <w:rPr>
      <w:rFonts w:ascii="Arial" w:hAnsi="Arial"/>
      <w:color w:val="000000" w:themeColor="text1"/>
      <w:sz w:val="22"/>
    </w:rPr>
  </w:style>
  <w:style w:type="paragraph" w:styleId="Nagwek">
    <w:name w:val="header"/>
    <w:basedOn w:val="Normalny"/>
    <w:link w:val="NagwekZnak"/>
    <w:uiPriority w:val="99"/>
    <w:unhideWhenUsed/>
    <w:rsid w:val="00DC6CC1"/>
    <w:pPr>
      <w:tabs>
        <w:tab w:val="center" w:pos="4536"/>
        <w:tab w:val="right" w:pos="9072"/>
      </w:tabs>
      <w:spacing w:line="240" w:lineRule="auto"/>
    </w:pPr>
  </w:style>
  <w:style w:type="character" w:customStyle="1" w:styleId="NagwekZnak">
    <w:name w:val="Nagłówek Znak"/>
    <w:basedOn w:val="Domylnaczcionkaakapitu"/>
    <w:link w:val="Nagwek"/>
    <w:uiPriority w:val="99"/>
    <w:rsid w:val="00DC6CC1"/>
    <w:rPr>
      <w:rFonts w:ascii="Arial" w:hAnsi="Arial"/>
      <w:color w:val="000000" w:themeColor="text1"/>
      <w:sz w:val="22"/>
    </w:rPr>
  </w:style>
  <w:style w:type="paragraph" w:styleId="Stopka">
    <w:name w:val="footer"/>
    <w:basedOn w:val="Normalny"/>
    <w:link w:val="StopkaZnak"/>
    <w:uiPriority w:val="99"/>
    <w:unhideWhenUsed/>
    <w:rsid w:val="00DC6CC1"/>
    <w:pPr>
      <w:tabs>
        <w:tab w:val="center" w:pos="4536"/>
        <w:tab w:val="right" w:pos="9072"/>
      </w:tabs>
      <w:spacing w:line="240" w:lineRule="auto"/>
    </w:pPr>
  </w:style>
  <w:style w:type="character" w:customStyle="1" w:styleId="StopkaZnak">
    <w:name w:val="Stopka Znak"/>
    <w:basedOn w:val="Domylnaczcionkaakapitu"/>
    <w:link w:val="Stopka"/>
    <w:uiPriority w:val="99"/>
    <w:rsid w:val="00DC6CC1"/>
    <w:rPr>
      <w:rFonts w:ascii="Arial" w:hAnsi="Arial"/>
      <w:color w:val="000000" w:themeColor="text1"/>
      <w:sz w:val="22"/>
    </w:rPr>
  </w:style>
  <w:style w:type="paragraph" w:customStyle="1" w:styleId="ARTartustawynprozporzdzenia">
    <w:name w:val="ART(§) – art. ustawy (§ np. rozporządzenia)"/>
    <w:link w:val="ARTartustawynprozporzdzeniaZnak"/>
    <w:uiPriority w:val="11"/>
    <w:qFormat/>
    <w:rsid w:val="00CD00ED"/>
    <w:pPr>
      <w:suppressAutoHyphens/>
      <w:autoSpaceDE w:val="0"/>
      <w:autoSpaceDN w:val="0"/>
      <w:adjustRightInd w:val="0"/>
      <w:spacing w:before="120" w:line="360" w:lineRule="auto"/>
      <w:ind w:firstLine="510"/>
      <w:jc w:val="both"/>
    </w:pPr>
    <w:rPr>
      <w:rFonts w:ascii="Times" w:eastAsiaTheme="minorEastAsia" w:hAnsi="Times" w:cs="Arial"/>
      <w:kern w:val="0"/>
      <w:szCs w:val="20"/>
      <w:lang w:eastAsia="pl-PL"/>
      <w14:ligatures w14:val="none"/>
    </w:rPr>
  </w:style>
  <w:style w:type="paragraph" w:customStyle="1" w:styleId="pf0">
    <w:name w:val="pf0"/>
    <w:basedOn w:val="Normalny"/>
    <w:rsid w:val="006878EB"/>
    <w:pPr>
      <w:spacing w:before="100" w:beforeAutospacing="1" w:after="100" w:afterAutospacing="1" w:line="240" w:lineRule="auto"/>
      <w:jc w:val="left"/>
    </w:pPr>
    <w:rPr>
      <w:rFonts w:ascii="Times New Roman" w:eastAsia="Times New Roman" w:hAnsi="Times New Roman" w:cs="Times New Roman"/>
      <w:color w:val="auto"/>
      <w:kern w:val="0"/>
      <w:sz w:val="24"/>
      <w:lang w:eastAsia="pl-PL"/>
      <w14:ligatures w14:val="none"/>
    </w:rPr>
  </w:style>
  <w:style w:type="character" w:customStyle="1" w:styleId="cf01">
    <w:name w:val="cf01"/>
    <w:basedOn w:val="Domylnaczcionkaakapitu"/>
    <w:rsid w:val="006878EB"/>
    <w:rPr>
      <w:rFonts w:ascii="Segoe UI" w:hAnsi="Segoe UI" w:cs="Segoe UI" w:hint="default"/>
      <w:sz w:val="18"/>
      <w:szCs w:val="18"/>
    </w:rPr>
  </w:style>
  <w:style w:type="paragraph" w:customStyle="1" w:styleId="footnotedescription">
    <w:name w:val="footnote description"/>
    <w:next w:val="Normalny"/>
    <w:link w:val="footnotedescriptionChar"/>
    <w:hidden/>
    <w:rsid w:val="00964FB5"/>
    <w:pPr>
      <w:spacing w:line="259" w:lineRule="auto"/>
    </w:pPr>
    <w:rPr>
      <w:rFonts w:ascii="Calibri" w:eastAsia="Calibri" w:hAnsi="Calibri" w:cs="Calibri"/>
      <w:color w:val="000000"/>
      <w:sz w:val="20"/>
      <w:szCs w:val="22"/>
      <w:lang w:eastAsia="pl-PL"/>
    </w:rPr>
  </w:style>
  <w:style w:type="character" w:customStyle="1" w:styleId="footnotedescriptionChar">
    <w:name w:val="footnote description Char"/>
    <w:link w:val="footnotedescription"/>
    <w:rsid w:val="00964FB5"/>
    <w:rPr>
      <w:rFonts w:ascii="Calibri" w:eastAsia="Calibri" w:hAnsi="Calibri" w:cs="Calibri"/>
      <w:color w:val="000000"/>
      <w:sz w:val="20"/>
      <w:szCs w:val="22"/>
      <w:lang w:eastAsia="pl-PL"/>
    </w:rPr>
  </w:style>
  <w:style w:type="character" w:customStyle="1" w:styleId="footnotemark">
    <w:name w:val="footnote mark"/>
    <w:hidden/>
    <w:rsid w:val="00964FB5"/>
    <w:rPr>
      <w:rFonts w:ascii="Calibri" w:eastAsia="Calibri" w:hAnsi="Calibri" w:cs="Calibri"/>
      <w:color w:val="000000"/>
      <w:sz w:val="20"/>
      <w:vertAlign w:val="superscript"/>
    </w:rPr>
  </w:style>
  <w:style w:type="paragraph" w:customStyle="1" w:styleId="naglowekcenter">
    <w:name w:val="naglowek_center"/>
    <w:basedOn w:val="Normalny"/>
    <w:rsid w:val="00964FB5"/>
    <w:pPr>
      <w:suppressAutoHyphens/>
      <w:spacing w:before="100" w:after="100" w:line="240" w:lineRule="auto"/>
      <w:jc w:val="left"/>
    </w:pPr>
    <w:rPr>
      <w:rFonts w:ascii="Times New Roman" w:eastAsia="Times New Roman" w:hAnsi="Times New Roman" w:cs="Times New Roman"/>
      <w:color w:val="auto"/>
      <w:kern w:val="0"/>
      <w:sz w:val="24"/>
      <w:lang w:eastAsia="ar-SA"/>
      <w14:ligatures w14:val="none"/>
    </w:rPr>
  </w:style>
  <w:style w:type="character" w:styleId="Nierozpoznanawzmianka">
    <w:name w:val="Unresolved Mention"/>
    <w:basedOn w:val="Domylnaczcionkaakapitu"/>
    <w:uiPriority w:val="99"/>
    <w:semiHidden/>
    <w:unhideWhenUsed/>
    <w:rsid w:val="00387387"/>
    <w:rPr>
      <w:color w:val="605E5C"/>
      <w:shd w:val="clear" w:color="auto" w:fill="E1DFDD"/>
    </w:rPr>
  </w:style>
  <w:style w:type="character" w:customStyle="1" w:styleId="highlight">
    <w:name w:val="highlight"/>
    <w:basedOn w:val="Domylnaczcionkaakapitu"/>
    <w:rsid w:val="00EB5A00"/>
  </w:style>
  <w:style w:type="paragraph" w:customStyle="1" w:styleId="LITlitera">
    <w:name w:val="LIT – litera"/>
    <w:basedOn w:val="PKTpunkt"/>
    <w:uiPriority w:val="14"/>
    <w:qFormat/>
    <w:rsid w:val="00107F9F"/>
    <w:pPr>
      <w:ind w:left="986" w:hanging="476"/>
    </w:pPr>
  </w:style>
  <w:style w:type="character" w:customStyle="1" w:styleId="Ppogrubienie">
    <w:name w:val="_P_ – pogrubienie"/>
    <w:basedOn w:val="Domylnaczcionkaakapitu"/>
    <w:uiPriority w:val="1"/>
    <w:qFormat/>
    <w:rsid w:val="00107F9F"/>
    <w:rPr>
      <w:b/>
    </w:rPr>
  </w:style>
  <w:style w:type="paragraph" w:customStyle="1" w:styleId="ZLITUSTzmustliter">
    <w:name w:val="Z_LIT/UST(§) – zm. ust. (§) literą"/>
    <w:basedOn w:val="Normalny"/>
    <w:uiPriority w:val="46"/>
    <w:qFormat/>
    <w:rsid w:val="00AF0253"/>
    <w:pPr>
      <w:suppressAutoHyphens/>
      <w:autoSpaceDE w:val="0"/>
      <w:autoSpaceDN w:val="0"/>
      <w:adjustRightInd w:val="0"/>
      <w:ind w:left="987" w:firstLine="510"/>
    </w:pPr>
    <w:rPr>
      <w:rFonts w:ascii="Times" w:eastAsiaTheme="minorEastAsia" w:hAnsi="Times" w:cs="Arial"/>
      <w:bCs/>
      <w:color w:val="auto"/>
      <w:kern w:val="0"/>
      <w:sz w:val="24"/>
      <w:szCs w:val="20"/>
      <w:lang w:eastAsia="pl-PL"/>
      <w14:ligatures w14:val="none"/>
    </w:rPr>
  </w:style>
  <w:style w:type="paragraph" w:customStyle="1" w:styleId="SKARNsankcjakarnawszczeglnociwKodeksiekarnym">
    <w:name w:val="S_KARN – sankcja karna w szczególności w Kodeksie karnym"/>
    <w:basedOn w:val="Normalny"/>
    <w:next w:val="ARTartustawynprozporzdzenia"/>
    <w:uiPriority w:val="18"/>
    <w:qFormat/>
    <w:rsid w:val="005A7D6D"/>
    <w:pPr>
      <w:suppressAutoHyphens/>
      <w:autoSpaceDE w:val="0"/>
      <w:autoSpaceDN w:val="0"/>
      <w:adjustRightInd w:val="0"/>
      <w:ind w:left="510"/>
    </w:pPr>
    <w:rPr>
      <w:rFonts w:ascii="Times" w:eastAsiaTheme="minorEastAsia" w:hAnsi="Times" w:cs="Arial"/>
      <w:bCs/>
      <w:color w:val="auto"/>
      <w:kern w:val="0"/>
      <w:sz w:val="24"/>
      <w:szCs w:val="20"/>
      <w:lang w:eastAsia="pl-PL"/>
      <w14:ligatures w14:val="none"/>
    </w:rPr>
  </w:style>
  <w:style w:type="character" w:customStyle="1" w:styleId="ng-binding">
    <w:name w:val="ng-binding"/>
    <w:basedOn w:val="Domylnaczcionkaakapitu"/>
    <w:rsid w:val="00992F53"/>
  </w:style>
  <w:style w:type="paragraph" w:customStyle="1" w:styleId="USTustnpkodeksu">
    <w:name w:val="UST(§) – ust. (§ np. kodeksu)"/>
    <w:basedOn w:val="ARTartustawynprozporzdzenia"/>
    <w:uiPriority w:val="12"/>
    <w:qFormat/>
    <w:rsid w:val="0091207C"/>
    <w:pPr>
      <w:spacing w:before="0"/>
    </w:pPr>
    <w:rPr>
      <w:bCs/>
    </w:rPr>
  </w:style>
  <w:style w:type="paragraph" w:customStyle="1" w:styleId="p">
    <w:name w:val="p"/>
    <w:uiPriority w:val="99"/>
    <w:rsid w:val="0091207C"/>
    <w:pPr>
      <w:widowControl w:val="0"/>
      <w:autoSpaceDE w:val="0"/>
      <w:autoSpaceDN w:val="0"/>
      <w:adjustRightInd w:val="0"/>
      <w:spacing w:after="100" w:line="40" w:lineRule="atLeast"/>
      <w:jc w:val="both"/>
    </w:pPr>
    <w:rPr>
      <w:rFonts w:ascii="Helvetica" w:eastAsia="Times New Roman" w:hAnsi="Helvetica" w:cs="Helvetica"/>
      <w:color w:val="000000"/>
      <w:kern w:val="0"/>
      <w:sz w:val="18"/>
      <w:szCs w:val="18"/>
      <w:lang w:eastAsia="pl-PL"/>
      <w14:ligatures w14:val="none"/>
    </w:rPr>
  </w:style>
  <w:style w:type="paragraph" w:customStyle="1" w:styleId="pnaglowekcenter">
    <w:name w:val="p.naglowek_center"/>
    <w:uiPriority w:val="99"/>
    <w:rsid w:val="0091207C"/>
    <w:pPr>
      <w:widowControl w:val="0"/>
      <w:suppressAutoHyphens/>
      <w:autoSpaceDE w:val="0"/>
      <w:spacing w:line="40" w:lineRule="atLeast"/>
      <w:jc w:val="center"/>
    </w:pPr>
    <w:rPr>
      <w:rFonts w:ascii="Helvetica" w:eastAsia="Times New Roman" w:hAnsi="Helvetica" w:cs="Helvetica"/>
      <w:color w:val="000000"/>
      <w:kern w:val="0"/>
      <w:sz w:val="18"/>
      <w:szCs w:val="18"/>
      <w:lang w:eastAsia="ar-SA"/>
      <w14:ligatures w14:val="none"/>
    </w:rPr>
  </w:style>
  <w:style w:type="character" w:customStyle="1" w:styleId="ARTartustawynprozporzdzeniaZnak">
    <w:name w:val="ART(§) – art. ustawy (§ np. rozporządzenia) Znak"/>
    <w:link w:val="ARTartustawynprozporzdzenia"/>
    <w:uiPriority w:val="11"/>
    <w:locked/>
    <w:rsid w:val="0091207C"/>
    <w:rPr>
      <w:rFonts w:ascii="Times" w:eastAsiaTheme="minorEastAsia" w:hAnsi="Times" w:cs="Arial"/>
      <w:kern w:val="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544">
      <w:bodyDiv w:val="1"/>
      <w:marLeft w:val="0"/>
      <w:marRight w:val="0"/>
      <w:marTop w:val="0"/>
      <w:marBottom w:val="0"/>
      <w:divBdr>
        <w:top w:val="none" w:sz="0" w:space="0" w:color="auto"/>
        <w:left w:val="none" w:sz="0" w:space="0" w:color="auto"/>
        <w:bottom w:val="none" w:sz="0" w:space="0" w:color="auto"/>
        <w:right w:val="none" w:sz="0" w:space="0" w:color="auto"/>
      </w:divBdr>
    </w:div>
    <w:div w:id="104353196">
      <w:bodyDiv w:val="1"/>
      <w:marLeft w:val="0"/>
      <w:marRight w:val="0"/>
      <w:marTop w:val="0"/>
      <w:marBottom w:val="0"/>
      <w:divBdr>
        <w:top w:val="none" w:sz="0" w:space="0" w:color="auto"/>
        <w:left w:val="none" w:sz="0" w:space="0" w:color="auto"/>
        <w:bottom w:val="none" w:sz="0" w:space="0" w:color="auto"/>
        <w:right w:val="none" w:sz="0" w:space="0" w:color="auto"/>
      </w:divBdr>
    </w:div>
    <w:div w:id="138962024">
      <w:bodyDiv w:val="1"/>
      <w:marLeft w:val="0"/>
      <w:marRight w:val="0"/>
      <w:marTop w:val="0"/>
      <w:marBottom w:val="0"/>
      <w:divBdr>
        <w:top w:val="none" w:sz="0" w:space="0" w:color="auto"/>
        <w:left w:val="none" w:sz="0" w:space="0" w:color="auto"/>
        <w:bottom w:val="none" w:sz="0" w:space="0" w:color="auto"/>
        <w:right w:val="none" w:sz="0" w:space="0" w:color="auto"/>
      </w:divBdr>
    </w:div>
    <w:div w:id="220211783">
      <w:bodyDiv w:val="1"/>
      <w:marLeft w:val="0"/>
      <w:marRight w:val="0"/>
      <w:marTop w:val="0"/>
      <w:marBottom w:val="0"/>
      <w:divBdr>
        <w:top w:val="none" w:sz="0" w:space="0" w:color="auto"/>
        <w:left w:val="none" w:sz="0" w:space="0" w:color="auto"/>
        <w:bottom w:val="none" w:sz="0" w:space="0" w:color="auto"/>
        <w:right w:val="none" w:sz="0" w:space="0" w:color="auto"/>
      </w:divBdr>
    </w:div>
    <w:div w:id="331763414">
      <w:bodyDiv w:val="1"/>
      <w:marLeft w:val="0"/>
      <w:marRight w:val="0"/>
      <w:marTop w:val="0"/>
      <w:marBottom w:val="0"/>
      <w:divBdr>
        <w:top w:val="none" w:sz="0" w:space="0" w:color="auto"/>
        <w:left w:val="none" w:sz="0" w:space="0" w:color="auto"/>
        <w:bottom w:val="none" w:sz="0" w:space="0" w:color="auto"/>
        <w:right w:val="none" w:sz="0" w:space="0" w:color="auto"/>
      </w:divBdr>
    </w:div>
    <w:div w:id="340086326">
      <w:bodyDiv w:val="1"/>
      <w:marLeft w:val="0"/>
      <w:marRight w:val="0"/>
      <w:marTop w:val="0"/>
      <w:marBottom w:val="0"/>
      <w:divBdr>
        <w:top w:val="none" w:sz="0" w:space="0" w:color="auto"/>
        <w:left w:val="none" w:sz="0" w:space="0" w:color="auto"/>
        <w:bottom w:val="none" w:sz="0" w:space="0" w:color="auto"/>
        <w:right w:val="none" w:sz="0" w:space="0" w:color="auto"/>
      </w:divBdr>
    </w:div>
    <w:div w:id="357127900">
      <w:bodyDiv w:val="1"/>
      <w:marLeft w:val="0"/>
      <w:marRight w:val="0"/>
      <w:marTop w:val="0"/>
      <w:marBottom w:val="0"/>
      <w:divBdr>
        <w:top w:val="none" w:sz="0" w:space="0" w:color="auto"/>
        <w:left w:val="none" w:sz="0" w:space="0" w:color="auto"/>
        <w:bottom w:val="none" w:sz="0" w:space="0" w:color="auto"/>
        <w:right w:val="none" w:sz="0" w:space="0" w:color="auto"/>
      </w:divBdr>
    </w:div>
    <w:div w:id="512888581">
      <w:bodyDiv w:val="1"/>
      <w:marLeft w:val="0"/>
      <w:marRight w:val="0"/>
      <w:marTop w:val="0"/>
      <w:marBottom w:val="0"/>
      <w:divBdr>
        <w:top w:val="none" w:sz="0" w:space="0" w:color="auto"/>
        <w:left w:val="none" w:sz="0" w:space="0" w:color="auto"/>
        <w:bottom w:val="none" w:sz="0" w:space="0" w:color="auto"/>
        <w:right w:val="none" w:sz="0" w:space="0" w:color="auto"/>
      </w:divBdr>
    </w:div>
    <w:div w:id="514419661">
      <w:bodyDiv w:val="1"/>
      <w:marLeft w:val="0"/>
      <w:marRight w:val="0"/>
      <w:marTop w:val="0"/>
      <w:marBottom w:val="0"/>
      <w:divBdr>
        <w:top w:val="none" w:sz="0" w:space="0" w:color="auto"/>
        <w:left w:val="none" w:sz="0" w:space="0" w:color="auto"/>
        <w:bottom w:val="none" w:sz="0" w:space="0" w:color="auto"/>
        <w:right w:val="none" w:sz="0" w:space="0" w:color="auto"/>
      </w:divBdr>
    </w:div>
    <w:div w:id="525368132">
      <w:bodyDiv w:val="1"/>
      <w:marLeft w:val="0"/>
      <w:marRight w:val="0"/>
      <w:marTop w:val="0"/>
      <w:marBottom w:val="0"/>
      <w:divBdr>
        <w:top w:val="none" w:sz="0" w:space="0" w:color="auto"/>
        <w:left w:val="none" w:sz="0" w:space="0" w:color="auto"/>
        <w:bottom w:val="none" w:sz="0" w:space="0" w:color="auto"/>
        <w:right w:val="none" w:sz="0" w:space="0" w:color="auto"/>
      </w:divBdr>
    </w:div>
    <w:div w:id="567807653">
      <w:bodyDiv w:val="1"/>
      <w:marLeft w:val="0"/>
      <w:marRight w:val="0"/>
      <w:marTop w:val="0"/>
      <w:marBottom w:val="0"/>
      <w:divBdr>
        <w:top w:val="none" w:sz="0" w:space="0" w:color="auto"/>
        <w:left w:val="none" w:sz="0" w:space="0" w:color="auto"/>
        <w:bottom w:val="none" w:sz="0" w:space="0" w:color="auto"/>
        <w:right w:val="none" w:sz="0" w:space="0" w:color="auto"/>
      </w:divBdr>
    </w:div>
    <w:div w:id="614219619">
      <w:bodyDiv w:val="1"/>
      <w:marLeft w:val="0"/>
      <w:marRight w:val="0"/>
      <w:marTop w:val="0"/>
      <w:marBottom w:val="0"/>
      <w:divBdr>
        <w:top w:val="none" w:sz="0" w:space="0" w:color="auto"/>
        <w:left w:val="none" w:sz="0" w:space="0" w:color="auto"/>
        <w:bottom w:val="none" w:sz="0" w:space="0" w:color="auto"/>
        <w:right w:val="none" w:sz="0" w:space="0" w:color="auto"/>
      </w:divBdr>
    </w:div>
    <w:div w:id="713389997">
      <w:bodyDiv w:val="1"/>
      <w:marLeft w:val="0"/>
      <w:marRight w:val="0"/>
      <w:marTop w:val="0"/>
      <w:marBottom w:val="0"/>
      <w:divBdr>
        <w:top w:val="none" w:sz="0" w:space="0" w:color="auto"/>
        <w:left w:val="none" w:sz="0" w:space="0" w:color="auto"/>
        <w:bottom w:val="none" w:sz="0" w:space="0" w:color="auto"/>
        <w:right w:val="none" w:sz="0" w:space="0" w:color="auto"/>
      </w:divBdr>
    </w:div>
    <w:div w:id="790854705">
      <w:bodyDiv w:val="1"/>
      <w:marLeft w:val="0"/>
      <w:marRight w:val="0"/>
      <w:marTop w:val="0"/>
      <w:marBottom w:val="0"/>
      <w:divBdr>
        <w:top w:val="none" w:sz="0" w:space="0" w:color="auto"/>
        <w:left w:val="none" w:sz="0" w:space="0" w:color="auto"/>
        <w:bottom w:val="none" w:sz="0" w:space="0" w:color="auto"/>
        <w:right w:val="none" w:sz="0" w:space="0" w:color="auto"/>
      </w:divBdr>
    </w:div>
    <w:div w:id="807435928">
      <w:bodyDiv w:val="1"/>
      <w:marLeft w:val="0"/>
      <w:marRight w:val="0"/>
      <w:marTop w:val="0"/>
      <w:marBottom w:val="0"/>
      <w:divBdr>
        <w:top w:val="none" w:sz="0" w:space="0" w:color="auto"/>
        <w:left w:val="none" w:sz="0" w:space="0" w:color="auto"/>
        <w:bottom w:val="none" w:sz="0" w:space="0" w:color="auto"/>
        <w:right w:val="none" w:sz="0" w:space="0" w:color="auto"/>
      </w:divBdr>
    </w:div>
    <w:div w:id="960692754">
      <w:bodyDiv w:val="1"/>
      <w:marLeft w:val="0"/>
      <w:marRight w:val="0"/>
      <w:marTop w:val="0"/>
      <w:marBottom w:val="0"/>
      <w:divBdr>
        <w:top w:val="none" w:sz="0" w:space="0" w:color="auto"/>
        <w:left w:val="none" w:sz="0" w:space="0" w:color="auto"/>
        <w:bottom w:val="none" w:sz="0" w:space="0" w:color="auto"/>
        <w:right w:val="none" w:sz="0" w:space="0" w:color="auto"/>
      </w:divBdr>
    </w:div>
    <w:div w:id="1042247248">
      <w:bodyDiv w:val="1"/>
      <w:marLeft w:val="0"/>
      <w:marRight w:val="0"/>
      <w:marTop w:val="0"/>
      <w:marBottom w:val="0"/>
      <w:divBdr>
        <w:top w:val="none" w:sz="0" w:space="0" w:color="auto"/>
        <w:left w:val="none" w:sz="0" w:space="0" w:color="auto"/>
        <w:bottom w:val="none" w:sz="0" w:space="0" w:color="auto"/>
        <w:right w:val="none" w:sz="0" w:space="0" w:color="auto"/>
      </w:divBdr>
    </w:div>
    <w:div w:id="1139421101">
      <w:bodyDiv w:val="1"/>
      <w:marLeft w:val="0"/>
      <w:marRight w:val="0"/>
      <w:marTop w:val="0"/>
      <w:marBottom w:val="0"/>
      <w:divBdr>
        <w:top w:val="none" w:sz="0" w:space="0" w:color="auto"/>
        <w:left w:val="none" w:sz="0" w:space="0" w:color="auto"/>
        <w:bottom w:val="none" w:sz="0" w:space="0" w:color="auto"/>
        <w:right w:val="none" w:sz="0" w:space="0" w:color="auto"/>
      </w:divBdr>
    </w:div>
    <w:div w:id="1140732383">
      <w:bodyDiv w:val="1"/>
      <w:marLeft w:val="0"/>
      <w:marRight w:val="0"/>
      <w:marTop w:val="0"/>
      <w:marBottom w:val="0"/>
      <w:divBdr>
        <w:top w:val="none" w:sz="0" w:space="0" w:color="auto"/>
        <w:left w:val="none" w:sz="0" w:space="0" w:color="auto"/>
        <w:bottom w:val="none" w:sz="0" w:space="0" w:color="auto"/>
        <w:right w:val="none" w:sz="0" w:space="0" w:color="auto"/>
      </w:divBdr>
    </w:div>
    <w:div w:id="1189103839">
      <w:bodyDiv w:val="1"/>
      <w:marLeft w:val="0"/>
      <w:marRight w:val="0"/>
      <w:marTop w:val="0"/>
      <w:marBottom w:val="0"/>
      <w:divBdr>
        <w:top w:val="none" w:sz="0" w:space="0" w:color="auto"/>
        <w:left w:val="none" w:sz="0" w:space="0" w:color="auto"/>
        <w:bottom w:val="none" w:sz="0" w:space="0" w:color="auto"/>
        <w:right w:val="none" w:sz="0" w:space="0" w:color="auto"/>
      </w:divBdr>
    </w:div>
    <w:div w:id="1248071788">
      <w:bodyDiv w:val="1"/>
      <w:marLeft w:val="0"/>
      <w:marRight w:val="0"/>
      <w:marTop w:val="0"/>
      <w:marBottom w:val="0"/>
      <w:divBdr>
        <w:top w:val="none" w:sz="0" w:space="0" w:color="auto"/>
        <w:left w:val="none" w:sz="0" w:space="0" w:color="auto"/>
        <w:bottom w:val="none" w:sz="0" w:space="0" w:color="auto"/>
        <w:right w:val="none" w:sz="0" w:space="0" w:color="auto"/>
      </w:divBdr>
    </w:div>
    <w:div w:id="1338117989">
      <w:bodyDiv w:val="1"/>
      <w:marLeft w:val="0"/>
      <w:marRight w:val="0"/>
      <w:marTop w:val="0"/>
      <w:marBottom w:val="0"/>
      <w:divBdr>
        <w:top w:val="none" w:sz="0" w:space="0" w:color="auto"/>
        <w:left w:val="none" w:sz="0" w:space="0" w:color="auto"/>
        <w:bottom w:val="none" w:sz="0" w:space="0" w:color="auto"/>
        <w:right w:val="none" w:sz="0" w:space="0" w:color="auto"/>
      </w:divBdr>
    </w:div>
    <w:div w:id="1380132021">
      <w:bodyDiv w:val="1"/>
      <w:marLeft w:val="0"/>
      <w:marRight w:val="0"/>
      <w:marTop w:val="0"/>
      <w:marBottom w:val="0"/>
      <w:divBdr>
        <w:top w:val="none" w:sz="0" w:space="0" w:color="auto"/>
        <w:left w:val="none" w:sz="0" w:space="0" w:color="auto"/>
        <w:bottom w:val="none" w:sz="0" w:space="0" w:color="auto"/>
        <w:right w:val="none" w:sz="0" w:space="0" w:color="auto"/>
      </w:divBdr>
    </w:div>
    <w:div w:id="1381393841">
      <w:bodyDiv w:val="1"/>
      <w:marLeft w:val="0"/>
      <w:marRight w:val="0"/>
      <w:marTop w:val="0"/>
      <w:marBottom w:val="0"/>
      <w:divBdr>
        <w:top w:val="none" w:sz="0" w:space="0" w:color="auto"/>
        <w:left w:val="none" w:sz="0" w:space="0" w:color="auto"/>
        <w:bottom w:val="none" w:sz="0" w:space="0" w:color="auto"/>
        <w:right w:val="none" w:sz="0" w:space="0" w:color="auto"/>
      </w:divBdr>
    </w:div>
    <w:div w:id="1387994013">
      <w:bodyDiv w:val="1"/>
      <w:marLeft w:val="0"/>
      <w:marRight w:val="0"/>
      <w:marTop w:val="0"/>
      <w:marBottom w:val="0"/>
      <w:divBdr>
        <w:top w:val="none" w:sz="0" w:space="0" w:color="auto"/>
        <w:left w:val="none" w:sz="0" w:space="0" w:color="auto"/>
        <w:bottom w:val="none" w:sz="0" w:space="0" w:color="auto"/>
        <w:right w:val="none" w:sz="0" w:space="0" w:color="auto"/>
      </w:divBdr>
    </w:div>
    <w:div w:id="1465847885">
      <w:bodyDiv w:val="1"/>
      <w:marLeft w:val="0"/>
      <w:marRight w:val="0"/>
      <w:marTop w:val="0"/>
      <w:marBottom w:val="0"/>
      <w:divBdr>
        <w:top w:val="none" w:sz="0" w:space="0" w:color="auto"/>
        <w:left w:val="none" w:sz="0" w:space="0" w:color="auto"/>
        <w:bottom w:val="none" w:sz="0" w:space="0" w:color="auto"/>
        <w:right w:val="none" w:sz="0" w:space="0" w:color="auto"/>
      </w:divBdr>
    </w:div>
    <w:div w:id="1494682199">
      <w:bodyDiv w:val="1"/>
      <w:marLeft w:val="0"/>
      <w:marRight w:val="0"/>
      <w:marTop w:val="0"/>
      <w:marBottom w:val="0"/>
      <w:divBdr>
        <w:top w:val="none" w:sz="0" w:space="0" w:color="auto"/>
        <w:left w:val="none" w:sz="0" w:space="0" w:color="auto"/>
        <w:bottom w:val="none" w:sz="0" w:space="0" w:color="auto"/>
        <w:right w:val="none" w:sz="0" w:space="0" w:color="auto"/>
      </w:divBdr>
    </w:div>
    <w:div w:id="1581601220">
      <w:bodyDiv w:val="1"/>
      <w:marLeft w:val="0"/>
      <w:marRight w:val="0"/>
      <w:marTop w:val="0"/>
      <w:marBottom w:val="0"/>
      <w:divBdr>
        <w:top w:val="none" w:sz="0" w:space="0" w:color="auto"/>
        <w:left w:val="none" w:sz="0" w:space="0" w:color="auto"/>
        <w:bottom w:val="none" w:sz="0" w:space="0" w:color="auto"/>
        <w:right w:val="none" w:sz="0" w:space="0" w:color="auto"/>
      </w:divBdr>
    </w:div>
    <w:div w:id="1607343713">
      <w:bodyDiv w:val="1"/>
      <w:marLeft w:val="0"/>
      <w:marRight w:val="0"/>
      <w:marTop w:val="0"/>
      <w:marBottom w:val="0"/>
      <w:divBdr>
        <w:top w:val="none" w:sz="0" w:space="0" w:color="auto"/>
        <w:left w:val="none" w:sz="0" w:space="0" w:color="auto"/>
        <w:bottom w:val="none" w:sz="0" w:space="0" w:color="auto"/>
        <w:right w:val="none" w:sz="0" w:space="0" w:color="auto"/>
      </w:divBdr>
    </w:div>
    <w:div w:id="1679043035">
      <w:bodyDiv w:val="1"/>
      <w:marLeft w:val="0"/>
      <w:marRight w:val="0"/>
      <w:marTop w:val="0"/>
      <w:marBottom w:val="0"/>
      <w:divBdr>
        <w:top w:val="none" w:sz="0" w:space="0" w:color="auto"/>
        <w:left w:val="none" w:sz="0" w:space="0" w:color="auto"/>
        <w:bottom w:val="none" w:sz="0" w:space="0" w:color="auto"/>
        <w:right w:val="none" w:sz="0" w:space="0" w:color="auto"/>
      </w:divBdr>
    </w:div>
    <w:div w:id="1707825590">
      <w:bodyDiv w:val="1"/>
      <w:marLeft w:val="0"/>
      <w:marRight w:val="0"/>
      <w:marTop w:val="0"/>
      <w:marBottom w:val="0"/>
      <w:divBdr>
        <w:top w:val="none" w:sz="0" w:space="0" w:color="auto"/>
        <w:left w:val="none" w:sz="0" w:space="0" w:color="auto"/>
        <w:bottom w:val="none" w:sz="0" w:space="0" w:color="auto"/>
        <w:right w:val="none" w:sz="0" w:space="0" w:color="auto"/>
      </w:divBdr>
    </w:div>
    <w:div w:id="1862232911">
      <w:bodyDiv w:val="1"/>
      <w:marLeft w:val="0"/>
      <w:marRight w:val="0"/>
      <w:marTop w:val="0"/>
      <w:marBottom w:val="0"/>
      <w:divBdr>
        <w:top w:val="none" w:sz="0" w:space="0" w:color="auto"/>
        <w:left w:val="none" w:sz="0" w:space="0" w:color="auto"/>
        <w:bottom w:val="none" w:sz="0" w:space="0" w:color="auto"/>
        <w:right w:val="none" w:sz="0" w:space="0" w:color="auto"/>
      </w:divBdr>
    </w:div>
    <w:div w:id="1881475161">
      <w:bodyDiv w:val="1"/>
      <w:marLeft w:val="0"/>
      <w:marRight w:val="0"/>
      <w:marTop w:val="0"/>
      <w:marBottom w:val="0"/>
      <w:divBdr>
        <w:top w:val="none" w:sz="0" w:space="0" w:color="auto"/>
        <w:left w:val="none" w:sz="0" w:space="0" w:color="auto"/>
        <w:bottom w:val="none" w:sz="0" w:space="0" w:color="auto"/>
        <w:right w:val="none" w:sz="0" w:space="0" w:color="auto"/>
      </w:divBdr>
    </w:div>
    <w:div w:id="2026009271">
      <w:bodyDiv w:val="1"/>
      <w:marLeft w:val="0"/>
      <w:marRight w:val="0"/>
      <w:marTop w:val="0"/>
      <w:marBottom w:val="0"/>
      <w:divBdr>
        <w:top w:val="none" w:sz="0" w:space="0" w:color="auto"/>
        <w:left w:val="none" w:sz="0" w:space="0" w:color="auto"/>
        <w:bottom w:val="none" w:sz="0" w:space="0" w:color="auto"/>
        <w:right w:val="none" w:sz="0" w:space="0" w:color="auto"/>
      </w:divBdr>
    </w:div>
    <w:div w:id="2039771685">
      <w:bodyDiv w:val="1"/>
      <w:marLeft w:val="0"/>
      <w:marRight w:val="0"/>
      <w:marTop w:val="0"/>
      <w:marBottom w:val="0"/>
      <w:divBdr>
        <w:top w:val="none" w:sz="0" w:space="0" w:color="auto"/>
        <w:left w:val="none" w:sz="0" w:space="0" w:color="auto"/>
        <w:bottom w:val="none" w:sz="0" w:space="0" w:color="auto"/>
        <w:right w:val="none" w:sz="0" w:space="0" w:color="auto"/>
      </w:divBdr>
    </w:div>
    <w:div w:id="2051489251">
      <w:bodyDiv w:val="1"/>
      <w:marLeft w:val="0"/>
      <w:marRight w:val="0"/>
      <w:marTop w:val="0"/>
      <w:marBottom w:val="0"/>
      <w:divBdr>
        <w:top w:val="none" w:sz="0" w:space="0" w:color="auto"/>
        <w:left w:val="none" w:sz="0" w:space="0" w:color="auto"/>
        <w:bottom w:val="none" w:sz="0" w:space="0" w:color="auto"/>
        <w:right w:val="none" w:sz="0" w:space="0" w:color="auto"/>
      </w:divBdr>
    </w:div>
    <w:div w:id="2059694914">
      <w:bodyDiv w:val="1"/>
      <w:marLeft w:val="0"/>
      <w:marRight w:val="0"/>
      <w:marTop w:val="0"/>
      <w:marBottom w:val="0"/>
      <w:divBdr>
        <w:top w:val="none" w:sz="0" w:space="0" w:color="auto"/>
        <w:left w:val="none" w:sz="0" w:space="0" w:color="auto"/>
        <w:bottom w:val="none" w:sz="0" w:space="0" w:color="auto"/>
        <w:right w:val="none" w:sz="0" w:space="0" w:color="auto"/>
      </w:divBdr>
    </w:div>
    <w:div w:id="20839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binternet.ohchr.org/_layouts/15/treatybodyexternal/Download.aspx?symbolno=CCPR%2fC%2fGC%2f32&amp;Lang=en" TargetMode="External"/><Relationship Id="rId13" Type="http://schemas.openxmlformats.org/officeDocument/2006/relationships/hyperlink" Target="https://sip.lex.pl/" TargetMode="External"/><Relationship Id="rId18" Type="http://schemas.openxmlformats.org/officeDocument/2006/relationships/hyperlink" Target="https://sip.legalis.pl/document-view.seam?documentId=mfrxilrtg4ytcmjwge4te" TargetMode="External"/><Relationship Id="rId3" Type="http://schemas.openxmlformats.org/officeDocument/2006/relationships/styles" Target="styles.xml"/><Relationship Id="rId21" Type="http://schemas.openxmlformats.org/officeDocument/2006/relationships/hyperlink" Target="https://sip.legalis.pl/document-view.seam?documentId=mfrxilrtg4ytonzsgqydqltqmfyc4nruge3danbxgq" TargetMode="External"/><Relationship Id="rId7" Type="http://schemas.openxmlformats.org/officeDocument/2006/relationships/endnotes" Target="endnotes.xml"/><Relationship Id="rId12" Type="http://schemas.openxmlformats.org/officeDocument/2006/relationships/hyperlink" Target="https://sip.legalis.pl/document-view.seam?documentId=mfrxilrtg4ytgojqgazdc" TargetMode="External"/><Relationship Id="rId17" Type="http://schemas.openxmlformats.org/officeDocument/2006/relationships/hyperlink" Target="https://sip.legalis.pl/document-view.seam?documentId=mfrxilrtg4yteobqgqztqltqmfyc4nbuha2danrtha&amp;refSource=hy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rka.sejm.gov.pl/Zapisy8.nsf/wgskrnr/NKK-9" TargetMode="External"/><Relationship Id="rId20" Type="http://schemas.openxmlformats.org/officeDocument/2006/relationships/hyperlink" Target="https://sip.legalis.pl/document-view.seam?documentId=mfrxilrtg4ytknrxgq2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sguydonboobqxalrrge2dcoj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galis.pl/urlSearch.seam?HitlistCaption=Odes%C5%82ania&amp;pap_group=25009366&amp;refSource=guide&amp;sortField=document-date&amp;filterByUniqueVersionBaseId=true" TargetMode="External"/><Relationship Id="rId23" Type="http://schemas.openxmlformats.org/officeDocument/2006/relationships/footer" Target="footer1.xml"/><Relationship Id="rId10" Type="http://schemas.openxmlformats.org/officeDocument/2006/relationships/hyperlink" Target="https://trybunal.gov.pl/s/k-2716" TargetMode="External"/><Relationship Id="rId19" Type="http://schemas.openxmlformats.org/officeDocument/2006/relationships/hyperlink" Target="https://sip.legalis.pl/document-view.seam?documentId=mfrxilrtg4ytcojugmydm" TargetMode="External"/><Relationship Id="rId4" Type="http://schemas.openxmlformats.org/officeDocument/2006/relationships/settings" Target="settings.xml"/><Relationship Id="rId9" Type="http://schemas.openxmlformats.org/officeDocument/2006/relationships/hyperlink" Target="https://sip.legalis.pl/document-view.seam?documentId=mfrxilrsgyydmnzyha4tgltqmfyc4mrvha2dqmzwha&amp;refSource=hyplink" TargetMode="External"/><Relationship Id="rId14" Type="http://schemas.openxmlformats.org/officeDocument/2006/relationships/hyperlink" Target="https://www.sejm.gov.pl/Sejm9.nsf/biuletyn.xsp?skrnr=NKK-27" TargetMode="External"/><Relationship Id="rId22" Type="http://schemas.openxmlformats.org/officeDocument/2006/relationships/hyperlink" Target="https://sip.legalis.pl/document-view.seam?documentId=mfrxilrtgu2tsojvge4dmltqmfyc4mzvhaytambtgq"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7F3FF-2DC9-394F-A200-9B6EFF100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96</Pages>
  <Words>35365</Words>
  <Characters>212191</Characters>
  <Application>Microsoft Office Word</Application>
  <DocSecurity>0</DocSecurity>
  <Lines>1768</Lines>
  <Paragraphs>494</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247062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Kędzior</dc:creator>
  <cp:keywords/>
  <dc:description/>
  <cp:lastModifiedBy>Pietrzak Ewa</cp:lastModifiedBy>
  <cp:revision>3</cp:revision>
  <cp:lastPrinted>2024-09-20T15:28:00Z</cp:lastPrinted>
  <dcterms:created xsi:type="dcterms:W3CDTF">2025-07-31T12:01:00Z</dcterms:created>
  <dcterms:modified xsi:type="dcterms:W3CDTF">2025-07-31T12:01:00Z</dcterms:modified>
  <cp:category/>
</cp:coreProperties>
</file>