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62D5" w14:textId="77777777" w:rsidR="009E5F05" w:rsidRPr="00725734" w:rsidRDefault="003B2258" w:rsidP="007F6096">
      <w:pPr>
        <w:spacing w:after="240" w:line="360" w:lineRule="auto"/>
        <w:ind w:left="0" w:firstLine="0"/>
        <w:jc w:val="center"/>
        <w:rPr>
          <w:bCs/>
        </w:rPr>
      </w:pPr>
      <w:r w:rsidRPr="007F6096">
        <w:rPr>
          <w:bCs/>
        </w:rPr>
        <w:t>UZASADNIENIE</w:t>
      </w:r>
    </w:p>
    <w:p w14:paraId="2CC75BC6" w14:textId="70B3572C" w:rsidR="009E5F05" w:rsidRDefault="003B2258" w:rsidP="007F6096">
      <w:pPr>
        <w:spacing w:before="120" w:after="0" w:line="360" w:lineRule="auto"/>
        <w:ind w:left="-5"/>
      </w:pPr>
      <w:r>
        <w:t>Celem projektu ustawy jest zniesienie obligatoryjności każdorazowego karania karami pieniężnymi zakładów ubezpieczeń przez organ nadzoru za każdy przypadek nieterminowości w likwidacji szkód, nieterminowości udzielenia odpowiedzi przez zakład ubezpieczeń na zgłoszone żądanie odszkodowawcze w przypadku szkód zagranicznych oraz za każde nieterminowe postępowanie likwidacyjne prowadzone na rzecz Ubezpieczeniowego Funduszu Gwarancyjnego. Organ nadzoru w przypadku zaistnienia takich sytuacji będzie mógł, a nie musiał nakładać kary pieniężne na zakłady ubezpieczeń z tytułu wspomnianych nieprawidłowości</w:t>
      </w:r>
      <w:r w:rsidR="00717F22">
        <w:t>,</w:t>
      </w:r>
      <w:r>
        <w:t xml:space="preserve"> a tym samym zostanie wyeliminowana aktualna sytuacja, w której organ nadzoru zawsze musi nałożyć karę pieniężną.</w:t>
      </w:r>
    </w:p>
    <w:p w14:paraId="77187EF6" w14:textId="0E9E4739" w:rsidR="009E5F05" w:rsidRDefault="003B2258" w:rsidP="007F6096">
      <w:pPr>
        <w:spacing w:before="120" w:after="0" w:line="360" w:lineRule="auto"/>
        <w:ind w:left="-5"/>
      </w:pPr>
      <w:r>
        <w:t>Wprowadzenie fakultatywności karania karami pieniężnymi zakładów ubezpieczeń w ww. przypadkach, wskazanych w ustawie z dnia 22 maja 2003 r. o ubezpieczeniach obowiązkowych, Ubezpieczeniowym Funduszu Gwarancyjnym i Polskim Biurze Ubezpieczycieli Komunikacyjnych (Dz. U. z 2025 r. poz. 367</w:t>
      </w:r>
      <w:r w:rsidR="00A86664">
        <w:t xml:space="preserve"> i 1019</w:t>
      </w:r>
      <w:r>
        <w:t>), zwanej dalej „ustawą o ubezpieczeniach obowiązkowych”, zapewni Komisji Nadzoru Finansowego możliwość wyboru środka lub sankcji, jaki będzie najbardziej właściwy do zastosowania w stanie faktycznym sprawy, proporcjonalnego do stwierdzonych naruszeń, a także swobodę kształtowania polityki nadzorczej w odniesieniu do podmiotów nadzorowanych. Należy podkreślić, że w razie wykrycia przypadków naruszeń prawa przez zakłady ubezpieczeń organ nadzoru może wykorzystać różne rodzaje środków nadzorczych, takie jak zalecenia wydawane na podstawie art. 361 ustawy z dnia 11 września 2005 r. o działalności ubezpieczeniowej i reasekuracyjnej (Dz. U. z 2024 r. poz. 838, z późn. zm.) czy też zalecenia wydawane w toku Badania i Oceny Nadzorczej (BION) przeprowadzanej na podstawie art. 330 tej ustawy. W ramach prowadzonych działań nadzorczych przez organ nadzoru kara pieniężna powinna być środkiem ostatecznym i dotyczyć najbardziej istotnych naruszeń prawa. Sankcje finansowe nie powinny skupiać się na wszystkich przypadkach naruszenia terminów wypłaty odszkodowań, w szczególności w sytuacji, gdy nie mają one istotnego znaczenia nadzorczego.</w:t>
      </w:r>
    </w:p>
    <w:p w14:paraId="01CBA0E0" w14:textId="2041B6EA" w:rsidR="009E5F05" w:rsidRDefault="003B2258" w:rsidP="007F6096">
      <w:pPr>
        <w:spacing w:before="120" w:after="0" w:line="360" w:lineRule="auto"/>
        <w:ind w:left="-5"/>
      </w:pPr>
      <w:r>
        <w:t xml:space="preserve">Należy także wskazać, że fakultatywność nakładania kar pieniężnych w przypadku stwierdzenia naruszenia prawa znajduje odzwierciedlenie w niemal wszystkich przepisach sankcyjnych regulujących rynek finansowy. Przykładami takich regulacji są przepisy art. 230 ustawy z dnia 27 maja 2004 r. o funduszach inwestycyjnych i zarządzaniu alternatywnymi funduszami inwestycyjnymi (Dz. U. z 2024 r. poz. 1034, z późn. zm.), przepisy art. 167 ustawy </w:t>
      </w:r>
      <w:r>
        <w:lastRenderedPageBreak/>
        <w:t>z dnia 29 lipca 2005 r. o obrocie instrumentami finansowymi (Dz. U. z 2024 r. poz. 722, z późn. zm.), przepisy art. 96 ustawy z dnia 29 lipca 2005 r. o ofercie publicznej i warunkach wprowadzania instrumentów finansowych do zorganizowanego systemu obrotu oraz o spółkach publicznych (Dz. U. z 2025 r. poz. 592) czy też przepisy art. 362 ustawy z dnia 11 września 2015 r.</w:t>
      </w:r>
      <w:r>
        <w:rPr>
          <w:b/>
        </w:rPr>
        <w:t xml:space="preserve"> </w:t>
      </w:r>
      <w:r>
        <w:t>o działalności ubezpieczeniowej i reasekuracyjnej</w:t>
      </w:r>
      <w:r w:rsidR="006167D2">
        <w:t>.</w:t>
      </w:r>
    </w:p>
    <w:p w14:paraId="7BE76E70" w14:textId="77777777" w:rsidR="009E5F05" w:rsidRDefault="003B2258" w:rsidP="007F6096">
      <w:pPr>
        <w:spacing w:before="120" w:after="0" w:line="360" w:lineRule="auto"/>
        <w:ind w:left="-5"/>
      </w:pPr>
      <w:r>
        <w:t>W związku z powyższym proponuje się wprowadzenie do ustawy o ubezpieczeniach obowiązkowych zasady fakultatywności nakładania kar pieniężnych przez organ nadzoru, w miejsce obowiązku każdorazowego karania karami pieniężnymi.</w:t>
      </w:r>
    </w:p>
    <w:p w14:paraId="7884C050" w14:textId="77777777" w:rsidR="009E5F05" w:rsidRDefault="003B2258" w:rsidP="007F6096">
      <w:pPr>
        <w:spacing w:before="120" w:after="0" w:line="360" w:lineRule="auto"/>
        <w:ind w:left="-5"/>
      </w:pPr>
      <w:r>
        <w:t>Projektowana ustawa zakłada zmianę przepisów art. 14 ust. 3a i ust. 3b wskazujących obecnie na obowiązek każdorazowego karania karami pieniężnymi zakładów ubezpieczeń za opóźnienia w wypłacie odszkodowania oraz za niedopełnienie w terminie obowiązku informacyjnego wobec osoby występującej z roszczeniem. W wyniku proponowanych zmian zostanie wprowadzona fakultatywność karania takimi karami zakładów ubezpieczeń w przypadku zaistnienia ww. sytuacji (art. 1 pkt 1 i 2 projektu).</w:t>
      </w:r>
    </w:p>
    <w:p w14:paraId="17D2B720" w14:textId="77777777" w:rsidR="009E5F05" w:rsidRDefault="003B2258" w:rsidP="007F6096">
      <w:pPr>
        <w:spacing w:before="120" w:after="0" w:line="360" w:lineRule="auto"/>
        <w:ind w:left="-5"/>
      </w:pPr>
      <w:r>
        <w:t>Dodatkowo proponuje się zmianę przepisu art. 83d ust. 5 ustawy o ubezpieczeniach obowiązkowych, wskazującego obecnie na obowiązek każdorazowego karania karami pieniężnymi zakładów ubezpieczeń za nieudzielenie odpowiedzi na zgłoszone żądanie odszkodowawcze w przypadku szkód zagranicznych oraz za nieterminowe udzielenie odpowiedzi przez zakład ubezpieczeń na zgłoszone żądanie odszkodowawcze w przypadku szkód zagranicznych. W wyniku proponowanych zmian zostanie wprowadzona fakultatywność karania karami pieniężnymi zakładów ubezpieczeń w przypadku zaistnienia ww. sytuacji (art. 1 pkt 1 projektu).</w:t>
      </w:r>
    </w:p>
    <w:p w14:paraId="09C7F60F" w14:textId="77777777" w:rsidR="009E5F05" w:rsidRDefault="003B2258" w:rsidP="007F6096">
      <w:pPr>
        <w:spacing w:before="120" w:after="0" w:line="360" w:lineRule="auto"/>
        <w:ind w:left="-5"/>
      </w:pPr>
      <w:r>
        <w:t>Ponadto proponuje się zmianę przepisu art. 108 ust. 5 ustawy o ubezpieczeniach obowiązkowych, wskazującego obecnie na obowiązek każdorazowego karania karami pieniężnymi zakładów ubezpieczeń za nieterminowe postępowanie likwidacyjne prowadzone na rzecz Ubezpieczeniowego Funduszu Gwarancyjnego. W wyniku proponowanych zmian zostanie wprowadzona fakultatywność karania karami pieniężnymi zakładów ubezpieczeń w przypadku zaistnienia ww. sytuacji (art. 1 pkt 1 projektu).</w:t>
      </w:r>
    </w:p>
    <w:p w14:paraId="5737501A" w14:textId="1541CF69" w:rsidR="009E5F05" w:rsidRDefault="003B2258" w:rsidP="007F6096">
      <w:pPr>
        <w:spacing w:before="120" w:after="0" w:line="360" w:lineRule="auto"/>
        <w:ind w:left="-5"/>
      </w:pPr>
      <w:r>
        <w:t>W art. 2 projektu zawarto przepis przejściowy</w:t>
      </w:r>
      <w:r w:rsidR="00717F22">
        <w:t>,</w:t>
      </w:r>
      <w:r>
        <w:t xml:space="preserve"> na podstawie którego do postępowań w sprawach kar pieniężnych wszczętych i niezakończonych przed dniem wejścia w życie niniejszej ustawy stosuje się przepisy tej ustawy. W związku z tym, wychodząc naprzeciw </w:t>
      </w:r>
      <w:proofErr w:type="spellStart"/>
      <w:r>
        <w:t>deregulacyjnemu</w:t>
      </w:r>
      <w:proofErr w:type="spellEnd"/>
      <w:r>
        <w:t xml:space="preserve"> charakterowi projektowanych norm, do ewentualnych postępowań </w:t>
      </w:r>
      <w:r>
        <w:lastRenderedPageBreak/>
        <w:t>wszczętych i niezakończonych przed dniem wejścia w życie projektowanych regulacji, zastosowanie będą miały nowe normy.</w:t>
      </w:r>
    </w:p>
    <w:p w14:paraId="0008C732" w14:textId="77777777" w:rsidR="009E5F05" w:rsidRDefault="003B2258" w:rsidP="007F6096">
      <w:pPr>
        <w:spacing w:before="120" w:after="0" w:line="360" w:lineRule="auto"/>
        <w:ind w:left="-5"/>
      </w:pPr>
      <w:r>
        <w:t>W art. 3 projektu przyjęto, że ustawa wejdzie w życie po upływie 14 dni od dnia ogłoszenia.</w:t>
      </w:r>
    </w:p>
    <w:p w14:paraId="6BCE8328" w14:textId="77777777" w:rsidR="009E5F05" w:rsidRDefault="003B2258" w:rsidP="007F6096">
      <w:pPr>
        <w:spacing w:before="120" w:after="0" w:line="360" w:lineRule="auto"/>
        <w:ind w:left="-5"/>
      </w:pPr>
      <w:r>
        <w:t>Projekt ustawy zapewnia zgodność z prawem Unii Europejskiej.</w:t>
      </w:r>
    </w:p>
    <w:p w14:paraId="6C8A85FF" w14:textId="77777777" w:rsidR="009E5F05" w:rsidRDefault="003B2258" w:rsidP="007F6096">
      <w:pPr>
        <w:spacing w:before="120" w:after="0" w:line="360" w:lineRule="auto"/>
        <w:ind w:left="-5"/>
      </w:pPr>
      <w:r>
        <w:t>Projektowana ustawa nie wymaga przedstawiania organom i instytucjom Unii Europejskiej w celu uzyskania opinii, dokonania powiadomienia, konsultacji albo uzgodnienia. W szczególności, zgodnie z art. 2 ust. 1 decyzji Rady 98/415/WE z dnia 29 czerwca 1998 r. w sprawie konsultacji Europejskiego Banku Centralnego udzielanych władzom krajowym w sprawie projektów przepisów prawnych (Dz. Urz. WE L 189 z 03.07.1998, str. 42 – Dz. Urz. UE Polskie Wydanie Specjalne rozdz. 1, t. 1, str. 446), projekt ustawy nie podlega konsultacji z Europejskim Bankiem Centralnym.</w:t>
      </w:r>
    </w:p>
    <w:p w14:paraId="194387D7" w14:textId="77777777" w:rsidR="009E5F05" w:rsidRDefault="003B2258" w:rsidP="007F6096">
      <w:pPr>
        <w:spacing w:before="120" w:after="0" w:line="360" w:lineRule="auto"/>
        <w:ind w:left="-5"/>
      </w:pPr>
      <w:r>
        <w:t>Zawarte w projekcie regulacje nie stanowią przepisów technicznych w rozumieniu rozporządzenia Rady Ministrów z dnia 23 grudnia 2002 r. w sprawie sposobu funkcjonowania krajowego systemu notyfikacji norm i aktów prawnych (Dz. U. poz. 2039, z późn. zm.), dlatego też projekt ustawy nie podlega procedurze notyfikacji.</w:t>
      </w:r>
    </w:p>
    <w:p w14:paraId="4EBF14DA" w14:textId="260FA982" w:rsidR="009E5F05" w:rsidRDefault="003B2258" w:rsidP="007F6096">
      <w:pPr>
        <w:spacing w:before="120" w:after="0" w:line="360" w:lineRule="auto"/>
        <w:ind w:left="-5"/>
      </w:pPr>
      <w:r>
        <w:t xml:space="preserve">Stosownie do art. 5 ustawy z dnia 7 lipca 2005 r. o działalności lobbingowej w procesie stanowienia prawa (Dz. U. z 2025 r. poz. 677) projekt ustawy został udostępniony w Biuletynie Informacji Publicznej na stronie podmiotowej Rządowego Centrum Legislacji, w serwisie </w:t>
      </w:r>
      <w:r w:rsidR="00717F22">
        <w:t>„</w:t>
      </w:r>
      <w:r>
        <w:t>Rządowy Proces Legislacyjny</w:t>
      </w:r>
      <w:r w:rsidR="00717F22">
        <w:t>”</w:t>
      </w:r>
      <w:r>
        <w:t>.</w:t>
      </w:r>
    </w:p>
    <w:p w14:paraId="138FCF8E" w14:textId="77777777" w:rsidR="009E5F05" w:rsidRDefault="003B2258" w:rsidP="007F6096">
      <w:pPr>
        <w:spacing w:before="120" w:after="0" w:line="360" w:lineRule="auto"/>
        <w:ind w:left="-5"/>
      </w:pPr>
      <w:r>
        <w:t xml:space="preserve">Zawarte w projekcie regulacje nie będą miały wpływu na działalność </w:t>
      </w:r>
      <w:proofErr w:type="spellStart"/>
      <w:r>
        <w:t>mikroprzedsiębiorców</w:t>
      </w:r>
      <w:proofErr w:type="spellEnd"/>
      <w:r>
        <w:t>, małych i średnich przedsiębiorców zgodnie z ustawą z dnia 6 marca 2018 r. – Prawo przedsiębiorców (Dz. U. z 2024 r. poz. 236, z późn. zm.). Projektowane regulacje będą dotyczyć dużych instytucji finansowych (zakładów ubezpieczeń) oraz Komisji Nadzoru Finansowego.</w:t>
      </w:r>
    </w:p>
    <w:sectPr w:rsidR="009E5F05" w:rsidSect="007F6096">
      <w:footerReference w:type="default" r:id="rId6"/>
      <w:pgSz w:w="11906" w:h="16838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3117" w14:textId="77777777" w:rsidR="00541BF9" w:rsidRDefault="00541BF9" w:rsidP="00687D43">
      <w:pPr>
        <w:spacing w:after="0" w:line="240" w:lineRule="auto"/>
      </w:pPr>
      <w:r>
        <w:separator/>
      </w:r>
    </w:p>
  </w:endnote>
  <w:endnote w:type="continuationSeparator" w:id="0">
    <w:p w14:paraId="4CA14B07" w14:textId="77777777" w:rsidR="00541BF9" w:rsidRDefault="00541BF9" w:rsidP="0068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460582"/>
      <w:docPartObj>
        <w:docPartGallery w:val="Page Numbers (Bottom of Page)"/>
        <w:docPartUnique/>
      </w:docPartObj>
    </w:sdtPr>
    <w:sdtEndPr/>
    <w:sdtContent>
      <w:p w14:paraId="1078E605" w14:textId="5B0346BA" w:rsidR="00725734" w:rsidRDefault="00725734" w:rsidP="007257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115C" w14:textId="77777777" w:rsidR="00541BF9" w:rsidRDefault="00541BF9" w:rsidP="00687D43">
      <w:pPr>
        <w:spacing w:after="0" w:line="240" w:lineRule="auto"/>
      </w:pPr>
      <w:r>
        <w:separator/>
      </w:r>
    </w:p>
  </w:footnote>
  <w:footnote w:type="continuationSeparator" w:id="0">
    <w:p w14:paraId="2CE4FA09" w14:textId="77777777" w:rsidR="00541BF9" w:rsidRDefault="00541BF9" w:rsidP="00687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F05"/>
    <w:rsid w:val="00002D83"/>
    <w:rsid w:val="00080BE6"/>
    <w:rsid w:val="003B2258"/>
    <w:rsid w:val="004578B7"/>
    <w:rsid w:val="00541BF9"/>
    <w:rsid w:val="006167D2"/>
    <w:rsid w:val="00687D43"/>
    <w:rsid w:val="00717F22"/>
    <w:rsid w:val="00725734"/>
    <w:rsid w:val="007E4329"/>
    <w:rsid w:val="007F6096"/>
    <w:rsid w:val="00836C87"/>
    <w:rsid w:val="008B1DE3"/>
    <w:rsid w:val="009E5F05"/>
    <w:rsid w:val="00A86664"/>
    <w:rsid w:val="00B57D8D"/>
    <w:rsid w:val="00B90E35"/>
    <w:rsid w:val="00C71AE9"/>
    <w:rsid w:val="00DC7AA6"/>
    <w:rsid w:val="00E87569"/>
    <w:rsid w:val="00F21AA0"/>
    <w:rsid w:val="00F5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CA066D"/>
  <w15:docId w15:val="{23BEDD29-F4A5-4880-8DC4-407350FC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7" w:line="25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734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725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734"/>
    <w:rPr>
      <w:rFonts w:ascii="Times New Roman" w:eastAsia="Times New Roman" w:hAnsi="Times New Roman" w:cs="Times New Roman"/>
      <w:color w:val="000000"/>
      <w:sz w:val="24"/>
    </w:rPr>
  </w:style>
  <w:style w:type="paragraph" w:styleId="Poprawka">
    <w:name w:val="Revision"/>
    <w:hidden/>
    <w:uiPriority w:val="99"/>
    <w:semiHidden/>
    <w:rsid w:val="0072573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66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989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Litwiniuk Piotr</dc:creator>
  <cp:keywords/>
  <cp:lastModifiedBy>Bodych Dominika</cp:lastModifiedBy>
  <cp:revision>3</cp:revision>
  <dcterms:created xsi:type="dcterms:W3CDTF">2025-07-29T13:12:00Z</dcterms:created>
  <dcterms:modified xsi:type="dcterms:W3CDTF">2025-07-29T13:12:00Z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UxC4dwLulzfINJ8nQH+xvX5LNGipWa4BRSZhPgxsCvmw/5N3DDDo2fMXGSKe1zQjeLHcz0b6ggYcYT892qSgvA==</vt:lpwstr>
  </property>
  <property fmtid="{D5CDD505-2E9C-101B-9397-08002B2CF9AE}" pid="4" name="MFClassificationDate">
    <vt:lpwstr>2025-07-25T17:49:17.6993697+02:00</vt:lpwstr>
  </property>
  <property fmtid="{D5CDD505-2E9C-101B-9397-08002B2CF9AE}" pid="5" name="MFClassifiedBySID">
    <vt:lpwstr>UxC4dwLulzfINJ8nQH+xvX5LNGipWa4BRSZhPgxsCvm42mrIC/DSDv0ggS+FjUN/2v1BBotkLlY5aAiEhoi6ucLpuYK9RJ3K98HfavWhPJ706wQDJgi8Soxr8eHRWRi4</vt:lpwstr>
  </property>
  <property fmtid="{D5CDD505-2E9C-101B-9397-08002B2CF9AE}" pid="6" name="MFGRNItemId">
    <vt:lpwstr>GRN-32caf8d6-73ab-4361-b211-d6dc9a21f5c3</vt:lpwstr>
  </property>
  <property fmtid="{D5CDD505-2E9C-101B-9397-08002B2CF9AE}" pid="7" name="MFHash">
    <vt:lpwstr>pIA1/FxduqCQmjWPoIAVw4+D1NZg3Aj3+7SVlChSpYk=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