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3529" w14:textId="1384243D" w:rsidR="00091B23" w:rsidRPr="00E26779" w:rsidRDefault="00A61A23" w:rsidP="002A3E5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779">
        <w:rPr>
          <w:rFonts w:ascii="Times New Roman" w:hAnsi="Times New Roman" w:cs="Times New Roman"/>
          <w:sz w:val="24"/>
          <w:szCs w:val="24"/>
        </w:rPr>
        <w:t>UZASADNIENIE</w:t>
      </w:r>
    </w:p>
    <w:p w14:paraId="6E0A959B" w14:textId="77777777" w:rsidR="00091B23" w:rsidRPr="00D654B7" w:rsidRDefault="00091B23" w:rsidP="002A3E5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19C2E" w14:textId="76968B17" w:rsidR="00391F27" w:rsidRPr="00D654B7" w:rsidRDefault="00391F27" w:rsidP="002A3E5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Cel wprowadzanych zmian</w:t>
      </w:r>
    </w:p>
    <w:p w14:paraId="37FCA298" w14:textId="51D3D729" w:rsidR="008871F6" w:rsidRPr="00AB0598" w:rsidRDefault="008871F6" w:rsidP="00E267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260E0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stawa z dnia 7 lipca 2023 r. o zmianie ustawy o planowaniu i zagospodarowaniu przestrzennym oraz niektórych innych ustaw </w:t>
      </w:r>
      <w:r w:rsidR="00B96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1688, z </w:t>
      </w:r>
      <w:proofErr w:type="spellStart"/>
      <w:r w:rsidR="00B96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B96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zm.) </w:t>
      </w:r>
      <w:r w:rsidR="009260E0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wprowadziła do systemu planowania przestrzennego szczególną formę miejscowego planu zagospodarowania przestrzennego – zintegrowany plan inwestycyjny (</w:t>
      </w:r>
      <w:r w:rsidR="003E18C2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dalej 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jako „</w:t>
      </w:r>
      <w:r w:rsidR="009260E0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ZPI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9260E0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="003D2AE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Niniejszy projekt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</w:t>
      </w:r>
      <w:r w:rsidR="003D2AE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zmianie ustawy </w:t>
      </w:r>
      <w:r w:rsidR="00CA5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planowaniu i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zagospodarowaniu przestrzennym ma na celu zwiększyć transparentność procedury ZPI i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skróci</w:t>
      </w:r>
      <w:r w:rsidR="008979AB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 jej realizacji. W trakcie sporządzania ZPI gmina negocjuje z</w:t>
      </w:r>
      <w:r w:rsidR="00D654B7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inwestorem treść umowy urbanistycznej, w której strony zobowiązują się do wykonania czynności m.in. z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zakresu realizacji inwestycji uzupełniającej. Aby zapewnić pełną transparentność tego procesu, istotne jest umożliwienie gminie </w:t>
      </w:r>
      <w:r w:rsidR="00225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drodze aktu prawa miejscowego, ogólnych zasad </w:t>
      </w:r>
      <w:r w:rsidR="008441A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określania postanowień umów urbanistycznych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2257D0" w:rsidRPr="00225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Ustalenie jasnych zasad dotyczących umów urbanistycznych skróci czas trwania negocjacji między gminą a inwestorem.</w:t>
      </w:r>
    </w:p>
    <w:p w14:paraId="6BFA2D52" w14:textId="77777777" w:rsidR="0086112C" w:rsidRPr="00AB0598" w:rsidRDefault="0086112C" w:rsidP="008979AB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A20163" w14:textId="1BEEAEA4" w:rsidR="00391F27" w:rsidRPr="00D654B7" w:rsidRDefault="00391F27" w:rsidP="002A3E5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Szczegółowy opis wprowadzanych regulacji</w:t>
      </w:r>
    </w:p>
    <w:p w14:paraId="0D017568" w14:textId="4D334B64" w:rsidR="003D0A9D" w:rsidRDefault="002E1FC7" w:rsidP="00E267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art. 1 </w:t>
      </w:r>
      <w:r w:rsidR="006A1F9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ustawy </w:t>
      </w: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zawarto </w:t>
      </w:r>
      <w:r w:rsidR="00225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zmiany 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</w:t>
      </w:r>
      <w:r w:rsidR="00225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ące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 37ed ustawy </w:t>
      </w:r>
      <w:r w:rsidR="001C30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23 marca 2003 r. 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planowaniu </w:t>
      </w:r>
      <w:r w:rsidR="004B7E4C" w:rsidRPr="00225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2257D0" w:rsidRPr="00225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4B7E4C" w:rsidRPr="00225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zagospodarowaniu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przestrzenny</w:t>
      </w:r>
      <w:r w:rsidR="00225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1C30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C3047" w:rsidRPr="00E26779">
        <w:rPr>
          <w:rFonts w:ascii="Times New Roman" w:hAnsi="Times New Roman" w:cs="Times New Roman"/>
          <w:sz w:val="24"/>
          <w:szCs w:val="24"/>
        </w:rPr>
        <w:t xml:space="preserve">(Dz. U. z 2024 r. poz. 1130, z </w:t>
      </w:r>
      <w:proofErr w:type="spellStart"/>
      <w:r w:rsidR="001C3047" w:rsidRPr="00E267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C3047" w:rsidRPr="00E26779">
        <w:rPr>
          <w:rFonts w:ascii="Times New Roman" w:hAnsi="Times New Roman" w:cs="Times New Roman"/>
          <w:sz w:val="24"/>
          <w:szCs w:val="24"/>
        </w:rPr>
        <w:t>. zm.)</w:t>
      </w:r>
      <w:r w:rsidR="00810139" w:rsidRPr="001C30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8101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</w:t>
      </w:r>
      <w:r w:rsidR="009A03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8101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óre</w:t>
      </w:r>
      <w:r w:rsidR="00225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049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polegają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dodaniu ust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12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 dotyczących możliwości ustalenia przez radę gminy w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formie uchwały, stanowiącej akt prawa miejscowego, </w:t>
      </w:r>
      <w:r w:rsidR="00902C71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 określania postanowień umów urbanistycznych.</w:t>
      </w:r>
      <w:r w:rsidR="00342F34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szczególności mogą to być zasady określania zakresu zobowiązań inwestora. Wskazać należy, że są to zarówno postanowienia wskazane w art. 37ed ust. </w:t>
      </w:r>
      <w:r w:rsidR="00CA5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342F34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</w:t>
      </w:r>
      <w:r w:rsidR="001C30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ww. </w:t>
      </w:r>
      <w:r w:rsidR="00342F34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42F34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 i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342F34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pozostałe postanowienia regulowane przez Kodeks 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342F34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ywilny, np. sposób zabezpieczenia. 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Uchwała ta </w:t>
      </w:r>
      <w:r w:rsidR="004C59C0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</w:t>
      </w:r>
      <w:r w:rsidR="004B7E4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dotyczyć</w:t>
      </w:r>
      <w:r w:rsidR="00902C71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wszystkich umów urbanistycznych zawieranych przez gminę.</w:t>
      </w:r>
      <w:r w:rsidR="005F336E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02C71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Uchwała będzie mogła ustalać różne </w:t>
      </w:r>
      <w:r w:rsidR="005F1B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zasady </w:t>
      </w:r>
      <w:r w:rsidR="00DF5D28" w:rsidRPr="00C93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określania postanowień umów urbanistycznych, biorąc pod uwagę rodzaj lub parametry inwestycji głównej</w:t>
      </w:r>
      <w:r w:rsidR="00902C71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szczególności w podziale na ich </w:t>
      </w:r>
      <w:r w:rsidR="00902C71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 lub parametry</w:t>
      </w:r>
      <w:r w:rsidR="005F336E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Trzeba przy tym zauważyć, że </w:t>
      </w:r>
      <w:r w:rsidR="00F07426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rada gminy będzie mogła wprowadzić inne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F1B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kryteria 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różnicowania</w:t>
      </w:r>
      <w:r w:rsidR="005F336E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F5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tych </w:t>
      </w:r>
      <w:r w:rsidR="005F1B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F07426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np. 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D654B7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zależności od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przeznaczenia, powierzchni inwestycji, charakterystycznych parametrów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7426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takich 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jak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intensywność, powierzchnia użytkowa (sprzedaży, produkcji, magazynow</w:t>
      </w:r>
      <w:r w:rsidR="00636D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lub liczb</w:t>
      </w:r>
      <w:r w:rsidR="00636D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4C00A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mieszkań w przypadku inwestycji mieszkaniowych</w:t>
      </w:r>
      <w:r w:rsidR="00F07426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B0598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33B9140" w14:textId="2A62E5F4" w:rsidR="005F1B8E" w:rsidRPr="00AB0598" w:rsidRDefault="005F1B8E" w:rsidP="00E267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R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óżnicowanie zasad odnośnie 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umów urbanistycznych 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</w:t>
      </w:r>
      <w:r w:rsidR="00DF5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winno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być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uzależnione od rodzaju lub</w:t>
      </w:r>
      <w:r w:rsidR="006F3D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parametrów inwestycji głównej, ponieważ </w:t>
      </w:r>
      <w:r w:rsidR="00DF5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to właśnie w oparciu o wielkość </w:t>
      </w:r>
      <w:r w:rsidR="00DF5D28"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inwestycj</w:t>
      </w:r>
      <w:r w:rsidR="00DF5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DF5D28"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główn</w:t>
      </w:r>
      <w:r w:rsidR="00DF5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="00DF5D28"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F5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można określić skalę całości przedsięwzięcia inwestycyjnego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Podkreślić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należy, że</w:t>
      </w:r>
      <w:r w:rsidR="006F3D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inwestycja uzupełniająca została zdefiniowana w art. 2 pkt 5a </w:t>
      </w:r>
      <w:r w:rsidR="001C30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ww. 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41E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polega na realizacji inwestycji służącej obsłudze inwestycji głównej.</w:t>
      </w:r>
      <w:r w:rsid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9186D" w:rsidRP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Celowe jest wprowadzenie</w:t>
      </w:r>
      <w:r w:rsid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9186D" w:rsidRP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możliwości różnicowania zasad postanowień umowy urbanistycznej z uwagi na przedmiot</w:t>
      </w:r>
      <w:r w:rsid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9186D" w:rsidRP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inwestycji głównej, któr</w:t>
      </w:r>
      <w:r w:rsid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 ustawa nie precyzuje i</w:t>
      </w:r>
      <w:r w:rsidR="006F3D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zawęża,</w:t>
      </w:r>
      <w:r w:rsidR="0039186D" w:rsidRP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 </w:t>
      </w:r>
      <w:r w:rsid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nią</w:t>
      </w:r>
      <w:r w:rsidR="0039186D" w:rsidRP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być</w:t>
      </w:r>
      <w:r w:rsid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np. </w:t>
      </w:r>
      <w:r w:rsidR="0039186D" w:rsidRP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inwestycja mieszkaniowa,</w:t>
      </w:r>
      <w:r w:rsid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usługowa, magazynowa</w:t>
      </w:r>
      <w:r w:rsidR="0039186D" w:rsidRP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czy też </w:t>
      </w:r>
      <w:r w:rsidR="0039186D" w:rsidRPr="003918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inwestycja dotycząca instalacji odnawialnych źródeł energii.</w:t>
      </w:r>
    </w:p>
    <w:p w14:paraId="7551DBE6" w14:textId="2F1C94F6" w:rsidR="004B7E4C" w:rsidRPr="00AB0598" w:rsidRDefault="001215EF" w:rsidP="00E267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Proponuje się, aby ustawa weszła w życie po upływie 14 dni od dnia ogłoszenia</w:t>
      </w:r>
      <w:r w:rsidR="0086112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jednak do</w:t>
      </w:r>
      <w:r w:rsidR="00636D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86112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 opracowania i uchwalania zintegrowanego planu inwestycyjnego sporządzanych na</w:t>
      </w:r>
      <w:r w:rsidR="00636D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86112C" w:rsidRPr="00AB05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podstawie wniosku złożonego przed dniem wejścia w życie ustawy powinno stosować się przepisy ustawy zmienianej w brzmieniu dotychczasowym.</w:t>
      </w:r>
    </w:p>
    <w:p w14:paraId="400D27E1" w14:textId="77777777" w:rsidR="001215EF" w:rsidRPr="00AB0598" w:rsidRDefault="001215EF" w:rsidP="003D0A9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31BB65" w14:textId="61FA33FE" w:rsidR="00391F27" w:rsidRPr="00D654B7" w:rsidRDefault="00391F27" w:rsidP="002A3E5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Pozostałe informacje</w:t>
      </w:r>
    </w:p>
    <w:p w14:paraId="5EEEC850" w14:textId="0CD887B8" w:rsidR="00391F27" w:rsidRPr="00D654B7" w:rsidRDefault="00391F27" w:rsidP="00E267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art. 5 ustawy z dnia 7 lipca 2005 r. o działalności lobbingowej w procesie stanowienia prawa (</w:t>
      </w:r>
      <w:r w:rsidR="002B36DA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2025 r. poz. 677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projekt ustawy zosta</w:t>
      </w:r>
      <w:r w:rsidR="00FC23F3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udostępniony w</w:t>
      </w:r>
      <w:r w:rsidR="00315A5A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Biuletynie Informacji Publicznej na stronie podmiotowej Rządowego Centrum Legislacji, w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serwisie „Rządowy Proces Legislacyjny”.</w:t>
      </w:r>
    </w:p>
    <w:p w14:paraId="09878EDD" w14:textId="4E727C53" w:rsidR="00391F27" w:rsidRPr="00FE713F" w:rsidRDefault="00391F27" w:rsidP="00E267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ustawy nie wymaga przedstawienia właściwym organom i instytucjom Unii Europejskiej, w tym Europejskiemu Bankowi Centralnemu, w celu uzyskania opinii, dokonania powiadomienia, konsultacji albo uzgodnienia, o którym mowa w § 27 ust. 4 uchwały nr 190 Rady Ministrów z dnia 29 października 2013 r. – Regulamin pracy Rady Ministrów</w:t>
      </w:r>
      <w:r w:rsidR="00740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E713F" w:rsidRPr="00FE713F">
        <w:rPr>
          <w:rFonts w:ascii="Times New Roman" w:hAnsi="Times New Roman"/>
          <w:sz w:val="24"/>
          <w:szCs w:val="24"/>
        </w:rPr>
        <w:t>(M.P. z 2024 r. poz. 806</w:t>
      </w:r>
      <w:r w:rsidR="001C3047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1C3047">
        <w:rPr>
          <w:rFonts w:ascii="Times New Roman" w:hAnsi="Times New Roman"/>
          <w:sz w:val="24"/>
          <w:szCs w:val="24"/>
        </w:rPr>
        <w:t>późn</w:t>
      </w:r>
      <w:proofErr w:type="spellEnd"/>
      <w:r w:rsidR="001C3047">
        <w:rPr>
          <w:rFonts w:ascii="Times New Roman" w:hAnsi="Times New Roman"/>
          <w:sz w:val="24"/>
          <w:szCs w:val="24"/>
        </w:rPr>
        <w:t>. zm.)</w:t>
      </w:r>
      <w:r w:rsidRPr="00FE71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0807A0B" w14:textId="36B76187" w:rsidR="00391F27" w:rsidRPr="00D654B7" w:rsidRDefault="00391F27" w:rsidP="00E267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="007E38E9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jest sprzeczny z przepisami Unii Europejskiej.</w:t>
      </w:r>
    </w:p>
    <w:p w14:paraId="4BD6D5F5" w14:textId="1D332F51" w:rsidR="00391F27" w:rsidRPr="00D654B7" w:rsidRDefault="00391F27" w:rsidP="00E267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="007E38E9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zawiera przepisów technicznych w rozumieniu rozporządzenia Rady Ministrów z dnia 23 grudnia 2002 r. w sprawie sposobu funkcjonowania krajowego systemu notyfikacji norm i aktów prawnych (Dz. U. poz. 2039, z </w:t>
      </w:r>
      <w:proofErr w:type="spellStart"/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 i w związku z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nie</w:t>
      </w:r>
      <w:r w:rsidR="003E757D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podlega notyfikacji przewidzianej tymi przepisami.</w:t>
      </w:r>
    </w:p>
    <w:p w14:paraId="0BDAE94E" w14:textId="5FEB72F5" w:rsidR="00391F27" w:rsidRPr="00D654B7" w:rsidRDefault="00391F27" w:rsidP="00E267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ustawy nie wymaga notyfikacji programu pomocowego, zgodnie z przepisami ustawy z dnia 30 kwietnia 2004 r. o postępowaniu w sprawach dotyczących pomocy publicznej (</w:t>
      </w:r>
      <w:r w:rsidR="002B36DA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</w:t>
      </w:r>
      <w:r w:rsidR="00FE71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2B36DA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 2025 r. poz. 468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 Wprowadzone regulacje nie stanowią pomocy publicznej, gdyż</w:t>
      </w:r>
      <w:r w:rsidR="003E757D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odnoszą 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się do przepływu środków finansowych, jak również nie przewiduje się w nich udzielenia przez władze publiczne korzyści ekonomicznej.</w:t>
      </w:r>
    </w:p>
    <w:p w14:paraId="24ACB1E7" w14:textId="66A61B82" w:rsidR="00391F27" w:rsidRPr="00D654B7" w:rsidRDefault="00391F27" w:rsidP="00E267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ustawy wpłynie pozytywnie na działalność </w:t>
      </w:r>
      <w:proofErr w:type="spellStart"/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mikroprzedsiębiorców</w:t>
      </w:r>
      <w:proofErr w:type="spellEnd"/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małych i</w:t>
      </w:r>
      <w:r w:rsidR="002D6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średnich przedsiębiorców</w:t>
      </w:r>
      <w:r w:rsidR="0086112C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B36DA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usprawnieni</w:t>
      </w:r>
      <w:r w:rsidR="0086112C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2B36DA" w:rsidRPr="00D65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procesu przygotowania i realizacji inwestycji.</w:t>
      </w:r>
    </w:p>
    <w:sectPr w:rsidR="00391F27" w:rsidRPr="00D654B7" w:rsidSect="005907E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7F92" w14:textId="77777777" w:rsidR="00310BA3" w:rsidRDefault="00310BA3" w:rsidP="005907EA">
      <w:pPr>
        <w:spacing w:after="0" w:line="240" w:lineRule="auto"/>
      </w:pPr>
      <w:r>
        <w:separator/>
      </w:r>
    </w:p>
  </w:endnote>
  <w:endnote w:type="continuationSeparator" w:id="0">
    <w:p w14:paraId="06789D6C" w14:textId="77777777" w:rsidR="00310BA3" w:rsidRDefault="00310BA3" w:rsidP="0059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82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178B14" w14:textId="1D6A0E08" w:rsidR="005907EA" w:rsidRPr="005907EA" w:rsidRDefault="005907E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07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07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07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07EA">
          <w:rPr>
            <w:rFonts w:ascii="Times New Roman" w:hAnsi="Times New Roman" w:cs="Times New Roman"/>
            <w:sz w:val="24"/>
            <w:szCs w:val="24"/>
          </w:rPr>
          <w:t>2</w:t>
        </w:r>
        <w:r w:rsidRPr="005907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1D15" w14:textId="77777777" w:rsidR="00310BA3" w:rsidRDefault="00310BA3" w:rsidP="005907EA">
      <w:pPr>
        <w:spacing w:after="0" w:line="240" w:lineRule="auto"/>
      </w:pPr>
      <w:r>
        <w:separator/>
      </w:r>
    </w:p>
  </w:footnote>
  <w:footnote w:type="continuationSeparator" w:id="0">
    <w:p w14:paraId="6E9F7671" w14:textId="77777777" w:rsidR="00310BA3" w:rsidRDefault="00310BA3" w:rsidP="00590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17B"/>
    <w:multiLevelType w:val="hybridMultilevel"/>
    <w:tmpl w:val="F8824862"/>
    <w:lvl w:ilvl="0" w:tplc="14520B8A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4A1B75"/>
    <w:multiLevelType w:val="hybridMultilevel"/>
    <w:tmpl w:val="5C581C26"/>
    <w:lvl w:ilvl="0" w:tplc="66486342">
      <w:start w:val="5"/>
      <w:numFmt w:val="upperRoman"/>
      <w:lvlText w:val="%1."/>
      <w:lvlJc w:val="left"/>
      <w:pPr>
        <w:ind w:left="1288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B6414"/>
    <w:multiLevelType w:val="hybridMultilevel"/>
    <w:tmpl w:val="E244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E318C"/>
    <w:multiLevelType w:val="hybridMultilevel"/>
    <w:tmpl w:val="11CE7806"/>
    <w:lvl w:ilvl="0" w:tplc="40321ACA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2124B090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1346B034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2CCCF2BA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950EA410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94CA9E32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919C8BA6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C0DC5F70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B7885602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52C64F48"/>
    <w:multiLevelType w:val="hybridMultilevel"/>
    <w:tmpl w:val="88F24958"/>
    <w:lvl w:ilvl="0" w:tplc="2468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93DA1"/>
    <w:multiLevelType w:val="hybridMultilevel"/>
    <w:tmpl w:val="F8F2EABA"/>
    <w:lvl w:ilvl="0" w:tplc="0A78DB06">
      <w:start w:val="1"/>
      <w:numFmt w:val="decimal"/>
      <w:lvlText w:val="%1)"/>
      <w:lvlJc w:val="left"/>
      <w:pPr>
        <w:ind w:left="1004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1572AD"/>
    <w:multiLevelType w:val="hybridMultilevel"/>
    <w:tmpl w:val="19C2ACCC"/>
    <w:lvl w:ilvl="0" w:tplc="E4761C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4774253">
    <w:abstractNumId w:val="2"/>
  </w:num>
  <w:num w:numId="2" w16cid:durableId="62424147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448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17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0786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8348751">
    <w:abstractNumId w:val="3"/>
  </w:num>
  <w:num w:numId="7" w16cid:durableId="418407630">
    <w:abstractNumId w:val="0"/>
  </w:num>
  <w:num w:numId="8" w16cid:durableId="694044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23"/>
    <w:rsid w:val="00000529"/>
    <w:rsid w:val="000203E1"/>
    <w:rsid w:val="00022C85"/>
    <w:rsid w:val="00037F00"/>
    <w:rsid w:val="00056096"/>
    <w:rsid w:val="00065402"/>
    <w:rsid w:val="000710D6"/>
    <w:rsid w:val="00076EC8"/>
    <w:rsid w:val="0007734A"/>
    <w:rsid w:val="00091B23"/>
    <w:rsid w:val="0009659B"/>
    <w:rsid w:val="000C37D2"/>
    <w:rsid w:val="000D736F"/>
    <w:rsid w:val="001047C5"/>
    <w:rsid w:val="0010718C"/>
    <w:rsid w:val="00114100"/>
    <w:rsid w:val="001215EF"/>
    <w:rsid w:val="00140EBA"/>
    <w:rsid w:val="00162907"/>
    <w:rsid w:val="00170D25"/>
    <w:rsid w:val="001B1F7D"/>
    <w:rsid w:val="001C0891"/>
    <w:rsid w:val="001C3047"/>
    <w:rsid w:val="001C63AC"/>
    <w:rsid w:val="001C685E"/>
    <w:rsid w:val="001D37C8"/>
    <w:rsid w:val="002257D0"/>
    <w:rsid w:val="002369EC"/>
    <w:rsid w:val="00251E2B"/>
    <w:rsid w:val="00252983"/>
    <w:rsid w:val="00255A0B"/>
    <w:rsid w:val="00267FB2"/>
    <w:rsid w:val="00282585"/>
    <w:rsid w:val="00282713"/>
    <w:rsid w:val="00290496"/>
    <w:rsid w:val="002A3E55"/>
    <w:rsid w:val="002B36DA"/>
    <w:rsid w:val="002D257F"/>
    <w:rsid w:val="002D698B"/>
    <w:rsid w:val="002E1FC7"/>
    <w:rsid w:val="002F536A"/>
    <w:rsid w:val="00310BA3"/>
    <w:rsid w:val="00315A5A"/>
    <w:rsid w:val="003240F2"/>
    <w:rsid w:val="00341527"/>
    <w:rsid w:val="00342F34"/>
    <w:rsid w:val="003454CB"/>
    <w:rsid w:val="00347388"/>
    <w:rsid w:val="0036404A"/>
    <w:rsid w:val="0038428C"/>
    <w:rsid w:val="0039186D"/>
    <w:rsid w:val="00391F27"/>
    <w:rsid w:val="00397E38"/>
    <w:rsid w:val="003A51BE"/>
    <w:rsid w:val="003A763E"/>
    <w:rsid w:val="003B0DD6"/>
    <w:rsid w:val="003B671C"/>
    <w:rsid w:val="003C639B"/>
    <w:rsid w:val="003D0A9D"/>
    <w:rsid w:val="003D2AE8"/>
    <w:rsid w:val="003D5983"/>
    <w:rsid w:val="003D5DA9"/>
    <w:rsid w:val="003D6036"/>
    <w:rsid w:val="003D768F"/>
    <w:rsid w:val="003E1386"/>
    <w:rsid w:val="003E18C2"/>
    <w:rsid w:val="003E757D"/>
    <w:rsid w:val="003F3640"/>
    <w:rsid w:val="003F5833"/>
    <w:rsid w:val="00424BCC"/>
    <w:rsid w:val="00441F5B"/>
    <w:rsid w:val="004427FC"/>
    <w:rsid w:val="00456F94"/>
    <w:rsid w:val="00466028"/>
    <w:rsid w:val="00466239"/>
    <w:rsid w:val="00475B81"/>
    <w:rsid w:val="0049209F"/>
    <w:rsid w:val="004B4818"/>
    <w:rsid w:val="004B7E4C"/>
    <w:rsid w:val="004C00A8"/>
    <w:rsid w:val="004C59C0"/>
    <w:rsid w:val="004C6015"/>
    <w:rsid w:val="004E0209"/>
    <w:rsid w:val="004F4675"/>
    <w:rsid w:val="004F49B3"/>
    <w:rsid w:val="005121CC"/>
    <w:rsid w:val="0052524F"/>
    <w:rsid w:val="00563EAA"/>
    <w:rsid w:val="005907EA"/>
    <w:rsid w:val="005C5B54"/>
    <w:rsid w:val="005E2C0E"/>
    <w:rsid w:val="005E4BF6"/>
    <w:rsid w:val="005F1B8E"/>
    <w:rsid w:val="005F1F60"/>
    <w:rsid w:val="005F336E"/>
    <w:rsid w:val="00604627"/>
    <w:rsid w:val="00614825"/>
    <w:rsid w:val="00614F12"/>
    <w:rsid w:val="006213F8"/>
    <w:rsid w:val="0062579B"/>
    <w:rsid w:val="00630F4D"/>
    <w:rsid w:val="00636DB0"/>
    <w:rsid w:val="00644D45"/>
    <w:rsid w:val="00655DE8"/>
    <w:rsid w:val="006725F3"/>
    <w:rsid w:val="00675ED3"/>
    <w:rsid w:val="006A1F9C"/>
    <w:rsid w:val="006A2F00"/>
    <w:rsid w:val="006A4E8C"/>
    <w:rsid w:val="006B36ED"/>
    <w:rsid w:val="006B45FE"/>
    <w:rsid w:val="006C07EB"/>
    <w:rsid w:val="006D4924"/>
    <w:rsid w:val="006F3D6B"/>
    <w:rsid w:val="007049E7"/>
    <w:rsid w:val="00705894"/>
    <w:rsid w:val="00705AB2"/>
    <w:rsid w:val="0072039A"/>
    <w:rsid w:val="007360E1"/>
    <w:rsid w:val="00740FBF"/>
    <w:rsid w:val="00745CFE"/>
    <w:rsid w:val="007510A4"/>
    <w:rsid w:val="00763F84"/>
    <w:rsid w:val="007712ED"/>
    <w:rsid w:val="007938EC"/>
    <w:rsid w:val="007B3075"/>
    <w:rsid w:val="007D1192"/>
    <w:rsid w:val="007E2334"/>
    <w:rsid w:val="007E38E9"/>
    <w:rsid w:val="007E4FBE"/>
    <w:rsid w:val="00810139"/>
    <w:rsid w:val="008153C5"/>
    <w:rsid w:val="00843BB9"/>
    <w:rsid w:val="008441AC"/>
    <w:rsid w:val="00851EC5"/>
    <w:rsid w:val="0086112C"/>
    <w:rsid w:val="008871F6"/>
    <w:rsid w:val="0088751C"/>
    <w:rsid w:val="00887BEF"/>
    <w:rsid w:val="00892D3C"/>
    <w:rsid w:val="008979AB"/>
    <w:rsid w:val="008A3C12"/>
    <w:rsid w:val="008A40A1"/>
    <w:rsid w:val="008A4FA2"/>
    <w:rsid w:val="008A54EC"/>
    <w:rsid w:val="008B4CC8"/>
    <w:rsid w:val="008C207B"/>
    <w:rsid w:val="008D5D64"/>
    <w:rsid w:val="008F7FDC"/>
    <w:rsid w:val="00902C71"/>
    <w:rsid w:val="00912948"/>
    <w:rsid w:val="00922DC4"/>
    <w:rsid w:val="009260E0"/>
    <w:rsid w:val="00946100"/>
    <w:rsid w:val="0096030F"/>
    <w:rsid w:val="00986AAF"/>
    <w:rsid w:val="009A03AE"/>
    <w:rsid w:val="009A2D60"/>
    <w:rsid w:val="009C31FE"/>
    <w:rsid w:val="009C5E39"/>
    <w:rsid w:val="00A05C70"/>
    <w:rsid w:val="00A33D7B"/>
    <w:rsid w:val="00A5016D"/>
    <w:rsid w:val="00A56203"/>
    <w:rsid w:val="00A56A56"/>
    <w:rsid w:val="00A61A23"/>
    <w:rsid w:val="00A702F1"/>
    <w:rsid w:val="00A86AF6"/>
    <w:rsid w:val="00AA20EA"/>
    <w:rsid w:val="00AB0598"/>
    <w:rsid w:val="00AB064E"/>
    <w:rsid w:val="00AB51B9"/>
    <w:rsid w:val="00AC271C"/>
    <w:rsid w:val="00B01F17"/>
    <w:rsid w:val="00B07FF0"/>
    <w:rsid w:val="00B47C3E"/>
    <w:rsid w:val="00B51580"/>
    <w:rsid w:val="00B52496"/>
    <w:rsid w:val="00B73E05"/>
    <w:rsid w:val="00B749FA"/>
    <w:rsid w:val="00B969AD"/>
    <w:rsid w:val="00BA46A2"/>
    <w:rsid w:val="00BB797D"/>
    <w:rsid w:val="00C146EE"/>
    <w:rsid w:val="00C23AF0"/>
    <w:rsid w:val="00C265B9"/>
    <w:rsid w:val="00C31367"/>
    <w:rsid w:val="00C65372"/>
    <w:rsid w:val="00C72206"/>
    <w:rsid w:val="00C723C0"/>
    <w:rsid w:val="00C8128F"/>
    <w:rsid w:val="00C8241B"/>
    <w:rsid w:val="00C935E4"/>
    <w:rsid w:val="00CA50C2"/>
    <w:rsid w:val="00CC5E51"/>
    <w:rsid w:val="00CE3774"/>
    <w:rsid w:val="00CE3AFB"/>
    <w:rsid w:val="00D05925"/>
    <w:rsid w:val="00D07DCE"/>
    <w:rsid w:val="00D14926"/>
    <w:rsid w:val="00D3228B"/>
    <w:rsid w:val="00D51EA8"/>
    <w:rsid w:val="00D57C08"/>
    <w:rsid w:val="00D6009E"/>
    <w:rsid w:val="00D654B7"/>
    <w:rsid w:val="00D8177B"/>
    <w:rsid w:val="00DC2B34"/>
    <w:rsid w:val="00DC4F39"/>
    <w:rsid w:val="00DE4C43"/>
    <w:rsid w:val="00DF4214"/>
    <w:rsid w:val="00DF44DF"/>
    <w:rsid w:val="00DF5D28"/>
    <w:rsid w:val="00E06184"/>
    <w:rsid w:val="00E26779"/>
    <w:rsid w:val="00E30603"/>
    <w:rsid w:val="00E4563F"/>
    <w:rsid w:val="00E6785D"/>
    <w:rsid w:val="00EB6894"/>
    <w:rsid w:val="00EC4375"/>
    <w:rsid w:val="00ED17DF"/>
    <w:rsid w:val="00ED2CDC"/>
    <w:rsid w:val="00EE10AB"/>
    <w:rsid w:val="00EE68F8"/>
    <w:rsid w:val="00EE6C7F"/>
    <w:rsid w:val="00EF192C"/>
    <w:rsid w:val="00EF1CFF"/>
    <w:rsid w:val="00F07426"/>
    <w:rsid w:val="00F100C9"/>
    <w:rsid w:val="00F14A93"/>
    <w:rsid w:val="00F32742"/>
    <w:rsid w:val="00F5213A"/>
    <w:rsid w:val="00F62237"/>
    <w:rsid w:val="00F6592E"/>
    <w:rsid w:val="00F730CF"/>
    <w:rsid w:val="00F83C0C"/>
    <w:rsid w:val="00FA02AD"/>
    <w:rsid w:val="00FA5BCC"/>
    <w:rsid w:val="00FB7D47"/>
    <w:rsid w:val="00FC23F3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B9C1"/>
  <w15:chartTrackingRefBased/>
  <w15:docId w15:val="{6B8564F9-BA89-429D-A1F1-B54153A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1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A2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1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61482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7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17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17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7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7D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7EA"/>
  </w:style>
  <w:style w:type="paragraph" w:styleId="Stopka">
    <w:name w:val="footer"/>
    <w:basedOn w:val="Normalny"/>
    <w:link w:val="StopkaZnak"/>
    <w:uiPriority w:val="99"/>
    <w:unhideWhenUsed/>
    <w:rsid w:val="0059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Michał</dc:creator>
  <cp:keywords/>
  <dc:description/>
  <cp:lastModifiedBy>Czarnecka Grażyna</cp:lastModifiedBy>
  <cp:revision>9</cp:revision>
  <cp:lastPrinted>2025-06-16T10:47:00Z</cp:lastPrinted>
  <dcterms:created xsi:type="dcterms:W3CDTF">2025-07-22T06:58:00Z</dcterms:created>
  <dcterms:modified xsi:type="dcterms:W3CDTF">2025-07-25T10:52:00Z</dcterms:modified>
</cp:coreProperties>
</file>