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A066" w14:textId="1A02D5B3" w:rsidR="00021FA5" w:rsidRPr="00C738AF" w:rsidRDefault="00021FA5" w:rsidP="000B4EB4">
      <w:pPr>
        <w:pStyle w:val="NIEARTTEKSTtekstnieartykuowanynppodstprawnarozplubpreambua"/>
        <w:jc w:val="center"/>
        <w:rPr>
          <w:rFonts w:ascii="Times New Roman" w:hAnsi="Times New Roman" w:cs="Times New Roman"/>
          <w:bCs w:val="0"/>
          <w:caps/>
          <w:szCs w:val="24"/>
        </w:rPr>
      </w:pPr>
      <w:r w:rsidRPr="00C738AF">
        <w:rPr>
          <w:rFonts w:ascii="Times New Roman" w:hAnsi="Times New Roman" w:cs="Times New Roman"/>
          <w:bCs w:val="0"/>
          <w:caps/>
          <w:szCs w:val="24"/>
        </w:rPr>
        <w:t>Uzasadnienie</w:t>
      </w:r>
    </w:p>
    <w:p w14:paraId="697D6A9A" w14:textId="77777777" w:rsidR="00021FA5" w:rsidRPr="00C738AF" w:rsidRDefault="00021FA5" w:rsidP="000B4EB4">
      <w:pPr>
        <w:pStyle w:val="NIEARTTEKSTtekstnieartykuowanynppodstprawnarozplubpreambua"/>
        <w:ind w:left="426" w:hanging="426"/>
        <w:rPr>
          <w:rFonts w:ascii="Times New Roman" w:hAnsi="Times New Roman" w:cs="Times New Roman"/>
          <w:b/>
          <w:szCs w:val="24"/>
        </w:rPr>
      </w:pPr>
      <w:r w:rsidRPr="00C738AF">
        <w:rPr>
          <w:rFonts w:ascii="Times New Roman" w:hAnsi="Times New Roman" w:cs="Times New Roman"/>
          <w:b/>
          <w:szCs w:val="24"/>
        </w:rPr>
        <w:t>1.</w:t>
      </w:r>
      <w:r w:rsidRPr="00C738AF">
        <w:rPr>
          <w:rFonts w:ascii="Times New Roman" w:hAnsi="Times New Roman" w:cs="Times New Roman"/>
          <w:b/>
          <w:szCs w:val="24"/>
        </w:rPr>
        <w:tab/>
        <w:t>Cel i potrzeba wydania ustawy</w:t>
      </w:r>
    </w:p>
    <w:p w14:paraId="4A07FEAF" w14:textId="317F9E9F" w:rsidR="000614DC" w:rsidRPr="00C738AF" w:rsidRDefault="005F3776" w:rsidP="00C738AF">
      <w:pPr>
        <w:pStyle w:val="NIEARTTEKSTtekstnieartykuowanynppodstprawnarozplubpreambua"/>
        <w:ind w:firstLine="567"/>
        <w:rPr>
          <w:rFonts w:ascii="Times New Roman" w:hAnsi="Times New Roman" w:cs="Times New Roman"/>
          <w:szCs w:val="24"/>
        </w:rPr>
      </w:pPr>
      <w:r w:rsidRPr="00C738AF">
        <w:rPr>
          <w:rFonts w:ascii="Times New Roman" w:hAnsi="Times New Roman" w:cs="Times New Roman"/>
          <w:szCs w:val="24"/>
        </w:rPr>
        <w:t xml:space="preserve">Projektowana </w:t>
      </w:r>
      <w:r w:rsidR="000614DC" w:rsidRPr="00C738AF">
        <w:rPr>
          <w:rFonts w:ascii="Times New Roman" w:hAnsi="Times New Roman" w:cs="Times New Roman"/>
          <w:szCs w:val="24"/>
        </w:rPr>
        <w:t xml:space="preserve">ustawa skierowana jest do </w:t>
      </w:r>
      <w:r w:rsidR="0008026D" w:rsidRPr="00C738AF">
        <w:rPr>
          <w:rFonts w:ascii="Times New Roman" w:hAnsi="Times New Roman" w:cs="Times New Roman"/>
          <w:szCs w:val="24"/>
        </w:rPr>
        <w:t>armatorów jednostek pływających</w:t>
      </w:r>
      <w:r w:rsidR="000614DC" w:rsidRPr="00C738AF">
        <w:rPr>
          <w:rFonts w:ascii="Times New Roman" w:hAnsi="Times New Roman" w:cs="Times New Roman"/>
          <w:szCs w:val="24"/>
        </w:rPr>
        <w:t xml:space="preserve"> </w:t>
      </w:r>
      <w:r w:rsidR="00F3365F" w:rsidRPr="00C738AF">
        <w:rPr>
          <w:rFonts w:ascii="Times New Roman" w:hAnsi="Times New Roman" w:cs="Times New Roman"/>
          <w:szCs w:val="24"/>
        </w:rPr>
        <w:t>prowadzących działalność</w:t>
      </w:r>
      <w:r w:rsidR="000614DC" w:rsidRPr="00C738AF">
        <w:rPr>
          <w:rFonts w:ascii="Times New Roman" w:hAnsi="Times New Roman" w:cs="Times New Roman"/>
          <w:szCs w:val="24"/>
        </w:rPr>
        <w:t>, o</w:t>
      </w:r>
      <w:r w:rsidR="006E0838">
        <w:rPr>
          <w:rFonts w:ascii="Times New Roman" w:hAnsi="Times New Roman" w:cs="Times New Roman"/>
          <w:szCs w:val="24"/>
        </w:rPr>
        <w:t xml:space="preserve"> </w:t>
      </w:r>
      <w:r w:rsidR="00F3365F" w:rsidRPr="00C738AF">
        <w:rPr>
          <w:rFonts w:ascii="Times New Roman" w:hAnsi="Times New Roman" w:cs="Times New Roman"/>
          <w:szCs w:val="24"/>
        </w:rPr>
        <w:t xml:space="preserve">której </w:t>
      </w:r>
      <w:r w:rsidR="000614DC" w:rsidRPr="00C738AF">
        <w:rPr>
          <w:rFonts w:ascii="Times New Roman" w:hAnsi="Times New Roman" w:cs="Times New Roman"/>
          <w:szCs w:val="24"/>
        </w:rPr>
        <w:t xml:space="preserve">mowa w art. 5 pkt 9 lit. c ustawy z dnia 18 sierpnia 2011 r. o bezpieczeństwie morskim (Dz. U. z </w:t>
      </w:r>
      <w:r w:rsidR="000D6FDC" w:rsidRPr="00C738AF">
        <w:rPr>
          <w:rFonts w:ascii="Times New Roman" w:hAnsi="Times New Roman" w:cs="Times New Roman"/>
          <w:szCs w:val="24"/>
        </w:rPr>
        <w:t>202</w:t>
      </w:r>
      <w:r w:rsidR="006E0838">
        <w:rPr>
          <w:rFonts w:ascii="Times New Roman" w:hAnsi="Times New Roman" w:cs="Times New Roman"/>
          <w:szCs w:val="24"/>
        </w:rPr>
        <w:t>5</w:t>
      </w:r>
      <w:r w:rsidR="000D6FDC" w:rsidRPr="00C738AF">
        <w:rPr>
          <w:rFonts w:ascii="Times New Roman" w:hAnsi="Times New Roman" w:cs="Times New Roman"/>
          <w:szCs w:val="24"/>
        </w:rPr>
        <w:t xml:space="preserve"> </w:t>
      </w:r>
      <w:r w:rsidR="000614DC" w:rsidRPr="00C738AF">
        <w:rPr>
          <w:rFonts w:ascii="Times New Roman" w:hAnsi="Times New Roman" w:cs="Times New Roman"/>
          <w:szCs w:val="24"/>
        </w:rPr>
        <w:t xml:space="preserve">r. poz. </w:t>
      </w:r>
      <w:r w:rsidR="006E0838">
        <w:rPr>
          <w:rFonts w:ascii="Times New Roman" w:hAnsi="Times New Roman" w:cs="Times New Roman"/>
          <w:szCs w:val="24"/>
        </w:rPr>
        <w:t>883</w:t>
      </w:r>
      <w:r w:rsidR="000614DC" w:rsidRPr="00C738AF">
        <w:rPr>
          <w:rFonts w:ascii="Times New Roman" w:hAnsi="Times New Roman" w:cs="Times New Roman"/>
          <w:szCs w:val="24"/>
        </w:rPr>
        <w:t>), zwanej dalej „us</w:t>
      </w:r>
      <w:r w:rsidR="00EA2EE0" w:rsidRPr="00C738AF">
        <w:rPr>
          <w:rFonts w:ascii="Times New Roman" w:hAnsi="Times New Roman" w:cs="Times New Roman"/>
          <w:szCs w:val="24"/>
        </w:rPr>
        <w:t>tawą o bezpieczeństwie morskim”.</w:t>
      </w:r>
      <w:r w:rsidR="000614DC" w:rsidRPr="00C738AF">
        <w:rPr>
          <w:rFonts w:ascii="Times New Roman" w:hAnsi="Times New Roman" w:cs="Times New Roman"/>
          <w:szCs w:val="24"/>
        </w:rPr>
        <w:t xml:space="preserve"> Umożliwi ona wsparcie finansowe armatorów takich jednostek pływających, posiadających wydane na nie pozwolenie na wykonywanie </w:t>
      </w:r>
      <w:r w:rsidR="00BE36F6" w:rsidRPr="00C738AF">
        <w:rPr>
          <w:rFonts w:ascii="Times New Roman" w:hAnsi="Times New Roman" w:cs="Times New Roman"/>
          <w:szCs w:val="24"/>
        </w:rPr>
        <w:t>rybołówstwa rekreacyjnego</w:t>
      </w:r>
      <w:r w:rsidR="000614DC" w:rsidRPr="00C738AF">
        <w:rPr>
          <w:rFonts w:ascii="Times New Roman" w:hAnsi="Times New Roman" w:cs="Times New Roman"/>
          <w:szCs w:val="24"/>
        </w:rPr>
        <w:t xml:space="preserve"> na 2019</w:t>
      </w:r>
      <w:r w:rsidR="009A73F2">
        <w:rPr>
          <w:rFonts w:ascii="Times New Roman" w:hAnsi="Times New Roman" w:cs="Times New Roman"/>
          <w:szCs w:val="24"/>
        </w:rPr>
        <w:t xml:space="preserve"> r</w:t>
      </w:r>
      <w:r w:rsidR="000614DC" w:rsidRPr="00C738AF">
        <w:rPr>
          <w:rFonts w:ascii="Times New Roman" w:hAnsi="Times New Roman" w:cs="Times New Roman"/>
          <w:szCs w:val="24"/>
        </w:rPr>
        <w:t>. W</w:t>
      </w:r>
      <w:r w:rsidR="0008026D" w:rsidRPr="00C738AF">
        <w:rPr>
          <w:rFonts w:ascii="Times New Roman" w:hAnsi="Times New Roman" w:cs="Times New Roman"/>
          <w:szCs w:val="24"/>
        </w:rPr>
        <w:t>sparcie finansowe</w:t>
      </w:r>
      <w:r w:rsidR="000614DC" w:rsidRPr="00C738AF">
        <w:rPr>
          <w:rFonts w:ascii="Times New Roman" w:hAnsi="Times New Roman" w:cs="Times New Roman"/>
          <w:szCs w:val="24"/>
        </w:rPr>
        <w:t xml:space="preserve"> ma na celu ograniczenie negatywnych skutków społecznych i</w:t>
      </w:r>
      <w:r w:rsidR="006E0838">
        <w:rPr>
          <w:rFonts w:ascii="Times New Roman" w:hAnsi="Times New Roman" w:cs="Times New Roman"/>
          <w:szCs w:val="24"/>
        </w:rPr>
        <w:t xml:space="preserve"> </w:t>
      </w:r>
      <w:r w:rsidR="000614DC" w:rsidRPr="00C738AF">
        <w:rPr>
          <w:rFonts w:ascii="Times New Roman" w:hAnsi="Times New Roman" w:cs="Times New Roman"/>
          <w:szCs w:val="24"/>
        </w:rPr>
        <w:t>gospodarczych spowodowanych wprowadzeniem przez Komisję Europejską w dniu 1</w:t>
      </w:r>
      <w:r w:rsidR="006E0838">
        <w:rPr>
          <w:rFonts w:ascii="Times New Roman" w:hAnsi="Times New Roman" w:cs="Times New Roman"/>
          <w:szCs w:val="24"/>
        </w:rPr>
        <w:t xml:space="preserve"> </w:t>
      </w:r>
      <w:r w:rsidR="000614DC" w:rsidRPr="00C738AF">
        <w:rPr>
          <w:rFonts w:ascii="Times New Roman" w:hAnsi="Times New Roman" w:cs="Times New Roman"/>
          <w:szCs w:val="24"/>
        </w:rPr>
        <w:t>stycznia</w:t>
      </w:r>
      <w:r w:rsidR="006E0838">
        <w:rPr>
          <w:rFonts w:ascii="Times New Roman" w:hAnsi="Times New Roman" w:cs="Times New Roman"/>
          <w:szCs w:val="24"/>
        </w:rPr>
        <w:t xml:space="preserve"> </w:t>
      </w:r>
      <w:r w:rsidR="000614DC" w:rsidRPr="00C738AF">
        <w:rPr>
          <w:rFonts w:ascii="Times New Roman" w:hAnsi="Times New Roman" w:cs="Times New Roman"/>
          <w:szCs w:val="24"/>
        </w:rPr>
        <w:t>2020 r. zakazu połowu dorsza na Morzu Bałtyckim, co uniemożliwia uzyskanie dochodowości na świadczonych przez armatorów usługach.</w:t>
      </w:r>
    </w:p>
    <w:p w14:paraId="4FB8F47D" w14:textId="5E5FDF3D" w:rsidR="000614DC" w:rsidRPr="00C738AF" w:rsidRDefault="000614DC"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Zgodnie z rozporządzeniem Rady (UE) 2019/1838 z dnia 30 października 2019</w:t>
      </w:r>
      <w:r w:rsidR="000B4EB4">
        <w:rPr>
          <w:rFonts w:ascii="Times New Roman" w:hAnsi="Times New Roman" w:cs="Times New Roman"/>
          <w:szCs w:val="24"/>
        </w:rPr>
        <w:t> </w:t>
      </w:r>
      <w:r w:rsidRPr="00C738AF">
        <w:rPr>
          <w:rFonts w:ascii="Times New Roman" w:hAnsi="Times New Roman" w:cs="Times New Roman"/>
          <w:szCs w:val="24"/>
        </w:rPr>
        <w:t xml:space="preserve">r. ustalającym uprawnienia do połowów na 2020 rok w odniesieniu do niektórych stad ryb i grup stad ryb w Morzu Bałtyckim oraz zmieniającym rozporządzenie (UE) 2019/124 w odniesieniu do uprawnień do połowów w innych wodach </w:t>
      </w:r>
      <w:r w:rsidR="000D6FDC" w:rsidRPr="00C738AF">
        <w:rPr>
          <w:rFonts w:ascii="Times New Roman" w:hAnsi="Times New Roman" w:cs="Times New Roman"/>
          <w:szCs w:val="24"/>
        </w:rPr>
        <w:t>(Dz. Urz. UE L 281 z 31.10.2019, str. 1, z późn.</w:t>
      </w:r>
      <w:r w:rsidR="006E0838">
        <w:rPr>
          <w:rFonts w:ascii="Times New Roman" w:hAnsi="Times New Roman" w:cs="Times New Roman"/>
          <w:szCs w:val="24"/>
        </w:rPr>
        <w:t> </w:t>
      </w:r>
      <w:r w:rsidR="000D6FDC" w:rsidRPr="00C738AF">
        <w:rPr>
          <w:rFonts w:ascii="Times New Roman" w:hAnsi="Times New Roman" w:cs="Times New Roman"/>
          <w:szCs w:val="24"/>
        </w:rPr>
        <w:t xml:space="preserve">zm.) </w:t>
      </w:r>
      <w:r w:rsidRPr="00C738AF">
        <w:rPr>
          <w:rFonts w:ascii="Times New Roman" w:hAnsi="Times New Roman" w:cs="Times New Roman"/>
          <w:szCs w:val="24"/>
        </w:rPr>
        <w:t xml:space="preserve">od dnia 1 stycznia 2020 r. wprowadzono całkowity zakaz połowu dorsza na tych obszarach Morza Bałtyckiego, gdzie występuje największa część tego stada (tj. podrejony </w:t>
      </w:r>
      <w:r w:rsidR="006E0838">
        <w:rPr>
          <w:rFonts w:ascii="Times New Roman" w:hAnsi="Times New Roman" w:cs="Times New Roman"/>
          <w:szCs w:val="24"/>
        </w:rPr>
        <w:br/>
      </w:r>
      <w:r w:rsidRPr="00C738AF">
        <w:rPr>
          <w:rFonts w:ascii="Times New Roman" w:hAnsi="Times New Roman" w:cs="Times New Roman"/>
          <w:szCs w:val="24"/>
        </w:rPr>
        <w:t>24</w:t>
      </w:r>
      <w:r w:rsidR="000D6FDC" w:rsidRPr="00C738AF">
        <w:rPr>
          <w:rFonts w:ascii="Times New Roman" w:hAnsi="Times New Roman" w:cs="Times New Roman"/>
          <w:szCs w:val="24"/>
        </w:rPr>
        <w:t>–</w:t>
      </w:r>
      <w:r w:rsidRPr="00C738AF">
        <w:rPr>
          <w:rFonts w:ascii="Times New Roman" w:hAnsi="Times New Roman" w:cs="Times New Roman"/>
          <w:szCs w:val="24"/>
        </w:rPr>
        <w:t>26).</w:t>
      </w:r>
      <w:r w:rsidR="000F356D" w:rsidRPr="00C738AF">
        <w:rPr>
          <w:rFonts w:ascii="Times New Roman" w:hAnsi="Times New Roman" w:cs="Times New Roman"/>
          <w:szCs w:val="24"/>
        </w:rPr>
        <w:t xml:space="preserve"> Ww. rozporządzenie zostało poprzedzone raportami Międzynarodowej Rady Badań Morza (ICES), która zwróciła uwagę na kurczący się drastycznie od 2008 r. zasób dorsza w Morzu Bałtyckim.</w:t>
      </w:r>
    </w:p>
    <w:p w14:paraId="0588319C" w14:textId="1F041289" w:rsidR="000614DC" w:rsidRPr="00C738AF" w:rsidRDefault="00201E0E"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Rozporządzenie Rady (UE) 2019/1838 miało </w:t>
      </w:r>
      <w:r w:rsidR="000614DC" w:rsidRPr="00C738AF">
        <w:rPr>
          <w:rFonts w:ascii="Times New Roman" w:hAnsi="Times New Roman" w:cs="Times New Roman"/>
          <w:szCs w:val="24"/>
        </w:rPr>
        <w:t xml:space="preserve">na celu ratowanie będącego w złym stanie </w:t>
      </w:r>
      <w:r w:rsidR="0028368E" w:rsidRPr="00C738AF">
        <w:rPr>
          <w:rFonts w:ascii="Times New Roman" w:hAnsi="Times New Roman" w:cs="Times New Roman"/>
          <w:szCs w:val="24"/>
        </w:rPr>
        <w:t xml:space="preserve">zasobu </w:t>
      </w:r>
      <w:r w:rsidR="000614DC" w:rsidRPr="00C738AF">
        <w:rPr>
          <w:rFonts w:ascii="Times New Roman" w:hAnsi="Times New Roman" w:cs="Times New Roman"/>
          <w:szCs w:val="24"/>
        </w:rPr>
        <w:t>dorsza atlantyckiego w tej części Morza Bałtyckiego. To jeden z najcenniejszych gatunków ryb, który stanowił źródło utrzymania wielu rybaków. Jednak nadmierny połów spowodował, że ryb w</w:t>
      </w:r>
      <w:r w:rsidR="006E0838">
        <w:rPr>
          <w:rFonts w:ascii="Times New Roman" w:hAnsi="Times New Roman" w:cs="Times New Roman"/>
          <w:szCs w:val="24"/>
        </w:rPr>
        <w:t xml:space="preserve"> </w:t>
      </w:r>
      <w:r w:rsidR="000614DC" w:rsidRPr="00C738AF">
        <w:rPr>
          <w:rFonts w:ascii="Times New Roman" w:hAnsi="Times New Roman" w:cs="Times New Roman"/>
          <w:szCs w:val="24"/>
        </w:rPr>
        <w:t>morzu jest zbyt mało.</w:t>
      </w:r>
    </w:p>
    <w:p w14:paraId="54E3EB1D" w14:textId="7D4B1596" w:rsidR="000614DC" w:rsidRPr="00C738AF" w:rsidRDefault="000614DC"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Komisja Europejska w</w:t>
      </w:r>
      <w:r w:rsidR="006E0838">
        <w:rPr>
          <w:rFonts w:ascii="Times New Roman" w:hAnsi="Times New Roman" w:cs="Times New Roman"/>
          <w:szCs w:val="24"/>
        </w:rPr>
        <w:t xml:space="preserve"> </w:t>
      </w:r>
      <w:r w:rsidRPr="00C738AF">
        <w:rPr>
          <w:rFonts w:ascii="Times New Roman" w:hAnsi="Times New Roman" w:cs="Times New Roman"/>
          <w:szCs w:val="24"/>
        </w:rPr>
        <w:t>2021 r. informowała, że</w:t>
      </w:r>
      <w:r w:rsidR="006E0838">
        <w:rPr>
          <w:rFonts w:ascii="Times New Roman" w:hAnsi="Times New Roman" w:cs="Times New Roman"/>
          <w:szCs w:val="24"/>
        </w:rPr>
        <w:t xml:space="preserve"> </w:t>
      </w:r>
      <w:r w:rsidRPr="00C738AF">
        <w:rPr>
          <w:rFonts w:ascii="Times New Roman" w:hAnsi="Times New Roman" w:cs="Times New Roman"/>
          <w:szCs w:val="24"/>
        </w:rPr>
        <w:t>sytuacja związana z</w:t>
      </w:r>
      <w:r w:rsidR="006E0838">
        <w:rPr>
          <w:rFonts w:ascii="Times New Roman" w:hAnsi="Times New Roman" w:cs="Times New Roman"/>
          <w:szCs w:val="24"/>
        </w:rPr>
        <w:t xml:space="preserve"> </w:t>
      </w:r>
      <w:r w:rsidRPr="00C738AF">
        <w:rPr>
          <w:rFonts w:ascii="Times New Roman" w:hAnsi="Times New Roman" w:cs="Times New Roman"/>
          <w:szCs w:val="24"/>
        </w:rPr>
        <w:t>liczebnością stad jest gorsza niż pierwotnie szacowano w</w:t>
      </w:r>
      <w:r w:rsidR="006E0838">
        <w:rPr>
          <w:rFonts w:ascii="Times New Roman" w:hAnsi="Times New Roman" w:cs="Times New Roman"/>
          <w:szCs w:val="24"/>
        </w:rPr>
        <w:t xml:space="preserve"> </w:t>
      </w:r>
      <w:r w:rsidRPr="00C738AF">
        <w:rPr>
          <w:rFonts w:ascii="Times New Roman" w:hAnsi="Times New Roman" w:cs="Times New Roman"/>
          <w:szCs w:val="24"/>
        </w:rPr>
        <w:t>2019 r., dlatego też zakaz połowu dorsza jest przedłużany co roku na kolejny rok kalendarzowy</w:t>
      </w:r>
      <w:r w:rsidR="0028368E" w:rsidRPr="00C738AF">
        <w:rPr>
          <w:rFonts w:ascii="Times New Roman" w:hAnsi="Times New Roman" w:cs="Times New Roman"/>
          <w:szCs w:val="24"/>
        </w:rPr>
        <w:t>,</w:t>
      </w:r>
      <w:r w:rsidRPr="00C738AF">
        <w:rPr>
          <w:rFonts w:ascii="Times New Roman" w:hAnsi="Times New Roman" w:cs="Times New Roman"/>
          <w:szCs w:val="24"/>
        </w:rPr>
        <w:t xml:space="preserve"> a ostatnie porozumienie w tej sprawie na 2024 </w:t>
      </w:r>
      <w:r w:rsidR="009A73F2">
        <w:rPr>
          <w:rFonts w:ascii="Times New Roman" w:hAnsi="Times New Roman" w:cs="Times New Roman"/>
          <w:szCs w:val="24"/>
        </w:rPr>
        <w:t xml:space="preserve">r. </w:t>
      </w:r>
      <w:r w:rsidR="000D6FDC" w:rsidRPr="00C738AF">
        <w:rPr>
          <w:rFonts w:ascii="Times New Roman" w:hAnsi="Times New Roman" w:cs="Times New Roman"/>
          <w:szCs w:val="24"/>
        </w:rPr>
        <w:t xml:space="preserve">ministrowie </w:t>
      </w:r>
      <w:r w:rsidRPr="00C738AF">
        <w:rPr>
          <w:rFonts w:ascii="Times New Roman" w:hAnsi="Times New Roman" w:cs="Times New Roman"/>
          <w:szCs w:val="24"/>
        </w:rPr>
        <w:t>d</w:t>
      </w:r>
      <w:r w:rsidR="000D6FDC" w:rsidRPr="00C738AF">
        <w:rPr>
          <w:rFonts w:ascii="Times New Roman" w:hAnsi="Times New Roman" w:cs="Times New Roman"/>
          <w:szCs w:val="24"/>
        </w:rPr>
        <w:t xml:space="preserve">o </w:t>
      </w:r>
      <w:r w:rsidRPr="00C738AF">
        <w:rPr>
          <w:rFonts w:ascii="Times New Roman" w:hAnsi="Times New Roman" w:cs="Times New Roman"/>
          <w:szCs w:val="24"/>
        </w:rPr>
        <w:t>s</w:t>
      </w:r>
      <w:r w:rsidR="000D6FDC" w:rsidRPr="00C738AF">
        <w:rPr>
          <w:rFonts w:ascii="Times New Roman" w:hAnsi="Times New Roman" w:cs="Times New Roman"/>
          <w:szCs w:val="24"/>
        </w:rPr>
        <w:t>praw</w:t>
      </w:r>
      <w:r w:rsidRPr="00C738AF">
        <w:rPr>
          <w:rFonts w:ascii="Times New Roman" w:hAnsi="Times New Roman" w:cs="Times New Roman"/>
          <w:szCs w:val="24"/>
        </w:rPr>
        <w:t xml:space="preserve"> rybołówstwa krajów U</w:t>
      </w:r>
      <w:r w:rsidR="0017401A" w:rsidRPr="00C738AF">
        <w:rPr>
          <w:rFonts w:ascii="Times New Roman" w:hAnsi="Times New Roman" w:cs="Times New Roman"/>
          <w:szCs w:val="24"/>
        </w:rPr>
        <w:t xml:space="preserve">nii </w:t>
      </w:r>
      <w:r w:rsidRPr="00C738AF">
        <w:rPr>
          <w:rFonts w:ascii="Times New Roman" w:hAnsi="Times New Roman" w:cs="Times New Roman"/>
          <w:szCs w:val="24"/>
        </w:rPr>
        <w:t>E</w:t>
      </w:r>
      <w:r w:rsidR="0017401A" w:rsidRPr="00C738AF">
        <w:rPr>
          <w:rFonts w:ascii="Times New Roman" w:hAnsi="Times New Roman" w:cs="Times New Roman"/>
          <w:szCs w:val="24"/>
        </w:rPr>
        <w:t>uropejskiej</w:t>
      </w:r>
      <w:r w:rsidRPr="00C738AF">
        <w:rPr>
          <w:rFonts w:ascii="Times New Roman" w:hAnsi="Times New Roman" w:cs="Times New Roman"/>
          <w:szCs w:val="24"/>
        </w:rPr>
        <w:t xml:space="preserve"> osiągnęli </w:t>
      </w:r>
      <w:r w:rsidR="0017401A" w:rsidRPr="00C738AF">
        <w:rPr>
          <w:rFonts w:ascii="Times New Roman" w:hAnsi="Times New Roman" w:cs="Times New Roman"/>
          <w:szCs w:val="24"/>
        </w:rPr>
        <w:t xml:space="preserve">w dniu </w:t>
      </w:r>
      <w:r w:rsidRPr="00C738AF">
        <w:rPr>
          <w:rFonts w:ascii="Times New Roman" w:hAnsi="Times New Roman" w:cs="Times New Roman"/>
          <w:szCs w:val="24"/>
        </w:rPr>
        <w:t xml:space="preserve">24 października 2023 r. </w:t>
      </w:r>
      <w:r w:rsidR="000F356D" w:rsidRPr="00C738AF">
        <w:rPr>
          <w:rFonts w:ascii="Times New Roman" w:hAnsi="Times New Roman" w:cs="Times New Roman"/>
          <w:szCs w:val="24"/>
        </w:rPr>
        <w:t>Najbliższego stanowiska K</w:t>
      </w:r>
      <w:r w:rsidR="0017401A" w:rsidRPr="00C738AF">
        <w:rPr>
          <w:rFonts w:ascii="Times New Roman" w:hAnsi="Times New Roman" w:cs="Times New Roman"/>
          <w:szCs w:val="24"/>
        </w:rPr>
        <w:t xml:space="preserve">omisji </w:t>
      </w:r>
      <w:r w:rsidR="000F356D" w:rsidRPr="00C738AF">
        <w:rPr>
          <w:rFonts w:ascii="Times New Roman" w:hAnsi="Times New Roman" w:cs="Times New Roman"/>
          <w:szCs w:val="24"/>
        </w:rPr>
        <w:t>E</w:t>
      </w:r>
      <w:r w:rsidR="0017401A" w:rsidRPr="00C738AF">
        <w:rPr>
          <w:rFonts w:ascii="Times New Roman" w:hAnsi="Times New Roman" w:cs="Times New Roman"/>
          <w:szCs w:val="24"/>
        </w:rPr>
        <w:t>uropejskiej</w:t>
      </w:r>
      <w:r w:rsidR="000F356D" w:rsidRPr="00C738AF">
        <w:rPr>
          <w:rFonts w:ascii="Times New Roman" w:hAnsi="Times New Roman" w:cs="Times New Roman"/>
          <w:szCs w:val="24"/>
        </w:rPr>
        <w:t xml:space="preserve"> w przedmiotowej sprawie należy się spodziewać dopiero po zatwierdzeniu przez Parlament Europejski składu Komisji na lata </w:t>
      </w:r>
      <w:r w:rsidR="006E0838">
        <w:rPr>
          <w:rFonts w:ascii="Times New Roman" w:hAnsi="Times New Roman" w:cs="Times New Roman"/>
          <w:szCs w:val="24"/>
        </w:rPr>
        <w:br/>
      </w:r>
      <w:r w:rsidR="000F356D" w:rsidRPr="00C738AF">
        <w:rPr>
          <w:rFonts w:ascii="Times New Roman" w:hAnsi="Times New Roman" w:cs="Times New Roman"/>
          <w:szCs w:val="24"/>
        </w:rPr>
        <w:t>2024</w:t>
      </w:r>
      <w:r w:rsidR="000D6FDC" w:rsidRPr="00C738AF">
        <w:rPr>
          <w:rFonts w:ascii="Times New Roman" w:hAnsi="Times New Roman" w:cs="Times New Roman"/>
          <w:szCs w:val="24"/>
        </w:rPr>
        <w:t>–</w:t>
      </w:r>
      <w:r w:rsidR="000F356D" w:rsidRPr="00C738AF">
        <w:rPr>
          <w:rFonts w:ascii="Times New Roman" w:hAnsi="Times New Roman" w:cs="Times New Roman"/>
          <w:szCs w:val="24"/>
        </w:rPr>
        <w:t>2029.</w:t>
      </w:r>
    </w:p>
    <w:p w14:paraId="46BF8F47" w14:textId="40AB58F3" w:rsidR="000614DC" w:rsidRPr="00C738AF" w:rsidRDefault="00673C6C" w:rsidP="000B4EB4">
      <w:pPr>
        <w:pStyle w:val="NIEARTTEKSTtekstnieartykuowanynppodstprawnarozplubpreambua"/>
        <w:rPr>
          <w:rFonts w:ascii="Times New Roman" w:hAnsi="Times New Roman" w:cs="Times New Roman"/>
          <w:szCs w:val="24"/>
        </w:rPr>
      </w:pPr>
      <w:r>
        <w:rPr>
          <w:rFonts w:ascii="Times New Roman" w:hAnsi="Times New Roman" w:cs="Times New Roman"/>
          <w:szCs w:val="24"/>
        </w:rPr>
        <w:lastRenderedPageBreak/>
        <w:t>O</w:t>
      </w:r>
      <w:r w:rsidR="000614DC" w:rsidRPr="00C738AF">
        <w:rPr>
          <w:rFonts w:ascii="Times New Roman" w:hAnsi="Times New Roman" w:cs="Times New Roman"/>
          <w:szCs w:val="24"/>
        </w:rPr>
        <w:t>becn</w:t>
      </w:r>
      <w:r>
        <w:rPr>
          <w:rFonts w:ascii="Times New Roman" w:hAnsi="Times New Roman" w:cs="Times New Roman"/>
          <w:szCs w:val="24"/>
        </w:rPr>
        <w:t>i</w:t>
      </w:r>
      <w:r w:rsidR="000614DC" w:rsidRPr="00C738AF">
        <w:rPr>
          <w:rFonts w:ascii="Times New Roman" w:hAnsi="Times New Roman" w:cs="Times New Roman"/>
          <w:szCs w:val="24"/>
        </w:rPr>
        <w:t>e K</w:t>
      </w:r>
      <w:r w:rsidR="0017401A" w:rsidRPr="00C738AF">
        <w:rPr>
          <w:rFonts w:ascii="Times New Roman" w:hAnsi="Times New Roman" w:cs="Times New Roman"/>
          <w:szCs w:val="24"/>
        </w:rPr>
        <w:t xml:space="preserve">omisja </w:t>
      </w:r>
      <w:r w:rsidR="000614DC" w:rsidRPr="00C738AF">
        <w:rPr>
          <w:rFonts w:ascii="Times New Roman" w:hAnsi="Times New Roman" w:cs="Times New Roman"/>
          <w:szCs w:val="24"/>
        </w:rPr>
        <w:t>E</w:t>
      </w:r>
      <w:r w:rsidR="0017401A" w:rsidRPr="00C738AF">
        <w:rPr>
          <w:rFonts w:ascii="Times New Roman" w:hAnsi="Times New Roman" w:cs="Times New Roman"/>
          <w:szCs w:val="24"/>
        </w:rPr>
        <w:t>uropejska</w:t>
      </w:r>
      <w:r w:rsidR="000614DC" w:rsidRPr="00C738AF">
        <w:rPr>
          <w:rFonts w:ascii="Times New Roman" w:hAnsi="Times New Roman" w:cs="Times New Roman"/>
          <w:szCs w:val="24"/>
        </w:rPr>
        <w:t xml:space="preserve"> nie przedstawia daty granicznej zakończenia zakazu połowu dorsza, a jedynie wskazuje, że taki stan może się utrzym</w:t>
      </w:r>
      <w:r w:rsidR="0028368E" w:rsidRPr="00C738AF">
        <w:rPr>
          <w:rFonts w:ascii="Times New Roman" w:hAnsi="Times New Roman" w:cs="Times New Roman"/>
          <w:szCs w:val="24"/>
        </w:rPr>
        <w:t>yw</w:t>
      </w:r>
      <w:r w:rsidR="000614DC" w:rsidRPr="00C738AF">
        <w:rPr>
          <w:rFonts w:ascii="Times New Roman" w:hAnsi="Times New Roman" w:cs="Times New Roman"/>
          <w:szCs w:val="24"/>
        </w:rPr>
        <w:t>ać do czasu odnowienia jego stad.</w:t>
      </w:r>
    </w:p>
    <w:p w14:paraId="04FA383C" w14:textId="6B1C8DFC" w:rsidR="00486CBB" w:rsidRPr="00C738AF" w:rsidRDefault="00486CBB"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Okoliczności te stawiają armatorów jednostek pływających w bardzo trudnej sytuacji. Znaczne ograniczenie możliwości prowadzenia działalności zarobkowej powoduje więc straty finansowe w tym sektorze, natomiast </w:t>
      </w:r>
      <w:r w:rsidR="0008026D" w:rsidRPr="00C738AF">
        <w:rPr>
          <w:rFonts w:ascii="Times New Roman" w:hAnsi="Times New Roman" w:cs="Times New Roman"/>
          <w:szCs w:val="24"/>
        </w:rPr>
        <w:t>armatorzy jednostek pływających</w:t>
      </w:r>
      <w:r w:rsidRPr="00C738AF">
        <w:rPr>
          <w:rFonts w:ascii="Times New Roman" w:hAnsi="Times New Roman" w:cs="Times New Roman"/>
          <w:szCs w:val="24"/>
        </w:rPr>
        <w:t xml:space="preserve"> prowadzący działalność ponoszą koszty opłat portowych, ubezpieczeń, podatków oraz wynagrodzeń pracowników. Jednostki często kupione na kredyt stoją w portach, wobec czego armatorzy i pracownicy ponoszą straty, co pogłębia ich trudną sytuację finansową.</w:t>
      </w:r>
    </w:p>
    <w:p w14:paraId="71CE42EA" w14:textId="08802617" w:rsidR="00581EAD" w:rsidRPr="00C738AF" w:rsidRDefault="00581E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Cumujące przy nabrzeżach nieeksploatowane jednostki stopniowo niszczeją, powodując tym samym zagrożenie dla środowiska oraz pozostałych użytkowników portu. Co istotne obecna sytuacja armatorów jednostek pływających negatywnie oddziałuje na działalność podmiotów zarządzających portami morskimi </w:t>
      </w:r>
      <w:r w:rsidR="0017401A" w:rsidRPr="00C738AF">
        <w:rPr>
          <w:rFonts w:ascii="Times New Roman" w:hAnsi="Times New Roman" w:cs="Times New Roman"/>
          <w:szCs w:val="24"/>
        </w:rPr>
        <w:t>–</w:t>
      </w:r>
      <w:r w:rsidRPr="00C738AF">
        <w:rPr>
          <w:rFonts w:ascii="Times New Roman" w:hAnsi="Times New Roman" w:cs="Times New Roman"/>
          <w:szCs w:val="24"/>
        </w:rPr>
        <w:t xml:space="preserve"> zarządów portów oraz </w:t>
      </w:r>
      <w:r w:rsidR="000D1589" w:rsidRPr="00C738AF">
        <w:rPr>
          <w:rFonts w:ascii="Times New Roman" w:hAnsi="Times New Roman" w:cs="Times New Roman"/>
          <w:szCs w:val="24"/>
        </w:rPr>
        <w:t>Urzędów Morskich w</w:t>
      </w:r>
      <w:r w:rsidR="000D6FDC" w:rsidRPr="00C738AF">
        <w:rPr>
          <w:rFonts w:ascii="Times New Roman" w:hAnsi="Times New Roman" w:cs="Times New Roman"/>
          <w:szCs w:val="24"/>
        </w:rPr>
        <w:t> </w:t>
      </w:r>
      <w:r w:rsidR="000D1589" w:rsidRPr="00C738AF">
        <w:rPr>
          <w:rFonts w:ascii="Times New Roman" w:hAnsi="Times New Roman" w:cs="Times New Roman"/>
          <w:szCs w:val="24"/>
        </w:rPr>
        <w:t>Gdyni i w Szczecinie</w:t>
      </w:r>
      <w:r w:rsidRPr="00C738AF">
        <w:rPr>
          <w:rFonts w:ascii="Times New Roman" w:hAnsi="Times New Roman" w:cs="Times New Roman"/>
          <w:szCs w:val="24"/>
        </w:rPr>
        <w:t>. Jednostki</w:t>
      </w:r>
      <w:r w:rsidR="0017401A" w:rsidRPr="00C738AF">
        <w:rPr>
          <w:rFonts w:ascii="Times New Roman" w:hAnsi="Times New Roman" w:cs="Times New Roman"/>
          <w:szCs w:val="24"/>
        </w:rPr>
        <w:t>,</w:t>
      </w:r>
      <w:r w:rsidRPr="00C738AF">
        <w:rPr>
          <w:rFonts w:ascii="Times New Roman" w:hAnsi="Times New Roman" w:cs="Times New Roman"/>
          <w:szCs w:val="24"/>
        </w:rPr>
        <w:t xml:space="preserve"> zajmując nabrzeża</w:t>
      </w:r>
      <w:r w:rsidR="0017401A" w:rsidRPr="00C738AF">
        <w:rPr>
          <w:rFonts w:ascii="Times New Roman" w:hAnsi="Times New Roman" w:cs="Times New Roman"/>
          <w:szCs w:val="24"/>
        </w:rPr>
        <w:t>,</w:t>
      </w:r>
      <w:r w:rsidRPr="00C738AF">
        <w:rPr>
          <w:rFonts w:ascii="Times New Roman" w:hAnsi="Times New Roman" w:cs="Times New Roman"/>
          <w:szCs w:val="24"/>
        </w:rPr>
        <w:t xml:space="preserve"> utrudniają rozwój portu – np. ograniczając miejsce dla statków serwisowych morskich farm wiatrowych, a w przypadku zatonięcia </w:t>
      </w:r>
      <w:r w:rsidR="0017401A" w:rsidRPr="00C738AF">
        <w:rPr>
          <w:rFonts w:ascii="Times New Roman" w:hAnsi="Times New Roman" w:cs="Times New Roman"/>
          <w:szCs w:val="24"/>
        </w:rPr>
        <w:t xml:space="preserve">– </w:t>
      </w:r>
      <w:r w:rsidRPr="00C738AF">
        <w:rPr>
          <w:rFonts w:ascii="Times New Roman" w:hAnsi="Times New Roman" w:cs="Times New Roman"/>
          <w:szCs w:val="24"/>
        </w:rPr>
        <w:t>ze względu na</w:t>
      </w:r>
      <w:r w:rsidR="0028368E" w:rsidRPr="00C738AF">
        <w:rPr>
          <w:rFonts w:ascii="Times New Roman" w:hAnsi="Times New Roman" w:cs="Times New Roman"/>
          <w:szCs w:val="24"/>
        </w:rPr>
        <w:t xml:space="preserve"> zły</w:t>
      </w:r>
      <w:r w:rsidRPr="00C738AF">
        <w:rPr>
          <w:rFonts w:ascii="Times New Roman" w:hAnsi="Times New Roman" w:cs="Times New Roman"/>
          <w:szCs w:val="24"/>
        </w:rPr>
        <w:t xml:space="preserve"> stan techniczny </w:t>
      </w:r>
      <w:r w:rsidR="0017401A" w:rsidRPr="00C738AF">
        <w:rPr>
          <w:rFonts w:ascii="Times New Roman" w:hAnsi="Times New Roman" w:cs="Times New Roman"/>
          <w:szCs w:val="24"/>
        </w:rPr>
        <w:t xml:space="preserve">– </w:t>
      </w:r>
      <w:r w:rsidRPr="00C738AF">
        <w:rPr>
          <w:rFonts w:ascii="Times New Roman" w:hAnsi="Times New Roman" w:cs="Times New Roman"/>
          <w:szCs w:val="24"/>
        </w:rPr>
        <w:t>powodują konieczność wydobycia wraku na koszt zarządu portu lub Skarbu Państwa – dyrektora urzędu morskiego.</w:t>
      </w:r>
    </w:p>
    <w:p w14:paraId="4F88B980" w14:textId="6F3E1EDA" w:rsidR="000614DC" w:rsidRPr="00C738AF" w:rsidRDefault="0042595C"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Wsparcie finansowe udzielone</w:t>
      </w:r>
      <w:r w:rsidR="000614DC" w:rsidRPr="00C738AF">
        <w:rPr>
          <w:rFonts w:ascii="Times New Roman" w:hAnsi="Times New Roman" w:cs="Times New Roman"/>
          <w:szCs w:val="24"/>
        </w:rPr>
        <w:t xml:space="preserve"> na podstawie </w:t>
      </w:r>
      <w:r w:rsidR="005F3776" w:rsidRPr="00C738AF">
        <w:rPr>
          <w:rFonts w:ascii="Times New Roman" w:hAnsi="Times New Roman" w:cs="Times New Roman"/>
          <w:szCs w:val="24"/>
        </w:rPr>
        <w:t xml:space="preserve">projektowanej </w:t>
      </w:r>
      <w:r w:rsidR="000614DC" w:rsidRPr="00C738AF">
        <w:rPr>
          <w:rFonts w:ascii="Times New Roman" w:hAnsi="Times New Roman" w:cs="Times New Roman"/>
          <w:szCs w:val="24"/>
        </w:rPr>
        <w:t xml:space="preserve">ustawy </w:t>
      </w:r>
      <w:r w:rsidR="00673C6C" w:rsidRPr="00365802">
        <w:rPr>
          <w:rFonts w:ascii="Times New Roman" w:hAnsi="Times New Roman" w:cs="Times New Roman"/>
          <w:szCs w:val="24"/>
        </w:rPr>
        <w:t xml:space="preserve">będzie </w:t>
      </w:r>
      <w:r w:rsidR="000614DC" w:rsidRPr="00C738AF">
        <w:rPr>
          <w:rFonts w:ascii="Times New Roman" w:hAnsi="Times New Roman" w:cs="Times New Roman"/>
          <w:szCs w:val="24"/>
        </w:rPr>
        <w:t xml:space="preserve">służyć wyrównaniu sytuacji </w:t>
      </w:r>
      <w:r w:rsidR="0028368E" w:rsidRPr="00C738AF">
        <w:rPr>
          <w:rFonts w:ascii="Times New Roman" w:hAnsi="Times New Roman" w:cs="Times New Roman"/>
          <w:szCs w:val="24"/>
        </w:rPr>
        <w:t xml:space="preserve">ekonomicznej </w:t>
      </w:r>
      <w:r w:rsidR="000614DC" w:rsidRPr="00C738AF">
        <w:rPr>
          <w:rFonts w:ascii="Times New Roman" w:hAnsi="Times New Roman" w:cs="Times New Roman"/>
          <w:szCs w:val="24"/>
        </w:rPr>
        <w:t>podmiotów wykluczonych z możliwości otrzymania wsparcia</w:t>
      </w:r>
      <w:r w:rsidR="0008026D" w:rsidRPr="00C738AF">
        <w:rPr>
          <w:rFonts w:ascii="Times New Roman" w:hAnsi="Times New Roman" w:cs="Times New Roman"/>
          <w:szCs w:val="24"/>
        </w:rPr>
        <w:t xml:space="preserve"> finansowego</w:t>
      </w:r>
      <w:r w:rsidR="000614DC" w:rsidRPr="00C738AF">
        <w:rPr>
          <w:rFonts w:ascii="Times New Roman" w:hAnsi="Times New Roman" w:cs="Times New Roman"/>
          <w:szCs w:val="24"/>
        </w:rPr>
        <w:t xml:space="preserve"> ze środków </w:t>
      </w:r>
      <w:r w:rsidR="000D1589" w:rsidRPr="00C738AF">
        <w:rPr>
          <w:rFonts w:ascii="Times New Roman" w:hAnsi="Times New Roman" w:cs="Times New Roman"/>
          <w:szCs w:val="24"/>
        </w:rPr>
        <w:t>unijnych</w:t>
      </w:r>
      <w:r w:rsidR="000614DC" w:rsidRPr="00C738AF">
        <w:rPr>
          <w:rFonts w:ascii="Times New Roman" w:hAnsi="Times New Roman" w:cs="Times New Roman"/>
          <w:szCs w:val="24"/>
        </w:rPr>
        <w:t>, które w</w:t>
      </w:r>
      <w:r w:rsidR="00673C6C">
        <w:rPr>
          <w:rFonts w:ascii="Times New Roman" w:hAnsi="Times New Roman" w:cs="Times New Roman"/>
          <w:szCs w:val="24"/>
        </w:rPr>
        <w:t xml:space="preserve"> </w:t>
      </w:r>
      <w:r w:rsidR="000614DC" w:rsidRPr="00C738AF">
        <w:rPr>
          <w:rFonts w:ascii="Times New Roman" w:hAnsi="Times New Roman" w:cs="Times New Roman"/>
          <w:szCs w:val="24"/>
        </w:rPr>
        <w:t>takim samym stopniu jak podmioty objęte wsparciem</w:t>
      </w:r>
      <w:r w:rsidR="0008026D" w:rsidRPr="00C738AF">
        <w:rPr>
          <w:rFonts w:ascii="Times New Roman" w:hAnsi="Times New Roman" w:cs="Times New Roman"/>
          <w:szCs w:val="24"/>
        </w:rPr>
        <w:t xml:space="preserve"> finansowym</w:t>
      </w:r>
      <w:r w:rsidR="000614DC" w:rsidRPr="00C738AF">
        <w:rPr>
          <w:rFonts w:ascii="Times New Roman" w:hAnsi="Times New Roman" w:cs="Times New Roman"/>
          <w:szCs w:val="24"/>
        </w:rPr>
        <w:t xml:space="preserve"> </w:t>
      </w:r>
      <w:r w:rsidR="00673C6C" w:rsidRPr="002F22C1">
        <w:rPr>
          <w:rFonts w:ascii="Times New Roman" w:hAnsi="Times New Roman" w:cs="Times New Roman"/>
          <w:szCs w:val="24"/>
        </w:rPr>
        <w:t xml:space="preserve">zostały </w:t>
      </w:r>
      <w:r w:rsidR="000614DC" w:rsidRPr="00C738AF">
        <w:rPr>
          <w:rFonts w:ascii="Times New Roman" w:hAnsi="Times New Roman" w:cs="Times New Roman"/>
          <w:szCs w:val="24"/>
        </w:rPr>
        <w:t>pokrzywdzone w związku z wprowadzeniem zakazu połowu dorsza na morzu Bałtyckim.</w:t>
      </w:r>
    </w:p>
    <w:p w14:paraId="1FCCD070" w14:textId="577F6DB2" w:rsidR="000614DC" w:rsidRPr="00C738AF" w:rsidRDefault="000614DC"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Podmioty planowane do objęcia </w:t>
      </w:r>
      <w:r w:rsidR="0042595C" w:rsidRPr="00C738AF">
        <w:rPr>
          <w:rFonts w:ascii="Times New Roman" w:hAnsi="Times New Roman" w:cs="Times New Roman"/>
          <w:szCs w:val="24"/>
        </w:rPr>
        <w:t>wsparciem finansowym</w:t>
      </w:r>
      <w:r w:rsidR="0017401A" w:rsidRPr="00C738AF">
        <w:rPr>
          <w:rFonts w:ascii="Times New Roman" w:hAnsi="Times New Roman" w:cs="Times New Roman"/>
          <w:szCs w:val="24"/>
        </w:rPr>
        <w:t>,</w:t>
      </w:r>
      <w:r w:rsidRPr="00C738AF">
        <w:rPr>
          <w:rFonts w:ascii="Times New Roman" w:hAnsi="Times New Roman" w:cs="Times New Roman"/>
          <w:szCs w:val="24"/>
        </w:rPr>
        <w:t xml:space="preserve"> prowadząc działalność</w:t>
      </w:r>
      <w:r w:rsidR="0017401A" w:rsidRPr="00C738AF">
        <w:rPr>
          <w:rFonts w:ascii="Times New Roman" w:hAnsi="Times New Roman" w:cs="Times New Roman"/>
          <w:szCs w:val="24"/>
        </w:rPr>
        <w:t>,</w:t>
      </w:r>
      <w:r w:rsidRPr="00C738AF">
        <w:rPr>
          <w:rFonts w:ascii="Times New Roman" w:hAnsi="Times New Roman" w:cs="Times New Roman"/>
          <w:szCs w:val="24"/>
        </w:rPr>
        <w:t xml:space="preserve"> musiały spełniać porównywalne wymogi jak statki rybackie, m.in. posiadać </w:t>
      </w:r>
      <w:r w:rsidR="00937967" w:rsidRPr="00C738AF">
        <w:rPr>
          <w:rFonts w:ascii="Times New Roman" w:hAnsi="Times New Roman" w:cs="Times New Roman"/>
          <w:szCs w:val="24"/>
        </w:rPr>
        <w:t xml:space="preserve">świadectwo klasy wydane przez Polski Rejestr Statków </w:t>
      </w:r>
      <w:r w:rsidR="006D54A2" w:rsidRPr="00C738AF">
        <w:rPr>
          <w:rFonts w:ascii="Times New Roman" w:hAnsi="Times New Roman" w:cs="Times New Roman"/>
          <w:szCs w:val="24"/>
        </w:rPr>
        <w:t xml:space="preserve">albo </w:t>
      </w:r>
      <w:r w:rsidR="00937967" w:rsidRPr="00C738AF">
        <w:rPr>
          <w:rFonts w:ascii="Times New Roman" w:hAnsi="Times New Roman" w:cs="Times New Roman"/>
          <w:szCs w:val="24"/>
        </w:rPr>
        <w:t>orzeczenie zdolności żeglugowej wydane przez Polski Związek Żeglarski</w:t>
      </w:r>
      <w:r w:rsidRPr="00C738AF">
        <w:rPr>
          <w:rFonts w:ascii="Times New Roman" w:hAnsi="Times New Roman" w:cs="Times New Roman"/>
          <w:szCs w:val="24"/>
        </w:rPr>
        <w:t xml:space="preserve">, kartę bezpieczeństwa, pozwolenie na </w:t>
      </w:r>
      <w:r w:rsidR="00FA117C" w:rsidRPr="00C738AF">
        <w:rPr>
          <w:rFonts w:ascii="Times New Roman" w:hAnsi="Times New Roman" w:cs="Times New Roman"/>
          <w:szCs w:val="24"/>
        </w:rPr>
        <w:t xml:space="preserve">wykonywanie </w:t>
      </w:r>
      <w:r w:rsidR="00BE36F6" w:rsidRPr="00C738AF">
        <w:rPr>
          <w:rFonts w:ascii="Times New Roman" w:hAnsi="Times New Roman" w:cs="Times New Roman"/>
          <w:szCs w:val="24"/>
        </w:rPr>
        <w:t>rybołówstwa rekreacyjnego</w:t>
      </w:r>
      <w:r w:rsidR="00FA117C" w:rsidRPr="00C738AF">
        <w:rPr>
          <w:rFonts w:ascii="Times New Roman" w:hAnsi="Times New Roman" w:cs="Times New Roman"/>
          <w:szCs w:val="24"/>
        </w:rPr>
        <w:t xml:space="preserve"> na 2019</w:t>
      </w:r>
      <w:r w:rsidRPr="00C738AF">
        <w:rPr>
          <w:rFonts w:ascii="Times New Roman" w:hAnsi="Times New Roman" w:cs="Times New Roman"/>
          <w:szCs w:val="24"/>
        </w:rPr>
        <w:t xml:space="preserve"> </w:t>
      </w:r>
      <w:r w:rsidR="009A73F2">
        <w:rPr>
          <w:rFonts w:ascii="Times New Roman" w:hAnsi="Times New Roman" w:cs="Times New Roman"/>
          <w:szCs w:val="24"/>
        </w:rPr>
        <w:t xml:space="preserve">r. </w:t>
      </w:r>
      <w:r w:rsidRPr="00C738AF">
        <w:rPr>
          <w:rFonts w:ascii="Times New Roman" w:hAnsi="Times New Roman" w:cs="Times New Roman"/>
          <w:szCs w:val="24"/>
        </w:rPr>
        <w:t>wydane przez Główny Inspektorat Rybołówstwa Morskiego określające ilość narzędzi połowowych</w:t>
      </w:r>
      <w:r w:rsidR="00312AB3" w:rsidRPr="00C738AF">
        <w:rPr>
          <w:rFonts w:ascii="Times New Roman" w:hAnsi="Times New Roman" w:cs="Times New Roman"/>
          <w:szCs w:val="24"/>
        </w:rPr>
        <w:t>.</w:t>
      </w:r>
      <w:r w:rsidRPr="00C738AF">
        <w:rPr>
          <w:rFonts w:ascii="Times New Roman" w:hAnsi="Times New Roman" w:cs="Times New Roman"/>
          <w:szCs w:val="24"/>
        </w:rPr>
        <w:t xml:space="preserve"> </w:t>
      </w:r>
      <w:r w:rsidR="00312AB3" w:rsidRPr="00C738AF">
        <w:rPr>
          <w:rFonts w:ascii="Times New Roman" w:hAnsi="Times New Roman" w:cs="Times New Roman"/>
          <w:szCs w:val="24"/>
        </w:rPr>
        <w:t>M</w:t>
      </w:r>
      <w:r w:rsidRPr="00C738AF">
        <w:rPr>
          <w:rFonts w:ascii="Times New Roman" w:hAnsi="Times New Roman" w:cs="Times New Roman"/>
          <w:szCs w:val="24"/>
        </w:rPr>
        <w:t>usiały również składać raporty połowowe z każdego odbytego rejsu. Ponadto jednostki te przechodziły dodatkowe inspekcje dotyczące bezpieczeństwa, dodatkowo też musiały być doposażone w środki ratunkowe, sygnałowe, systemy gaśnicze, wyposażanie pokładowe czy elektronikę. Załogi musiały posiadać odpowiednie kwalifikacje udokumentowane patentami. Obecna sytuacja armatorów jest dramatyczna, brak jest możliwości powrotu do działalności gospodarczej w tym sektorze.</w:t>
      </w:r>
    </w:p>
    <w:p w14:paraId="4C686D90" w14:textId="3B2FD1C6" w:rsidR="006E10BD" w:rsidRPr="00C738AF" w:rsidRDefault="000614DC"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lastRenderedPageBreak/>
        <w:t xml:space="preserve">Sytuacja </w:t>
      </w:r>
      <w:r w:rsidR="0008026D" w:rsidRPr="00C738AF">
        <w:rPr>
          <w:rFonts w:ascii="Times New Roman" w:hAnsi="Times New Roman" w:cs="Times New Roman"/>
          <w:szCs w:val="24"/>
        </w:rPr>
        <w:t>armatorów jednostek pływających</w:t>
      </w:r>
      <w:r w:rsidRPr="00C738AF">
        <w:rPr>
          <w:rFonts w:ascii="Times New Roman" w:hAnsi="Times New Roman" w:cs="Times New Roman"/>
          <w:szCs w:val="24"/>
        </w:rPr>
        <w:t xml:space="preserve"> wykonujących usługi morskiego transportu osobowego w</w:t>
      </w:r>
      <w:r w:rsidR="00673C6C">
        <w:rPr>
          <w:rFonts w:ascii="Times New Roman" w:hAnsi="Times New Roman" w:cs="Times New Roman"/>
          <w:szCs w:val="24"/>
        </w:rPr>
        <w:t xml:space="preserve"> </w:t>
      </w:r>
      <w:r w:rsidRPr="00C738AF">
        <w:rPr>
          <w:rFonts w:ascii="Times New Roman" w:hAnsi="Times New Roman" w:cs="Times New Roman"/>
          <w:szCs w:val="24"/>
        </w:rPr>
        <w:t>zakresie przewozu osób uprawiających rybołówstwo była tematem licznych posiedzeń Sejmowej Komisji Gospodarki Morskiej i Żeglugi Śródlądowej, gdzie podejmowano dialog i</w:t>
      </w:r>
      <w:r w:rsidR="00673C6C">
        <w:rPr>
          <w:rFonts w:ascii="Times New Roman" w:hAnsi="Times New Roman" w:cs="Times New Roman"/>
          <w:szCs w:val="24"/>
        </w:rPr>
        <w:t xml:space="preserve"> </w:t>
      </w:r>
      <w:r w:rsidRPr="00C738AF">
        <w:rPr>
          <w:rFonts w:ascii="Times New Roman" w:hAnsi="Times New Roman" w:cs="Times New Roman"/>
          <w:szCs w:val="24"/>
        </w:rPr>
        <w:t xml:space="preserve">dyskutowano nad możliwością zrealizowania zapisów porozumienia, jakie ze „Stroną społeczną” reprezentowaną przez Sztab Kryzysowy Armatorów Rybołówstwa Rekreacyjnego zawarł poprzedni rząd. </w:t>
      </w:r>
      <w:r w:rsidR="00C91FC3" w:rsidRPr="00C738AF">
        <w:rPr>
          <w:rFonts w:ascii="Times New Roman" w:hAnsi="Times New Roman" w:cs="Times New Roman"/>
          <w:szCs w:val="24"/>
        </w:rPr>
        <w:t xml:space="preserve">Porozumienie zawarte </w:t>
      </w:r>
      <w:r w:rsidR="0017401A" w:rsidRPr="00C738AF">
        <w:rPr>
          <w:rFonts w:ascii="Times New Roman" w:hAnsi="Times New Roman" w:cs="Times New Roman"/>
          <w:szCs w:val="24"/>
        </w:rPr>
        <w:t xml:space="preserve">w </w:t>
      </w:r>
      <w:r w:rsidR="00C91FC3" w:rsidRPr="00C738AF">
        <w:rPr>
          <w:rFonts w:ascii="Times New Roman" w:hAnsi="Times New Roman" w:cs="Times New Roman"/>
          <w:szCs w:val="24"/>
        </w:rPr>
        <w:t>dni</w:t>
      </w:r>
      <w:r w:rsidR="0017401A" w:rsidRPr="00C738AF">
        <w:rPr>
          <w:rFonts w:ascii="Times New Roman" w:hAnsi="Times New Roman" w:cs="Times New Roman"/>
          <w:szCs w:val="24"/>
        </w:rPr>
        <w:t>u</w:t>
      </w:r>
      <w:r w:rsidR="00C91FC3" w:rsidRPr="00C738AF">
        <w:rPr>
          <w:rFonts w:ascii="Times New Roman" w:hAnsi="Times New Roman" w:cs="Times New Roman"/>
          <w:szCs w:val="24"/>
        </w:rPr>
        <w:t xml:space="preserve"> 16 stycznia 2020 r. między sektorem rybołówstwa rekreacyjnego, reprezentowanym przez Sztab Kryzysowy Armatorów Rybołówstwa Rekreacyjnego</w:t>
      </w:r>
      <w:r w:rsidR="0017401A" w:rsidRPr="00C738AF">
        <w:rPr>
          <w:rFonts w:ascii="Times New Roman" w:hAnsi="Times New Roman" w:cs="Times New Roman"/>
          <w:szCs w:val="24"/>
        </w:rPr>
        <w:t>,</w:t>
      </w:r>
      <w:r w:rsidR="00C91FC3" w:rsidRPr="00C738AF">
        <w:rPr>
          <w:rFonts w:ascii="Times New Roman" w:hAnsi="Times New Roman" w:cs="Times New Roman"/>
          <w:szCs w:val="24"/>
        </w:rPr>
        <w:t xml:space="preserve"> a Ministrem Gospodarki Morskiej i Żeglugi Śródlądowej w</w:t>
      </w:r>
      <w:r w:rsidR="000D6FDC" w:rsidRPr="00C738AF">
        <w:rPr>
          <w:rFonts w:ascii="Times New Roman" w:hAnsi="Times New Roman" w:cs="Times New Roman"/>
          <w:szCs w:val="24"/>
        </w:rPr>
        <w:t> </w:t>
      </w:r>
      <w:r w:rsidR="00C91FC3" w:rsidRPr="00C738AF">
        <w:rPr>
          <w:rFonts w:ascii="Times New Roman" w:hAnsi="Times New Roman" w:cs="Times New Roman"/>
          <w:szCs w:val="24"/>
        </w:rPr>
        <w:t xml:space="preserve">swojej </w:t>
      </w:r>
      <w:r w:rsidR="00673C6C">
        <w:rPr>
          <w:rFonts w:ascii="Times New Roman" w:hAnsi="Times New Roman" w:cs="Times New Roman"/>
          <w:szCs w:val="24"/>
        </w:rPr>
        <w:t>p</w:t>
      </w:r>
      <w:r w:rsidR="00C91FC3" w:rsidRPr="00C738AF">
        <w:rPr>
          <w:rFonts w:ascii="Times New Roman" w:hAnsi="Times New Roman" w:cs="Times New Roman"/>
          <w:szCs w:val="24"/>
        </w:rPr>
        <w:t xml:space="preserve">reambule </w:t>
      </w:r>
      <w:r w:rsidR="000D6FDC" w:rsidRPr="00C738AF">
        <w:rPr>
          <w:rFonts w:ascii="Times New Roman" w:hAnsi="Times New Roman" w:cs="Times New Roman"/>
          <w:szCs w:val="24"/>
        </w:rPr>
        <w:t>wskazuje</w:t>
      </w:r>
      <w:r w:rsidR="00C91FC3" w:rsidRPr="00C738AF">
        <w:rPr>
          <w:rFonts w:ascii="Times New Roman" w:hAnsi="Times New Roman" w:cs="Times New Roman"/>
          <w:szCs w:val="24"/>
        </w:rPr>
        <w:t>, że „w celu rozwiązania trudnej sytuacji sektora rybołówstwa rekreacyjnego w związku z wprowadzeniem ograniczeń połowu dorsza na Morzu Bałtyckim od dnia 1 stycznia 2020 r. Minister Gospodarki Morskiej i Żeglugi Śródlądowej podejmie międzyresortowe uzgodnienia z Ministrem Klimatu w sprawie uzyskania pomocy finansowej z</w:t>
      </w:r>
      <w:r w:rsidR="000D6FDC" w:rsidRPr="00C738AF">
        <w:rPr>
          <w:rFonts w:ascii="Times New Roman" w:hAnsi="Times New Roman" w:cs="Times New Roman"/>
          <w:szCs w:val="24"/>
        </w:rPr>
        <w:t> </w:t>
      </w:r>
      <w:r w:rsidR="00C91FC3" w:rsidRPr="00C738AF">
        <w:rPr>
          <w:rFonts w:ascii="Times New Roman" w:hAnsi="Times New Roman" w:cs="Times New Roman"/>
          <w:szCs w:val="24"/>
        </w:rPr>
        <w:t>Narodowego Funduszu Ochrony Środowiska i Gospodarki Wodnej dla armatorów statków rybołówstwa rekreacyjnego. Jednocześnie Minister deklaruje zakończenie tych prac do końca I kwartału 2020 r.”.</w:t>
      </w:r>
      <w:r w:rsidR="00312AB3" w:rsidRPr="00C738AF">
        <w:rPr>
          <w:rFonts w:ascii="Times New Roman" w:hAnsi="Times New Roman" w:cs="Times New Roman"/>
          <w:szCs w:val="24"/>
        </w:rPr>
        <w:t xml:space="preserve"> Z porozumienia tego w pełni się nie wywiązano.</w:t>
      </w:r>
    </w:p>
    <w:p w14:paraId="71E2BEE3" w14:textId="49C73A97" w:rsidR="000B71D1" w:rsidRPr="00C738AF" w:rsidRDefault="000B71D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 ramach rozporządzenia Ministra Gospodarki Morskiej i Żeglugi Śródlądowej z dnia 26 czerwca 2020 r. w sprawie szczegółowych warunków wsparcia finansowego właścicieli albo armatorów jachtów komercyjnych, z których są prowadzone połowy rekreacyjne (Dz.</w:t>
      </w:r>
      <w:r w:rsidR="00673C6C">
        <w:rPr>
          <w:rFonts w:ascii="Times New Roman" w:hAnsi="Times New Roman" w:cs="Times New Roman"/>
          <w:szCs w:val="24"/>
        </w:rPr>
        <w:t> </w:t>
      </w:r>
      <w:r w:rsidRPr="00C738AF">
        <w:rPr>
          <w:rFonts w:ascii="Times New Roman" w:hAnsi="Times New Roman" w:cs="Times New Roman"/>
          <w:szCs w:val="24"/>
        </w:rPr>
        <w:t>U. poz.</w:t>
      </w:r>
      <w:r w:rsidR="00673C6C">
        <w:rPr>
          <w:rFonts w:ascii="Times New Roman" w:hAnsi="Times New Roman" w:cs="Times New Roman"/>
          <w:szCs w:val="24"/>
        </w:rPr>
        <w:t> </w:t>
      </w:r>
      <w:r w:rsidRPr="00C738AF">
        <w:rPr>
          <w:rFonts w:ascii="Times New Roman" w:hAnsi="Times New Roman" w:cs="Times New Roman"/>
          <w:szCs w:val="24"/>
        </w:rPr>
        <w:t xml:space="preserve">1167) armatorzy w związku z pandemią COVID-19 oraz utraconymi w związku z nią zyskami mogli liczyć na wsparcie finansowe za złomowanie jachtu albo przystosowanie jachtu komercyjnego do wykonywania innej działalności. Wsparcie </w:t>
      </w:r>
      <w:r w:rsidR="0008026D" w:rsidRPr="00C738AF">
        <w:rPr>
          <w:rFonts w:ascii="Times New Roman" w:hAnsi="Times New Roman" w:cs="Times New Roman"/>
          <w:szCs w:val="24"/>
        </w:rPr>
        <w:t xml:space="preserve">finansowe </w:t>
      </w:r>
      <w:r w:rsidRPr="00C738AF">
        <w:rPr>
          <w:rFonts w:ascii="Times New Roman" w:hAnsi="Times New Roman" w:cs="Times New Roman"/>
          <w:szCs w:val="24"/>
        </w:rPr>
        <w:t>przyznawano w formie jednorazowej rekompensaty, która wynosiła do 200</w:t>
      </w:r>
      <w:r w:rsidR="00673C6C">
        <w:rPr>
          <w:rFonts w:ascii="Times New Roman" w:hAnsi="Times New Roman" w:cs="Times New Roman"/>
          <w:szCs w:val="24"/>
        </w:rPr>
        <w:t> </w:t>
      </w:r>
      <w:r w:rsidRPr="00C738AF">
        <w:rPr>
          <w:rFonts w:ascii="Times New Roman" w:hAnsi="Times New Roman" w:cs="Times New Roman"/>
          <w:szCs w:val="24"/>
        </w:rPr>
        <w:t>000</w:t>
      </w:r>
      <w:r w:rsidR="00673C6C">
        <w:rPr>
          <w:rFonts w:ascii="Times New Roman" w:hAnsi="Times New Roman" w:cs="Times New Roman"/>
          <w:szCs w:val="24"/>
        </w:rPr>
        <w:t> </w:t>
      </w:r>
      <w:r w:rsidRPr="00C738AF">
        <w:rPr>
          <w:rFonts w:ascii="Times New Roman" w:hAnsi="Times New Roman" w:cs="Times New Roman"/>
          <w:szCs w:val="24"/>
        </w:rPr>
        <w:t xml:space="preserve">zł na jeden jacht, zarówno w przypadku złomowania jachtu, przekazania, jak i przystosowania go do </w:t>
      </w:r>
      <w:r w:rsidR="0030735B" w:rsidRPr="00C738AF">
        <w:rPr>
          <w:rFonts w:ascii="Times New Roman" w:hAnsi="Times New Roman" w:cs="Times New Roman"/>
          <w:szCs w:val="24"/>
        </w:rPr>
        <w:t>prowadzenia</w:t>
      </w:r>
      <w:r w:rsidRPr="00C738AF">
        <w:rPr>
          <w:rFonts w:ascii="Times New Roman" w:hAnsi="Times New Roman" w:cs="Times New Roman"/>
          <w:szCs w:val="24"/>
        </w:rPr>
        <w:t xml:space="preserve"> działalności innej niż wskazana w art. 5 pkt 9 lit. c ustawy o bezpieczeństwie morskim.</w:t>
      </w:r>
    </w:p>
    <w:p w14:paraId="22C1FCF5" w14:textId="2B2A801B" w:rsidR="000B71D1" w:rsidRPr="00C738AF" w:rsidRDefault="000B71D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 2020 r</w:t>
      </w:r>
      <w:r w:rsidR="0017401A" w:rsidRPr="00C738AF">
        <w:rPr>
          <w:rFonts w:ascii="Times New Roman" w:hAnsi="Times New Roman" w:cs="Times New Roman"/>
          <w:szCs w:val="24"/>
        </w:rPr>
        <w:t>.</w:t>
      </w:r>
      <w:r w:rsidRPr="00C738AF">
        <w:rPr>
          <w:rFonts w:ascii="Times New Roman" w:hAnsi="Times New Roman" w:cs="Times New Roman"/>
          <w:szCs w:val="24"/>
        </w:rPr>
        <w:t xml:space="preserve"> udzielono wsparcia finansowego w łącznej kwocie 14</w:t>
      </w:r>
      <w:r w:rsidR="00673C6C">
        <w:rPr>
          <w:rFonts w:ascii="Times New Roman" w:hAnsi="Times New Roman" w:cs="Times New Roman"/>
          <w:szCs w:val="24"/>
        </w:rPr>
        <w:t> </w:t>
      </w:r>
      <w:r w:rsidRPr="00C738AF">
        <w:rPr>
          <w:rFonts w:ascii="Times New Roman" w:hAnsi="Times New Roman" w:cs="Times New Roman"/>
          <w:szCs w:val="24"/>
        </w:rPr>
        <w:t>000</w:t>
      </w:r>
      <w:r w:rsidR="00673C6C">
        <w:rPr>
          <w:rFonts w:ascii="Times New Roman" w:hAnsi="Times New Roman" w:cs="Times New Roman"/>
          <w:szCs w:val="24"/>
        </w:rPr>
        <w:t> </w:t>
      </w:r>
      <w:r w:rsidRPr="00C738AF">
        <w:rPr>
          <w:rFonts w:ascii="Times New Roman" w:hAnsi="Times New Roman" w:cs="Times New Roman"/>
          <w:szCs w:val="24"/>
        </w:rPr>
        <w:t>000</w:t>
      </w:r>
      <w:r w:rsidR="00673C6C">
        <w:rPr>
          <w:rFonts w:ascii="Times New Roman" w:hAnsi="Times New Roman" w:cs="Times New Roman"/>
          <w:szCs w:val="24"/>
        </w:rPr>
        <w:t> </w:t>
      </w:r>
      <w:r w:rsidRPr="00C738AF">
        <w:rPr>
          <w:rFonts w:ascii="Times New Roman" w:hAnsi="Times New Roman" w:cs="Times New Roman"/>
          <w:szCs w:val="24"/>
        </w:rPr>
        <w:t>zł</w:t>
      </w:r>
      <w:r w:rsidR="0017401A" w:rsidRPr="00C738AF">
        <w:rPr>
          <w:rFonts w:ascii="Times New Roman" w:hAnsi="Times New Roman" w:cs="Times New Roman"/>
          <w:szCs w:val="24"/>
        </w:rPr>
        <w:t>, które</w:t>
      </w:r>
      <w:r w:rsidRPr="00C738AF">
        <w:rPr>
          <w:rFonts w:ascii="Times New Roman" w:hAnsi="Times New Roman" w:cs="Times New Roman"/>
          <w:szCs w:val="24"/>
        </w:rPr>
        <w:t xml:space="preserve"> zostało wypłacone wszystkim wnioskodawcom, którzy spełnili warunki jego przyznania. Rozpatrzono 107 spraw, z czego 58 wniosków spełniło warunki przyznania wsparcia</w:t>
      </w:r>
      <w:r w:rsidR="0008026D" w:rsidRPr="00C738AF">
        <w:rPr>
          <w:rFonts w:ascii="Times New Roman" w:hAnsi="Times New Roman" w:cs="Times New Roman"/>
          <w:szCs w:val="24"/>
        </w:rPr>
        <w:t xml:space="preserve"> finansowego</w:t>
      </w:r>
      <w:r w:rsidRPr="00C738AF">
        <w:rPr>
          <w:rFonts w:ascii="Times New Roman" w:hAnsi="Times New Roman" w:cs="Times New Roman"/>
          <w:szCs w:val="24"/>
        </w:rPr>
        <w:t>.</w:t>
      </w:r>
    </w:p>
    <w:p w14:paraId="07120B77" w14:textId="4C1EE4B0" w:rsidR="000B71D1" w:rsidRPr="00C738AF" w:rsidRDefault="000B71D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Rozporządzenie stanowiło wykonanie delegacji ustawowej zawartej w art. 15ma ust.</w:t>
      </w:r>
      <w:r w:rsidR="00673C6C">
        <w:rPr>
          <w:rFonts w:ascii="Times New Roman" w:hAnsi="Times New Roman" w:cs="Times New Roman"/>
          <w:szCs w:val="24"/>
        </w:rPr>
        <w:t> </w:t>
      </w:r>
      <w:r w:rsidRPr="00C738AF">
        <w:rPr>
          <w:rFonts w:ascii="Times New Roman" w:hAnsi="Times New Roman" w:cs="Times New Roman"/>
          <w:szCs w:val="24"/>
        </w:rPr>
        <w:t>5 ustawy z dnia 2 marca 2020 r. o</w:t>
      </w:r>
      <w:r w:rsidR="00673C6C">
        <w:rPr>
          <w:rFonts w:ascii="Times New Roman" w:hAnsi="Times New Roman" w:cs="Times New Roman"/>
          <w:szCs w:val="24"/>
        </w:rPr>
        <w:t xml:space="preserve"> </w:t>
      </w:r>
      <w:r w:rsidRPr="00C738AF">
        <w:rPr>
          <w:rFonts w:ascii="Times New Roman" w:hAnsi="Times New Roman" w:cs="Times New Roman"/>
          <w:szCs w:val="24"/>
        </w:rPr>
        <w:t>szczególnych rozwiązaniach związanych z zapobieganiem, przeciwdziałaniem i zwalczaniem COVID-19, innych chorób zakaźnych oraz wywołanych nimi sytuacji kryzysowych (Dz. U. z 202</w:t>
      </w:r>
      <w:r w:rsidR="00673C6C">
        <w:rPr>
          <w:rFonts w:ascii="Times New Roman" w:hAnsi="Times New Roman" w:cs="Times New Roman"/>
          <w:szCs w:val="24"/>
        </w:rPr>
        <w:t>5</w:t>
      </w:r>
      <w:r w:rsidRPr="00C738AF">
        <w:rPr>
          <w:rFonts w:ascii="Times New Roman" w:hAnsi="Times New Roman" w:cs="Times New Roman"/>
          <w:szCs w:val="24"/>
        </w:rPr>
        <w:t xml:space="preserve"> r. poz. </w:t>
      </w:r>
      <w:r w:rsidR="00673C6C">
        <w:rPr>
          <w:rFonts w:ascii="Times New Roman" w:hAnsi="Times New Roman" w:cs="Times New Roman"/>
          <w:szCs w:val="24"/>
        </w:rPr>
        <w:t>764</w:t>
      </w:r>
      <w:r w:rsidRPr="00C738AF">
        <w:rPr>
          <w:rFonts w:ascii="Times New Roman" w:hAnsi="Times New Roman" w:cs="Times New Roman"/>
          <w:szCs w:val="24"/>
        </w:rPr>
        <w:t>).</w:t>
      </w:r>
    </w:p>
    <w:p w14:paraId="376FAF4A" w14:textId="583808FB" w:rsidR="00FB6AED" w:rsidRPr="00C738AF" w:rsidRDefault="000B71D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lastRenderedPageBreak/>
        <w:t>Rozporządzenie było związane z potrzebą udzielenia wsparcia finansowego właścicielom albo armatorom jachtów komercyjnych, którzy wskutek wprowadzonego rozporządzeniem Ministra Zdrowia z dnia 20 marca 2020 r. w sprawie ogłoszenia na obszarze Rzeczypospolitej Polskiej stanu epidemii (Dz. U. z 2022 r. poz. 340), na terenie Rzeczypospolitej Polskiej od dnia 20 marca 2020 r. do odwołania stanu epidemii, związanego z zakażeniami wirusem SARS-CoV-2, zwanym „koronawirusem”, nie mogli prowadzić działalności, o której mowa w art.</w:t>
      </w:r>
      <w:r w:rsidR="00673C6C">
        <w:rPr>
          <w:rFonts w:ascii="Times New Roman" w:hAnsi="Times New Roman" w:cs="Times New Roman"/>
          <w:szCs w:val="24"/>
        </w:rPr>
        <w:t> </w:t>
      </w:r>
      <w:r w:rsidRPr="00C738AF">
        <w:rPr>
          <w:rFonts w:ascii="Times New Roman" w:hAnsi="Times New Roman" w:cs="Times New Roman"/>
          <w:szCs w:val="24"/>
        </w:rPr>
        <w:t xml:space="preserve">5 pkt 9 lit. c ustawy o bezpieczeństwie morskim, </w:t>
      </w:r>
      <w:r w:rsidR="006E10BD" w:rsidRPr="00C738AF">
        <w:rPr>
          <w:rFonts w:ascii="Times New Roman" w:hAnsi="Times New Roman" w:cs="Times New Roman"/>
          <w:szCs w:val="24"/>
        </w:rPr>
        <w:t xml:space="preserve">polegającej </w:t>
      </w:r>
      <w:r w:rsidRPr="00C738AF">
        <w:rPr>
          <w:rFonts w:ascii="Times New Roman" w:hAnsi="Times New Roman" w:cs="Times New Roman"/>
          <w:szCs w:val="24"/>
        </w:rPr>
        <w:t xml:space="preserve">na odpłatnym udostępnieniu jachtu komercyjnego w celach połowu organizmów morskich na podstawie sportowego zezwolenia połowowego zgodnie z przepisami o rybołówstwie. </w:t>
      </w:r>
      <w:r w:rsidR="00FB6AED" w:rsidRPr="00C738AF">
        <w:rPr>
          <w:rFonts w:ascii="Times New Roman" w:hAnsi="Times New Roman" w:cs="Times New Roman"/>
          <w:szCs w:val="24"/>
        </w:rPr>
        <w:t>Biorąc powyższe pod uwagę</w:t>
      </w:r>
      <w:r w:rsidR="0017401A" w:rsidRPr="00C738AF">
        <w:rPr>
          <w:rFonts w:ascii="Times New Roman" w:hAnsi="Times New Roman" w:cs="Times New Roman"/>
          <w:szCs w:val="24"/>
        </w:rPr>
        <w:t>,</w:t>
      </w:r>
      <w:r w:rsidR="00FB6AED" w:rsidRPr="00C738AF">
        <w:rPr>
          <w:rFonts w:ascii="Times New Roman" w:hAnsi="Times New Roman" w:cs="Times New Roman"/>
          <w:szCs w:val="24"/>
        </w:rPr>
        <w:t xml:space="preserve"> należy więc wskazać, że armatorzy </w:t>
      </w:r>
      <w:r w:rsidR="0096254E" w:rsidRPr="00C738AF">
        <w:rPr>
          <w:rFonts w:ascii="Times New Roman" w:hAnsi="Times New Roman" w:cs="Times New Roman"/>
          <w:szCs w:val="24"/>
        </w:rPr>
        <w:t>jednostek pływających</w:t>
      </w:r>
      <w:r w:rsidR="00FB6AED" w:rsidRPr="00C738AF">
        <w:rPr>
          <w:rFonts w:ascii="Times New Roman" w:hAnsi="Times New Roman" w:cs="Times New Roman"/>
          <w:szCs w:val="24"/>
        </w:rPr>
        <w:t xml:space="preserve"> do czasu wejścia w życie projektowanej ustawy pozbawieni zostali systemowego ochronnego rozwiązania umożliwiającego przebranżowienie lub restrukturyzację prowadzonej działalności gospodarczej, która w pełni pokryłaby straty spowodowane wprowadzeniem w dniu 1 stycznia 2020 r. zakazu połowu dorsza na Morzu Bałtyckim.</w:t>
      </w:r>
    </w:p>
    <w:p w14:paraId="72C5735B" w14:textId="3386E7F6" w:rsidR="00FB6AED" w:rsidRPr="00C738AF" w:rsidRDefault="00FB6AE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Jednocześnie należy wskazać, że ww. </w:t>
      </w:r>
      <w:r w:rsidR="006E10BD" w:rsidRPr="00C738AF">
        <w:rPr>
          <w:rFonts w:ascii="Times New Roman" w:hAnsi="Times New Roman" w:cs="Times New Roman"/>
          <w:szCs w:val="24"/>
        </w:rPr>
        <w:t xml:space="preserve">rozporządzenie </w:t>
      </w:r>
      <w:r w:rsidRPr="00C738AF">
        <w:rPr>
          <w:rFonts w:ascii="Times New Roman" w:hAnsi="Times New Roman" w:cs="Times New Roman"/>
          <w:szCs w:val="24"/>
        </w:rPr>
        <w:t>oraz jego wdrożenie było przedmiotem kontroli Na</w:t>
      </w:r>
      <w:r w:rsidR="00BE0916" w:rsidRPr="00C738AF">
        <w:rPr>
          <w:rFonts w:ascii="Times New Roman" w:hAnsi="Times New Roman" w:cs="Times New Roman"/>
          <w:szCs w:val="24"/>
        </w:rPr>
        <w:t>jwyższej</w:t>
      </w:r>
      <w:r w:rsidRPr="00C738AF">
        <w:rPr>
          <w:rFonts w:ascii="Times New Roman" w:hAnsi="Times New Roman" w:cs="Times New Roman"/>
          <w:szCs w:val="24"/>
        </w:rPr>
        <w:t xml:space="preserve"> Izby Kontroli, która w swoim raporcie negatywnie oceniła sposób jego wdrożenia. Biorąc powyższe pod uwagę</w:t>
      </w:r>
      <w:r w:rsidR="0017401A" w:rsidRPr="00C738AF">
        <w:rPr>
          <w:rFonts w:ascii="Times New Roman" w:hAnsi="Times New Roman" w:cs="Times New Roman"/>
          <w:szCs w:val="24"/>
        </w:rPr>
        <w:t>,</w:t>
      </w:r>
      <w:r w:rsidRPr="00C738AF">
        <w:rPr>
          <w:rFonts w:ascii="Times New Roman" w:hAnsi="Times New Roman" w:cs="Times New Roman"/>
          <w:szCs w:val="24"/>
        </w:rPr>
        <w:t xml:space="preserve"> należy zauważyć, że alternatywna metoda udzielenia </w:t>
      </w:r>
      <w:r w:rsidR="002E675A" w:rsidRPr="00C738AF">
        <w:rPr>
          <w:rFonts w:ascii="Times New Roman" w:hAnsi="Times New Roman" w:cs="Times New Roman"/>
          <w:szCs w:val="24"/>
        </w:rPr>
        <w:t>wspa</w:t>
      </w:r>
      <w:r w:rsidR="005E3EC2" w:rsidRPr="00C738AF">
        <w:rPr>
          <w:rFonts w:ascii="Times New Roman" w:hAnsi="Times New Roman" w:cs="Times New Roman"/>
          <w:szCs w:val="24"/>
        </w:rPr>
        <w:t>r</w:t>
      </w:r>
      <w:r w:rsidR="002E675A" w:rsidRPr="00C738AF">
        <w:rPr>
          <w:rFonts w:ascii="Times New Roman" w:hAnsi="Times New Roman" w:cs="Times New Roman"/>
          <w:szCs w:val="24"/>
        </w:rPr>
        <w:t xml:space="preserve">cia </w:t>
      </w:r>
      <w:r w:rsidR="0008026D" w:rsidRPr="00C738AF">
        <w:rPr>
          <w:rFonts w:ascii="Times New Roman" w:hAnsi="Times New Roman" w:cs="Times New Roman"/>
          <w:szCs w:val="24"/>
        </w:rPr>
        <w:t xml:space="preserve">finansowego </w:t>
      </w:r>
      <w:r w:rsidRPr="00C738AF">
        <w:rPr>
          <w:rFonts w:ascii="Times New Roman" w:hAnsi="Times New Roman" w:cs="Times New Roman"/>
          <w:szCs w:val="24"/>
        </w:rPr>
        <w:t>przez wydanie rozporządzenia przez Ministra Infrastruktury mogłaby spotkać się z podobną krytyką</w:t>
      </w:r>
      <w:r w:rsidR="00FF45BD" w:rsidRPr="00C738AF">
        <w:rPr>
          <w:rFonts w:ascii="Times New Roman" w:hAnsi="Times New Roman" w:cs="Times New Roman"/>
          <w:szCs w:val="24"/>
        </w:rPr>
        <w:t>. W</w:t>
      </w:r>
      <w:r w:rsidRPr="00C738AF">
        <w:rPr>
          <w:rFonts w:ascii="Times New Roman" w:hAnsi="Times New Roman" w:cs="Times New Roman"/>
          <w:szCs w:val="24"/>
        </w:rPr>
        <w:t xml:space="preserve">obec powyższego </w:t>
      </w:r>
      <w:r w:rsidR="005F3776" w:rsidRPr="00C738AF">
        <w:rPr>
          <w:rFonts w:ascii="Times New Roman" w:hAnsi="Times New Roman" w:cs="Times New Roman"/>
          <w:szCs w:val="24"/>
        </w:rPr>
        <w:t xml:space="preserve">projektowana </w:t>
      </w:r>
      <w:r w:rsidRPr="00C738AF">
        <w:rPr>
          <w:rFonts w:ascii="Times New Roman" w:hAnsi="Times New Roman" w:cs="Times New Roman"/>
          <w:szCs w:val="24"/>
        </w:rPr>
        <w:t>ustawa wydaje się jed</w:t>
      </w:r>
      <w:r w:rsidR="006E10BD" w:rsidRPr="00C738AF">
        <w:rPr>
          <w:rFonts w:ascii="Times New Roman" w:hAnsi="Times New Roman" w:cs="Times New Roman"/>
          <w:szCs w:val="24"/>
        </w:rPr>
        <w:t>y</w:t>
      </w:r>
      <w:r w:rsidRPr="00C738AF">
        <w:rPr>
          <w:rFonts w:ascii="Times New Roman" w:hAnsi="Times New Roman" w:cs="Times New Roman"/>
          <w:szCs w:val="24"/>
        </w:rPr>
        <w:t xml:space="preserve">ną możliwością udzielenia </w:t>
      </w:r>
      <w:r w:rsidR="00A156B5" w:rsidRPr="00C738AF">
        <w:rPr>
          <w:rFonts w:ascii="Times New Roman" w:hAnsi="Times New Roman" w:cs="Times New Roman"/>
          <w:szCs w:val="24"/>
        </w:rPr>
        <w:t>rekompensaty za straty poniesione przez armatorów jednostek pływających spowodowane wprowadzeniem w dniu 1 stycznia 2020 r. całkowitego zakazu połowu dorsza na Morzu Bałtyckim</w:t>
      </w:r>
      <w:r w:rsidR="001D2981" w:rsidRPr="00C738AF">
        <w:rPr>
          <w:rFonts w:ascii="Times New Roman" w:hAnsi="Times New Roman" w:cs="Times New Roman"/>
          <w:szCs w:val="24"/>
        </w:rPr>
        <w:t>.</w:t>
      </w:r>
    </w:p>
    <w:p w14:paraId="191AAB81" w14:textId="63678EDF" w:rsidR="0094458D" w:rsidRPr="00C738AF" w:rsidRDefault="005F3776"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Projektowana u</w:t>
      </w:r>
      <w:r w:rsidR="0094458D" w:rsidRPr="00C738AF">
        <w:rPr>
          <w:rFonts w:ascii="Times New Roman" w:hAnsi="Times New Roman" w:cs="Times New Roman"/>
          <w:szCs w:val="24"/>
        </w:rPr>
        <w:t xml:space="preserve">stawa nie przewiduje wykluczenia wnioskodawców, którzy uzyskali </w:t>
      </w:r>
      <w:r w:rsidR="0042595C" w:rsidRPr="00C738AF">
        <w:rPr>
          <w:rFonts w:ascii="Times New Roman" w:hAnsi="Times New Roman" w:cs="Times New Roman"/>
          <w:szCs w:val="24"/>
        </w:rPr>
        <w:t>wsparcie finansowe</w:t>
      </w:r>
      <w:r w:rsidR="0094458D" w:rsidRPr="00C738AF">
        <w:rPr>
          <w:rFonts w:ascii="Times New Roman" w:hAnsi="Times New Roman" w:cs="Times New Roman"/>
          <w:szCs w:val="24"/>
        </w:rPr>
        <w:t xml:space="preserve"> na podstawie rozporządzenia Ministra Gospodarki Morskiej i Żeglugi Śródlądowej z dnia 26 czerwca 2020 r. w sprawie szczegółowych warunków wsparcia finansowego właścicieli albo armatorów jachtów komercyjnych, z których są prowadzone połowy rekreacyjne.</w:t>
      </w:r>
    </w:p>
    <w:p w14:paraId="12D60FDA" w14:textId="78BD653D" w:rsidR="005E3EC2" w:rsidRPr="00C738AF" w:rsidRDefault="005F3776"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Projektowana u</w:t>
      </w:r>
      <w:r w:rsidR="000614DC" w:rsidRPr="00C738AF">
        <w:rPr>
          <w:rFonts w:ascii="Times New Roman" w:hAnsi="Times New Roman" w:cs="Times New Roman"/>
          <w:szCs w:val="24"/>
        </w:rPr>
        <w:t>stawa przewiduje wsparcie finansowe skierowane do armatorów jednostek pływających, w przypa</w:t>
      </w:r>
      <w:r w:rsidR="001D2981" w:rsidRPr="00C738AF">
        <w:rPr>
          <w:rFonts w:ascii="Times New Roman" w:hAnsi="Times New Roman" w:cs="Times New Roman"/>
          <w:szCs w:val="24"/>
        </w:rPr>
        <w:t>dku</w:t>
      </w:r>
      <w:r w:rsidR="00673C6C">
        <w:rPr>
          <w:rFonts w:ascii="Times New Roman" w:hAnsi="Times New Roman" w:cs="Times New Roman"/>
          <w:szCs w:val="24"/>
        </w:rPr>
        <w:t>,</w:t>
      </w:r>
      <w:r w:rsidR="001D2981" w:rsidRPr="00C738AF">
        <w:rPr>
          <w:rFonts w:ascii="Times New Roman" w:hAnsi="Times New Roman" w:cs="Times New Roman"/>
          <w:szCs w:val="24"/>
        </w:rPr>
        <w:t xml:space="preserve"> kiedy armator </w:t>
      </w:r>
      <w:r w:rsidR="008A057B" w:rsidRPr="00C738AF">
        <w:rPr>
          <w:rFonts w:ascii="Times New Roman" w:hAnsi="Times New Roman" w:cs="Times New Roman"/>
          <w:szCs w:val="24"/>
        </w:rPr>
        <w:t>przekazał jednostkę pływającą do złomowania albo zobowiązał się do przekazania jednostki pływającej do złomowania w terminie 120 dni od dnia otrzymania wsparcia finansowego albo nieodpłatnie przekazał jednostkę pływającą organowi administracji publicznej albo szkole publicznej na cele niezwiązane z wykonywaniem działalności gospodarczej</w:t>
      </w:r>
      <w:r w:rsidR="001D2981" w:rsidRPr="00C738AF">
        <w:rPr>
          <w:rFonts w:ascii="Times New Roman" w:hAnsi="Times New Roman" w:cs="Times New Roman"/>
          <w:szCs w:val="24"/>
        </w:rPr>
        <w:t>.</w:t>
      </w:r>
    </w:p>
    <w:p w14:paraId="23476B87" w14:textId="5716289A" w:rsidR="003F7B45" w:rsidRPr="00C738AF" w:rsidRDefault="003F7B45" w:rsidP="000B4EB4">
      <w:pPr>
        <w:pStyle w:val="ARTartustawynprozporzdzenia"/>
        <w:rPr>
          <w:rFonts w:ascii="Times New Roman" w:hAnsi="Times New Roman" w:cs="Times New Roman"/>
          <w:szCs w:val="24"/>
        </w:rPr>
      </w:pPr>
      <w:r w:rsidRPr="00C738AF">
        <w:rPr>
          <w:rFonts w:ascii="Times New Roman" w:hAnsi="Times New Roman" w:cs="Times New Roman"/>
          <w:szCs w:val="24"/>
        </w:rPr>
        <w:lastRenderedPageBreak/>
        <w:t>Projektowana ustawa przewiduje 120 dniowy termin na przekazanie jednostki pływającej do złomowania od dnia otrzymania wsparcia finansowego. Termin ten został uzgodniony ze stroną społeczną i wynika zarówno z potrzeby wypełnienia wszelkich formalności przez armatorów jednostek pływających, jak i ze znanych „mocy przerobowych” podmiotów mających wykonać złomowanie jednostek pływających. Kwestia ta była również poruszana przez przedstawicieli urzędów morskich.</w:t>
      </w:r>
    </w:p>
    <w:p w14:paraId="4AEA2B96" w14:textId="646F1372" w:rsidR="00F553E0" w:rsidRPr="00C738AF" w:rsidRDefault="00F553E0" w:rsidP="000B4EB4">
      <w:pPr>
        <w:pStyle w:val="ARTartustawynprozporzdzenia"/>
        <w:rPr>
          <w:rFonts w:ascii="Times New Roman" w:hAnsi="Times New Roman" w:cs="Times New Roman"/>
          <w:szCs w:val="24"/>
        </w:rPr>
      </w:pPr>
      <w:r w:rsidRPr="00C738AF">
        <w:rPr>
          <w:rFonts w:ascii="Times New Roman" w:hAnsi="Times New Roman" w:cs="Times New Roman"/>
          <w:szCs w:val="24"/>
        </w:rPr>
        <w:t>Umowa zawarta między armatorem jednostki pływającej a podmiotem wykonującym złomowanie jednostki pływającej przewiduje, że złomowanie zostanie zrealizowane w terminie nie dłuższym niż dwa lata od dnia jej zawarcia.</w:t>
      </w:r>
    </w:p>
    <w:p w14:paraId="1449DA9A" w14:textId="14E1D01F" w:rsidR="00FE0453" w:rsidRPr="00C738AF" w:rsidRDefault="007E4078" w:rsidP="000B4EB4">
      <w:pPr>
        <w:pStyle w:val="ARTartustawynprozporzdzenia"/>
        <w:rPr>
          <w:rFonts w:ascii="Times New Roman" w:hAnsi="Times New Roman" w:cs="Times New Roman"/>
          <w:szCs w:val="24"/>
        </w:rPr>
      </w:pPr>
      <w:r w:rsidRPr="00C738AF">
        <w:rPr>
          <w:rFonts w:ascii="Times New Roman" w:hAnsi="Times New Roman" w:cs="Times New Roman"/>
          <w:szCs w:val="24"/>
        </w:rPr>
        <w:t>Potwierdzeniem faktu przekazania jednostki pływającej do złomowania jest oświadczenie dołączane do wniosku składanego przez armatora jednostki pływającej lub przekazane przez podmiot, który będzie wykonywał złomowanie jednostki pływającej, w przypadku gdy armator zobowiąże się do złomowania jednostki w terminie 120 dni od dnia otrzymania wsparcia finansowego.</w:t>
      </w:r>
    </w:p>
    <w:p w14:paraId="1CD97BC1" w14:textId="597D9072" w:rsidR="00DC4418" w:rsidRPr="00C738AF" w:rsidRDefault="00A45554" w:rsidP="000B4EB4">
      <w:pPr>
        <w:pStyle w:val="ARTartustawynprozporzdzenia"/>
        <w:rPr>
          <w:rFonts w:ascii="Times New Roman" w:hAnsi="Times New Roman" w:cs="Times New Roman"/>
          <w:szCs w:val="24"/>
        </w:rPr>
      </w:pPr>
      <w:r w:rsidRPr="00C738AF">
        <w:rPr>
          <w:rFonts w:ascii="Times New Roman" w:hAnsi="Times New Roman" w:cs="Times New Roman"/>
          <w:szCs w:val="24"/>
        </w:rPr>
        <w:t>Zdecydowano się na udzielnie wsparcia finansowego w ww. przypadkach z powodu b</w:t>
      </w:r>
      <w:r w:rsidR="00DC4418" w:rsidRPr="00C738AF">
        <w:rPr>
          <w:rFonts w:ascii="Times New Roman" w:hAnsi="Times New Roman" w:cs="Times New Roman"/>
          <w:szCs w:val="24"/>
        </w:rPr>
        <w:t>rak</w:t>
      </w:r>
      <w:r w:rsidRPr="00C738AF">
        <w:rPr>
          <w:rFonts w:ascii="Times New Roman" w:hAnsi="Times New Roman" w:cs="Times New Roman"/>
          <w:szCs w:val="24"/>
        </w:rPr>
        <w:t>u</w:t>
      </w:r>
      <w:r w:rsidR="00DC4418" w:rsidRPr="00C738AF">
        <w:rPr>
          <w:rFonts w:ascii="Times New Roman" w:hAnsi="Times New Roman" w:cs="Times New Roman"/>
          <w:szCs w:val="24"/>
        </w:rPr>
        <w:t xml:space="preserve"> perspektyw powrotu do zawodu </w:t>
      </w:r>
      <w:r w:rsidRPr="00C738AF">
        <w:rPr>
          <w:rFonts w:ascii="Times New Roman" w:hAnsi="Times New Roman" w:cs="Times New Roman"/>
          <w:szCs w:val="24"/>
        </w:rPr>
        <w:t>w wyniku</w:t>
      </w:r>
      <w:r w:rsidR="00DC4418" w:rsidRPr="00C738AF">
        <w:rPr>
          <w:rFonts w:ascii="Times New Roman" w:hAnsi="Times New Roman" w:cs="Times New Roman"/>
          <w:szCs w:val="24"/>
        </w:rPr>
        <w:t xml:space="preserve"> zakazu połowu dorsza, który stanowił główne źródło utrzymania wielu </w:t>
      </w:r>
      <w:r w:rsidRPr="00C738AF">
        <w:rPr>
          <w:rFonts w:ascii="Times New Roman" w:hAnsi="Times New Roman" w:cs="Times New Roman"/>
          <w:szCs w:val="24"/>
        </w:rPr>
        <w:t>armatorów</w:t>
      </w:r>
      <w:r w:rsidR="00DC4418" w:rsidRPr="00C738AF">
        <w:rPr>
          <w:rFonts w:ascii="Times New Roman" w:hAnsi="Times New Roman" w:cs="Times New Roman"/>
          <w:szCs w:val="24"/>
        </w:rPr>
        <w:t xml:space="preserve">, </w:t>
      </w:r>
      <w:bookmarkStart w:id="0" w:name="_Hlk195867448"/>
      <w:r w:rsidR="00DC4418" w:rsidRPr="00C738AF">
        <w:rPr>
          <w:rFonts w:ascii="Times New Roman" w:hAnsi="Times New Roman" w:cs="Times New Roman"/>
          <w:szCs w:val="24"/>
        </w:rPr>
        <w:t xml:space="preserve">a także mając na uwadze </w:t>
      </w:r>
      <w:bookmarkEnd w:id="0"/>
      <w:r w:rsidR="00DC4418" w:rsidRPr="00C738AF">
        <w:rPr>
          <w:rFonts w:ascii="Times New Roman" w:hAnsi="Times New Roman" w:cs="Times New Roman"/>
          <w:szCs w:val="24"/>
        </w:rPr>
        <w:t>cumujące przy nabrzeżach nieeksploatowane jednostki</w:t>
      </w:r>
      <w:r w:rsidRPr="00C738AF">
        <w:rPr>
          <w:rFonts w:ascii="Times New Roman" w:hAnsi="Times New Roman" w:cs="Times New Roman"/>
          <w:szCs w:val="24"/>
        </w:rPr>
        <w:t xml:space="preserve"> pływające</w:t>
      </w:r>
      <w:r w:rsidR="00DC4418" w:rsidRPr="00C738AF">
        <w:rPr>
          <w:rFonts w:ascii="Times New Roman" w:hAnsi="Times New Roman" w:cs="Times New Roman"/>
          <w:szCs w:val="24"/>
        </w:rPr>
        <w:t>, które stopniowo niszczeją</w:t>
      </w:r>
      <w:r w:rsidRPr="00C738AF">
        <w:rPr>
          <w:rFonts w:ascii="Times New Roman" w:hAnsi="Times New Roman" w:cs="Times New Roman"/>
          <w:szCs w:val="24"/>
        </w:rPr>
        <w:t>.</w:t>
      </w:r>
      <w:r w:rsidR="00BA36D1" w:rsidRPr="00C738AF">
        <w:rPr>
          <w:rFonts w:ascii="Times New Roman" w:hAnsi="Times New Roman" w:cs="Times New Roman"/>
          <w:szCs w:val="24"/>
        </w:rPr>
        <w:t xml:space="preserve"> Rozwiązanie to przyjęto w wyniku konsultacji ze stroną społeczną. Armatorzy wskazywali na brak perspektyw na powrót do </w:t>
      </w:r>
      <w:r w:rsidR="008A7716" w:rsidRPr="00C738AF">
        <w:rPr>
          <w:rFonts w:ascii="Times New Roman" w:hAnsi="Times New Roman" w:cs="Times New Roman"/>
          <w:szCs w:val="24"/>
        </w:rPr>
        <w:t>zawodu.</w:t>
      </w:r>
    </w:p>
    <w:p w14:paraId="6FC6F1B8" w14:textId="68EABF25" w:rsidR="00F26972" w:rsidRPr="00C738AF" w:rsidRDefault="0008026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Armator jednostki pływającej</w:t>
      </w:r>
      <w:r w:rsidR="00F26972" w:rsidRPr="00C738AF">
        <w:rPr>
          <w:rFonts w:ascii="Times New Roman" w:hAnsi="Times New Roman" w:cs="Times New Roman"/>
          <w:szCs w:val="24"/>
        </w:rPr>
        <w:t xml:space="preserve"> składa wniosek o przyznanie wsparcia finansowego do dyrektora urzędu morskiego</w:t>
      </w:r>
      <w:r w:rsidR="00BE0916" w:rsidRPr="00C738AF">
        <w:rPr>
          <w:rFonts w:ascii="Times New Roman" w:hAnsi="Times New Roman" w:cs="Times New Roman"/>
          <w:szCs w:val="24"/>
        </w:rPr>
        <w:t xml:space="preserve"> właściwego ze względu na port macierzysty jednostki pływającej</w:t>
      </w:r>
      <w:r w:rsidR="00F26972" w:rsidRPr="00C738AF">
        <w:rPr>
          <w:rFonts w:ascii="Times New Roman" w:hAnsi="Times New Roman" w:cs="Times New Roman"/>
          <w:szCs w:val="24"/>
        </w:rPr>
        <w:t>.</w:t>
      </w:r>
    </w:p>
    <w:p w14:paraId="3C41F942" w14:textId="34AEE365" w:rsidR="00CC38BC" w:rsidRPr="00C738AF" w:rsidRDefault="00AD659B"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 przypadku innej grupy</w:t>
      </w:r>
      <w:r w:rsidR="00C55466" w:rsidRPr="00C738AF">
        <w:rPr>
          <w:rFonts w:ascii="Times New Roman" w:hAnsi="Times New Roman" w:cs="Times New Roman"/>
          <w:szCs w:val="24"/>
        </w:rPr>
        <w:t>,</w:t>
      </w:r>
      <w:r w:rsidRPr="00C738AF">
        <w:rPr>
          <w:rFonts w:ascii="Times New Roman" w:hAnsi="Times New Roman" w:cs="Times New Roman"/>
          <w:szCs w:val="24"/>
        </w:rPr>
        <w:t xml:space="preserve"> jaką są właściciele komercyjnych statków rybackich</w:t>
      </w:r>
      <w:r w:rsidR="00C55466" w:rsidRPr="00C738AF">
        <w:rPr>
          <w:rFonts w:ascii="Times New Roman" w:hAnsi="Times New Roman" w:cs="Times New Roman"/>
          <w:szCs w:val="24"/>
        </w:rPr>
        <w:t>,</w:t>
      </w:r>
      <w:r w:rsidRPr="00C738AF">
        <w:rPr>
          <w:rFonts w:ascii="Times New Roman" w:hAnsi="Times New Roman" w:cs="Times New Roman"/>
          <w:szCs w:val="24"/>
        </w:rPr>
        <w:t xml:space="preserve"> w ramach programu Fundusze Europejskie dla Rybactwa na lata 2021–2027, wdrażającego w Polsce Europejski Fundusz Morski, Rybacki i Akwakultury (rozporządzenie Parlamentu Europejskiego i Rady (UE) 2021/1139 z dnia 7 lipca 2021 r. ustanawiające Europejski Fundusz Morski, Rybacki i Akwakultury oraz zmieniające rozporządzenie (UE) 2017/1004</w:t>
      </w:r>
      <w:r w:rsidR="006D7801" w:rsidRPr="00C738AF">
        <w:rPr>
          <w:rFonts w:ascii="Times New Roman" w:hAnsi="Times New Roman" w:cs="Times New Roman"/>
          <w:szCs w:val="24"/>
        </w:rPr>
        <w:t xml:space="preserve"> (Dz.</w:t>
      </w:r>
      <w:r w:rsidR="00100148">
        <w:rPr>
          <w:rFonts w:ascii="Times New Roman" w:hAnsi="Times New Roman" w:cs="Times New Roman"/>
          <w:szCs w:val="24"/>
        </w:rPr>
        <w:t> </w:t>
      </w:r>
      <w:r w:rsidR="006D7801" w:rsidRPr="00C738AF">
        <w:rPr>
          <w:rFonts w:ascii="Times New Roman" w:hAnsi="Times New Roman" w:cs="Times New Roman"/>
          <w:szCs w:val="24"/>
        </w:rPr>
        <w:t>Urz. UE L 247 z 13.07.2021, str. 1)</w:t>
      </w:r>
      <w:r w:rsidRPr="00C738AF">
        <w:rPr>
          <w:rFonts w:ascii="Times New Roman" w:hAnsi="Times New Roman" w:cs="Times New Roman"/>
          <w:szCs w:val="24"/>
        </w:rPr>
        <w:t xml:space="preserve">), w grudniu 2023 r. i w styczniu 2024 r. </w:t>
      </w:r>
      <w:r w:rsidR="00C55466" w:rsidRPr="00C738AF">
        <w:rPr>
          <w:rFonts w:ascii="Times New Roman" w:hAnsi="Times New Roman" w:cs="Times New Roman"/>
          <w:szCs w:val="24"/>
        </w:rPr>
        <w:t xml:space="preserve">ogłoszono </w:t>
      </w:r>
      <w:r w:rsidRPr="00C738AF">
        <w:rPr>
          <w:rFonts w:ascii="Times New Roman" w:hAnsi="Times New Roman" w:cs="Times New Roman"/>
          <w:szCs w:val="24"/>
        </w:rPr>
        <w:t xml:space="preserve">nabory wniosków na działanie </w:t>
      </w:r>
      <w:r w:rsidR="00CC38BC" w:rsidRPr="00C738AF">
        <w:rPr>
          <w:rFonts w:ascii="Times New Roman" w:hAnsi="Times New Roman" w:cs="Times New Roman"/>
          <w:szCs w:val="24"/>
        </w:rPr>
        <w:t>1.7 Trwałe zaprzestanie działalności połowowej – złomowanie albo przekwalifikowanie statku rybackiego, łącznie na kwotę 315</w:t>
      </w:r>
      <w:r w:rsidR="00100148">
        <w:rPr>
          <w:rFonts w:ascii="Times New Roman" w:hAnsi="Times New Roman" w:cs="Times New Roman"/>
          <w:szCs w:val="24"/>
        </w:rPr>
        <w:t> </w:t>
      </w:r>
      <w:r w:rsidR="00CC38BC" w:rsidRPr="00C738AF">
        <w:rPr>
          <w:rFonts w:ascii="Times New Roman" w:hAnsi="Times New Roman" w:cs="Times New Roman"/>
          <w:szCs w:val="24"/>
        </w:rPr>
        <w:t>000</w:t>
      </w:r>
      <w:r w:rsidR="00100148">
        <w:rPr>
          <w:rFonts w:ascii="Times New Roman" w:hAnsi="Times New Roman" w:cs="Times New Roman"/>
          <w:szCs w:val="24"/>
        </w:rPr>
        <w:t> </w:t>
      </w:r>
      <w:r w:rsidR="00CC38BC" w:rsidRPr="00C738AF">
        <w:rPr>
          <w:rFonts w:ascii="Times New Roman" w:hAnsi="Times New Roman" w:cs="Times New Roman"/>
          <w:szCs w:val="24"/>
        </w:rPr>
        <w:t>000</w:t>
      </w:r>
      <w:r w:rsidR="00100148">
        <w:rPr>
          <w:rFonts w:ascii="Times New Roman" w:hAnsi="Times New Roman" w:cs="Times New Roman"/>
          <w:szCs w:val="24"/>
        </w:rPr>
        <w:t> </w:t>
      </w:r>
      <w:r w:rsidR="00CC38BC" w:rsidRPr="00C738AF">
        <w:rPr>
          <w:rFonts w:ascii="Times New Roman" w:hAnsi="Times New Roman" w:cs="Times New Roman"/>
          <w:szCs w:val="24"/>
        </w:rPr>
        <w:t>zł.</w:t>
      </w:r>
    </w:p>
    <w:p w14:paraId="27D46896" w14:textId="34566658" w:rsidR="00CC38BC" w:rsidRPr="00C738AF" w:rsidRDefault="00CC38BC"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Pomoc w ramach działania 1.7 Trwałe zaprzestanie działalności połowowej </w:t>
      </w:r>
      <w:r w:rsidR="00AC1450" w:rsidRPr="00C738AF">
        <w:rPr>
          <w:rFonts w:ascii="Times New Roman" w:hAnsi="Times New Roman" w:cs="Times New Roman"/>
          <w:szCs w:val="24"/>
        </w:rPr>
        <w:t>–</w:t>
      </w:r>
      <w:r w:rsidRPr="00C738AF">
        <w:rPr>
          <w:rFonts w:ascii="Times New Roman" w:hAnsi="Times New Roman" w:cs="Times New Roman"/>
          <w:szCs w:val="24"/>
        </w:rPr>
        <w:t xml:space="preserve"> złomowanie albo przekwalifikowanie statku rybackiego </w:t>
      </w:r>
      <w:r w:rsidR="00100148" w:rsidRPr="00E82221">
        <w:rPr>
          <w:rFonts w:ascii="Times New Roman" w:hAnsi="Times New Roman" w:cs="Times New Roman"/>
          <w:szCs w:val="24"/>
        </w:rPr>
        <w:t>jest</w:t>
      </w:r>
      <w:r w:rsidR="00100148" w:rsidRPr="00100148">
        <w:rPr>
          <w:rFonts w:ascii="Times New Roman" w:hAnsi="Times New Roman" w:cs="Times New Roman"/>
          <w:szCs w:val="24"/>
        </w:rPr>
        <w:t xml:space="preserve"> </w:t>
      </w:r>
      <w:r w:rsidRPr="00C738AF">
        <w:rPr>
          <w:rFonts w:ascii="Times New Roman" w:hAnsi="Times New Roman" w:cs="Times New Roman"/>
          <w:szCs w:val="24"/>
        </w:rPr>
        <w:t xml:space="preserve">przyznawana właścicielowi statku rybackiego, </w:t>
      </w:r>
      <w:r w:rsidRPr="00C738AF">
        <w:rPr>
          <w:rFonts w:ascii="Times New Roman" w:hAnsi="Times New Roman" w:cs="Times New Roman"/>
          <w:szCs w:val="24"/>
        </w:rPr>
        <w:lastRenderedPageBreak/>
        <w:t>przy użyciu którego jest wykonywane rybołówstwo komercyjne, w formie finansowania na podstawie stawek jednostkowych w wysokości:</w:t>
      </w:r>
    </w:p>
    <w:p w14:paraId="5CAE3D96" w14:textId="09D327A9" w:rsidR="00AD659B" w:rsidRPr="00C738AF" w:rsidRDefault="00AD659B"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1)</w:t>
      </w:r>
      <w:r w:rsidRPr="00C738AF">
        <w:rPr>
          <w:rFonts w:ascii="Times New Roman" w:hAnsi="Times New Roman" w:cs="Times New Roman"/>
          <w:szCs w:val="24"/>
        </w:rPr>
        <w:tab/>
        <w:t>139</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oraz 24</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dodatku rekompensacyjnego – dla statków rybackich o pojemności brutto mniejszej niż 1 GT,</w:t>
      </w:r>
    </w:p>
    <w:p w14:paraId="237D917D" w14:textId="74B47371" w:rsidR="00AD659B" w:rsidRPr="00C738AF" w:rsidRDefault="00AD659B"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2)</w:t>
      </w:r>
      <w:r w:rsidRPr="00C738AF">
        <w:rPr>
          <w:rFonts w:ascii="Times New Roman" w:hAnsi="Times New Roman" w:cs="Times New Roman"/>
          <w:szCs w:val="24"/>
        </w:rPr>
        <w:tab/>
        <w:t>81</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za każde GT oraz 116</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dodatku rekompensacyjnego – dla statków rybackich o pojemności brutto od 1 GT do mniejszej niż 10 GT,</w:t>
      </w:r>
    </w:p>
    <w:p w14:paraId="234334C4" w14:textId="2C9D1D21" w:rsidR="00AD659B" w:rsidRPr="00C738AF" w:rsidRDefault="00AD659B"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3)</w:t>
      </w:r>
      <w:r w:rsidRPr="00C738AF">
        <w:rPr>
          <w:rFonts w:ascii="Times New Roman" w:hAnsi="Times New Roman" w:cs="Times New Roman"/>
          <w:szCs w:val="24"/>
        </w:rPr>
        <w:tab/>
        <w:t>46</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za każde GT oraz 466</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dodatku rekompensacyjnego – dla statków rybackich o pojemności brutto od 10 GT do mniejszej niż 25 GT,</w:t>
      </w:r>
    </w:p>
    <w:p w14:paraId="644BFA33" w14:textId="38C58FE4" w:rsidR="00AD659B" w:rsidRPr="00C738AF" w:rsidRDefault="00AD659B"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4)</w:t>
      </w:r>
      <w:r w:rsidRPr="00C738AF">
        <w:rPr>
          <w:rFonts w:ascii="Times New Roman" w:hAnsi="Times New Roman" w:cs="Times New Roman"/>
          <w:szCs w:val="24"/>
        </w:rPr>
        <w:tab/>
        <w:t>50</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za każde GT oraz 744</w:t>
      </w:r>
      <w:r w:rsidR="00100148">
        <w:rPr>
          <w:rFonts w:ascii="Times New Roman" w:hAnsi="Times New Roman" w:cs="Times New Roman"/>
          <w:szCs w:val="24"/>
        </w:rPr>
        <w:t> </w:t>
      </w:r>
      <w:r w:rsidRPr="00C738AF">
        <w:rPr>
          <w:rFonts w:ascii="Times New Roman" w:hAnsi="Times New Roman" w:cs="Times New Roman"/>
          <w:szCs w:val="24"/>
        </w:rPr>
        <w:t>000</w:t>
      </w:r>
      <w:r w:rsidR="00100148">
        <w:rPr>
          <w:rFonts w:ascii="Times New Roman" w:hAnsi="Times New Roman" w:cs="Times New Roman"/>
          <w:szCs w:val="24"/>
        </w:rPr>
        <w:t> </w:t>
      </w:r>
      <w:r w:rsidRPr="00C738AF">
        <w:rPr>
          <w:rFonts w:ascii="Times New Roman" w:hAnsi="Times New Roman" w:cs="Times New Roman"/>
          <w:szCs w:val="24"/>
        </w:rPr>
        <w:t>zł dodatku rekompensacyjnego – dla statków rybackich o pojemności brutto od 25 GT do mniejszej niż 50 GT,</w:t>
      </w:r>
    </w:p>
    <w:p w14:paraId="51CA5CCE" w14:textId="10EE360D" w:rsidR="00AD659B" w:rsidRPr="00C738AF" w:rsidRDefault="00AD659B"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5)</w:t>
      </w:r>
      <w:r w:rsidRPr="00C738AF">
        <w:rPr>
          <w:rFonts w:ascii="Times New Roman" w:hAnsi="Times New Roman" w:cs="Times New Roman"/>
          <w:szCs w:val="24"/>
        </w:rPr>
        <w:tab/>
        <w:t>3 243</w:t>
      </w:r>
      <w:r w:rsidR="00100148">
        <w:rPr>
          <w:rFonts w:ascii="Times New Roman" w:hAnsi="Times New Roman" w:cs="Times New Roman"/>
          <w:szCs w:val="24"/>
        </w:rPr>
        <w:t> </w:t>
      </w:r>
      <w:r w:rsidRPr="00C738AF">
        <w:rPr>
          <w:rFonts w:ascii="Times New Roman" w:hAnsi="Times New Roman" w:cs="Times New Roman"/>
          <w:szCs w:val="24"/>
        </w:rPr>
        <w:t>500</w:t>
      </w:r>
      <w:r w:rsidR="00100148">
        <w:rPr>
          <w:rFonts w:ascii="Times New Roman" w:hAnsi="Times New Roman" w:cs="Times New Roman"/>
          <w:szCs w:val="24"/>
        </w:rPr>
        <w:t> </w:t>
      </w:r>
      <w:r w:rsidRPr="00C738AF">
        <w:rPr>
          <w:rFonts w:ascii="Times New Roman" w:hAnsi="Times New Roman" w:cs="Times New Roman"/>
          <w:szCs w:val="24"/>
        </w:rPr>
        <w:t>zł – dla statków rybackich o pojemności brutto równej lub większej niż 50 GT</w:t>
      </w:r>
    </w:p>
    <w:p w14:paraId="6C7B72AD" w14:textId="0CFB03C9" w:rsidR="00186642" w:rsidRPr="00C738AF" w:rsidRDefault="00186642" w:rsidP="00C738AF">
      <w:pPr>
        <w:pStyle w:val="NIEARTTEKSTtekstnieartykuowanynppodstprawnarozplubpreambua"/>
        <w:ind w:left="426" w:firstLine="84"/>
        <w:rPr>
          <w:rFonts w:ascii="Times New Roman" w:hAnsi="Times New Roman" w:cs="Times New Roman"/>
          <w:szCs w:val="24"/>
        </w:rPr>
      </w:pPr>
      <w:r w:rsidRPr="00C738AF">
        <w:rPr>
          <w:rFonts w:ascii="Times New Roman" w:hAnsi="Times New Roman" w:cs="Times New Roman"/>
          <w:szCs w:val="24"/>
        </w:rPr>
        <w:t>– z tym że w przypadku przekwalifikowania statku rybackiego na działalność dochodową wysokość stawek jednostkowych pomniejsza się o 10</w:t>
      </w:r>
      <w:r w:rsidR="00C55466" w:rsidRPr="00C738AF">
        <w:rPr>
          <w:rFonts w:ascii="Times New Roman" w:hAnsi="Times New Roman" w:cs="Times New Roman"/>
          <w:szCs w:val="24"/>
        </w:rPr>
        <w:t xml:space="preserve"> </w:t>
      </w:r>
      <w:r w:rsidRPr="00C738AF">
        <w:rPr>
          <w:rFonts w:ascii="Times New Roman" w:hAnsi="Times New Roman" w:cs="Times New Roman"/>
          <w:szCs w:val="24"/>
        </w:rPr>
        <w:t>%.</w:t>
      </w:r>
    </w:p>
    <w:p w14:paraId="63D789AB" w14:textId="118359F9" w:rsidR="00AD659B" w:rsidRPr="00C738AF" w:rsidRDefault="00AD659B"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Dodatkowo z Priorytetu 1 </w:t>
      </w:r>
      <w:r w:rsidR="001C2E85" w:rsidRPr="00C738AF">
        <w:rPr>
          <w:rFonts w:ascii="Times New Roman" w:hAnsi="Times New Roman" w:cs="Times New Roman"/>
          <w:szCs w:val="24"/>
        </w:rPr>
        <w:t xml:space="preserve">– </w:t>
      </w:r>
      <w:r w:rsidRPr="00C738AF">
        <w:rPr>
          <w:rFonts w:ascii="Times New Roman" w:hAnsi="Times New Roman" w:cs="Times New Roman"/>
          <w:szCs w:val="24"/>
        </w:rPr>
        <w:t>Funduszy Europejskich dla Rybactwa na lata 2021–2027 podmioty, które nie przystąpiły do trwałego zaprzestania działalności połowowej, będą mogły uzyskać wsparcie finansowe, m.in. w ramach następujących działań: kapitał ludzki, innowacje, dywersyfikacja działalności rybackiej, poprawa bezpieczeństwa i warunków pracy, tymczasowe zaprzestanie działalności połowowej, ochrona środowiska naturalnego i</w:t>
      </w:r>
      <w:r w:rsidR="001C2E85" w:rsidRPr="00C738AF">
        <w:rPr>
          <w:rFonts w:ascii="Times New Roman" w:hAnsi="Times New Roman" w:cs="Times New Roman"/>
          <w:szCs w:val="24"/>
        </w:rPr>
        <w:t> </w:t>
      </w:r>
      <w:r w:rsidRPr="00C738AF">
        <w:rPr>
          <w:rFonts w:ascii="Times New Roman" w:hAnsi="Times New Roman" w:cs="Times New Roman"/>
          <w:szCs w:val="24"/>
        </w:rPr>
        <w:t>zmniejszenie wpływu działalności rybackiej na środowisko.</w:t>
      </w:r>
    </w:p>
    <w:p w14:paraId="38E374BA" w14:textId="034D6C99" w:rsidR="00DF4E6F" w:rsidRPr="00C738AF" w:rsidRDefault="00DF4E6F" w:rsidP="000B4EB4">
      <w:pPr>
        <w:pStyle w:val="NIEARTTEKSTtekstnieartykuowanynppodstprawnarozplubpreambua"/>
        <w:rPr>
          <w:rFonts w:ascii="Times New Roman" w:hAnsi="Times New Roman" w:cs="Times New Roman"/>
          <w:szCs w:val="24"/>
          <w:highlight w:val="yellow"/>
        </w:rPr>
      </w:pPr>
      <w:r w:rsidRPr="00C738AF">
        <w:rPr>
          <w:rFonts w:ascii="Times New Roman" w:hAnsi="Times New Roman" w:cs="Times New Roman"/>
          <w:szCs w:val="24"/>
        </w:rPr>
        <w:t>W ramach ww. Priorytetu planowany jest proces złomowania polskiej floty rybackiej</w:t>
      </w:r>
      <w:r w:rsidR="00C55466" w:rsidRPr="00C738AF">
        <w:rPr>
          <w:rFonts w:ascii="Times New Roman" w:hAnsi="Times New Roman" w:cs="Times New Roman"/>
          <w:szCs w:val="24"/>
        </w:rPr>
        <w:t>,</w:t>
      </w:r>
      <w:r w:rsidRPr="00C738AF">
        <w:rPr>
          <w:rFonts w:ascii="Times New Roman" w:hAnsi="Times New Roman" w:cs="Times New Roman"/>
          <w:szCs w:val="24"/>
        </w:rPr>
        <w:t xml:space="preserve"> tj.</w:t>
      </w:r>
      <w:r w:rsidR="007E77CD" w:rsidRPr="00C738AF">
        <w:rPr>
          <w:rFonts w:ascii="Times New Roman" w:hAnsi="Times New Roman" w:cs="Times New Roman"/>
          <w:szCs w:val="24"/>
        </w:rPr>
        <w:t> </w:t>
      </w:r>
      <w:r w:rsidRPr="00C738AF">
        <w:rPr>
          <w:rFonts w:ascii="Times New Roman" w:hAnsi="Times New Roman" w:cs="Times New Roman"/>
          <w:szCs w:val="24"/>
        </w:rPr>
        <w:t>217 jednostek rybackich, co będzie skutkować zaprzestaniem działalności przez ponad 350 rybaków.</w:t>
      </w:r>
    </w:p>
    <w:p w14:paraId="2C0B655B" w14:textId="77777777" w:rsidR="00B12A27" w:rsidRPr="000B4EB4" w:rsidRDefault="00B12A27" w:rsidP="00C738AF">
      <w:pPr>
        <w:pStyle w:val="NIEARTTEKSTtekstnieartykuowanynppodstprawnarozplubpreambua"/>
        <w:ind w:left="426" w:hanging="426"/>
        <w:rPr>
          <w:rFonts w:ascii="Times New Roman" w:hAnsi="Times New Roman" w:cs="Times New Roman"/>
          <w:b/>
          <w:szCs w:val="24"/>
        </w:rPr>
      </w:pPr>
      <w:r w:rsidRPr="000B4EB4">
        <w:rPr>
          <w:rFonts w:ascii="Times New Roman" w:hAnsi="Times New Roman" w:cs="Times New Roman"/>
          <w:b/>
          <w:szCs w:val="24"/>
        </w:rPr>
        <w:t>2.</w:t>
      </w:r>
      <w:r w:rsidRPr="000B4EB4">
        <w:rPr>
          <w:rFonts w:ascii="Times New Roman" w:hAnsi="Times New Roman" w:cs="Times New Roman"/>
          <w:b/>
          <w:szCs w:val="24"/>
        </w:rPr>
        <w:tab/>
        <w:t>Rzeczywisty stan w dziedzinie, która ma być unormowana</w:t>
      </w:r>
    </w:p>
    <w:p w14:paraId="70455088" w14:textId="09DA0C88" w:rsidR="00B12A27" w:rsidRPr="00C738AF" w:rsidRDefault="00C55466"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O</w:t>
      </w:r>
      <w:r w:rsidR="00B12A27" w:rsidRPr="00C738AF">
        <w:rPr>
          <w:rFonts w:ascii="Times New Roman" w:hAnsi="Times New Roman" w:cs="Times New Roman"/>
          <w:szCs w:val="24"/>
        </w:rPr>
        <w:t>bowiązujące przepisy prawa nie dają możliwości wsparcia</w:t>
      </w:r>
      <w:r w:rsidR="0008026D" w:rsidRPr="00C738AF">
        <w:rPr>
          <w:rFonts w:ascii="Times New Roman" w:hAnsi="Times New Roman" w:cs="Times New Roman"/>
          <w:szCs w:val="24"/>
        </w:rPr>
        <w:t xml:space="preserve"> finansowego</w:t>
      </w:r>
      <w:r w:rsidR="00B12A27" w:rsidRPr="00C738AF">
        <w:rPr>
          <w:rFonts w:ascii="Times New Roman" w:hAnsi="Times New Roman" w:cs="Times New Roman"/>
          <w:szCs w:val="24"/>
        </w:rPr>
        <w:t xml:space="preserve"> bezpośredniego podmiotów związanych z jednostkami pływającymi i usługami z nimi związanymi.</w:t>
      </w:r>
    </w:p>
    <w:p w14:paraId="5E19E8DC" w14:textId="77777777" w:rsidR="00021FA5" w:rsidRPr="000B4EB4" w:rsidRDefault="00021FA5" w:rsidP="000B4EB4">
      <w:pPr>
        <w:pStyle w:val="NIEARTTEKSTtekstnieartykuowanynppodstprawnarozplubpreambua"/>
        <w:ind w:left="426" w:hanging="426"/>
        <w:rPr>
          <w:rFonts w:ascii="Times New Roman" w:hAnsi="Times New Roman" w:cs="Times New Roman"/>
          <w:b/>
          <w:szCs w:val="24"/>
        </w:rPr>
      </w:pPr>
      <w:r w:rsidRPr="000B4EB4">
        <w:rPr>
          <w:rFonts w:ascii="Times New Roman" w:hAnsi="Times New Roman" w:cs="Times New Roman"/>
          <w:b/>
          <w:szCs w:val="24"/>
        </w:rPr>
        <w:t>3.</w:t>
      </w:r>
      <w:r w:rsidRPr="000B4EB4">
        <w:rPr>
          <w:rFonts w:ascii="Times New Roman" w:hAnsi="Times New Roman" w:cs="Times New Roman"/>
          <w:b/>
          <w:szCs w:val="24"/>
        </w:rPr>
        <w:tab/>
        <w:t>Różnice między dotychczasowym a projektowanym stanem prawnym</w:t>
      </w:r>
    </w:p>
    <w:p w14:paraId="23071B43" w14:textId="37E005EE" w:rsidR="00021FA5" w:rsidRPr="00C738AF" w:rsidRDefault="00021FA5"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Proponowane przepisy </w:t>
      </w:r>
      <w:r w:rsidR="005F3776" w:rsidRPr="00C738AF">
        <w:rPr>
          <w:rFonts w:ascii="Times New Roman" w:hAnsi="Times New Roman" w:cs="Times New Roman"/>
          <w:szCs w:val="24"/>
        </w:rPr>
        <w:t xml:space="preserve">projektowanej </w:t>
      </w:r>
      <w:r w:rsidRPr="00C738AF">
        <w:rPr>
          <w:rFonts w:ascii="Times New Roman" w:hAnsi="Times New Roman" w:cs="Times New Roman"/>
          <w:szCs w:val="24"/>
        </w:rPr>
        <w:t>ustawy nie mają odzwierciedlenia w obowiązujących przepisach prawa.</w:t>
      </w:r>
    </w:p>
    <w:p w14:paraId="020E1405" w14:textId="0ABCCC67" w:rsidR="0038723A" w:rsidRPr="00C738AF" w:rsidRDefault="008A057B"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lastRenderedPageBreak/>
        <w:t>Projektowana ustawa określa zadania i właściwość organów w zakresie wsparcia finansowego armatorów jednostek pływających, warunki, tryb przyznawania i wypłaty wsparcia finansowego armatorom jednostek pływających w</w:t>
      </w:r>
      <w:r w:rsidR="006D54A2" w:rsidRPr="00C738AF">
        <w:rPr>
          <w:rFonts w:ascii="Times New Roman" w:hAnsi="Times New Roman" w:cs="Times New Roman"/>
          <w:szCs w:val="24"/>
        </w:rPr>
        <w:t xml:space="preserve"> związku z</w:t>
      </w:r>
      <w:r w:rsidRPr="00C738AF">
        <w:rPr>
          <w:rFonts w:ascii="Times New Roman" w:hAnsi="Times New Roman" w:cs="Times New Roman"/>
          <w:szCs w:val="24"/>
        </w:rPr>
        <w:t xml:space="preserve"> zaprzestani</w:t>
      </w:r>
      <w:r w:rsidR="006D54A2" w:rsidRPr="00C738AF">
        <w:rPr>
          <w:rFonts w:ascii="Times New Roman" w:hAnsi="Times New Roman" w:cs="Times New Roman"/>
          <w:szCs w:val="24"/>
        </w:rPr>
        <w:t>em</w:t>
      </w:r>
      <w:r w:rsidRPr="00C738AF">
        <w:rPr>
          <w:rFonts w:ascii="Times New Roman" w:hAnsi="Times New Roman" w:cs="Times New Roman"/>
          <w:szCs w:val="24"/>
        </w:rPr>
        <w:t xml:space="preserve"> wykorzystywania danej jednostki pływającej do prowadzenia działalności, o której mowa w art. 5 pkt 9 lit. c ustawy o bezpieczeństwie morskim, oraz warunki i tryb zwracania tego wsparcia finansowego – w związku z wprowadzeniem od dnia 1 stycznia 2020 r. zakazu połowu dorsza na Morzu Bałtyckim. </w:t>
      </w:r>
      <w:r w:rsidR="0008026D" w:rsidRPr="00C738AF">
        <w:rPr>
          <w:rFonts w:ascii="Times New Roman" w:hAnsi="Times New Roman" w:cs="Times New Roman"/>
          <w:szCs w:val="24"/>
        </w:rPr>
        <w:t>Armatorzy jednostek pływających</w:t>
      </w:r>
      <w:r w:rsidR="006969AF" w:rsidRPr="00C738AF">
        <w:rPr>
          <w:rFonts w:ascii="Times New Roman" w:hAnsi="Times New Roman" w:cs="Times New Roman"/>
          <w:szCs w:val="24"/>
        </w:rPr>
        <w:t xml:space="preserve"> będą składać wnioski do dyrektorów urzędów morskich, którzy będą podmiotami uprawnionymi do udzielenia wsparcia </w:t>
      </w:r>
      <w:r w:rsidR="0008026D" w:rsidRPr="00C738AF">
        <w:rPr>
          <w:rFonts w:ascii="Times New Roman" w:hAnsi="Times New Roman" w:cs="Times New Roman"/>
          <w:szCs w:val="24"/>
        </w:rPr>
        <w:t xml:space="preserve">finansowego </w:t>
      </w:r>
      <w:r w:rsidR="006969AF" w:rsidRPr="00C738AF">
        <w:rPr>
          <w:rFonts w:ascii="Times New Roman" w:hAnsi="Times New Roman" w:cs="Times New Roman"/>
          <w:szCs w:val="24"/>
        </w:rPr>
        <w:t>z budżetu państwa.</w:t>
      </w:r>
    </w:p>
    <w:p w14:paraId="4F007A1D" w14:textId="7122B2DE" w:rsidR="00687866" w:rsidRPr="00C738AF" w:rsidRDefault="00687866"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Wsparcie finansowe będzie udzielane:</w:t>
      </w:r>
    </w:p>
    <w:p w14:paraId="6059929C" w14:textId="77777777" w:rsidR="00687866" w:rsidRPr="00C738AF" w:rsidRDefault="00687866"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1)</w:t>
      </w:r>
      <w:r w:rsidRPr="00C738AF">
        <w:rPr>
          <w:rFonts w:ascii="Times New Roman" w:hAnsi="Times New Roman" w:cs="Times New Roman"/>
          <w:szCs w:val="24"/>
        </w:rPr>
        <w:tab/>
        <w:t>wyłącznie raz na daną jednostkę pływającą;</w:t>
      </w:r>
    </w:p>
    <w:p w14:paraId="463AAB1C" w14:textId="675A4FF9" w:rsidR="00687866" w:rsidRPr="00C738AF" w:rsidRDefault="00687866"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2)</w:t>
      </w:r>
      <w:r w:rsidRPr="00C738AF">
        <w:rPr>
          <w:rFonts w:ascii="Times New Roman" w:hAnsi="Times New Roman" w:cs="Times New Roman"/>
          <w:szCs w:val="24"/>
        </w:rPr>
        <w:tab/>
        <w:t>od dnia wydania przez Komisję Europejską decyzji o zgodności pomocy z rynkiem wewnętrznym, do dnia 31 grudnia 2025 r.</w:t>
      </w:r>
    </w:p>
    <w:p w14:paraId="7C61767B" w14:textId="1F6EBF77" w:rsidR="001D2981" w:rsidRPr="00C738AF" w:rsidRDefault="001D298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Wysokość wsparcia finansowego obliczana jest na podstawie </w:t>
      </w:r>
      <w:r w:rsidR="00937967" w:rsidRPr="00C738AF">
        <w:rPr>
          <w:rFonts w:ascii="Times New Roman" w:hAnsi="Times New Roman" w:cs="Times New Roman"/>
          <w:szCs w:val="24"/>
        </w:rPr>
        <w:t>wartości objętości jednostki pływającej (V)</w:t>
      </w:r>
      <w:r w:rsidRPr="00C738AF">
        <w:rPr>
          <w:rFonts w:ascii="Times New Roman" w:hAnsi="Times New Roman" w:cs="Times New Roman"/>
          <w:szCs w:val="24"/>
        </w:rPr>
        <w:t xml:space="preserve">, </w:t>
      </w:r>
      <w:r w:rsidR="00491601" w:rsidRPr="00C738AF">
        <w:rPr>
          <w:rFonts w:ascii="Times New Roman" w:hAnsi="Times New Roman" w:cs="Times New Roman"/>
          <w:szCs w:val="24"/>
        </w:rPr>
        <w:t xml:space="preserve">obliczanych dla poszczególnych jednostek pływających </w:t>
      </w:r>
      <w:r w:rsidRPr="00C738AF">
        <w:rPr>
          <w:rFonts w:ascii="Times New Roman" w:hAnsi="Times New Roman" w:cs="Times New Roman"/>
          <w:szCs w:val="24"/>
        </w:rPr>
        <w:t xml:space="preserve">według wzoru: </w:t>
      </w:r>
      <w:r w:rsidR="00937967" w:rsidRPr="00C738AF">
        <w:rPr>
          <w:rFonts w:ascii="Times New Roman" w:hAnsi="Times New Roman" w:cs="Times New Roman"/>
          <w:szCs w:val="24"/>
        </w:rPr>
        <w:t>V</w:t>
      </w:r>
      <w:r w:rsidR="00C522BF" w:rsidRPr="00C738AF">
        <w:rPr>
          <w:rFonts w:ascii="Times New Roman" w:hAnsi="Times New Roman" w:cs="Times New Roman"/>
          <w:szCs w:val="24"/>
        </w:rPr>
        <w:t xml:space="preserve"> = L x B x H x 0,25, gdzie poszczególne symbole oznaczają: L – długość całkowitą jednostki pływającej</w:t>
      </w:r>
      <w:r w:rsidR="00E22EF7" w:rsidRPr="00C738AF">
        <w:rPr>
          <w:rFonts w:ascii="Times New Roman" w:hAnsi="Times New Roman" w:cs="Times New Roman"/>
          <w:szCs w:val="24"/>
        </w:rPr>
        <w:t xml:space="preserve"> [m]</w:t>
      </w:r>
      <w:r w:rsidR="00C522BF" w:rsidRPr="00C738AF">
        <w:rPr>
          <w:rFonts w:ascii="Times New Roman" w:hAnsi="Times New Roman" w:cs="Times New Roman"/>
          <w:szCs w:val="24"/>
        </w:rPr>
        <w:t>, B – szerokość maksymalną jednostki pływającej</w:t>
      </w:r>
      <w:r w:rsidR="00E22EF7" w:rsidRPr="00C738AF">
        <w:rPr>
          <w:rFonts w:ascii="Times New Roman" w:hAnsi="Times New Roman" w:cs="Times New Roman"/>
          <w:szCs w:val="24"/>
        </w:rPr>
        <w:t xml:space="preserve"> [m]</w:t>
      </w:r>
      <w:r w:rsidR="00C522BF" w:rsidRPr="00C738AF">
        <w:rPr>
          <w:rFonts w:ascii="Times New Roman" w:hAnsi="Times New Roman" w:cs="Times New Roman"/>
          <w:szCs w:val="24"/>
        </w:rPr>
        <w:t>, H – wysokość boczną jednostki pływającej</w:t>
      </w:r>
      <w:r w:rsidR="00E22EF7" w:rsidRPr="00C738AF">
        <w:rPr>
          <w:rFonts w:ascii="Times New Roman" w:hAnsi="Times New Roman" w:cs="Times New Roman"/>
          <w:szCs w:val="24"/>
        </w:rPr>
        <w:t xml:space="preserve"> [m]</w:t>
      </w:r>
      <w:r w:rsidR="00C522BF" w:rsidRPr="00C738AF">
        <w:rPr>
          <w:rFonts w:ascii="Times New Roman" w:hAnsi="Times New Roman" w:cs="Times New Roman"/>
          <w:szCs w:val="24"/>
        </w:rPr>
        <w:t>, 0,25 – współczynnik zmniejszający prostopadłościan L x B x H</w:t>
      </w:r>
      <w:r w:rsidR="00B94379" w:rsidRPr="00C738AF">
        <w:rPr>
          <w:rFonts w:ascii="Times New Roman" w:hAnsi="Times New Roman" w:cs="Times New Roman"/>
          <w:szCs w:val="24"/>
        </w:rPr>
        <w:t xml:space="preserve">, </w:t>
      </w:r>
      <w:r w:rsidRPr="00C738AF">
        <w:rPr>
          <w:rFonts w:ascii="Times New Roman" w:hAnsi="Times New Roman" w:cs="Times New Roman"/>
          <w:szCs w:val="24"/>
        </w:rPr>
        <w:t>przy czym</w:t>
      </w:r>
      <w:r w:rsidR="00E22EF7" w:rsidRPr="00C738AF">
        <w:rPr>
          <w:rFonts w:ascii="Times New Roman" w:hAnsi="Times New Roman" w:cs="Times New Roman"/>
          <w:szCs w:val="24"/>
        </w:rPr>
        <w:t xml:space="preserve"> kwota wsparcia finansowego dla jednostki pływającej o wartości objętości jednostki pływającej obliczonej zgodnie</w:t>
      </w:r>
      <w:r w:rsidR="00C522BF" w:rsidRPr="00C738AF">
        <w:rPr>
          <w:rFonts w:ascii="Times New Roman" w:hAnsi="Times New Roman" w:cs="Times New Roman"/>
          <w:szCs w:val="24"/>
        </w:rPr>
        <w:t xml:space="preserve"> z ww. wzorem</w:t>
      </w:r>
      <w:r w:rsidRPr="00C738AF">
        <w:rPr>
          <w:rFonts w:ascii="Times New Roman" w:hAnsi="Times New Roman" w:cs="Times New Roman"/>
          <w:szCs w:val="24"/>
        </w:rPr>
        <w:t>:</w:t>
      </w:r>
    </w:p>
    <w:p w14:paraId="1E106AB8" w14:textId="12539D9B" w:rsidR="00186642" w:rsidRPr="00C738AF" w:rsidRDefault="00186642"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1)</w:t>
      </w:r>
      <w:r w:rsidRPr="00C738AF">
        <w:rPr>
          <w:rFonts w:ascii="Times New Roman" w:hAnsi="Times New Roman" w:cs="Times New Roman"/>
          <w:szCs w:val="24"/>
        </w:rPr>
        <w:tab/>
        <w:t xml:space="preserve">mniejszej niż 10 </w:t>
      </w:r>
      <w:r w:rsidR="00937967" w:rsidRPr="00C738AF">
        <w:rPr>
          <w:rFonts w:ascii="Times New Roman" w:hAnsi="Times New Roman" w:cs="Times New Roman"/>
          <w:szCs w:val="24"/>
        </w:rPr>
        <w:t xml:space="preserve">V </w:t>
      </w:r>
      <w:r w:rsidR="00C55466" w:rsidRPr="00C738AF">
        <w:rPr>
          <w:rFonts w:ascii="Times New Roman" w:hAnsi="Times New Roman" w:cs="Times New Roman"/>
          <w:szCs w:val="24"/>
        </w:rPr>
        <w:t xml:space="preserve">– </w:t>
      </w:r>
      <w:r w:rsidR="00C522BF" w:rsidRPr="00C738AF">
        <w:rPr>
          <w:rFonts w:ascii="Times New Roman" w:hAnsi="Times New Roman" w:cs="Times New Roman"/>
          <w:szCs w:val="24"/>
        </w:rPr>
        <w:t>wynosi</w:t>
      </w:r>
      <w:r w:rsidRPr="00C738AF">
        <w:rPr>
          <w:rFonts w:ascii="Times New Roman" w:hAnsi="Times New Roman" w:cs="Times New Roman"/>
          <w:szCs w:val="24"/>
        </w:rPr>
        <w:t xml:space="preserve"> 19 655 zł za 1 </w:t>
      </w:r>
      <w:r w:rsidR="00937967" w:rsidRPr="00C738AF">
        <w:rPr>
          <w:rFonts w:ascii="Times New Roman" w:hAnsi="Times New Roman" w:cs="Times New Roman"/>
          <w:szCs w:val="24"/>
        </w:rPr>
        <w:t>V</w:t>
      </w:r>
      <w:r w:rsidRPr="00C738AF">
        <w:rPr>
          <w:rFonts w:ascii="Times New Roman" w:hAnsi="Times New Roman" w:cs="Times New Roman"/>
          <w:szCs w:val="24"/>
        </w:rPr>
        <w:t>;</w:t>
      </w:r>
    </w:p>
    <w:p w14:paraId="76DAD282" w14:textId="5B6B96BE" w:rsidR="00186642" w:rsidRPr="00C738AF" w:rsidRDefault="00186642"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2)</w:t>
      </w:r>
      <w:r w:rsidRPr="00C738AF">
        <w:rPr>
          <w:rFonts w:ascii="Times New Roman" w:hAnsi="Times New Roman" w:cs="Times New Roman"/>
          <w:szCs w:val="24"/>
        </w:rPr>
        <w:tab/>
        <w:t xml:space="preserve">od 10 </w:t>
      </w:r>
      <w:r w:rsidR="00937967" w:rsidRPr="00C738AF">
        <w:rPr>
          <w:rFonts w:ascii="Times New Roman" w:hAnsi="Times New Roman" w:cs="Times New Roman"/>
          <w:szCs w:val="24"/>
        </w:rPr>
        <w:t xml:space="preserve">V </w:t>
      </w:r>
      <w:r w:rsidRPr="00C738AF">
        <w:rPr>
          <w:rFonts w:ascii="Times New Roman" w:hAnsi="Times New Roman" w:cs="Times New Roman"/>
          <w:szCs w:val="24"/>
        </w:rPr>
        <w:t xml:space="preserve">do mniejszej niż 25 </w:t>
      </w:r>
      <w:r w:rsidR="00937967" w:rsidRPr="00C738AF">
        <w:rPr>
          <w:rFonts w:ascii="Times New Roman" w:hAnsi="Times New Roman" w:cs="Times New Roman"/>
          <w:szCs w:val="24"/>
        </w:rPr>
        <w:t>V</w:t>
      </w:r>
      <w:r w:rsidR="00C55466" w:rsidRPr="00C738AF">
        <w:rPr>
          <w:rFonts w:ascii="Times New Roman" w:hAnsi="Times New Roman" w:cs="Times New Roman"/>
          <w:szCs w:val="24"/>
        </w:rPr>
        <w:t xml:space="preserve"> –</w:t>
      </w:r>
      <w:r w:rsidRPr="00C738AF">
        <w:rPr>
          <w:rFonts w:ascii="Times New Roman" w:hAnsi="Times New Roman" w:cs="Times New Roman"/>
          <w:szCs w:val="24"/>
        </w:rPr>
        <w:t xml:space="preserve"> </w:t>
      </w:r>
      <w:r w:rsidR="00C522BF" w:rsidRPr="00C738AF">
        <w:rPr>
          <w:rFonts w:ascii="Times New Roman" w:hAnsi="Times New Roman" w:cs="Times New Roman"/>
          <w:szCs w:val="24"/>
        </w:rPr>
        <w:t>wynosi</w:t>
      </w:r>
      <w:r w:rsidRPr="00C738AF">
        <w:rPr>
          <w:rFonts w:ascii="Times New Roman" w:hAnsi="Times New Roman" w:cs="Times New Roman"/>
          <w:szCs w:val="24"/>
        </w:rPr>
        <w:t xml:space="preserve"> 18 975 zł za 1 </w:t>
      </w:r>
      <w:r w:rsidR="00937967" w:rsidRPr="00C738AF">
        <w:rPr>
          <w:rFonts w:ascii="Times New Roman" w:hAnsi="Times New Roman" w:cs="Times New Roman"/>
          <w:szCs w:val="24"/>
        </w:rPr>
        <w:t>V</w:t>
      </w:r>
      <w:r w:rsidRPr="00C738AF">
        <w:rPr>
          <w:rFonts w:ascii="Times New Roman" w:hAnsi="Times New Roman" w:cs="Times New Roman"/>
          <w:szCs w:val="24"/>
        </w:rPr>
        <w:t>;</w:t>
      </w:r>
    </w:p>
    <w:p w14:paraId="43CAB1DF" w14:textId="4982EA56" w:rsidR="00186642" w:rsidRPr="00C738AF" w:rsidRDefault="00186642"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3)</w:t>
      </w:r>
      <w:r w:rsidRPr="00C738AF">
        <w:rPr>
          <w:rFonts w:ascii="Times New Roman" w:hAnsi="Times New Roman" w:cs="Times New Roman"/>
          <w:szCs w:val="24"/>
        </w:rPr>
        <w:tab/>
        <w:t xml:space="preserve">od 25 </w:t>
      </w:r>
      <w:r w:rsidR="00937967" w:rsidRPr="00C738AF">
        <w:rPr>
          <w:rFonts w:ascii="Times New Roman" w:hAnsi="Times New Roman" w:cs="Times New Roman"/>
          <w:szCs w:val="24"/>
        </w:rPr>
        <w:t xml:space="preserve">V </w:t>
      </w:r>
      <w:r w:rsidRPr="00C738AF">
        <w:rPr>
          <w:rFonts w:ascii="Times New Roman" w:hAnsi="Times New Roman" w:cs="Times New Roman"/>
          <w:szCs w:val="24"/>
        </w:rPr>
        <w:t xml:space="preserve">do mniejszej niż 50 </w:t>
      </w:r>
      <w:r w:rsidR="00937967" w:rsidRPr="00C738AF">
        <w:rPr>
          <w:rFonts w:ascii="Times New Roman" w:hAnsi="Times New Roman" w:cs="Times New Roman"/>
          <w:szCs w:val="24"/>
        </w:rPr>
        <w:t>V</w:t>
      </w:r>
      <w:r w:rsidR="00C55466" w:rsidRPr="00C738AF">
        <w:rPr>
          <w:rFonts w:ascii="Times New Roman" w:hAnsi="Times New Roman" w:cs="Times New Roman"/>
          <w:szCs w:val="24"/>
        </w:rPr>
        <w:t xml:space="preserve"> –</w:t>
      </w:r>
      <w:r w:rsidRPr="00C738AF">
        <w:rPr>
          <w:rFonts w:ascii="Times New Roman" w:hAnsi="Times New Roman" w:cs="Times New Roman"/>
          <w:szCs w:val="24"/>
        </w:rPr>
        <w:t xml:space="preserve"> </w:t>
      </w:r>
      <w:r w:rsidR="00C522BF" w:rsidRPr="00C738AF">
        <w:rPr>
          <w:rFonts w:ascii="Times New Roman" w:hAnsi="Times New Roman" w:cs="Times New Roman"/>
          <w:szCs w:val="24"/>
        </w:rPr>
        <w:t>wynosi</w:t>
      </w:r>
      <w:r w:rsidRPr="00C738AF">
        <w:rPr>
          <w:rFonts w:ascii="Times New Roman" w:hAnsi="Times New Roman" w:cs="Times New Roman"/>
          <w:szCs w:val="24"/>
        </w:rPr>
        <w:t xml:space="preserve"> 18 285 zł za 1 </w:t>
      </w:r>
      <w:r w:rsidR="00937967" w:rsidRPr="00C738AF">
        <w:rPr>
          <w:rFonts w:ascii="Times New Roman" w:hAnsi="Times New Roman" w:cs="Times New Roman"/>
          <w:szCs w:val="24"/>
        </w:rPr>
        <w:t>V</w:t>
      </w:r>
      <w:r w:rsidRPr="00C738AF">
        <w:rPr>
          <w:rFonts w:ascii="Times New Roman" w:hAnsi="Times New Roman" w:cs="Times New Roman"/>
          <w:szCs w:val="24"/>
        </w:rPr>
        <w:t>;</w:t>
      </w:r>
    </w:p>
    <w:p w14:paraId="48AD74A2" w14:textId="1069B943" w:rsidR="000174DA" w:rsidRPr="00C738AF" w:rsidRDefault="00186642"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4)</w:t>
      </w:r>
      <w:r w:rsidRPr="00C738AF">
        <w:rPr>
          <w:rFonts w:ascii="Times New Roman" w:hAnsi="Times New Roman" w:cs="Times New Roman"/>
          <w:szCs w:val="24"/>
        </w:rPr>
        <w:tab/>
        <w:t xml:space="preserve">powyżej 50 </w:t>
      </w:r>
      <w:r w:rsidR="00937967" w:rsidRPr="00C738AF">
        <w:rPr>
          <w:rFonts w:ascii="Times New Roman" w:hAnsi="Times New Roman" w:cs="Times New Roman"/>
          <w:szCs w:val="24"/>
        </w:rPr>
        <w:t xml:space="preserve">V </w:t>
      </w:r>
      <w:r w:rsidR="00C55466" w:rsidRPr="00C738AF">
        <w:rPr>
          <w:rFonts w:ascii="Times New Roman" w:hAnsi="Times New Roman" w:cs="Times New Roman"/>
          <w:szCs w:val="24"/>
        </w:rPr>
        <w:t xml:space="preserve">– </w:t>
      </w:r>
      <w:r w:rsidR="00C522BF" w:rsidRPr="00C738AF">
        <w:rPr>
          <w:rFonts w:ascii="Times New Roman" w:hAnsi="Times New Roman" w:cs="Times New Roman"/>
          <w:szCs w:val="24"/>
        </w:rPr>
        <w:t>wynosi</w:t>
      </w:r>
      <w:r w:rsidRPr="00C738AF">
        <w:rPr>
          <w:rFonts w:ascii="Times New Roman" w:hAnsi="Times New Roman" w:cs="Times New Roman"/>
          <w:szCs w:val="24"/>
        </w:rPr>
        <w:t xml:space="preserve"> 1</w:t>
      </w:r>
      <w:r w:rsidR="00100148">
        <w:rPr>
          <w:rFonts w:ascii="Times New Roman" w:hAnsi="Times New Roman" w:cs="Times New Roman"/>
          <w:szCs w:val="24"/>
        </w:rPr>
        <w:t> </w:t>
      </w:r>
      <w:r w:rsidRPr="00C738AF">
        <w:rPr>
          <w:rFonts w:ascii="Times New Roman" w:hAnsi="Times New Roman" w:cs="Times New Roman"/>
          <w:szCs w:val="24"/>
        </w:rPr>
        <w:t>200 000 zł</w:t>
      </w:r>
      <w:r w:rsidR="00B83207" w:rsidRPr="00C738AF">
        <w:rPr>
          <w:rFonts w:ascii="Times New Roman" w:hAnsi="Times New Roman" w:cs="Times New Roman"/>
          <w:szCs w:val="24"/>
        </w:rPr>
        <w:t>.</w:t>
      </w:r>
    </w:p>
    <w:p w14:paraId="0DBFC16A" w14:textId="42F4EF98" w:rsidR="00BB0095" w:rsidRPr="00C738AF" w:rsidRDefault="00A45554"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Wprowadzona w </w:t>
      </w:r>
      <w:r w:rsidR="005F3776" w:rsidRPr="00C738AF">
        <w:rPr>
          <w:rFonts w:ascii="Times New Roman" w:hAnsi="Times New Roman" w:cs="Times New Roman"/>
          <w:szCs w:val="24"/>
        </w:rPr>
        <w:t xml:space="preserve">projektowanej </w:t>
      </w:r>
      <w:r w:rsidRPr="00C738AF">
        <w:rPr>
          <w:rFonts w:ascii="Times New Roman" w:hAnsi="Times New Roman" w:cs="Times New Roman"/>
          <w:szCs w:val="24"/>
        </w:rPr>
        <w:t>ustawie do obliczeń jednostka V, czyli wartość objętości jednostki pływającej</w:t>
      </w:r>
      <w:r w:rsidR="00C55466" w:rsidRPr="00C738AF">
        <w:rPr>
          <w:rFonts w:ascii="Times New Roman" w:hAnsi="Times New Roman" w:cs="Times New Roman"/>
          <w:szCs w:val="24"/>
        </w:rPr>
        <w:t>,</w:t>
      </w:r>
      <w:r w:rsidRPr="00C738AF">
        <w:rPr>
          <w:rFonts w:ascii="Times New Roman" w:hAnsi="Times New Roman" w:cs="Times New Roman"/>
          <w:szCs w:val="24"/>
        </w:rPr>
        <w:t xml:space="preserve"> nie wynika z Międzynarodowej Konwencji o pomierzaniu pojemności statków z 1969 r.</w:t>
      </w:r>
      <w:r w:rsidR="00C55466" w:rsidRPr="000B4EB4">
        <w:rPr>
          <w:rFonts w:ascii="Times New Roman" w:hAnsi="Times New Roman" w:cs="Times New Roman"/>
          <w:szCs w:val="24"/>
        </w:rPr>
        <w:t>, sporządzonej w Londynie dnia 23 czerwca 1969 r. (Dz. U. z 1983 r. poz.</w:t>
      </w:r>
      <w:r w:rsidR="00100148">
        <w:rPr>
          <w:rFonts w:ascii="Times New Roman" w:hAnsi="Times New Roman" w:cs="Times New Roman"/>
          <w:szCs w:val="24"/>
        </w:rPr>
        <w:t> </w:t>
      </w:r>
      <w:r w:rsidR="00C55466" w:rsidRPr="000B4EB4">
        <w:rPr>
          <w:rFonts w:ascii="Times New Roman" w:hAnsi="Times New Roman" w:cs="Times New Roman"/>
          <w:szCs w:val="24"/>
        </w:rPr>
        <w:t>247, z późn. zm.)</w:t>
      </w:r>
      <w:r w:rsidRPr="00C738AF">
        <w:rPr>
          <w:rFonts w:ascii="Times New Roman" w:hAnsi="Times New Roman" w:cs="Times New Roman"/>
          <w:szCs w:val="24"/>
        </w:rPr>
        <w:t>, ponieważ</w:t>
      </w:r>
      <w:r w:rsidR="00BB0095" w:rsidRPr="00C738AF">
        <w:rPr>
          <w:rFonts w:ascii="Times New Roman" w:hAnsi="Times New Roman" w:cs="Times New Roman"/>
          <w:szCs w:val="24"/>
        </w:rPr>
        <w:t xml:space="preserve"> </w:t>
      </w:r>
      <w:r w:rsidR="00BA36D1" w:rsidRPr="00C738AF">
        <w:rPr>
          <w:rFonts w:ascii="Times New Roman" w:hAnsi="Times New Roman" w:cs="Times New Roman"/>
          <w:szCs w:val="24"/>
        </w:rPr>
        <w:t xml:space="preserve">we </w:t>
      </w:r>
      <w:r w:rsidR="00BB0095" w:rsidRPr="00C738AF">
        <w:rPr>
          <w:rFonts w:ascii="Times New Roman" w:hAnsi="Times New Roman" w:cs="Times New Roman"/>
          <w:szCs w:val="24"/>
        </w:rPr>
        <w:t>wzor</w:t>
      </w:r>
      <w:r w:rsidR="00BA36D1" w:rsidRPr="00C738AF">
        <w:rPr>
          <w:rFonts w:ascii="Times New Roman" w:hAnsi="Times New Roman" w:cs="Times New Roman"/>
          <w:szCs w:val="24"/>
        </w:rPr>
        <w:t>ze</w:t>
      </w:r>
      <w:r w:rsidR="00BB0095" w:rsidRPr="00C738AF">
        <w:rPr>
          <w:rFonts w:ascii="Times New Roman" w:hAnsi="Times New Roman" w:cs="Times New Roman"/>
          <w:szCs w:val="24"/>
        </w:rPr>
        <w:t xml:space="preserve"> wynikają</w:t>
      </w:r>
      <w:r w:rsidR="00BA36D1" w:rsidRPr="00C738AF">
        <w:rPr>
          <w:rFonts w:ascii="Times New Roman" w:hAnsi="Times New Roman" w:cs="Times New Roman"/>
          <w:szCs w:val="24"/>
        </w:rPr>
        <w:t>cym</w:t>
      </w:r>
      <w:r w:rsidR="00BB0095" w:rsidRPr="00C738AF">
        <w:rPr>
          <w:rFonts w:ascii="Times New Roman" w:hAnsi="Times New Roman" w:cs="Times New Roman"/>
          <w:szCs w:val="24"/>
        </w:rPr>
        <w:t xml:space="preserve"> z ww. Konwencji jedną ze składowych jest „całkowita objętość wszystkich zamkniętych pomieszczeń statku w metrach sześciennych”.</w:t>
      </w:r>
      <w:r w:rsidR="00BA36D1" w:rsidRPr="00C738AF">
        <w:rPr>
          <w:rFonts w:ascii="Times New Roman" w:hAnsi="Times New Roman" w:cs="Times New Roman"/>
          <w:szCs w:val="24"/>
        </w:rPr>
        <w:t xml:space="preserve"> Zaznaczyć należy, że nie wszystkie jednostki pływające planowane do objęcia </w:t>
      </w:r>
      <w:r w:rsidR="00663DAE" w:rsidRPr="00C738AF">
        <w:rPr>
          <w:rFonts w:ascii="Times New Roman" w:hAnsi="Times New Roman" w:cs="Times New Roman"/>
          <w:szCs w:val="24"/>
        </w:rPr>
        <w:t xml:space="preserve">wsparciem finansowym </w:t>
      </w:r>
      <w:r w:rsidR="00BA36D1" w:rsidRPr="00C738AF">
        <w:rPr>
          <w:rFonts w:ascii="Times New Roman" w:hAnsi="Times New Roman" w:cs="Times New Roman"/>
          <w:szCs w:val="24"/>
        </w:rPr>
        <w:t xml:space="preserve">na podstawie </w:t>
      </w:r>
      <w:r w:rsidR="005F3776" w:rsidRPr="00C738AF">
        <w:rPr>
          <w:rFonts w:ascii="Times New Roman" w:hAnsi="Times New Roman" w:cs="Times New Roman"/>
          <w:szCs w:val="24"/>
        </w:rPr>
        <w:t xml:space="preserve">projektowanej </w:t>
      </w:r>
      <w:r w:rsidR="00BA36D1" w:rsidRPr="00C738AF">
        <w:rPr>
          <w:rFonts w:ascii="Times New Roman" w:hAnsi="Times New Roman" w:cs="Times New Roman"/>
          <w:szCs w:val="24"/>
        </w:rPr>
        <w:t>ustawy posiadają zamknięte pomieszczenia</w:t>
      </w:r>
      <w:r w:rsidR="00436D04" w:rsidRPr="00C738AF">
        <w:rPr>
          <w:rFonts w:ascii="Times New Roman" w:hAnsi="Times New Roman" w:cs="Times New Roman"/>
          <w:szCs w:val="24"/>
        </w:rPr>
        <w:t xml:space="preserve">, są one </w:t>
      </w:r>
      <w:r w:rsidR="00436D04" w:rsidRPr="00C738AF">
        <w:rPr>
          <w:rFonts w:ascii="Times New Roman" w:hAnsi="Times New Roman" w:cs="Times New Roman"/>
          <w:szCs w:val="24"/>
        </w:rPr>
        <w:lastRenderedPageBreak/>
        <w:t>różnej konstrukcji</w:t>
      </w:r>
      <w:r w:rsidR="00BA36D1" w:rsidRPr="00C738AF">
        <w:rPr>
          <w:rFonts w:ascii="Times New Roman" w:hAnsi="Times New Roman" w:cs="Times New Roman"/>
          <w:szCs w:val="24"/>
        </w:rPr>
        <w:t>. Wprowadzenie więc uproszczonego wzoru zapewni jednolite warunki obliczenia wysokości wsparcia dla wszystkich podmiotów.</w:t>
      </w:r>
    </w:p>
    <w:p w14:paraId="71753C73" w14:textId="787773FD" w:rsidR="00E12B98" w:rsidRPr="00C738AF" w:rsidRDefault="00E12B98"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Należy wskazać, że nie wszystkie jednostki posiadają świadectwo pomiarowe. W związku z powyższym przyjęto rozwiązanie tożsame z </w:t>
      </w:r>
      <w:r w:rsidR="007062D2" w:rsidRPr="00C738AF">
        <w:rPr>
          <w:rFonts w:ascii="Times New Roman" w:hAnsi="Times New Roman" w:cs="Times New Roman"/>
          <w:szCs w:val="24"/>
        </w:rPr>
        <w:t>wynikającym</w:t>
      </w:r>
      <w:r w:rsidRPr="00C738AF">
        <w:rPr>
          <w:rFonts w:ascii="Times New Roman" w:hAnsi="Times New Roman" w:cs="Times New Roman"/>
          <w:szCs w:val="24"/>
        </w:rPr>
        <w:t xml:space="preserve"> z załącznika do ustawy o bezpieczeństwie morskim, służącym do szacunkowego określenia pojemności brutto dla statków z nieudokumentowaną pojemnością brutto, w celu naliczania opłat, np. opłaty za inspekcję statku.</w:t>
      </w:r>
      <w:r w:rsidR="00505387" w:rsidRPr="00C738AF">
        <w:rPr>
          <w:rFonts w:ascii="Times New Roman" w:hAnsi="Times New Roman" w:cs="Times New Roman"/>
          <w:szCs w:val="24"/>
        </w:rPr>
        <w:t xml:space="preserve"> Ww. sposób obliczania wsparcia</w:t>
      </w:r>
      <w:r w:rsidR="0008026D" w:rsidRPr="00C738AF">
        <w:rPr>
          <w:rFonts w:ascii="Times New Roman" w:hAnsi="Times New Roman" w:cs="Times New Roman"/>
          <w:szCs w:val="24"/>
        </w:rPr>
        <w:t xml:space="preserve"> </w:t>
      </w:r>
      <w:r w:rsidR="0008026D" w:rsidRPr="000B4EB4">
        <w:rPr>
          <w:rFonts w:ascii="Times New Roman" w:hAnsi="Times New Roman" w:cs="Times New Roman"/>
          <w:szCs w:val="24"/>
        </w:rPr>
        <w:t>finansowego</w:t>
      </w:r>
      <w:r w:rsidR="00505387" w:rsidRPr="00C738AF">
        <w:rPr>
          <w:rFonts w:ascii="Times New Roman" w:hAnsi="Times New Roman" w:cs="Times New Roman"/>
          <w:szCs w:val="24"/>
        </w:rPr>
        <w:t xml:space="preserve"> przyjęto w wyniku szerokich konsultacji ze stroną społeczną.</w:t>
      </w:r>
      <w:r w:rsidR="0068002B" w:rsidRPr="00C738AF">
        <w:rPr>
          <w:rFonts w:ascii="Times New Roman" w:hAnsi="Times New Roman" w:cs="Times New Roman"/>
          <w:szCs w:val="24"/>
        </w:rPr>
        <w:t xml:space="preserve"> Ze względu na dostępność wymaganych wartości w kartach bezpieczeństwa jachtów oraz świadectwach klasy wydanych przez Polski Rejestr Statków lub orzeczeniach zdolności żeglugowej wydanych przez Polski Związek Żeglarski pozwoli to uniknąć ponoszenia dodatkowych kosztów związanych z wycen</w:t>
      </w:r>
      <w:r w:rsidR="005D51E6" w:rsidRPr="00C738AF">
        <w:rPr>
          <w:rFonts w:ascii="Times New Roman" w:hAnsi="Times New Roman" w:cs="Times New Roman"/>
          <w:szCs w:val="24"/>
        </w:rPr>
        <w:t>ą</w:t>
      </w:r>
      <w:r w:rsidR="0068002B" w:rsidRPr="00C738AF">
        <w:rPr>
          <w:rFonts w:ascii="Times New Roman" w:hAnsi="Times New Roman" w:cs="Times New Roman"/>
          <w:szCs w:val="24"/>
        </w:rPr>
        <w:t xml:space="preserve"> jednostek</w:t>
      </w:r>
      <w:r w:rsidR="00975F6C" w:rsidRPr="00C738AF">
        <w:rPr>
          <w:rFonts w:ascii="Times New Roman" w:hAnsi="Times New Roman" w:cs="Times New Roman"/>
          <w:szCs w:val="24"/>
        </w:rPr>
        <w:t xml:space="preserve"> na podstawie wzorów określonych w Międzynarodowej Konwencji o pomierzaniu pojemności statków z 1969 r.</w:t>
      </w:r>
    </w:p>
    <w:p w14:paraId="15957AD5" w14:textId="77777777" w:rsidR="00663DAE" w:rsidRPr="00C738AF" w:rsidRDefault="00663DAE"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Proponowana kwota wsparcia finansowego wynikająca z przyjętego sposobu jej obliczenia jest proporcjonalna do wielokrotności średniej wysokości przeciętnego wynagrodzenia w gospodarce narodowej w latach 2020–2025.</w:t>
      </w:r>
    </w:p>
    <w:p w14:paraId="3A5FAEC1" w14:textId="159C758A" w:rsidR="008D2A3C" w:rsidRPr="00C738AF" w:rsidRDefault="00B413D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Zgodnie z Komunikatem Prezesa Głównego Urzędu Statystycznego z dnia 9 lutego 2024 r. w sprawie przeciętnego wynagrodzenia w gospodarce narodowej w 2023 r. przeciętne wynagrodzenie w gospodarce narodowej w 2023 r. wyniosło 7</w:t>
      </w:r>
      <w:r w:rsidR="00100148">
        <w:rPr>
          <w:rFonts w:ascii="Times New Roman" w:hAnsi="Times New Roman" w:cs="Times New Roman"/>
          <w:szCs w:val="24"/>
        </w:rPr>
        <w:t> </w:t>
      </w:r>
      <w:r w:rsidRPr="00C738AF">
        <w:rPr>
          <w:rFonts w:ascii="Times New Roman" w:hAnsi="Times New Roman" w:cs="Times New Roman"/>
          <w:szCs w:val="24"/>
        </w:rPr>
        <w:t>155,48</w:t>
      </w:r>
      <w:r w:rsidR="00100148">
        <w:rPr>
          <w:rFonts w:ascii="Times New Roman" w:hAnsi="Times New Roman" w:cs="Times New Roman"/>
          <w:szCs w:val="24"/>
        </w:rPr>
        <w:t> </w:t>
      </w:r>
      <w:r w:rsidRPr="00C738AF">
        <w:rPr>
          <w:rFonts w:ascii="Times New Roman" w:hAnsi="Times New Roman" w:cs="Times New Roman"/>
          <w:szCs w:val="24"/>
        </w:rPr>
        <w:t>zł, co w skali roku dało 85</w:t>
      </w:r>
      <w:r w:rsidR="00100148">
        <w:rPr>
          <w:rFonts w:ascii="Times New Roman" w:hAnsi="Times New Roman" w:cs="Times New Roman"/>
          <w:szCs w:val="24"/>
        </w:rPr>
        <w:t> </w:t>
      </w:r>
      <w:r w:rsidRPr="00C738AF">
        <w:rPr>
          <w:rFonts w:ascii="Times New Roman" w:hAnsi="Times New Roman" w:cs="Times New Roman"/>
          <w:szCs w:val="24"/>
        </w:rPr>
        <w:t>865,76</w:t>
      </w:r>
      <w:r w:rsidR="00100148">
        <w:rPr>
          <w:rFonts w:ascii="Times New Roman" w:hAnsi="Times New Roman" w:cs="Times New Roman"/>
          <w:szCs w:val="24"/>
        </w:rPr>
        <w:t> </w:t>
      </w:r>
      <w:r w:rsidRPr="00C738AF">
        <w:rPr>
          <w:rFonts w:ascii="Times New Roman" w:hAnsi="Times New Roman" w:cs="Times New Roman"/>
          <w:szCs w:val="24"/>
        </w:rPr>
        <w:t>zł</w:t>
      </w:r>
      <w:r w:rsidR="008D2A3C" w:rsidRPr="00C738AF">
        <w:rPr>
          <w:rFonts w:ascii="Times New Roman" w:hAnsi="Times New Roman" w:cs="Times New Roman"/>
          <w:szCs w:val="24"/>
        </w:rPr>
        <w:t>. Ponadto prowadzący działalność w ciągu pięciu lat od wprowadzenia zakazu połowu dorsza ponosili koszty opłat portowych, ubezpieczeń, podatków oraz wynagrodzeń pracowników.</w:t>
      </w:r>
    </w:p>
    <w:p w14:paraId="3FDB2509" w14:textId="7A0F631F" w:rsidR="008D2A3C" w:rsidRPr="00C738AF" w:rsidRDefault="008D2A3C"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Kwoty te pozwolą zapewnić byt </w:t>
      </w:r>
      <w:r w:rsidR="0008026D" w:rsidRPr="000B4EB4">
        <w:rPr>
          <w:rFonts w:ascii="Times New Roman" w:hAnsi="Times New Roman" w:cs="Times New Roman"/>
          <w:szCs w:val="24"/>
        </w:rPr>
        <w:t>armatorom jednostek pływających</w:t>
      </w:r>
      <w:r w:rsidRPr="00C738AF">
        <w:rPr>
          <w:rFonts w:ascii="Times New Roman" w:hAnsi="Times New Roman" w:cs="Times New Roman"/>
          <w:szCs w:val="24"/>
        </w:rPr>
        <w:t xml:space="preserve"> oraz ich rodzinom w</w:t>
      </w:r>
      <w:r w:rsidR="0008026D" w:rsidRPr="00C738AF">
        <w:rPr>
          <w:rFonts w:ascii="Times New Roman" w:hAnsi="Times New Roman" w:cs="Times New Roman"/>
          <w:szCs w:val="24"/>
        </w:rPr>
        <w:t> </w:t>
      </w:r>
      <w:r w:rsidRPr="00C738AF">
        <w:rPr>
          <w:rFonts w:ascii="Times New Roman" w:hAnsi="Times New Roman" w:cs="Times New Roman"/>
          <w:szCs w:val="24"/>
        </w:rPr>
        <w:t>sytuacji braku możliwości prowadzenia dalszej działalności i konieczności kosztownego zutylizowania jednostek.</w:t>
      </w:r>
    </w:p>
    <w:p w14:paraId="739E425F" w14:textId="7967E62B" w:rsidR="00C34F53" w:rsidRPr="00C738AF" w:rsidRDefault="00C34F53" w:rsidP="000B4EB4">
      <w:pPr>
        <w:pStyle w:val="ARTartustawynprozporzdzenia"/>
        <w:rPr>
          <w:rFonts w:ascii="Times New Roman" w:hAnsi="Times New Roman" w:cs="Times New Roman"/>
          <w:szCs w:val="24"/>
        </w:rPr>
      </w:pPr>
      <w:r w:rsidRPr="00C738AF">
        <w:rPr>
          <w:rFonts w:ascii="Times New Roman" w:hAnsi="Times New Roman" w:cs="Times New Roman"/>
          <w:szCs w:val="24"/>
        </w:rPr>
        <w:t>Jednym z dokumentów potwierdzających prowadzenie działalności gospodarczej planowanej do objęcia wsparciem finansowym w ramach projektowanej ustawy będzie zaświadczenie Głównego Inspektora Rybołówstwa Morskiego o złożonych co najmniej 90 raportach z połowów rekreacyjnych w latach 2015–2019, a w przypadku prowadzenia działalności przez okres krótszy, jednak nie krótszy niż okres jednego roku – o co najmniej 18 raportach z połowów rekreacyjnych średnio na dany rok.</w:t>
      </w:r>
    </w:p>
    <w:p w14:paraId="3B5A9306" w14:textId="2E55DF63" w:rsidR="0093245D" w:rsidRPr="00C738AF" w:rsidRDefault="00C34F53" w:rsidP="000B4EB4">
      <w:pPr>
        <w:pStyle w:val="ARTartustawynprozporzdzenia"/>
        <w:rPr>
          <w:rFonts w:ascii="Times New Roman" w:hAnsi="Times New Roman" w:cs="Times New Roman"/>
          <w:szCs w:val="24"/>
        </w:rPr>
      </w:pPr>
      <w:r w:rsidRPr="00C738AF">
        <w:rPr>
          <w:rFonts w:ascii="Times New Roman" w:hAnsi="Times New Roman" w:cs="Times New Roman"/>
          <w:szCs w:val="24"/>
        </w:rPr>
        <w:lastRenderedPageBreak/>
        <w:t>Zgodnie z przyjętą metodyką proporcjonalny sposób obliczania ilości raportów połowowych, tj. 18 raportów średnio na dany rok wynika z konieczności uniknięcia sytuacji, w której armator zostanie wyłączony z możliwości udzielenia wsparcia finansowego z przyczyn niezależnych, np. w przypadku wyłączenia danej jednostki z prowadzenia działalności gospodarczej ze względy na awarię, konieczność przeprowadzenia niezbędnych remontów, niesprzyjających warunków pogodowych, chorobę armatora, lub rozpoczęcie działalności gospodarczej w trakcie roku.</w:t>
      </w:r>
    </w:p>
    <w:p w14:paraId="66D09BE6" w14:textId="3820DC0F" w:rsidR="00356A1C" w:rsidRPr="00C738AF" w:rsidRDefault="00356A1C" w:rsidP="000B4EB4">
      <w:pPr>
        <w:pStyle w:val="ARTartustawynprozporzdzenia"/>
        <w:rPr>
          <w:rFonts w:ascii="Times New Roman" w:hAnsi="Times New Roman" w:cs="Times New Roman"/>
          <w:szCs w:val="24"/>
        </w:rPr>
      </w:pPr>
      <w:r w:rsidRPr="00C738AF">
        <w:rPr>
          <w:rFonts w:ascii="Times New Roman" w:hAnsi="Times New Roman" w:cs="Times New Roman"/>
          <w:szCs w:val="24"/>
        </w:rPr>
        <w:t>W przypadku gdy armator jednostki pływającej rozpoczął prowadzenie działalności gospodarczej w</w:t>
      </w:r>
      <w:r w:rsidR="00100148">
        <w:rPr>
          <w:rFonts w:ascii="Times New Roman" w:hAnsi="Times New Roman" w:cs="Times New Roman"/>
          <w:szCs w:val="24"/>
        </w:rPr>
        <w:t xml:space="preserve"> </w:t>
      </w:r>
      <w:r w:rsidRPr="00C738AF">
        <w:rPr>
          <w:rFonts w:ascii="Times New Roman" w:hAnsi="Times New Roman" w:cs="Times New Roman"/>
          <w:szCs w:val="24"/>
        </w:rPr>
        <w:t xml:space="preserve">trakcie roku, wymaganą minimalną ilość raportów z połowów rekreacyjnych na ten rok zaokrągla się w dół do pełnych wartości, przy zachowaniu obowiązku przedstawienia co najmniej 18 </w:t>
      </w:r>
      <w:r w:rsidR="00203832" w:rsidRPr="00C738AF">
        <w:rPr>
          <w:rFonts w:ascii="Times New Roman" w:hAnsi="Times New Roman" w:cs="Times New Roman"/>
          <w:szCs w:val="24"/>
        </w:rPr>
        <w:t xml:space="preserve">raportów </w:t>
      </w:r>
      <w:r w:rsidRPr="00C738AF">
        <w:rPr>
          <w:rFonts w:ascii="Times New Roman" w:hAnsi="Times New Roman" w:cs="Times New Roman"/>
          <w:szCs w:val="24"/>
        </w:rPr>
        <w:t>z połowów rekreacyjnych średnio na dany rok.</w:t>
      </w:r>
    </w:p>
    <w:p w14:paraId="47FA7FA6" w14:textId="77777777" w:rsidR="00E8603A" w:rsidRPr="000B4EB4" w:rsidRDefault="00E8603A" w:rsidP="000B4EB4">
      <w:pPr>
        <w:pStyle w:val="NIEARTTEKSTtekstnieartykuowanynppodstprawnarozplubpreambua"/>
        <w:rPr>
          <w:rFonts w:ascii="Times New Roman" w:hAnsi="Times New Roman" w:cs="Times New Roman"/>
          <w:szCs w:val="24"/>
        </w:rPr>
      </w:pPr>
      <w:r w:rsidRPr="000B4EB4">
        <w:rPr>
          <w:rFonts w:ascii="Times New Roman" w:hAnsi="Times New Roman" w:cs="Times New Roman"/>
          <w:szCs w:val="24"/>
        </w:rPr>
        <w:t>Dyrektor urzędu morskiego po rozpatrzeniu wniosków przekazuje do ministra właściwego do spraw gospodarki morskiej zestawienie zawierające numery identyfikacji podatkowej (NIP) armatorów jednostek pływających składających wnioski oraz planowaną wysokość wsparcia finansowego w celu podziału środków finansowych między armatorów jednostek pływających, którzy złożyli pozytywnie zweryfikowane wnioski.</w:t>
      </w:r>
    </w:p>
    <w:p w14:paraId="446C5647" w14:textId="271AE731" w:rsidR="00E8603A" w:rsidRPr="000B4EB4" w:rsidRDefault="00E8603A" w:rsidP="000B4EB4">
      <w:pPr>
        <w:pStyle w:val="NIEARTTEKSTtekstnieartykuowanynppodstprawnarozplubpreambua"/>
        <w:rPr>
          <w:rFonts w:ascii="Times New Roman" w:hAnsi="Times New Roman" w:cs="Times New Roman"/>
          <w:szCs w:val="24"/>
        </w:rPr>
      </w:pPr>
      <w:r w:rsidRPr="000B4EB4">
        <w:rPr>
          <w:rFonts w:ascii="Times New Roman" w:hAnsi="Times New Roman" w:cs="Times New Roman"/>
          <w:szCs w:val="24"/>
        </w:rPr>
        <w:t>Limit środków finansowych przeznaczonych na wsparcie finansowe wynosi 50</w:t>
      </w:r>
      <w:r w:rsidR="009279CD">
        <w:rPr>
          <w:rFonts w:ascii="Times New Roman" w:hAnsi="Times New Roman" w:cs="Times New Roman"/>
          <w:szCs w:val="24"/>
        </w:rPr>
        <w:t> </w:t>
      </w:r>
      <w:r w:rsidRPr="000B4EB4">
        <w:rPr>
          <w:rFonts w:ascii="Times New Roman" w:hAnsi="Times New Roman" w:cs="Times New Roman"/>
          <w:szCs w:val="24"/>
        </w:rPr>
        <w:t>mln</w:t>
      </w:r>
      <w:r w:rsidR="009279CD">
        <w:rPr>
          <w:rFonts w:ascii="Times New Roman" w:hAnsi="Times New Roman" w:cs="Times New Roman"/>
          <w:szCs w:val="24"/>
        </w:rPr>
        <w:t> </w:t>
      </w:r>
      <w:r w:rsidRPr="000B4EB4">
        <w:rPr>
          <w:rFonts w:ascii="Times New Roman" w:hAnsi="Times New Roman" w:cs="Times New Roman"/>
          <w:szCs w:val="24"/>
        </w:rPr>
        <w:t>zł.</w:t>
      </w:r>
    </w:p>
    <w:p w14:paraId="5589C389" w14:textId="0A8E4D1A" w:rsidR="00CA3BA1" w:rsidRPr="000B4EB4" w:rsidRDefault="00CA3BA1" w:rsidP="000B4EB4">
      <w:pPr>
        <w:pStyle w:val="NIEARTTEKSTtekstnieartykuowanynppodstprawnarozplubpreambua"/>
        <w:rPr>
          <w:rFonts w:ascii="Times New Roman" w:hAnsi="Times New Roman" w:cs="Times New Roman"/>
          <w:szCs w:val="24"/>
        </w:rPr>
      </w:pPr>
      <w:r w:rsidRPr="000B4EB4">
        <w:rPr>
          <w:rFonts w:ascii="Times New Roman" w:hAnsi="Times New Roman" w:cs="Times New Roman"/>
          <w:szCs w:val="24"/>
        </w:rPr>
        <w:t xml:space="preserve">W przypadku gdy sumaryczna </w:t>
      </w:r>
      <w:r w:rsidR="00056E95" w:rsidRPr="000B4EB4">
        <w:rPr>
          <w:rFonts w:ascii="Times New Roman" w:hAnsi="Times New Roman" w:cs="Times New Roman"/>
          <w:szCs w:val="24"/>
        </w:rPr>
        <w:t>wysok</w:t>
      </w:r>
      <w:r w:rsidR="006D54A2" w:rsidRPr="000B4EB4">
        <w:rPr>
          <w:rFonts w:ascii="Times New Roman" w:hAnsi="Times New Roman" w:cs="Times New Roman"/>
          <w:szCs w:val="24"/>
        </w:rPr>
        <w:t xml:space="preserve">ość </w:t>
      </w:r>
      <w:r w:rsidRPr="000B4EB4">
        <w:rPr>
          <w:rFonts w:ascii="Times New Roman" w:hAnsi="Times New Roman" w:cs="Times New Roman"/>
          <w:szCs w:val="24"/>
        </w:rPr>
        <w:t xml:space="preserve">wsparcia finansowego wynikająca z wniosków, które zostały pozytywnie zweryfikowane, przekracza limit środków finansowych, </w:t>
      </w:r>
      <w:r w:rsidR="00056E95" w:rsidRPr="000B4EB4">
        <w:rPr>
          <w:rFonts w:ascii="Times New Roman" w:hAnsi="Times New Roman" w:cs="Times New Roman"/>
          <w:szCs w:val="24"/>
        </w:rPr>
        <w:t>wyso</w:t>
      </w:r>
      <w:r w:rsidR="006D54A2" w:rsidRPr="000B4EB4">
        <w:rPr>
          <w:rFonts w:ascii="Times New Roman" w:hAnsi="Times New Roman" w:cs="Times New Roman"/>
          <w:szCs w:val="24"/>
        </w:rPr>
        <w:t xml:space="preserve">kość </w:t>
      </w:r>
      <w:r w:rsidRPr="000B4EB4">
        <w:rPr>
          <w:rFonts w:ascii="Times New Roman" w:hAnsi="Times New Roman" w:cs="Times New Roman"/>
          <w:szCs w:val="24"/>
        </w:rPr>
        <w:t>wsparcia finansowego przysługującego armatorom jednostek pływających pomniejsza się proporcjonalnie, o czym minister właściwy do spraw gospodarki morskiej informuje dyrektorów urzędów morskich.</w:t>
      </w:r>
    </w:p>
    <w:p w14:paraId="48D847CC" w14:textId="64DB8BA9" w:rsidR="00021FA5" w:rsidRPr="000B4EB4" w:rsidRDefault="00021FA5" w:rsidP="000B4EB4">
      <w:pPr>
        <w:pStyle w:val="NIEARTTEKSTtekstnieartykuowanynppodstprawnarozplubpreambua"/>
        <w:rPr>
          <w:rFonts w:ascii="Times New Roman" w:hAnsi="Times New Roman" w:cs="Times New Roman"/>
          <w:szCs w:val="24"/>
        </w:rPr>
      </w:pPr>
      <w:r w:rsidRPr="000B4EB4">
        <w:rPr>
          <w:rFonts w:ascii="Times New Roman" w:hAnsi="Times New Roman" w:cs="Times New Roman"/>
          <w:szCs w:val="24"/>
        </w:rPr>
        <w:t xml:space="preserve">Minister właściwy do spraw gospodarki morskiej ogłosi </w:t>
      </w:r>
      <w:r w:rsidR="001C4822" w:rsidRPr="000B4EB4">
        <w:rPr>
          <w:rFonts w:ascii="Times New Roman" w:hAnsi="Times New Roman" w:cs="Times New Roman"/>
          <w:szCs w:val="24"/>
        </w:rPr>
        <w:t xml:space="preserve">informację </w:t>
      </w:r>
      <w:r w:rsidRPr="000B4EB4">
        <w:rPr>
          <w:rFonts w:ascii="Times New Roman" w:hAnsi="Times New Roman" w:cs="Times New Roman"/>
          <w:szCs w:val="24"/>
        </w:rPr>
        <w:t xml:space="preserve">o </w:t>
      </w:r>
      <w:r w:rsidR="00C55466" w:rsidRPr="000B4EB4">
        <w:rPr>
          <w:rFonts w:ascii="Times New Roman" w:hAnsi="Times New Roman" w:cs="Times New Roman"/>
          <w:szCs w:val="24"/>
        </w:rPr>
        <w:t xml:space="preserve">udzielaniu </w:t>
      </w:r>
      <w:r w:rsidRPr="000B4EB4">
        <w:rPr>
          <w:rFonts w:ascii="Times New Roman" w:hAnsi="Times New Roman" w:cs="Times New Roman"/>
          <w:szCs w:val="24"/>
        </w:rPr>
        <w:t xml:space="preserve">wsparcia finansowego na podstawie </w:t>
      </w:r>
      <w:r w:rsidR="00B83207" w:rsidRPr="000B4EB4">
        <w:rPr>
          <w:rFonts w:ascii="Times New Roman" w:hAnsi="Times New Roman" w:cs="Times New Roman"/>
          <w:szCs w:val="24"/>
        </w:rPr>
        <w:t xml:space="preserve">projektowanej </w:t>
      </w:r>
      <w:r w:rsidRPr="000B4EB4">
        <w:rPr>
          <w:rFonts w:ascii="Times New Roman" w:hAnsi="Times New Roman" w:cs="Times New Roman"/>
          <w:szCs w:val="24"/>
        </w:rPr>
        <w:t xml:space="preserve">ustawy, publikując treść </w:t>
      </w:r>
      <w:r w:rsidR="001C4822" w:rsidRPr="000B4EB4">
        <w:rPr>
          <w:rFonts w:ascii="Times New Roman" w:hAnsi="Times New Roman" w:cs="Times New Roman"/>
          <w:szCs w:val="24"/>
        </w:rPr>
        <w:t>informacji</w:t>
      </w:r>
      <w:r w:rsidRPr="000B4EB4">
        <w:rPr>
          <w:rFonts w:ascii="Times New Roman" w:hAnsi="Times New Roman" w:cs="Times New Roman"/>
          <w:szCs w:val="24"/>
        </w:rPr>
        <w:t xml:space="preserve"> na stronie podmiotowej Biuletynu Informacji Publicznej urzędu zapewniającego jego obsługę. </w:t>
      </w:r>
      <w:r w:rsidR="001C4822" w:rsidRPr="000B4EB4">
        <w:rPr>
          <w:rFonts w:ascii="Times New Roman" w:hAnsi="Times New Roman" w:cs="Times New Roman"/>
          <w:szCs w:val="24"/>
        </w:rPr>
        <w:t xml:space="preserve">Informacja </w:t>
      </w:r>
      <w:r w:rsidRPr="000B4EB4">
        <w:rPr>
          <w:rFonts w:ascii="Times New Roman" w:hAnsi="Times New Roman" w:cs="Times New Roman"/>
          <w:szCs w:val="24"/>
        </w:rPr>
        <w:t>t</w:t>
      </w:r>
      <w:r w:rsidR="001C4822" w:rsidRPr="000B4EB4">
        <w:rPr>
          <w:rFonts w:ascii="Times New Roman" w:hAnsi="Times New Roman" w:cs="Times New Roman"/>
          <w:szCs w:val="24"/>
        </w:rPr>
        <w:t>a</w:t>
      </w:r>
      <w:r w:rsidRPr="000B4EB4">
        <w:rPr>
          <w:rFonts w:ascii="Times New Roman" w:hAnsi="Times New Roman" w:cs="Times New Roman"/>
          <w:szCs w:val="24"/>
        </w:rPr>
        <w:t xml:space="preserve"> określi: </w:t>
      </w:r>
    </w:p>
    <w:p w14:paraId="2C474ACE" w14:textId="4E241273" w:rsidR="00021FA5" w:rsidRPr="00C738AF" w:rsidRDefault="00021FA5"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1)</w:t>
      </w:r>
      <w:r w:rsidRPr="00C738AF">
        <w:rPr>
          <w:rFonts w:ascii="Times New Roman" w:hAnsi="Times New Roman" w:cs="Times New Roman"/>
          <w:szCs w:val="24"/>
        </w:rPr>
        <w:tab/>
        <w:t xml:space="preserve">dzień rozpoczęcia oraz dzień </w:t>
      </w:r>
      <w:r w:rsidR="00C55466" w:rsidRPr="00C738AF">
        <w:rPr>
          <w:rFonts w:ascii="Times New Roman" w:hAnsi="Times New Roman" w:cs="Times New Roman"/>
          <w:szCs w:val="24"/>
        </w:rPr>
        <w:t xml:space="preserve">upływu </w:t>
      </w:r>
      <w:r w:rsidRPr="00C738AF">
        <w:rPr>
          <w:rFonts w:ascii="Times New Roman" w:hAnsi="Times New Roman" w:cs="Times New Roman"/>
          <w:szCs w:val="24"/>
        </w:rPr>
        <w:t>terminu składania wniosków o</w:t>
      </w:r>
      <w:r w:rsidR="009279CD">
        <w:rPr>
          <w:rFonts w:ascii="Times New Roman" w:hAnsi="Times New Roman" w:cs="Times New Roman"/>
          <w:szCs w:val="24"/>
        </w:rPr>
        <w:t xml:space="preserve"> </w:t>
      </w:r>
      <w:r w:rsidRPr="00C738AF">
        <w:rPr>
          <w:rFonts w:ascii="Times New Roman" w:hAnsi="Times New Roman" w:cs="Times New Roman"/>
          <w:szCs w:val="24"/>
        </w:rPr>
        <w:t>przyznanie wsparcia finansowego;</w:t>
      </w:r>
    </w:p>
    <w:p w14:paraId="460D97AE" w14:textId="31C2507D" w:rsidR="00021FA5" w:rsidRPr="00C738AF" w:rsidRDefault="00021FA5" w:rsidP="00C738AF">
      <w:pPr>
        <w:pStyle w:val="NIEARTTEKSTtekstnieartykuowanynppodstprawnarozplubpreambua"/>
        <w:ind w:left="851" w:hanging="341"/>
        <w:rPr>
          <w:rFonts w:ascii="Times New Roman" w:hAnsi="Times New Roman" w:cs="Times New Roman"/>
          <w:szCs w:val="24"/>
        </w:rPr>
      </w:pPr>
      <w:r w:rsidRPr="00C738AF">
        <w:rPr>
          <w:rFonts w:ascii="Times New Roman" w:hAnsi="Times New Roman" w:cs="Times New Roman"/>
          <w:szCs w:val="24"/>
        </w:rPr>
        <w:t>2)</w:t>
      </w:r>
      <w:r w:rsidRPr="00C738AF">
        <w:rPr>
          <w:rFonts w:ascii="Times New Roman" w:hAnsi="Times New Roman" w:cs="Times New Roman"/>
          <w:szCs w:val="24"/>
        </w:rPr>
        <w:tab/>
        <w:t xml:space="preserve">wzór wniosku </w:t>
      </w:r>
      <w:r w:rsidR="00B3143F" w:rsidRPr="00C738AF">
        <w:rPr>
          <w:rFonts w:ascii="Times New Roman" w:hAnsi="Times New Roman" w:cs="Times New Roman"/>
          <w:szCs w:val="24"/>
        </w:rPr>
        <w:t>o przyznanie wsparcia finansowego</w:t>
      </w:r>
      <w:r w:rsidRPr="00C738AF">
        <w:rPr>
          <w:rFonts w:ascii="Times New Roman" w:hAnsi="Times New Roman" w:cs="Times New Roman"/>
          <w:szCs w:val="24"/>
        </w:rPr>
        <w:t>.</w:t>
      </w:r>
    </w:p>
    <w:p w14:paraId="4752C01A" w14:textId="58E4A2D6" w:rsidR="00B06DE4" w:rsidRPr="00C738AF" w:rsidRDefault="00021FA5"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W ramach ogłoszonego naboru wniosków jeden wnioskodawca będzie mógł złożyć jeden wniosek o przyznanie wsparcia finansowego. </w:t>
      </w:r>
      <w:r w:rsidR="00B06DE4" w:rsidRPr="00C738AF">
        <w:rPr>
          <w:rFonts w:ascii="Times New Roman" w:hAnsi="Times New Roman" w:cs="Times New Roman"/>
          <w:szCs w:val="24"/>
        </w:rPr>
        <w:t xml:space="preserve">W przypadku gdy armator jednostki pływającej </w:t>
      </w:r>
      <w:r w:rsidR="00B06DE4" w:rsidRPr="00C738AF">
        <w:rPr>
          <w:rFonts w:ascii="Times New Roman" w:hAnsi="Times New Roman" w:cs="Times New Roman"/>
          <w:szCs w:val="24"/>
        </w:rPr>
        <w:lastRenderedPageBreak/>
        <w:t>wnioskuje o wsparcie finansowe za przekazanie jednostki pływającej do złomowania albo zobowiązanie się do przekazania jednostki pływającej do złomowania w terminie 120 dni od dnia otrzymania wsparcia finansowego albo nieodpłatne przekazanie jednostki pływającej organowi administracji publicznej albo szkole publicznej na cele niezwiązane z wykonywaniem działalności gospodarczej – więcej niż jednej jednostki pływającej, składa jeden wniosek dotyczący łącznie wszystkich jednostek pływających.</w:t>
      </w:r>
    </w:p>
    <w:p w14:paraId="1280B5B2" w14:textId="6F5526E9" w:rsidR="00021FA5" w:rsidRPr="00C738AF" w:rsidRDefault="005F3776"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Projektowana u</w:t>
      </w:r>
      <w:r w:rsidR="00021FA5" w:rsidRPr="00C738AF">
        <w:rPr>
          <w:rFonts w:ascii="Times New Roman" w:hAnsi="Times New Roman" w:cs="Times New Roman"/>
          <w:szCs w:val="24"/>
        </w:rPr>
        <w:t xml:space="preserve">stawa określa szczegółowo procedurę rozpatrywania wniosków przez dyrektora urzędu morskiego, w tym wymogi dotyczące wniosku </w:t>
      </w:r>
      <w:r w:rsidR="0008026D" w:rsidRPr="00C738AF">
        <w:rPr>
          <w:rFonts w:ascii="Times New Roman" w:hAnsi="Times New Roman" w:cs="Times New Roman"/>
          <w:szCs w:val="24"/>
        </w:rPr>
        <w:t>armatora jednostki pływającej</w:t>
      </w:r>
      <w:r w:rsidR="00021FA5" w:rsidRPr="00C738AF">
        <w:rPr>
          <w:rFonts w:ascii="Times New Roman" w:hAnsi="Times New Roman" w:cs="Times New Roman"/>
          <w:szCs w:val="24"/>
        </w:rPr>
        <w:t xml:space="preserve"> oraz załączników do tego wniosku.</w:t>
      </w:r>
    </w:p>
    <w:p w14:paraId="30C2A25F" w14:textId="55D3D7C8" w:rsidR="00B06DE4" w:rsidRPr="00C738AF" w:rsidRDefault="00B06DE4" w:rsidP="000B4EB4">
      <w:pPr>
        <w:pStyle w:val="ARTartustawynprozporzdzenia"/>
        <w:rPr>
          <w:rFonts w:ascii="Times New Roman" w:hAnsi="Times New Roman" w:cs="Times New Roman"/>
          <w:szCs w:val="24"/>
        </w:rPr>
      </w:pPr>
      <w:r w:rsidRPr="00C738AF">
        <w:rPr>
          <w:rFonts w:ascii="Times New Roman" w:hAnsi="Times New Roman" w:cs="Times New Roman"/>
          <w:szCs w:val="24"/>
        </w:rPr>
        <w:t>Jedną z informacji wymaganych we wniosku jest ujęcie numeru rejestracyjnego jednostki pływającej, na którą ma zostać udzielone wsparcie finansowe. Obowiązek rejestracji statku (nadanie numeru rejestracyjnego) nakłada art. 23 ustawy z dnia 18 września 2001 r. – Kodeks morski (Dz. U. z 2023 r. poz. 1309).</w:t>
      </w:r>
    </w:p>
    <w:p w14:paraId="6DBEDF44" w14:textId="1DE34F3B" w:rsidR="00F35E25" w:rsidRPr="00C738AF" w:rsidRDefault="00F35E25" w:rsidP="000B4EB4">
      <w:pPr>
        <w:pStyle w:val="ARTartustawynprozporzdzenia"/>
        <w:rPr>
          <w:rFonts w:ascii="Times New Roman" w:hAnsi="Times New Roman" w:cs="Times New Roman"/>
          <w:szCs w:val="24"/>
        </w:rPr>
      </w:pPr>
      <w:r w:rsidRPr="00C738AF">
        <w:rPr>
          <w:rFonts w:ascii="Times New Roman" w:hAnsi="Times New Roman" w:cs="Times New Roman"/>
          <w:szCs w:val="24"/>
        </w:rPr>
        <w:t xml:space="preserve">Do wniosku wnioskodawca </w:t>
      </w:r>
      <w:r w:rsidR="009A73F2" w:rsidRPr="00712F6F">
        <w:rPr>
          <w:rFonts w:ascii="Times New Roman" w:hAnsi="Times New Roman" w:cs="Times New Roman"/>
          <w:szCs w:val="24"/>
        </w:rPr>
        <w:t xml:space="preserve">jest </w:t>
      </w:r>
      <w:r w:rsidRPr="00C738AF">
        <w:rPr>
          <w:rFonts w:ascii="Times New Roman" w:hAnsi="Times New Roman" w:cs="Times New Roman"/>
          <w:szCs w:val="24"/>
        </w:rPr>
        <w:t xml:space="preserve">zobowiązany m.in. do dołączenia kopii dokumentu potwierdzającego prawo własności jednostki pływającej albo zgodę właściciela jednostki pływającej na objęcie jej wsparciem finansowym. </w:t>
      </w:r>
      <w:r w:rsidR="00C55466" w:rsidRPr="00C738AF">
        <w:rPr>
          <w:rFonts w:ascii="Times New Roman" w:hAnsi="Times New Roman" w:cs="Times New Roman"/>
          <w:szCs w:val="24"/>
        </w:rPr>
        <w:t xml:space="preserve">Przepis </w:t>
      </w:r>
      <w:r w:rsidRPr="00C738AF">
        <w:rPr>
          <w:rFonts w:ascii="Times New Roman" w:hAnsi="Times New Roman" w:cs="Times New Roman"/>
          <w:szCs w:val="24"/>
        </w:rPr>
        <w:t>ten wprowadzono m.in. w związku z</w:t>
      </w:r>
      <w:r w:rsidR="00436D04" w:rsidRPr="00C738AF">
        <w:rPr>
          <w:rFonts w:ascii="Times New Roman" w:hAnsi="Times New Roman" w:cs="Times New Roman"/>
          <w:szCs w:val="24"/>
        </w:rPr>
        <w:t> </w:t>
      </w:r>
      <w:r w:rsidRPr="00C738AF">
        <w:rPr>
          <w:rFonts w:ascii="Times New Roman" w:hAnsi="Times New Roman" w:cs="Times New Roman"/>
          <w:szCs w:val="24"/>
        </w:rPr>
        <w:t>koniecznością umożliwienia otrzymania wsparcia</w:t>
      </w:r>
      <w:r w:rsidR="002810E1">
        <w:rPr>
          <w:rFonts w:ascii="Times New Roman" w:hAnsi="Times New Roman" w:cs="Times New Roman"/>
          <w:szCs w:val="24"/>
        </w:rPr>
        <w:t>,</w:t>
      </w:r>
      <w:r w:rsidRPr="00C738AF">
        <w:rPr>
          <w:rFonts w:ascii="Times New Roman" w:hAnsi="Times New Roman" w:cs="Times New Roman"/>
          <w:szCs w:val="24"/>
        </w:rPr>
        <w:t xml:space="preserve"> w przypadku gdy armator nie jest właścicielem jednostki, a jest ona własnością członka rodziny </w:t>
      </w:r>
      <w:r w:rsidR="00D51977" w:rsidRPr="00C738AF">
        <w:rPr>
          <w:rFonts w:ascii="Times New Roman" w:hAnsi="Times New Roman" w:cs="Times New Roman"/>
          <w:szCs w:val="24"/>
        </w:rPr>
        <w:t>prowadzącego wspólne gospodarstwo domowe.</w:t>
      </w:r>
    </w:p>
    <w:p w14:paraId="06AF7566" w14:textId="179BCA41" w:rsidR="00B06DE4" w:rsidRPr="00C738AF" w:rsidRDefault="00985F4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Projektowana ustawa określa również szczegółowo przesłanki przyznania wsparcia finansowego, przypadki odmowy przyznania wsparcia finansowego, termin wypłaty przyznanego wsparcia finansowego, a także zasady zwrotu nienależnie pobranego wsparcia finansowego.</w:t>
      </w:r>
    </w:p>
    <w:p w14:paraId="6EC72C14" w14:textId="4788C6CA" w:rsidR="00021FA5" w:rsidRPr="00C738AF" w:rsidRDefault="00021FA5"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W zakresie trybu rozpatrywania wniosku o przyznanie wsparcia finansowego </w:t>
      </w:r>
      <w:r w:rsidR="005B47AA" w:rsidRPr="00C738AF">
        <w:rPr>
          <w:rFonts w:ascii="Times New Roman" w:hAnsi="Times New Roman" w:cs="Times New Roman"/>
          <w:szCs w:val="24"/>
        </w:rPr>
        <w:t>zastosowanie znajdą</w:t>
      </w:r>
      <w:r w:rsidRPr="00C738AF">
        <w:rPr>
          <w:rFonts w:ascii="Times New Roman" w:hAnsi="Times New Roman" w:cs="Times New Roman"/>
          <w:szCs w:val="24"/>
        </w:rPr>
        <w:t xml:space="preserve"> przepisy ustawy z dnia 14 czerwca 1960 r. – Kodeks postępowania administracyjnego</w:t>
      </w:r>
      <w:r w:rsidR="00C55466" w:rsidRPr="00C738AF">
        <w:rPr>
          <w:rFonts w:ascii="Times New Roman" w:hAnsi="Times New Roman" w:cs="Times New Roman"/>
          <w:szCs w:val="24"/>
        </w:rPr>
        <w:t xml:space="preserve"> (Dz. U. z 2024 r. poz. 572</w:t>
      </w:r>
      <w:r w:rsidR="002810E1">
        <w:rPr>
          <w:rFonts w:ascii="Times New Roman" w:hAnsi="Times New Roman" w:cs="Times New Roman"/>
          <w:szCs w:val="24"/>
        </w:rPr>
        <w:t>, z późn. zm.</w:t>
      </w:r>
      <w:r w:rsidR="00C55466" w:rsidRPr="00C738AF">
        <w:rPr>
          <w:rFonts w:ascii="Times New Roman" w:hAnsi="Times New Roman" w:cs="Times New Roman"/>
          <w:szCs w:val="24"/>
        </w:rPr>
        <w:t>)</w:t>
      </w:r>
      <w:r w:rsidRPr="00C738AF">
        <w:rPr>
          <w:rFonts w:ascii="Times New Roman" w:hAnsi="Times New Roman" w:cs="Times New Roman"/>
          <w:szCs w:val="24"/>
        </w:rPr>
        <w:t xml:space="preserve">, z uwzględnieniem przepisów </w:t>
      </w:r>
      <w:r w:rsidR="00B83207" w:rsidRPr="00C738AF">
        <w:rPr>
          <w:rFonts w:ascii="Times New Roman" w:hAnsi="Times New Roman" w:cs="Times New Roman"/>
          <w:szCs w:val="24"/>
        </w:rPr>
        <w:t>projektowanej</w:t>
      </w:r>
      <w:r w:rsidRPr="00C738AF">
        <w:rPr>
          <w:rFonts w:ascii="Times New Roman" w:hAnsi="Times New Roman" w:cs="Times New Roman"/>
          <w:szCs w:val="24"/>
        </w:rPr>
        <w:t xml:space="preserve"> ustawy.</w:t>
      </w:r>
    </w:p>
    <w:p w14:paraId="4B5A5733" w14:textId="5EF75D8E" w:rsidR="005B1208" w:rsidRPr="00C738AF" w:rsidRDefault="005B1208" w:rsidP="000B4EB4">
      <w:pPr>
        <w:pStyle w:val="ARTartustawynprozporzdzenia"/>
        <w:rPr>
          <w:rFonts w:ascii="Times New Roman" w:hAnsi="Times New Roman" w:cs="Times New Roman"/>
          <w:szCs w:val="24"/>
        </w:rPr>
      </w:pPr>
      <w:r w:rsidRPr="00C738AF">
        <w:rPr>
          <w:rFonts w:ascii="Times New Roman" w:hAnsi="Times New Roman" w:cs="Times New Roman"/>
          <w:szCs w:val="24"/>
        </w:rPr>
        <w:t xml:space="preserve">W zakresie następstwa prawnego armatora jednostki pływającej stosuje się przepisy ustawy z dnia 23 kwietnia 1964 r. – Kodeks cywilny </w:t>
      </w:r>
      <w:r w:rsidR="00C55466" w:rsidRPr="00C738AF">
        <w:rPr>
          <w:rFonts w:ascii="Times New Roman" w:hAnsi="Times New Roman" w:cs="Times New Roman"/>
          <w:szCs w:val="24"/>
        </w:rPr>
        <w:t>(Dz. U. z 2024 r. poz. 1061, z późn.</w:t>
      </w:r>
      <w:r w:rsidR="000B4EB4">
        <w:rPr>
          <w:rFonts w:ascii="Times New Roman" w:hAnsi="Times New Roman" w:cs="Times New Roman"/>
          <w:szCs w:val="24"/>
        </w:rPr>
        <w:t> </w:t>
      </w:r>
      <w:r w:rsidR="00C55466" w:rsidRPr="00C738AF">
        <w:rPr>
          <w:rFonts w:ascii="Times New Roman" w:hAnsi="Times New Roman" w:cs="Times New Roman"/>
          <w:szCs w:val="24"/>
        </w:rPr>
        <w:t xml:space="preserve">zm.) </w:t>
      </w:r>
      <w:r w:rsidRPr="00C738AF">
        <w:rPr>
          <w:rFonts w:ascii="Times New Roman" w:hAnsi="Times New Roman" w:cs="Times New Roman"/>
          <w:szCs w:val="24"/>
        </w:rPr>
        <w:t>lub ustawy z dnia 5 lipca 2018 r. o zarządzie sukcesyjnym przedsiębiorstwem osoby fizycznej i innych ułatwieniach związanych z sukcesją przedsiębiorstw</w:t>
      </w:r>
      <w:r w:rsidR="00C55466" w:rsidRPr="00C738AF">
        <w:rPr>
          <w:rFonts w:ascii="Times New Roman" w:hAnsi="Times New Roman" w:cs="Times New Roman"/>
          <w:szCs w:val="24"/>
        </w:rPr>
        <w:t xml:space="preserve"> (Dz. U. z 2021 r. poz.</w:t>
      </w:r>
      <w:r w:rsidR="002810E1">
        <w:rPr>
          <w:rFonts w:ascii="Times New Roman" w:hAnsi="Times New Roman" w:cs="Times New Roman"/>
          <w:szCs w:val="24"/>
        </w:rPr>
        <w:t> </w:t>
      </w:r>
      <w:r w:rsidR="00C55466" w:rsidRPr="00C738AF">
        <w:rPr>
          <w:rFonts w:ascii="Times New Roman" w:hAnsi="Times New Roman" w:cs="Times New Roman"/>
          <w:szCs w:val="24"/>
        </w:rPr>
        <w:t>170)</w:t>
      </w:r>
      <w:r w:rsidRPr="00C738AF">
        <w:rPr>
          <w:rFonts w:ascii="Times New Roman" w:hAnsi="Times New Roman" w:cs="Times New Roman"/>
          <w:szCs w:val="24"/>
        </w:rPr>
        <w:t>.</w:t>
      </w:r>
    </w:p>
    <w:p w14:paraId="321D9C20" w14:textId="237BC274" w:rsidR="00436D04" w:rsidRPr="00C738AF" w:rsidRDefault="00436D04"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lastRenderedPageBreak/>
        <w:t xml:space="preserve">W zakresie nieuregulowanym </w:t>
      </w:r>
      <w:r w:rsidR="005F3776" w:rsidRPr="00C738AF">
        <w:rPr>
          <w:rFonts w:ascii="Times New Roman" w:hAnsi="Times New Roman" w:cs="Times New Roman"/>
          <w:szCs w:val="24"/>
        </w:rPr>
        <w:t xml:space="preserve">projektowaną </w:t>
      </w:r>
      <w:r w:rsidRPr="00C738AF">
        <w:rPr>
          <w:rFonts w:ascii="Times New Roman" w:hAnsi="Times New Roman" w:cs="Times New Roman"/>
          <w:szCs w:val="24"/>
        </w:rPr>
        <w:t>ustawą do spraw dotyczących ustalania i zwrotu nienależnie pobranego wsparcia finansowego stosuje się przepisy ustawy z dnia 14 czerwca 1960 r. – Kodeks postępowania administracyjnego.</w:t>
      </w:r>
    </w:p>
    <w:p w14:paraId="4097CDBF" w14:textId="74091018" w:rsidR="00436D04" w:rsidRPr="00C738AF" w:rsidRDefault="00436D04" w:rsidP="000B4EB4">
      <w:pPr>
        <w:pStyle w:val="ARTartustawynprozporzdzenia"/>
        <w:rPr>
          <w:rFonts w:ascii="Times New Roman" w:hAnsi="Times New Roman" w:cs="Times New Roman"/>
          <w:szCs w:val="24"/>
        </w:rPr>
      </w:pPr>
      <w:r w:rsidRPr="00C738AF">
        <w:rPr>
          <w:rFonts w:ascii="Times New Roman" w:hAnsi="Times New Roman" w:cs="Times New Roman"/>
          <w:szCs w:val="24"/>
        </w:rPr>
        <w:t xml:space="preserve">W celu umożliwienia dochodzenia tych należności w trybie egzekucji administracyjnej </w:t>
      </w:r>
      <w:r w:rsidR="002810E1" w:rsidRPr="00077459">
        <w:rPr>
          <w:rFonts w:ascii="Times New Roman" w:hAnsi="Times New Roman" w:cs="Times New Roman"/>
          <w:szCs w:val="24"/>
        </w:rPr>
        <w:t xml:space="preserve">muszą być </w:t>
      </w:r>
      <w:r w:rsidRPr="00C738AF">
        <w:rPr>
          <w:rFonts w:ascii="Times New Roman" w:hAnsi="Times New Roman" w:cs="Times New Roman"/>
          <w:szCs w:val="24"/>
        </w:rPr>
        <w:t xml:space="preserve">spełnione warunki określone w art. 2 § 1, art. 3 § 1 lub art. 4 ustawy </w:t>
      </w:r>
      <w:r w:rsidR="005F3776" w:rsidRPr="00C738AF">
        <w:rPr>
          <w:rFonts w:ascii="Times New Roman" w:hAnsi="Times New Roman" w:cs="Times New Roman"/>
          <w:szCs w:val="24"/>
        </w:rPr>
        <w:t xml:space="preserve">z dnia 17 czerwca 1966 r. </w:t>
      </w:r>
      <w:r w:rsidRPr="00C738AF">
        <w:rPr>
          <w:rFonts w:ascii="Times New Roman" w:hAnsi="Times New Roman" w:cs="Times New Roman"/>
          <w:szCs w:val="24"/>
        </w:rPr>
        <w:t>o postępowaniu egzekucyjnym w administracji</w:t>
      </w:r>
      <w:r w:rsidR="005F3776" w:rsidRPr="00C738AF">
        <w:rPr>
          <w:rFonts w:ascii="Times New Roman" w:hAnsi="Times New Roman" w:cs="Times New Roman"/>
          <w:szCs w:val="24"/>
        </w:rPr>
        <w:t xml:space="preserve"> (Dz. U. z 2025 r. poz. 132</w:t>
      </w:r>
      <w:r w:rsidR="002810E1">
        <w:rPr>
          <w:rFonts w:ascii="Times New Roman" w:hAnsi="Times New Roman" w:cs="Times New Roman"/>
          <w:szCs w:val="24"/>
        </w:rPr>
        <w:t>, z późn. zm.</w:t>
      </w:r>
      <w:r w:rsidR="005F3776" w:rsidRPr="00C738AF">
        <w:rPr>
          <w:rFonts w:ascii="Times New Roman" w:hAnsi="Times New Roman" w:cs="Times New Roman"/>
          <w:szCs w:val="24"/>
        </w:rPr>
        <w:t>)</w:t>
      </w:r>
      <w:r w:rsidRPr="00C738AF">
        <w:rPr>
          <w:rFonts w:ascii="Times New Roman" w:hAnsi="Times New Roman" w:cs="Times New Roman"/>
          <w:szCs w:val="24"/>
        </w:rPr>
        <w:t>, tj. obowiązek winien mieścić się w katalogu obowiązków wymienionych w art.</w:t>
      </w:r>
      <w:r w:rsidR="002810E1">
        <w:rPr>
          <w:rFonts w:ascii="Times New Roman" w:hAnsi="Times New Roman" w:cs="Times New Roman"/>
          <w:szCs w:val="24"/>
        </w:rPr>
        <w:t> </w:t>
      </w:r>
      <w:r w:rsidRPr="00C738AF">
        <w:rPr>
          <w:rFonts w:ascii="Times New Roman" w:hAnsi="Times New Roman" w:cs="Times New Roman"/>
          <w:szCs w:val="24"/>
        </w:rPr>
        <w:t xml:space="preserve">2 § 1 tej ustawy oraz wynikać z decyzji lub postanowienia właściwego organu (jak np. decyzja o zwrocie nienależnie pobranego wsparcia) albo w zakresie administracji rządowej i jednostek samorządu terytorialnego </w:t>
      </w:r>
      <w:r w:rsidR="005F3776" w:rsidRPr="00C738AF">
        <w:rPr>
          <w:rFonts w:ascii="Times New Roman" w:hAnsi="Times New Roman" w:cs="Times New Roman"/>
          <w:szCs w:val="24"/>
        </w:rPr>
        <w:t>–</w:t>
      </w:r>
      <w:r w:rsidRPr="00C738AF">
        <w:rPr>
          <w:rFonts w:ascii="Times New Roman" w:hAnsi="Times New Roman" w:cs="Times New Roman"/>
          <w:szCs w:val="24"/>
        </w:rPr>
        <w:t xml:space="preserve"> bezpośrednio z przepisów prawa. Do obowiązków, które wynikają z decyzji, postanowień lub innych orzeczeń</w:t>
      </w:r>
      <w:r w:rsidR="00C55466" w:rsidRPr="00C738AF">
        <w:rPr>
          <w:rFonts w:ascii="Times New Roman" w:hAnsi="Times New Roman" w:cs="Times New Roman"/>
          <w:szCs w:val="24"/>
        </w:rPr>
        <w:t>,</w:t>
      </w:r>
      <w:r w:rsidRPr="00C738AF">
        <w:rPr>
          <w:rFonts w:ascii="Times New Roman" w:hAnsi="Times New Roman" w:cs="Times New Roman"/>
          <w:szCs w:val="24"/>
        </w:rPr>
        <w:t xml:space="preserve"> stosuje się egzekucję administracyjną tylko wówczas, gdy odrębne ustawy tak stanowią</w:t>
      </w:r>
      <w:r w:rsidR="00C55466" w:rsidRPr="00C738AF">
        <w:rPr>
          <w:rFonts w:ascii="Times New Roman" w:hAnsi="Times New Roman" w:cs="Times New Roman"/>
          <w:szCs w:val="24"/>
        </w:rPr>
        <w:t>.</w:t>
      </w:r>
    </w:p>
    <w:p w14:paraId="5F898105" w14:textId="52C9BFB2" w:rsidR="00985F41" w:rsidRPr="00C738AF" w:rsidRDefault="00985F41"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 przypadku wsparcia finansowego przyznanego niezgodnie z zasadami rynku wewnętrznego oraz wsparcia finansowego wykorzystanego niezgodnie z przeznaczeniem zastosowanie mają przepisy art. 24a–28 ustawy z dnia 30 kwietnia 2004 r. o postępowaniu w sprawach dotyczących pomocy publicznej</w:t>
      </w:r>
      <w:r w:rsidR="00C55466" w:rsidRPr="00C738AF">
        <w:rPr>
          <w:rFonts w:ascii="Times New Roman" w:hAnsi="Times New Roman" w:cs="Times New Roman"/>
          <w:szCs w:val="24"/>
        </w:rPr>
        <w:t xml:space="preserve"> (Dz. U. z </w:t>
      </w:r>
      <w:r w:rsidR="00356F6D" w:rsidRPr="00C738AF">
        <w:rPr>
          <w:rFonts w:ascii="Times New Roman" w:hAnsi="Times New Roman" w:cs="Times New Roman"/>
          <w:szCs w:val="24"/>
        </w:rPr>
        <w:t>2025 r. poz. 468</w:t>
      </w:r>
      <w:r w:rsidR="00C55466" w:rsidRPr="00C738AF">
        <w:rPr>
          <w:rFonts w:ascii="Times New Roman" w:hAnsi="Times New Roman" w:cs="Times New Roman"/>
          <w:szCs w:val="24"/>
        </w:rPr>
        <w:t>)</w:t>
      </w:r>
      <w:r w:rsidRPr="00C738AF">
        <w:rPr>
          <w:rFonts w:ascii="Times New Roman" w:hAnsi="Times New Roman" w:cs="Times New Roman"/>
          <w:szCs w:val="24"/>
        </w:rPr>
        <w:t>.</w:t>
      </w:r>
    </w:p>
    <w:p w14:paraId="0C03B024" w14:textId="2C0C2C41" w:rsidR="00985F41" w:rsidRPr="00C738AF" w:rsidRDefault="00203832"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Podany w projektowanej ustawie 10 letni okres przedawnienia należności z tytułu nienależnie pobranego wsparcia finansowego został określony w ten sposób, aby zachować spójność przepisów krajowych z prawem UE, tj. art. 17 rozporządzenia (UE) 2015/1589 z dnia 13 lipca 2015 r. ustanawiającym szczegółowe zasady stosowania art. 108 Traktatu o funkcjonowaniu Unii Europejskiej (Dz. Urz. UE L 248 z 24.09.2015, str. 9) (dotyczy stosowania unijnych zasad pomocy państwa), gdzie wskazano, że uprawnienie Komisji w zakresie windykacji pomocy podlega 10-letniemu okresowi przedawnienia, rozpoczynającego bieg w dniu, w którym przyznano pomoc niezgodną z prawem danemu przedsiębiorstwu lub grupie przedsiębiorstw.</w:t>
      </w:r>
    </w:p>
    <w:p w14:paraId="0D76ACF7" w14:textId="5846A184" w:rsidR="00021FA5" w:rsidRPr="000B4EB4" w:rsidRDefault="00021FA5" w:rsidP="000B4EB4">
      <w:pPr>
        <w:pStyle w:val="NIEARTTEKSTtekstnieartykuowanynppodstprawnarozplubpreambua"/>
        <w:ind w:left="426" w:hanging="426"/>
        <w:rPr>
          <w:rFonts w:ascii="Times New Roman" w:hAnsi="Times New Roman" w:cs="Times New Roman"/>
          <w:b/>
          <w:szCs w:val="24"/>
        </w:rPr>
      </w:pPr>
      <w:r w:rsidRPr="000B4EB4">
        <w:rPr>
          <w:rFonts w:ascii="Times New Roman" w:hAnsi="Times New Roman" w:cs="Times New Roman"/>
          <w:b/>
          <w:szCs w:val="24"/>
        </w:rPr>
        <w:t>4.</w:t>
      </w:r>
      <w:r w:rsidRPr="000B4EB4">
        <w:rPr>
          <w:rFonts w:ascii="Times New Roman" w:hAnsi="Times New Roman" w:cs="Times New Roman"/>
          <w:b/>
          <w:szCs w:val="24"/>
        </w:rPr>
        <w:tab/>
        <w:t>Przewidywane skutki społeczne, gospodarcze, finansowe i prawne</w:t>
      </w:r>
    </w:p>
    <w:p w14:paraId="149E141E" w14:textId="235BAFFB" w:rsidR="00095D83" w:rsidRPr="00C738AF" w:rsidRDefault="005F3776"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Projektowana u</w:t>
      </w:r>
      <w:r w:rsidR="00095D83" w:rsidRPr="00C738AF">
        <w:rPr>
          <w:rFonts w:ascii="Times New Roman" w:hAnsi="Times New Roman" w:cs="Times New Roman"/>
          <w:szCs w:val="24"/>
        </w:rPr>
        <w:t>stawa przewiduje wsparcie</w:t>
      </w:r>
      <w:r w:rsidR="0008026D" w:rsidRPr="00C738AF">
        <w:rPr>
          <w:rFonts w:ascii="Times New Roman" w:hAnsi="Times New Roman" w:cs="Times New Roman"/>
          <w:szCs w:val="24"/>
        </w:rPr>
        <w:t xml:space="preserve"> finansowe</w:t>
      </w:r>
      <w:r w:rsidR="00095D83" w:rsidRPr="00C738AF">
        <w:rPr>
          <w:rFonts w:ascii="Times New Roman" w:hAnsi="Times New Roman" w:cs="Times New Roman"/>
          <w:szCs w:val="24"/>
        </w:rPr>
        <w:t xml:space="preserve"> określonej grupy </w:t>
      </w:r>
      <w:r w:rsidR="0008026D" w:rsidRPr="00C738AF">
        <w:rPr>
          <w:rFonts w:ascii="Times New Roman" w:hAnsi="Times New Roman" w:cs="Times New Roman"/>
          <w:szCs w:val="24"/>
        </w:rPr>
        <w:t>armatorów jednostek pływających</w:t>
      </w:r>
      <w:r w:rsidR="00F6586B" w:rsidRPr="00C738AF">
        <w:rPr>
          <w:rFonts w:ascii="Times New Roman" w:hAnsi="Times New Roman" w:cs="Times New Roman"/>
          <w:szCs w:val="24"/>
        </w:rPr>
        <w:t xml:space="preserve"> w </w:t>
      </w:r>
      <w:r w:rsidR="008A057B" w:rsidRPr="00C738AF">
        <w:rPr>
          <w:rFonts w:ascii="Times New Roman" w:hAnsi="Times New Roman" w:cs="Times New Roman"/>
          <w:szCs w:val="24"/>
        </w:rPr>
        <w:t xml:space="preserve">zakończeniu </w:t>
      </w:r>
      <w:r w:rsidR="00F6586B" w:rsidRPr="00C738AF">
        <w:rPr>
          <w:rFonts w:ascii="Times New Roman" w:hAnsi="Times New Roman" w:cs="Times New Roman"/>
          <w:szCs w:val="24"/>
        </w:rPr>
        <w:t>prowadzenia dotychczasowej działalności</w:t>
      </w:r>
      <w:r w:rsidR="008A057B" w:rsidRPr="00C738AF">
        <w:rPr>
          <w:rFonts w:ascii="Times New Roman" w:hAnsi="Times New Roman" w:cs="Times New Roman"/>
          <w:szCs w:val="24"/>
        </w:rPr>
        <w:t xml:space="preserve"> gospodarczej</w:t>
      </w:r>
      <w:r w:rsidR="00F6586B" w:rsidRPr="00C738AF">
        <w:rPr>
          <w:rFonts w:ascii="Times New Roman" w:hAnsi="Times New Roman" w:cs="Times New Roman"/>
          <w:szCs w:val="24"/>
        </w:rPr>
        <w:t xml:space="preserve"> w związku z</w:t>
      </w:r>
      <w:r w:rsidR="00095D83" w:rsidRPr="00C738AF">
        <w:rPr>
          <w:rFonts w:ascii="Times New Roman" w:hAnsi="Times New Roman" w:cs="Times New Roman"/>
          <w:szCs w:val="24"/>
        </w:rPr>
        <w:t xml:space="preserve"> wprowadzeniem w dniu 1 stycznia</w:t>
      </w:r>
      <w:r w:rsidR="00DB21FC">
        <w:rPr>
          <w:rFonts w:ascii="Times New Roman" w:hAnsi="Times New Roman" w:cs="Times New Roman"/>
          <w:szCs w:val="24"/>
        </w:rPr>
        <w:t xml:space="preserve"> </w:t>
      </w:r>
      <w:r w:rsidR="00095D83" w:rsidRPr="00C738AF">
        <w:rPr>
          <w:rFonts w:ascii="Times New Roman" w:hAnsi="Times New Roman" w:cs="Times New Roman"/>
          <w:szCs w:val="24"/>
        </w:rPr>
        <w:t>2020 r. zakazu połowu dorsza na Morzu Bałtyckim.</w:t>
      </w:r>
    </w:p>
    <w:p w14:paraId="409CCEC2" w14:textId="0F7B07B4" w:rsidR="00BD3EA4" w:rsidRPr="00C738AF" w:rsidRDefault="008A057B"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Zakończenie</w:t>
      </w:r>
      <w:r w:rsidR="00BD3EA4" w:rsidRPr="00C738AF">
        <w:rPr>
          <w:rFonts w:ascii="Times New Roman" w:hAnsi="Times New Roman" w:cs="Times New Roman"/>
          <w:szCs w:val="24"/>
        </w:rPr>
        <w:t xml:space="preserve"> prowadzonej działalności </w:t>
      </w:r>
      <w:r w:rsidRPr="00C738AF">
        <w:rPr>
          <w:rFonts w:ascii="Times New Roman" w:hAnsi="Times New Roman" w:cs="Times New Roman"/>
          <w:szCs w:val="24"/>
        </w:rPr>
        <w:t xml:space="preserve">gospodarczej </w:t>
      </w:r>
      <w:r w:rsidR="00BD3EA4" w:rsidRPr="00C738AF">
        <w:rPr>
          <w:rFonts w:ascii="Times New Roman" w:hAnsi="Times New Roman" w:cs="Times New Roman"/>
          <w:szCs w:val="24"/>
        </w:rPr>
        <w:t xml:space="preserve">polegać ma na zaprzestaniu odpłatnego udostępniania statku w celach połowu organizmów morskich na podstawie </w:t>
      </w:r>
      <w:r w:rsidR="00BD3EA4" w:rsidRPr="00C738AF">
        <w:rPr>
          <w:rFonts w:ascii="Times New Roman" w:hAnsi="Times New Roman" w:cs="Times New Roman"/>
          <w:szCs w:val="24"/>
        </w:rPr>
        <w:lastRenderedPageBreak/>
        <w:t>sportowego zezwolenia połowowego zgodnie z przepisami o rybołówstwie (art. 5 pkt 9 lit.</w:t>
      </w:r>
      <w:r w:rsidR="000B4EB4">
        <w:rPr>
          <w:rFonts w:ascii="Times New Roman" w:hAnsi="Times New Roman" w:cs="Times New Roman"/>
          <w:szCs w:val="24"/>
        </w:rPr>
        <w:t> </w:t>
      </w:r>
      <w:r w:rsidR="00BD3EA4" w:rsidRPr="00C738AF">
        <w:rPr>
          <w:rFonts w:ascii="Times New Roman" w:hAnsi="Times New Roman" w:cs="Times New Roman"/>
          <w:szCs w:val="24"/>
        </w:rPr>
        <w:t xml:space="preserve">c ustawy o bezpieczeństwie morskim). </w:t>
      </w:r>
      <w:r w:rsidRPr="00C738AF">
        <w:rPr>
          <w:rFonts w:ascii="Times New Roman" w:hAnsi="Times New Roman" w:cs="Times New Roman"/>
          <w:szCs w:val="24"/>
        </w:rPr>
        <w:t xml:space="preserve">Zakończenie prowadzonej działalności gospodarczej </w:t>
      </w:r>
      <w:r w:rsidR="00BD3EA4" w:rsidRPr="00C738AF">
        <w:rPr>
          <w:rFonts w:ascii="Times New Roman" w:hAnsi="Times New Roman" w:cs="Times New Roman"/>
          <w:szCs w:val="24"/>
        </w:rPr>
        <w:t>w przypadku przyznania wsparcia finansowego będzie oznaczało zaprzestanie świadczenia ww. usług na jednostce pływającej, której dotyczył złożony wniosek o przyznanie wsparcia</w:t>
      </w:r>
      <w:r w:rsidR="0008026D" w:rsidRPr="00C738AF">
        <w:rPr>
          <w:rFonts w:ascii="Times New Roman" w:hAnsi="Times New Roman" w:cs="Times New Roman"/>
          <w:szCs w:val="24"/>
        </w:rPr>
        <w:t xml:space="preserve"> finansowego</w:t>
      </w:r>
      <w:r w:rsidR="00BD3EA4" w:rsidRPr="00C738AF">
        <w:rPr>
          <w:rFonts w:ascii="Times New Roman" w:hAnsi="Times New Roman" w:cs="Times New Roman"/>
          <w:szCs w:val="24"/>
        </w:rPr>
        <w:t>.</w:t>
      </w:r>
    </w:p>
    <w:p w14:paraId="1A116103" w14:textId="4F8A1AE7" w:rsidR="00BD3EA4" w:rsidRPr="00C738AF" w:rsidRDefault="008F1712"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W </w:t>
      </w:r>
      <w:r w:rsidR="00194C0B" w:rsidRPr="00C738AF">
        <w:rPr>
          <w:rFonts w:ascii="Times New Roman" w:hAnsi="Times New Roman" w:cs="Times New Roman"/>
          <w:szCs w:val="24"/>
        </w:rPr>
        <w:t>przypadku zakończenia przez armatora jednostki pływającej prowadzenia działalności gospodarczej – odpis pełny z KRS albo pobrany samodzielnie wydruk komputerowy odpisu pełnego z KRS, które zawierają wpis informacji o wykreśleniu z KRS</w:t>
      </w:r>
      <w:r w:rsidR="00011AA4">
        <w:rPr>
          <w:rFonts w:ascii="Times New Roman" w:hAnsi="Times New Roman" w:cs="Times New Roman"/>
          <w:szCs w:val="24"/>
        </w:rPr>
        <w:t>,</w:t>
      </w:r>
      <w:r w:rsidR="00194C0B" w:rsidRPr="00C738AF">
        <w:rPr>
          <w:rFonts w:ascii="Times New Roman" w:hAnsi="Times New Roman" w:cs="Times New Roman"/>
          <w:szCs w:val="24"/>
        </w:rPr>
        <w:t xml:space="preserve"> albo zaświadczenie o wykreśleniu z CEIDG albo samodzielnie pobrany wydruk komputerowy z CEIDG.</w:t>
      </w:r>
    </w:p>
    <w:p w14:paraId="4C48720B" w14:textId="7DE33DDB" w:rsidR="00095D83" w:rsidRPr="00C738AF" w:rsidRDefault="00095D83"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w:t>
      </w:r>
      <w:r w:rsidR="005F3776" w:rsidRPr="00C738AF">
        <w:rPr>
          <w:rFonts w:ascii="Times New Roman" w:hAnsi="Times New Roman" w:cs="Times New Roman"/>
          <w:szCs w:val="24"/>
        </w:rPr>
        <w:t>owana ustawa</w:t>
      </w:r>
      <w:r w:rsidRPr="00C738AF">
        <w:rPr>
          <w:rFonts w:ascii="Times New Roman" w:hAnsi="Times New Roman" w:cs="Times New Roman"/>
          <w:szCs w:val="24"/>
        </w:rPr>
        <w:t xml:space="preserve"> może prowadzić do zwiększenia obciążenia sądów administracyjnych w</w:t>
      </w:r>
      <w:r w:rsidR="00DB21FC">
        <w:rPr>
          <w:rFonts w:ascii="Times New Roman" w:hAnsi="Times New Roman" w:cs="Times New Roman"/>
          <w:szCs w:val="24"/>
        </w:rPr>
        <w:t xml:space="preserve"> </w:t>
      </w:r>
      <w:r w:rsidRPr="00C738AF">
        <w:rPr>
          <w:rFonts w:ascii="Times New Roman" w:hAnsi="Times New Roman" w:cs="Times New Roman"/>
          <w:szCs w:val="24"/>
        </w:rPr>
        <w:t xml:space="preserve">przypadku składania przez wnioskodawców skarg od rozstrzygnięć sprawy, ponieważ zgodnie z przepisami </w:t>
      </w:r>
      <w:r w:rsidR="005F3776" w:rsidRPr="00C738AF">
        <w:rPr>
          <w:rFonts w:ascii="Times New Roman" w:hAnsi="Times New Roman" w:cs="Times New Roman"/>
          <w:szCs w:val="24"/>
        </w:rPr>
        <w:t xml:space="preserve">projektowanej ustawy </w:t>
      </w:r>
      <w:r w:rsidRPr="00C738AF">
        <w:rPr>
          <w:rFonts w:ascii="Times New Roman" w:hAnsi="Times New Roman" w:cs="Times New Roman"/>
          <w:szCs w:val="24"/>
        </w:rPr>
        <w:t>w zakresie trybu rozpatrywania wniosku o przyznanie wsparcia finansowego stosuje się przepisy ustawy z dnia 14 czerwca 1960 r. – Kodeks postępowania administracyjnego.</w:t>
      </w:r>
    </w:p>
    <w:p w14:paraId="76B70A05" w14:textId="77777777" w:rsidR="00021FA5" w:rsidRPr="00C738AF" w:rsidRDefault="00021FA5" w:rsidP="000B4EB4">
      <w:pPr>
        <w:pStyle w:val="NIEARTTEKSTtekstnieartykuowanynppodstprawnarozplubpreambua"/>
        <w:ind w:left="426" w:hanging="426"/>
        <w:rPr>
          <w:rFonts w:ascii="Times New Roman" w:hAnsi="Times New Roman" w:cs="Times New Roman"/>
          <w:b/>
          <w:szCs w:val="24"/>
        </w:rPr>
      </w:pPr>
      <w:r w:rsidRPr="00C738AF">
        <w:rPr>
          <w:rFonts w:ascii="Times New Roman" w:hAnsi="Times New Roman" w:cs="Times New Roman"/>
          <w:b/>
          <w:szCs w:val="24"/>
        </w:rPr>
        <w:t>5.</w:t>
      </w:r>
      <w:r w:rsidRPr="00C738AF">
        <w:rPr>
          <w:rFonts w:ascii="Times New Roman" w:hAnsi="Times New Roman" w:cs="Times New Roman"/>
          <w:b/>
          <w:szCs w:val="24"/>
        </w:rPr>
        <w:tab/>
        <w:t>Źródła finansowania</w:t>
      </w:r>
    </w:p>
    <w:p w14:paraId="78270FC7" w14:textId="681D6794" w:rsidR="00B12A27" w:rsidRPr="00C738AF" w:rsidRDefault="005D51E6"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Wsparcie finansowe będzie udzielone w ramach wydatków części budżetowej 21 – Gospodarka morska przy uwzględnieniu środków rezerwy celowej budżetu państwa.</w:t>
      </w:r>
      <w:r w:rsidR="00B12A27" w:rsidRPr="00C738AF">
        <w:rPr>
          <w:rFonts w:ascii="Times New Roman" w:hAnsi="Times New Roman" w:cs="Times New Roman"/>
          <w:szCs w:val="24"/>
        </w:rPr>
        <w:t xml:space="preserve"> Limit środków finansowych przeznaczonych na przyznanie wsparcia finansowego wynosi 50</w:t>
      </w:r>
      <w:r w:rsidR="00DB21FC">
        <w:rPr>
          <w:rFonts w:ascii="Times New Roman" w:hAnsi="Times New Roman" w:cs="Times New Roman"/>
          <w:szCs w:val="24"/>
        </w:rPr>
        <w:t> </w:t>
      </w:r>
      <w:r w:rsidR="00B12A27" w:rsidRPr="00C738AF">
        <w:rPr>
          <w:rFonts w:ascii="Times New Roman" w:hAnsi="Times New Roman" w:cs="Times New Roman"/>
          <w:szCs w:val="24"/>
        </w:rPr>
        <w:t>mln</w:t>
      </w:r>
      <w:r w:rsidR="00DB21FC">
        <w:rPr>
          <w:rFonts w:ascii="Times New Roman" w:hAnsi="Times New Roman" w:cs="Times New Roman"/>
          <w:szCs w:val="24"/>
        </w:rPr>
        <w:t> </w:t>
      </w:r>
      <w:r w:rsidR="00B12A27" w:rsidRPr="00C738AF">
        <w:rPr>
          <w:rFonts w:ascii="Times New Roman" w:hAnsi="Times New Roman" w:cs="Times New Roman"/>
          <w:szCs w:val="24"/>
        </w:rPr>
        <w:t>zł.</w:t>
      </w:r>
    </w:p>
    <w:p w14:paraId="468E582F" w14:textId="77777777" w:rsidR="00021FA5" w:rsidRPr="00C738AF" w:rsidRDefault="00021FA5" w:rsidP="000B4EB4">
      <w:pPr>
        <w:pStyle w:val="NIEARTTEKSTtekstnieartykuowanynppodstprawnarozplubpreambua"/>
        <w:ind w:left="426" w:hanging="426"/>
        <w:rPr>
          <w:rFonts w:ascii="Times New Roman" w:hAnsi="Times New Roman" w:cs="Times New Roman"/>
          <w:b/>
          <w:szCs w:val="24"/>
        </w:rPr>
      </w:pPr>
      <w:r w:rsidRPr="00C738AF">
        <w:rPr>
          <w:rFonts w:ascii="Times New Roman" w:hAnsi="Times New Roman" w:cs="Times New Roman"/>
          <w:b/>
          <w:szCs w:val="24"/>
        </w:rPr>
        <w:t>6.</w:t>
      </w:r>
      <w:r w:rsidRPr="00C738AF">
        <w:rPr>
          <w:rFonts w:ascii="Times New Roman" w:hAnsi="Times New Roman" w:cs="Times New Roman"/>
          <w:b/>
          <w:szCs w:val="24"/>
        </w:rPr>
        <w:tab/>
        <w:t>Założenia projektów podstawowych aktów wykonawczych</w:t>
      </w:r>
    </w:p>
    <w:p w14:paraId="5DD9D425" w14:textId="653CCD35" w:rsidR="00021FA5" w:rsidRPr="00C738AF" w:rsidRDefault="00021FA5"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w:t>
      </w:r>
      <w:r w:rsidR="005F3776" w:rsidRPr="00C738AF">
        <w:rPr>
          <w:rFonts w:ascii="Times New Roman" w:hAnsi="Times New Roman" w:cs="Times New Roman"/>
          <w:szCs w:val="24"/>
        </w:rPr>
        <w:t>owana</w:t>
      </w:r>
      <w:r w:rsidRPr="00C738AF">
        <w:rPr>
          <w:rFonts w:ascii="Times New Roman" w:hAnsi="Times New Roman" w:cs="Times New Roman"/>
          <w:szCs w:val="24"/>
        </w:rPr>
        <w:t xml:space="preserve"> ustaw</w:t>
      </w:r>
      <w:r w:rsidR="005F3776" w:rsidRPr="00C738AF">
        <w:rPr>
          <w:rFonts w:ascii="Times New Roman" w:hAnsi="Times New Roman" w:cs="Times New Roman"/>
          <w:szCs w:val="24"/>
        </w:rPr>
        <w:t>a</w:t>
      </w:r>
      <w:r w:rsidRPr="00C738AF">
        <w:rPr>
          <w:rFonts w:ascii="Times New Roman" w:hAnsi="Times New Roman" w:cs="Times New Roman"/>
          <w:szCs w:val="24"/>
        </w:rPr>
        <w:t xml:space="preserve"> nie zakłada wydania aktów wykonawczych.</w:t>
      </w:r>
    </w:p>
    <w:p w14:paraId="08AC7DD1" w14:textId="77777777" w:rsidR="00021FA5" w:rsidRPr="00C738AF" w:rsidRDefault="00021FA5" w:rsidP="000B4EB4">
      <w:pPr>
        <w:pStyle w:val="NIEARTTEKSTtekstnieartykuowanynppodstprawnarozplubpreambua"/>
        <w:ind w:left="426" w:hanging="426"/>
        <w:rPr>
          <w:rFonts w:ascii="Times New Roman" w:hAnsi="Times New Roman" w:cs="Times New Roman"/>
          <w:b/>
          <w:szCs w:val="24"/>
        </w:rPr>
      </w:pPr>
      <w:bookmarkStart w:id="1" w:name="_Hlk175723007"/>
      <w:r w:rsidRPr="00C738AF">
        <w:rPr>
          <w:rFonts w:ascii="Times New Roman" w:hAnsi="Times New Roman" w:cs="Times New Roman"/>
          <w:b/>
          <w:szCs w:val="24"/>
        </w:rPr>
        <w:t>7.</w:t>
      </w:r>
      <w:r w:rsidRPr="00C738AF">
        <w:rPr>
          <w:rFonts w:ascii="Times New Roman" w:hAnsi="Times New Roman" w:cs="Times New Roman"/>
          <w:b/>
          <w:szCs w:val="24"/>
        </w:rPr>
        <w:tab/>
        <w:t xml:space="preserve">Oświadczenie </w:t>
      </w:r>
      <w:bookmarkEnd w:id="1"/>
      <w:r w:rsidRPr="00C738AF">
        <w:rPr>
          <w:rFonts w:ascii="Times New Roman" w:hAnsi="Times New Roman" w:cs="Times New Roman"/>
          <w:b/>
          <w:szCs w:val="24"/>
        </w:rPr>
        <w:t>o zgodności projektu ustawy z prawem Unii Europejskiej albo oświadczenie, że przedmiot projektowanej regulacji nie jest objęty prawem Unii Europejskiej</w:t>
      </w:r>
    </w:p>
    <w:p w14:paraId="5C635D64" w14:textId="4B1B92E6" w:rsidR="00021FA5" w:rsidRPr="00C738AF" w:rsidRDefault="00021FA5"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w:t>
      </w:r>
      <w:r w:rsidR="005F3776" w:rsidRPr="00C738AF">
        <w:rPr>
          <w:rFonts w:ascii="Times New Roman" w:hAnsi="Times New Roman" w:cs="Times New Roman"/>
          <w:szCs w:val="24"/>
        </w:rPr>
        <w:t>owana ustawa</w:t>
      </w:r>
      <w:r w:rsidRPr="00C738AF">
        <w:rPr>
          <w:rFonts w:ascii="Times New Roman" w:hAnsi="Times New Roman" w:cs="Times New Roman"/>
          <w:szCs w:val="24"/>
        </w:rPr>
        <w:t xml:space="preserve"> jest zgodn</w:t>
      </w:r>
      <w:r w:rsidR="005F3776" w:rsidRPr="00C738AF">
        <w:rPr>
          <w:rFonts w:ascii="Times New Roman" w:hAnsi="Times New Roman" w:cs="Times New Roman"/>
          <w:szCs w:val="24"/>
        </w:rPr>
        <w:t>a</w:t>
      </w:r>
      <w:r w:rsidRPr="00C738AF">
        <w:rPr>
          <w:rFonts w:ascii="Times New Roman" w:hAnsi="Times New Roman" w:cs="Times New Roman"/>
          <w:szCs w:val="24"/>
        </w:rPr>
        <w:t xml:space="preserve"> z prawem Unii Europejskiej.</w:t>
      </w:r>
    </w:p>
    <w:p w14:paraId="1DFD0C31" w14:textId="3DA7A5D2" w:rsidR="00FA0F9D" w:rsidRPr="00C738AF" w:rsidRDefault="002E675A"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Wsparcie</w:t>
      </w:r>
      <w:r w:rsidR="00FA0F9D" w:rsidRPr="00C738AF">
        <w:rPr>
          <w:rFonts w:ascii="Times New Roman" w:hAnsi="Times New Roman" w:cs="Times New Roman"/>
          <w:szCs w:val="24"/>
        </w:rPr>
        <w:t xml:space="preserve"> </w:t>
      </w:r>
      <w:r w:rsidR="00CE698F" w:rsidRPr="00C738AF">
        <w:rPr>
          <w:rFonts w:ascii="Times New Roman" w:hAnsi="Times New Roman" w:cs="Times New Roman"/>
          <w:szCs w:val="24"/>
        </w:rPr>
        <w:t xml:space="preserve">finansowe </w:t>
      </w:r>
      <w:r w:rsidR="00FA0F9D" w:rsidRPr="00C738AF">
        <w:rPr>
          <w:rFonts w:ascii="Times New Roman" w:hAnsi="Times New Roman" w:cs="Times New Roman"/>
          <w:szCs w:val="24"/>
        </w:rPr>
        <w:t>przyznawan</w:t>
      </w:r>
      <w:r w:rsidRPr="00C738AF">
        <w:rPr>
          <w:rFonts w:ascii="Times New Roman" w:hAnsi="Times New Roman" w:cs="Times New Roman"/>
          <w:szCs w:val="24"/>
        </w:rPr>
        <w:t>e</w:t>
      </w:r>
      <w:r w:rsidR="00FA0F9D" w:rsidRPr="00C738AF">
        <w:rPr>
          <w:rFonts w:ascii="Times New Roman" w:hAnsi="Times New Roman" w:cs="Times New Roman"/>
          <w:szCs w:val="24"/>
        </w:rPr>
        <w:t xml:space="preserve"> w ramach projektowane</w:t>
      </w:r>
      <w:r w:rsidR="00B83207" w:rsidRPr="00C738AF">
        <w:rPr>
          <w:rFonts w:ascii="Times New Roman" w:hAnsi="Times New Roman" w:cs="Times New Roman"/>
          <w:szCs w:val="24"/>
        </w:rPr>
        <w:t>j ustawy</w:t>
      </w:r>
      <w:r w:rsidR="00FA0F9D" w:rsidRPr="00C738AF">
        <w:rPr>
          <w:rFonts w:ascii="Times New Roman" w:hAnsi="Times New Roman" w:cs="Times New Roman"/>
          <w:szCs w:val="24"/>
        </w:rPr>
        <w:t xml:space="preserve"> nie jest pomocą udzielaną w sektorze rybołówstwa i akwakultury.</w:t>
      </w:r>
    </w:p>
    <w:p w14:paraId="6DD55B39" w14:textId="7BDF5E3D" w:rsidR="00EB00AD" w:rsidRPr="00C738AF" w:rsidRDefault="00021FA5"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Ze względu na charakter pomocy</w:t>
      </w:r>
      <w:r w:rsidR="005F3776" w:rsidRPr="00C738AF">
        <w:rPr>
          <w:rFonts w:ascii="Times New Roman" w:hAnsi="Times New Roman" w:cs="Times New Roman"/>
          <w:szCs w:val="24"/>
        </w:rPr>
        <w:t xml:space="preserve"> projektowana</w:t>
      </w:r>
      <w:r w:rsidRPr="00C738AF">
        <w:rPr>
          <w:rFonts w:ascii="Times New Roman" w:hAnsi="Times New Roman" w:cs="Times New Roman"/>
          <w:szCs w:val="24"/>
        </w:rPr>
        <w:t xml:space="preserve"> ustawa będzie notyfikowana do Komisji Europejskiej na podstawie art. 108 ust. 3 Traktatu o funkcjonowaniu Unii Europejskiej</w:t>
      </w:r>
      <w:r w:rsidR="000C624B" w:rsidRPr="00C738AF">
        <w:rPr>
          <w:rFonts w:ascii="Times New Roman" w:hAnsi="Times New Roman" w:cs="Times New Roman"/>
          <w:szCs w:val="24"/>
        </w:rPr>
        <w:t xml:space="preserve"> (Dz.</w:t>
      </w:r>
      <w:r w:rsidR="00DB21FC">
        <w:rPr>
          <w:rFonts w:ascii="Times New Roman" w:hAnsi="Times New Roman" w:cs="Times New Roman"/>
          <w:szCs w:val="24"/>
        </w:rPr>
        <w:t> </w:t>
      </w:r>
      <w:r w:rsidR="000C624B" w:rsidRPr="00C738AF">
        <w:rPr>
          <w:rFonts w:ascii="Times New Roman" w:hAnsi="Times New Roman" w:cs="Times New Roman"/>
          <w:szCs w:val="24"/>
        </w:rPr>
        <w:t>U. z 2004 r. poz. 864, z późn. zm.)</w:t>
      </w:r>
      <w:r w:rsidRPr="00C738AF">
        <w:rPr>
          <w:rFonts w:ascii="Times New Roman" w:hAnsi="Times New Roman" w:cs="Times New Roman"/>
          <w:szCs w:val="24"/>
        </w:rPr>
        <w:t>.</w:t>
      </w:r>
      <w:r w:rsidR="00EB00AD" w:rsidRPr="00C738AF">
        <w:rPr>
          <w:rFonts w:ascii="Times New Roman" w:hAnsi="Times New Roman" w:cs="Times New Roman"/>
          <w:szCs w:val="24"/>
        </w:rPr>
        <w:t xml:space="preserve"> Notyfikacja pomocy publicznej </w:t>
      </w:r>
      <w:r w:rsidR="007B44A0" w:rsidRPr="00C738AF">
        <w:rPr>
          <w:rFonts w:ascii="Times New Roman" w:hAnsi="Times New Roman" w:cs="Times New Roman"/>
          <w:szCs w:val="24"/>
        </w:rPr>
        <w:t xml:space="preserve">udzielanej na podstawie projektowanej ustawy </w:t>
      </w:r>
      <w:r w:rsidR="00EB00AD" w:rsidRPr="00C738AF">
        <w:rPr>
          <w:rFonts w:ascii="Times New Roman" w:hAnsi="Times New Roman" w:cs="Times New Roman"/>
          <w:szCs w:val="24"/>
        </w:rPr>
        <w:t>zostanie dokonana za pomocą formularzy dostępnych w obsługiwanym przez U</w:t>
      </w:r>
      <w:r w:rsidR="00CE698F" w:rsidRPr="00C738AF">
        <w:rPr>
          <w:rFonts w:ascii="Times New Roman" w:hAnsi="Times New Roman" w:cs="Times New Roman"/>
          <w:szCs w:val="24"/>
        </w:rPr>
        <w:t xml:space="preserve">rząd </w:t>
      </w:r>
      <w:r w:rsidR="00EB00AD" w:rsidRPr="00C738AF">
        <w:rPr>
          <w:rFonts w:ascii="Times New Roman" w:hAnsi="Times New Roman" w:cs="Times New Roman"/>
          <w:szCs w:val="24"/>
        </w:rPr>
        <w:t>O</w:t>
      </w:r>
      <w:r w:rsidR="00CE698F" w:rsidRPr="00C738AF">
        <w:rPr>
          <w:rFonts w:ascii="Times New Roman" w:hAnsi="Times New Roman" w:cs="Times New Roman"/>
          <w:szCs w:val="24"/>
        </w:rPr>
        <w:t xml:space="preserve">chrony </w:t>
      </w:r>
      <w:r w:rsidR="00EB00AD" w:rsidRPr="00C738AF">
        <w:rPr>
          <w:rFonts w:ascii="Times New Roman" w:hAnsi="Times New Roman" w:cs="Times New Roman"/>
          <w:szCs w:val="24"/>
        </w:rPr>
        <w:t>K</w:t>
      </w:r>
      <w:r w:rsidR="00CE698F" w:rsidRPr="00C738AF">
        <w:rPr>
          <w:rFonts w:ascii="Times New Roman" w:hAnsi="Times New Roman" w:cs="Times New Roman"/>
          <w:szCs w:val="24"/>
        </w:rPr>
        <w:t xml:space="preserve">onkurencji </w:t>
      </w:r>
      <w:r w:rsidR="00EB00AD" w:rsidRPr="00C738AF">
        <w:rPr>
          <w:rFonts w:ascii="Times New Roman" w:hAnsi="Times New Roman" w:cs="Times New Roman"/>
          <w:szCs w:val="24"/>
        </w:rPr>
        <w:t>i</w:t>
      </w:r>
      <w:r w:rsidR="00CE698F" w:rsidRPr="00C738AF">
        <w:rPr>
          <w:rFonts w:ascii="Times New Roman" w:hAnsi="Times New Roman" w:cs="Times New Roman"/>
          <w:szCs w:val="24"/>
        </w:rPr>
        <w:t xml:space="preserve"> </w:t>
      </w:r>
      <w:r w:rsidR="00EB00AD" w:rsidRPr="00C738AF">
        <w:rPr>
          <w:rFonts w:ascii="Times New Roman" w:hAnsi="Times New Roman" w:cs="Times New Roman"/>
          <w:szCs w:val="24"/>
        </w:rPr>
        <w:t>K</w:t>
      </w:r>
      <w:r w:rsidR="00CE698F" w:rsidRPr="00C738AF">
        <w:rPr>
          <w:rFonts w:ascii="Times New Roman" w:hAnsi="Times New Roman" w:cs="Times New Roman"/>
          <w:szCs w:val="24"/>
        </w:rPr>
        <w:t>onsumentów</w:t>
      </w:r>
      <w:r w:rsidR="00EB00AD" w:rsidRPr="00C738AF">
        <w:rPr>
          <w:rFonts w:ascii="Times New Roman" w:hAnsi="Times New Roman" w:cs="Times New Roman"/>
          <w:szCs w:val="24"/>
        </w:rPr>
        <w:t xml:space="preserve"> systemie elektronicznym SANI</w:t>
      </w:r>
      <w:r w:rsidR="00FC6944" w:rsidRPr="00C738AF">
        <w:rPr>
          <w:rFonts w:ascii="Times New Roman" w:hAnsi="Times New Roman" w:cs="Times New Roman"/>
          <w:szCs w:val="24"/>
        </w:rPr>
        <w:t>.</w:t>
      </w:r>
    </w:p>
    <w:p w14:paraId="4B11EEAE" w14:textId="4886BCF0" w:rsidR="00EB00AD" w:rsidRPr="00C738AF" w:rsidRDefault="00EB00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lastRenderedPageBreak/>
        <w:t xml:space="preserve">Dokonanie notyfikacji </w:t>
      </w:r>
      <w:r w:rsidR="007B44A0" w:rsidRPr="00C738AF">
        <w:rPr>
          <w:rFonts w:ascii="Times New Roman" w:hAnsi="Times New Roman" w:cs="Times New Roman"/>
          <w:szCs w:val="24"/>
        </w:rPr>
        <w:t xml:space="preserve">pomocy publicznej udzielanej na podstawie projektowanej ustawy </w:t>
      </w:r>
      <w:r w:rsidRPr="00C738AF">
        <w:rPr>
          <w:rFonts w:ascii="Times New Roman" w:hAnsi="Times New Roman" w:cs="Times New Roman"/>
          <w:szCs w:val="24"/>
        </w:rPr>
        <w:t xml:space="preserve">wymaga również zgody Rady Ministrów (art. 16 ust. 1 ustawy </w:t>
      </w:r>
      <w:r w:rsidR="00900C00" w:rsidRPr="00C738AF">
        <w:rPr>
          <w:rFonts w:ascii="Times New Roman" w:hAnsi="Times New Roman" w:cs="Times New Roman"/>
          <w:szCs w:val="24"/>
        </w:rPr>
        <w:t xml:space="preserve">z dnia 30 kwietnia 2004 r. </w:t>
      </w:r>
      <w:r w:rsidRPr="00C738AF">
        <w:rPr>
          <w:rFonts w:ascii="Times New Roman" w:hAnsi="Times New Roman" w:cs="Times New Roman"/>
          <w:szCs w:val="24"/>
        </w:rPr>
        <w:t>o postępowaniu w sprawach dotyczących pomocy publicznej</w:t>
      </w:r>
      <w:r w:rsidR="00CE698F" w:rsidRPr="00C738AF">
        <w:rPr>
          <w:rFonts w:ascii="Times New Roman" w:hAnsi="Times New Roman" w:cs="Times New Roman"/>
          <w:szCs w:val="24"/>
        </w:rPr>
        <w:t xml:space="preserve"> (Dz. U. z </w:t>
      </w:r>
      <w:r w:rsidR="000911BC" w:rsidRPr="00C738AF">
        <w:rPr>
          <w:rFonts w:ascii="Times New Roman" w:hAnsi="Times New Roman" w:cs="Times New Roman"/>
          <w:szCs w:val="24"/>
        </w:rPr>
        <w:t xml:space="preserve">2025 </w:t>
      </w:r>
      <w:r w:rsidR="00CE698F" w:rsidRPr="00C738AF">
        <w:rPr>
          <w:rFonts w:ascii="Times New Roman" w:hAnsi="Times New Roman" w:cs="Times New Roman"/>
          <w:szCs w:val="24"/>
        </w:rPr>
        <w:t xml:space="preserve">r. poz. </w:t>
      </w:r>
      <w:r w:rsidR="000911BC" w:rsidRPr="00C738AF">
        <w:rPr>
          <w:rFonts w:ascii="Times New Roman" w:hAnsi="Times New Roman" w:cs="Times New Roman"/>
          <w:szCs w:val="24"/>
        </w:rPr>
        <w:t>468</w:t>
      </w:r>
      <w:r w:rsidR="00CE698F" w:rsidRPr="00C738AF">
        <w:rPr>
          <w:rFonts w:ascii="Times New Roman" w:hAnsi="Times New Roman" w:cs="Times New Roman"/>
          <w:szCs w:val="24"/>
        </w:rPr>
        <w:t>)</w:t>
      </w:r>
      <w:r w:rsidRPr="00C738AF">
        <w:rPr>
          <w:rFonts w:ascii="Times New Roman" w:hAnsi="Times New Roman" w:cs="Times New Roman"/>
          <w:szCs w:val="24"/>
        </w:rPr>
        <w:t>). Rada Ministrów podejmie uchwałę w sprawie dokonania notyfikacji po zapoznaniu się z opinią prezesa U</w:t>
      </w:r>
      <w:r w:rsidR="00900C00" w:rsidRPr="00C738AF">
        <w:rPr>
          <w:rFonts w:ascii="Times New Roman" w:hAnsi="Times New Roman" w:cs="Times New Roman"/>
          <w:szCs w:val="24"/>
        </w:rPr>
        <w:t xml:space="preserve">rzędu </w:t>
      </w:r>
      <w:r w:rsidRPr="00C738AF">
        <w:rPr>
          <w:rFonts w:ascii="Times New Roman" w:hAnsi="Times New Roman" w:cs="Times New Roman"/>
          <w:szCs w:val="24"/>
        </w:rPr>
        <w:t>O</w:t>
      </w:r>
      <w:r w:rsidR="00900C00" w:rsidRPr="00C738AF">
        <w:rPr>
          <w:rFonts w:ascii="Times New Roman" w:hAnsi="Times New Roman" w:cs="Times New Roman"/>
          <w:szCs w:val="24"/>
        </w:rPr>
        <w:t xml:space="preserve">chrony </w:t>
      </w:r>
      <w:r w:rsidRPr="00C738AF">
        <w:rPr>
          <w:rFonts w:ascii="Times New Roman" w:hAnsi="Times New Roman" w:cs="Times New Roman"/>
          <w:szCs w:val="24"/>
        </w:rPr>
        <w:t>K</w:t>
      </w:r>
      <w:r w:rsidR="00900C00" w:rsidRPr="00C738AF">
        <w:rPr>
          <w:rFonts w:ascii="Times New Roman" w:hAnsi="Times New Roman" w:cs="Times New Roman"/>
          <w:szCs w:val="24"/>
        </w:rPr>
        <w:t xml:space="preserve">onkurencji </w:t>
      </w:r>
      <w:r w:rsidRPr="00C738AF">
        <w:rPr>
          <w:rFonts w:ascii="Times New Roman" w:hAnsi="Times New Roman" w:cs="Times New Roman"/>
          <w:szCs w:val="24"/>
        </w:rPr>
        <w:t>i</w:t>
      </w:r>
      <w:r w:rsidR="00900C00" w:rsidRPr="00C738AF">
        <w:rPr>
          <w:rFonts w:ascii="Times New Roman" w:hAnsi="Times New Roman" w:cs="Times New Roman"/>
          <w:szCs w:val="24"/>
        </w:rPr>
        <w:t xml:space="preserve"> </w:t>
      </w:r>
      <w:r w:rsidRPr="00C738AF">
        <w:rPr>
          <w:rFonts w:ascii="Times New Roman" w:hAnsi="Times New Roman" w:cs="Times New Roman"/>
          <w:szCs w:val="24"/>
        </w:rPr>
        <w:t>K</w:t>
      </w:r>
      <w:r w:rsidR="00900C00" w:rsidRPr="00C738AF">
        <w:rPr>
          <w:rFonts w:ascii="Times New Roman" w:hAnsi="Times New Roman" w:cs="Times New Roman"/>
          <w:szCs w:val="24"/>
        </w:rPr>
        <w:t>onsumentów</w:t>
      </w:r>
      <w:r w:rsidRPr="00C738AF">
        <w:rPr>
          <w:rFonts w:ascii="Times New Roman" w:hAnsi="Times New Roman" w:cs="Times New Roman"/>
          <w:szCs w:val="24"/>
        </w:rPr>
        <w:t>, o której mowa w art. 12 ust. 1</w:t>
      </w:r>
      <w:r w:rsidR="00900C00" w:rsidRPr="00C738AF">
        <w:rPr>
          <w:rFonts w:ascii="Times New Roman" w:hAnsi="Times New Roman" w:cs="Times New Roman"/>
          <w:szCs w:val="24"/>
        </w:rPr>
        <w:t xml:space="preserve"> tej</w:t>
      </w:r>
      <w:r w:rsidRPr="00C738AF">
        <w:rPr>
          <w:rFonts w:ascii="Times New Roman" w:hAnsi="Times New Roman" w:cs="Times New Roman"/>
          <w:szCs w:val="24"/>
        </w:rPr>
        <w:t xml:space="preserve"> ustawy</w:t>
      </w:r>
      <w:r w:rsidR="00EF6CE7" w:rsidRPr="00C738AF">
        <w:rPr>
          <w:rFonts w:ascii="Times New Roman" w:hAnsi="Times New Roman" w:cs="Times New Roman"/>
          <w:szCs w:val="24"/>
        </w:rPr>
        <w:t>.</w:t>
      </w:r>
    </w:p>
    <w:p w14:paraId="2D198AED" w14:textId="067B9806" w:rsidR="00EB00AD" w:rsidRPr="00C738AF" w:rsidRDefault="00EB00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Projektowana ustawa nie wymaga przedstawienia właściwym instytucjom i organom Unii Europejskiej, w tym Europejskiemu Bankowi Centralnemu, </w:t>
      </w:r>
      <w:r w:rsidR="00DB21FC">
        <w:rPr>
          <w:rFonts w:ascii="Times New Roman" w:hAnsi="Times New Roman" w:cs="Times New Roman"/>
          <w:szCs w:val="24"/>
        </w:rPr>
        <w:t xml:space="preserve">w </w:t>
      </w:r>
      <w:r w:rsidRPr="00C738AF">
        <w:rPr>
          <w:rFonts w:ascii="Times New Roman" w:hAnsi="Times New Roman" w:cs="Times New Roman"/>
          <w:szCs w:val="24"/>
        </w:rPr>
        <w:t>cel</w:t>
      </w:r>
      <w:r w:rsidR="00DB21FC">
        <w:rPr>
          <w:rFonts w:ascii="Times New Roman" w:hAnsi="Times New Roman" w:cs="Times New Roman"/>
          <w:szCs w:val="24"/>
        </w:rPr>
        <w:t>u</w:t>
      </w:r>
      <w:r w:rsidRPr="00C738AF">
        <w:rPr>
          <w:rFonts w:ascii="Times New Roman" w:hAnsi="Times New Roman" w:cs="Times New Roman"/>
          <w:szCs w:val="24"/>
        </w:rPr>
        <w:t xml:space="preserve"> uzyskania opinii, dokonania powiadomienia, konsultacji publicznych albo uzgodnienia projekt</w:t>
      </w:r>
      <w:r w:rsidR="005F3776" w:rsidRPr="00C738AF">
        <w:rPr>
          <w:rFonts w:ascii="Times New Roman" w:hAnsi="Times New Roman" w:cs="Times New Roman"/>
          <w:szCs w:val="24"/>
        </w:rPr>
        <w:t>owanej</w:t>
      </w:r>
      <w:r w:rsidRPr="00C738AF">
        <w:rPr>
          <w:rFonts w:ascii="Times New Roman" w:hAnsi="Times New Roman" w:cs="Times New Roman"/>
          <w:szCs w:val="24"/>
        </w:rPr>
        <w:t xml:space="preserve"> ustawy. W szczególności, zgodnie z art. 2 ust. 1 decyzji Rady 98/415/WE z dnia 29 czerwca 1998 r. w sprawie konsultacji Europejskiego Banku Centralnego udzielanych władzom krajowym w sprawie projektów przepisów prawnych (Dz. Urz. WE L 189 z 03.07.1998, str. 42 – Dz.</w:t>
      </w:r>
      <w:r w:rsidR="000B4EB4">
        <w:rPr>
          <w:rFonts w:ascii="Times New Roman" w:hAnsi="Times New Roman" w:cs="Times New Roman"/>
          <w:szCs w:val="24"/>
        </w:rPr>
        <w:t> </w:t>
      </w:r>
      <w:r w:rsidRPr="00C738AF">
        <w:rPr>
          <w:rFonts w:ascii="Times New Roman" w:hAnsi="Times New Roman" w:cs="Times New Roman"/>
          <w:szCs w:val="24"/>
        </w:rPr>
        <w:t>Urz. UE Polskie wydanie specjalne, rozdz. 1, t. 1, str. 446), projektowana ustawa nie podlega konsultacji z Europejskim Bankiem Centralnym.</w:t>
      </w:r>
    </w:p>
    <w:p w14:paraId="1E514B7C" w14:textId="718FA8EB" w:rsidR="00EB00AD" w:rsidRPr="00C738AF" w:rsidRDefault="00EB00AD" w:rsidP="000B4EB4">
      <w:pPr>
        <w:pStyle w:val="ARTartustawynprozporzdzenia"/>
        <w:ind w:left="426" w:hanging="426"/>
        <w:rPr>
          <w:rFonts w:ascii="Times New Roman" w:hAnsi="Times New Roman" w:cs="Times New Roman"/>
          <w:szCs w:val="24"/>
        </w:rPr>
      </w:pPr>
      <w:r w:rsidRPr="00C738AF">
        <w:rPr>
          <w:rFonts w:ascii="Times New Roman" w:hAnsi="Times New Roman" w:cs="Times New Roman"/>
          <w:b/>
          <w:szCs w:val="24"/>
        </w:rPr>
        <w:t>8.</w:t>
      </w:r>
      <w:r w:rsidRPr="00C738AF">
        <w:rPr>
          <w:rFonts w:ascii="Times New Roman" w:hAnsi="Times New Roman" w:cs="Times New Roman"/>
          <w:b/>
          <w:szCs w:val="24"/>
        </w:rPr>
        <w:tab/>
        <w:t>Pozostałe informacje</w:t>
      </w:r>
    </w:p>
    <w:p w14:paraId="4F023BAA" w14:textId="53AB43E8" w:rsidR="00735967" w:rsidRPr="00C738AF" w:rsidRDefault="00735967"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Efekt udzielenia wsparcia będzie mierzony przez szczegółową analizę przeprowadzoną przez ministra właściwego do spraw gospodarki morskiej po zakończeniu udzielania wsparcia finansowego, w szczególności przez zgromadzenie informacji o kwotach udzielonego wsparcia, ilości jednostek zezłomowanych i przekazanych.</w:t>
      </w:r>
      <w:r w:rsidR="005435FB" w:rsidRPr="00C738AF">
        <w:rPr>
          <w:rFonts w:ascii="Times New Roman" w:hAnsi="Times New Roman" w:cs="Times New Roman"/>
          <w:szCs w:val="24"/>
        </w:rPr>
        <w:t xml:space="preserve"> </w:t>
      </w:r>
      <w:r w:rsidRPr="00C738AF">
        <w:rPr>
          <w:rFonts w:ascii="Times New Roman" w:hAnsi="Times New Roman" w:cs="Times New Roman"/>
          <w:szCs w:val="24"/>
        </w:rPr>
        <w:t xml:space="preserve">Źródłem informacji </w:t>
      </w:r>
      <w:r w:rsidR="005435FB" w:rsidRPr="00C738AF">
        <w:rPr>
          <w:rFonts w:ascii="Times New Roman" w:hAnsi="Times New Roman" w:cs="Times New Roman"/>
          <w:szCs w:val="24"/>
        </w:rPr>
        <w:t xml:space="preserve">o ilości jednostek pływających faktycznie przekazanych do złomowania będą umowy zawarte między armatorami jednostek pływających a podmiotami wykonującymi złomowanie, oświadczenia tych podmiotów o przyjęciu jednostek pływających do złomowania oraz oświadczenia o zakończeniu złomowania. Natomiast w przypadku przekazania, źródłem informacji będą </w:t>
      </w:r>
      <w:r w:rsidRPr="00C738AF">
        <w:rPr>
          <w:rFonts w:ascii="Times New Roman" w:hAnsi="Times New Roman" w:cs="Times New Roman"/>
          <w:szCs w:val="24"/>
        </w:rPr>
        <w:t>dokument</w:t>
      </w:r>
      <w:r w:rsidR="005435FB" w:rsidRPr="00C738AF">
        <w:rPr>
          <w:rFonts w:ascii="Times New Roman" w:hAnsi="Times New Roman" w:cs="Times New Roman"/>
          <w:szCs w:val="24"/>
        </w:rPr>
        <w:t>y</w:t>
      </w:r>
      <w:r w:rsidRPr="00C738AF">
        <w:rPr>
          <w:rFonts w:ascii="Times New Roman" w:hAnsi="Times New Roman" w:cs="Times New Roman"/>
          <w:szCs w:val="24"/>
        </w:rPr>
        <w:t xml:space="preserve"> potwierdzając</w:t>
      </w:r>
      <w:r w:rsidR="005435FB" w:rsidRPr="00C738AF">
        <w:rPr>
          <w:rFonts w:ascii="Times New Roman" w:hAnsi="Times New Roman" w:cs="Times New Roman"/>
          <w:szCs w:val="24"/>
        </w:rPr>
        <w:t>e</w:t>
      </w:r>
      <w:r w:rsidRPr="00C738AF">
        <w:rPr>
          <w:rFonts w:ascii="Times New Roman" w:hAnsi="Times New Roman" w:cs="Times New Roman"/>
          <w:szCs w:val="24"/>
        </w:rPr>
        <w:t xml:space="preserve"> nieodpłatne przekazanie jednost</w:t>
      </w:r>
      <w:r w:rsidR="005435FB" w:rsidRPr="00C738AF">
        <w:rPr>
          <w:rFonts w:ascii="Times New Roman" w:hAnsi="Times New Roman" w:cs="Times New Roman"/>
          <w:szCs w:val="24"/>
        </w:rPr>
        <w:t>ek</w:t>
      </w:r>
      <w:r w:rsidRPr="00C738AF">
        <w:rPr>
          <w:rFonts w:ascii="Times New Roman" w:hAnsi="Times New Roman" w:cs="Times New Roman"/>
          <w:szCs w:val="24"/>
        </w:rPr>
        <w:t xml:space="preserve"> pływając</w:t>
      </w:r>
      <w:r w:rsidR="005435FB" w:rsidRPr="00C738AF">
        <w:rPr>
          <w:rFonts w:ascii="Times New Roman" w:hAnsi="Times New Roman" w:cs="Times New Roman"/>
          <w:szCs w:val="24"/>
        </w:rPr>
        <w:t>ych</w:t>
      </w:r>
      <w:r w:rsidRPr="00C738AF">
        <w:rPr>
          <w:rFonts w:ascii="Times New Roman" w:hAnsi="Times New Roman" w:cs="Times New Roman"/>
          <w:szCs w:val="24"/>
        </w:rPr>
        <w:t xml:space="preserve"> organo</w:t>
      </w:r>
      <w:r w:rsidR="005435FB" w:rsidRPr="00C738AF">
        <w:rPr>
          <w:rFonts w:ascii="Times New Roman" w:hAnsi="Times New Roman" w:cs="Times New Roman"/>
          <w:szCs w:val="24"/>
        </w:rPr>
        <w:t>m</w:t>
      </w:r>
      <w:r w:rsidRPr="00C738AF">
        <w:rPr>
          <w:rFonts w:ascii="Times New Roman" w:hAnsi="Times New Roman" w:cs="Times New Roman"/>
          <w:szCs w:val="24"/>
        </w:rPr>
        <w:t xml:space="preserve"> administracji publicznej albo szko</w:t>
      </w:r>
      <w:r w:rsidR="005435FB" w:rsidRPr="00C738AF">
        <w:rPr>
          <w:rFonts w:ascii="Times New Roman" w:hAnsi="Times New Roman" w:cs="Times New Roman"/>
          <w:szCs w:val="24"/>
        </w:rPr>
        <w:t>łom</w:t>
      </w:r>
      <w:r w:rsidRPr="00C738AF">
        <w:rPr>
          <w:rFonts w:ascii="Times New Roman" w:hAnsi="Times New Roman" w:cs="Times New Roman"/>
          <w:szCs w:val="24"/>
        </w:rPr>
        <w:t xml:space="preserve"> publiczn</w:t>
      </w:r>
      <w:r w:rsidR="005435FB" w:rsidRPr="00C738AF">
        <w:rPr>
          <w:rFonts w:ascii="Times New Roman" w:hAnsi="Times New Roman" w:cs="Times New Roman"/>
          <w:szCs w:val="24"/>
        </w:rPr>
        <w:t>ym.</w:t>
      </w:r>
    </w:p>
    <w:p w14:paraId="3DF61CE6" w14:textId="740B232B" w:rsidR="00EB00AD" w:rsidRPr="00C738AF" w:rsidRDefault="00EB00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Z uwagi na zakres </w:t>
      </w:r>
      <w:r w:rsidR="005F3776" w:rsidRPr="00C738AF">
        <w:rPr>
          <w:rFonts w:ascii="Times New Roman" w:hAnsi="Times New Roman" w:cs="Times New Roman"/>
          <w:szCs w:val="24"/>
        </w:rPr>
        <w:t xml:space="preserve">projektowanej </w:t>
      </w:r>
      <w:r w:rsidRPr="00C738AF">
        <w:rPr>
          <w:rFonts w:ascii="Times New Roman" w:hAnsi="Times New Roman" w:cs="Times New Roman"/>
          <w:szCs w:val="24"/>
        </w:rPr>
        <w:t>ustawy, który nie dotyczy problematyki samorządu terytorialnego, praw i interesów organizacji pracodawców oraz zadań związków zawodowych</w:t>
      </w:r>
      <w:r w:rsidR="005F3776" w:rsidRPr="00C738AF">
        <w:rPr>
          <w:rFonts w:ascii="Times New Roman" w:hAnsi="Times New Roman" w:cs="Times New Roman"/>
          <w:szCs w:val="24"/>
        </w:rPr>
        <w:t>,</w:t>
      </w:r>
      <w:r w:rsidRPr="00C738AF">
        <w:rPr>
          <w:rFonts w:ascii="Times New Roman" w:hAnsi="Times New Roman" w:cs="Times New Roman"/>
          <w:szCs w:val="24"/>
        </w:rPr>
        <w:t xml:space="preserve"> projekt</w:t>
      </w:r>
      <w:r w:rsidR="005F3776" w:rsidRPr="00C738AF">
        <w:rPr>
          <w:rFonts w:ascii="Times New Roman" w:hAnsi="Times New Roman" w:cs="Times New Roman"/>
          <w:szCs w:val="24"/>
        </w:rPr>
        <w:t>owana ustawa</w:t>
      </w:r>
      <w:r w:rsidRPr="00C738AF">
        <w:rPr>
          <w:rFonts w:ascii="Times New Roman" w:hAnsi="Times New Roman" w:cs="Times New Roman"/>
          <w:szCs w:val="24"/>
        </w:rPr>
        <w:t xml:space="preserve"> nie podlegał</w:t>
      </w:r>
      <w:r w:rsidR="005F3776" w:rsidRPr="00C738AF">
        <w:rPr>
          <w:rFonts w:ascii="Times New Roman" w:hAnsi="Times New Roman" w:cs="Times New Roman"/>
          <w:szCs w:val="24"/>
        </w:rPr>
        <w:t>a</w:t>
      </w:r>
      <w:r w:rsidRPr="00C738AF">
        <w:rPr>
          <w:rFonts w:ascii="Times New Roman" w:hAnsi="Times New Roman" w:cs="Times New Roman"/>
          <w:szCs w:val="24"/>
        </w:rPr>
        <w:t xml:space="preserve"> opiniowaniu przez Komisję Wspólną Rządu i Samorządu Terytorialnego.</w:t>
      </w:r>
    </w:p>
    <w:p w14:paraId="25BF8410" w14:textId="59965178" w:rsidR="00EB00AD" w:rsidRPr="00C738AF" w:rsidRDefault="00EB00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w:t>
      </w:r>
      <w:r w:rsidR="005F3776" w:rsidRPr="00C738AF">
        <w:rPr>
          <w:rFonts w:ascii="Times New Roman" w:hAnsi="Times New Roman" w:cs="Times New Roman"/>
          <w:szCs w:val="24"/>
        </w:rPr>
        <w:t>owana</w:t>
      </w:r>
      <w:r w:rsidRPr="00C738AF">
        <w:rPr>
          <w:rFonts w:ascii="Times New Roman" w:hAnsi="Times New Roman" w:cs="Times New Roman"/>
          <w:szCs w:val="24"/>
        </w:rPr>
        <w:t xml:space="preserve"> ustaw</w:t>
      </w:r>
      <w:r w:rsidR="005F3776" w:rsidRPr="00C738AF">
        <w:rPr>
          <w:rFonts w:ascii="Times New Roman" w:hAnsi="Times New Roman" w:cs="Times New Roman"/>
          <w:szCs w:val="24"/>
        </w:rPr>
        <w:t>a</w:t>
      </w:r>
      <w:r w:rsidRPr="00C738AF">
        <w:rPr>
          <w:rFonts w:ascii="Times New Roman" w:hAnsi="Times New Roman" w:cs="Times New Roman"/>
          <w:szCs w:val="24"/>
        </w:rPr>
        <w:t xml:space="preserve"> zosta</w:t>
      </w:r>
      <w:r w:rsidR="00EF6CE7" w:rsidRPr="00C738AF">
        <w:rPr>
          <w:rFonts w:ascii="Times New Roman" w:hAnsi="Times New Roman" w:cs="Times New Roman"/>
          <w:szCs w:val="24"/>
        </w:rPr>
        <w:t>ł</w:t>
      </w:r>
      <w:r w:rsidR="005F3776" w:rsidRPr="00C738AF">
        <w:rPr>
          <w:rFonts w:ascii="Times New Roman" w:hAnsi="Times New Roman" w:cs="Times New Roman"/>
          <w:szCs w:val="24"/>
        </w:rPr>
        <w:t>a</w:t>
      </w:r>
      <w:r w:rsidRPr="00C738AF">
        <w:rPr>
          <w:rFonts w:ascii="Times New Roman" w:hAnsi="Times New Roman" w:cs="Times New Roman"/>
          <w:szCs w:val="24"/>
        </w:rPr>
        <w:t xml:space="preserve"> przedstawion</w:t>
      </w:r>
      <w:r w:rsidR="005F3776" w:rsidRPr="00C738AF">
        <w:rPr>
          <w:rFonts w:ascii="Times New Roman" w:hAnsi="Times New Roman" w:cs="Times New Roman"/>
          <w:szCs w:val="24"/>
        </w:rPr>
        <w:t>a</w:t>
      </w:r>
      <w:r w:rsidRPr="00C738AF">
        <w:rPr>
          <w:rFonts w:ascii="Times New Roman" w:hAnsi="Times New Roman" w:cs="Times New Roman"/>
          <w:szCs w:val="24"/>
        </w:rPr>
        <w:t xml:space="preserve"> w ramach konsultacji publicznych trwających </w:t>
      </w:r>
      <w:r w:rsidR="00570F90" w:rsidRPr="00C738AF">
        <w:rPr>
          <w:rFonts w:ascii="Times New Roman" w:hAnsi="Times New Roman" w:cs="Times New Roman"/>
          <w:szCs w:val="24"/>
        </w:rPr>
        <w:t xml:space="preserve">31 </w:t>
      </w:r>
      <w:r w:rsidRPr="00C738AF">
        <w:rPr>
          <w:rFonts w:ascii="Times New Roman" w:hAnsi="Times New Roman" w:cs="Times New Roman"/>
          <w:szCs w:val="24"/>
        </w:rPr>
        <w:t xml:space="preserve">dni </w:t>
      </w:r>
      <w:r w:rsidR="00D162D4" w:rsidRPr="00C738AF">
        <w:rPr>
          <w:rFonts w:ascii="Times New Roman" w:hAnsi="Times New Roman" w:cs="Times New Roman"/>
          <w:szCs w:val="24"/>
        </w:rPr>
        <w:t xml:space="preserve">oraz w ramach opiniowania trwającego 30 dni </w:t>
      </w:r>
      <w:r w:rsidRPr="00C738AF">
        <w:rPr>
          <w:rFonts w:ascii="Times New Roman" w:hAnsi="Times New Roman" w:cs="Times New Roman"/>
          <w:szCs w:val="24"/>
        </w:rPr>
        <w:t>następującym podmiotom:</w:t>
      </w:r>
    </w:p>
    <w:p w14:paraId="1833372F" w14:textId="0CBE2066"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Sztab Kryzysowy Rybołówstwa Rekreacyjnego;</w:t>
      </w:r>
    </w:p>
    <w:p w14:paraId="7FD8D412" w14:textId="74EDA96A"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lastRenderedPageBreak/>
        <w:t>Stowarzyszenie Armatorów Rybołówstwa Rekreacyjnego w Darłowie;</w:t>
      </w:r>
    </w:p>
    <w:p w14:paraId="3C4CBA1D" w14:textId="5C8948D5"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Związek Miast i Gmin Morskich;</w:t>
      </w:r>
    </w:p>
    <w:p w14:paraId="668CC2E0" w14:textId="19BC0100"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Związek Małych Portów Morskich;</w:t>
      </w:r>
    </w:p>
    <w:p w14:paraId="0D755670" w14:textId="18109AD6"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Niezależny Samorządny Związek Zawodowy „Solidarność”;</w:t>
      </w:r>
    </w:p>
    <w:p w14:paraId="6981CD6B" w14:textId="2B68DB7E"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Ogólnopolskie Porozumienie Związków Zawodowych;</w:t>
      </w:r>
    </w:p>
    <w:p w14:paraId="33B26DB2" w14:textId="709CC6C2"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Forum Związków Zawodowych;</w:t>
      </w:r>
    </w:p>
    <w:p w14:paraId="5F2707C0" w14:textId="70B93EB2"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Konfederacja Lewiatan;</w:t>
      </w:r>
    </w:p>
    <w:p w14:paraId="77613287" w14:textId="0DA72F46"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Pracodawcy Rzeczypospolitej Polskiej;</w:t>
      </w:r>
    </w:p>
    <w:p w14:paraId="66DC66D1" w14:textId="1B1A684D"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Związek Rzemiosła Polskiego;</w:t>
      </w:r>
    </w:p>
    <w:p w14:paraId="306150D8" w14:textId="5F200A18"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Związek Pracodawców Business Centre Club;</w:t>
      </w:r>
    </w:p>
    <w:p w14:paraId="20673E0B" w14:textId="6B30166E"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Związek Przedsiębiorców i Pracodawców;</w:t>
      </w:r>
    </w:p>
    <w:p w14:paraId="33C40217" w14:textId="2ED96064"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Federacja Przedsiębiorców Polskich;</w:t>
      </w:r>
    </w:p>
    <w:p w14:paraId="0190FAE2" w14:textId="5036128F"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Polskie Towarzystwo Gospodarcze;</w:t>
      </w:r>
    </w:p>
    <w:p w14:paraId="31F5715E" w14:textId="622EB54F"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Polski Rejestr Statków S.A.;</w:t>
      </w:r>
    </w:p>
    <w:p w14:paraId="300ADEA5" w14:textId="0759C2AE"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Polski Związek Żeglarski;</w:t>
      </w:r>
    </w:p>
    <w:p w14:paraId="2C0C2776" w14:textId="198E5059"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Związek Pracodawców FORUM OKRĘTOWE;</w:t>
      </w:r>
    </w:p>
    <w:p w14:paraId="6952AEF2" w14:textId="03AD3696" w:rsidR="00D162D4"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Polskie Forum Technologii Morskich;</w:t>
      </w:r>
    </w:p>
    <w:p w14:paraId="58A30629" w14:textId="2713BA36" w:rsidR="00EB00AD" w:rsidRPr="00C738AF" w:rsidRDefault="00D162D4" w:rsidP="000B4EB4">
      <w:pPr>
        <w:pStyle w:val="NIEARTTEKSTtekstnieartykuowanynppodstprawnarozplubpreambua"/>
        <w:numPr>
          <w:ilvl w:val="0"/>
          <w:numId w:val="7"/>
        </w:numPr>
        <w:rPr>
          <w:rFonts w:ascii="Times New Roman" w:hAnsi="Times New Roman" w:cs="Times New Roman"/>
          <w:szCs w:val="24"/>
        </w:rPr>
      </w:pPr>
      <w:r w:rsidRPr="00C738AF">
        <w:rPr>
          <w:rFonts w:ascii="Times New Roman" w:hAnsi="Times New Roman" w:cs="Times New Roman"/>
          <w:szCs w:val="24"/>
        </w:rPr>
        <w:t>Urząd Ochrony Konkurencji i Konsumentów.</w:t>
      </w:r>
    </w:p>
    <w:p w14:paraId="07469466" w14:textId="7B728AFA" w:rsidR="00FB6AED" w:rsidRPr="00C738AF" w:rsidRDefault="00FB6AE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Żaden podmiot nie zgłosił zainteresowania pracami nad projekt</w:t>
      </w:r>
      <w:r w:rsidR="005F3776" w:rsidRPr="00C738AF">
        <w:rPr>
          <w:rFonts w:ascii="Times New Roman" w:hAnsi="Times New Roman" w:cs="Times New Roman"/>
          <w:szCs w:val="24"/>
        </w:rPr>
        <w:t>owaną ustawą</w:t>
      </w:r>
      <w:r w:rsidRPr="00C738AF">
        <w:rPr>
          <w:rFonts w:ascii="Times New Roman" w:hAnsi="Times New Roman" w:cs="Times New Roman"/>
          <w:szCs w:val="24"/>
        </w:rPr>
        <w:t xml:space="preserve"> w trybie ustawy z </w:t>
      </w:r>
      <w:r w:rsidR="00F743EE" w:rsidRPr="00C738AF">
        <w:rPr>
          <w:rFonts w:ascii="Times New Roman" w:hAnsi="Times New Roman" w:cs="Times New Roman"/>
          <w:szCs w:val="24"/>
        </w:rPr>
        <w:t xml:space="preserve">dnia </w:t>
      </w:r>
      <w:r w:rsidRPr="00C738AF">
        <w:rPr>
          <w:rFonts w:ascii="Times New Roman" w:hAnsi="Times New Roman" w:cs="Times New Roman"/>
          <w:szCs w:val="24"/>
        </w:rPr>
        <w:t>7 lipca 2005 r. o działalności lobbingowej w procesie stanowienia prawa (Dz.</w:t>
      </w:r>
      <w:r w:rsidR="00DB21FC">
        <w:rPr>
          <w:rFonts w:ascii="Times New Roman" w:hAnsi="Times New Roman" w:cs="Times New Roman"/>
          <w:szCs w:val="24"/>
        </w:rPr>
        <w:t> </w:t>
      </w:r>
      <w:r w:rsidRPr="00C738AF">
        <w:rPr>
          <w:rFonts w:ascii="Times New Roman" w:hAnsi="Times New Roman" w:cs="Times New Roman"/>
          <w:szCs w:val="24"/>
        </w:rPr>
        <w:t>U. z 20</w:t>
      </w:r>
      <w:r w:rsidR="00DB21FC">
        <w:rPr>
          <w:rFonts w:ascii="Times New Roman" w:hAnsi="Times New Roman" w:cs="Times New Roman"/>
          <w:szCs w:val="24"/>
        </w:rPr>
        <w:t>25</w:t>
      </w:r>
      <w:r w:rsidRPr="00C738AF">
        <w:rPr>
          <w:rFonts w:ascii="Times New Roman" w:hAnsi="Times New Roman" w:cs="Times New Roman"/>
          <w:szCs w:val="24"/>
        </w:rPr>
        <w:t xml:space="preserve"> r. poz. </w:t>
      </w:r>
      <w:r w:rsidR="00DB21FC">
        <w:rPr>
          <w:rFonts w:ascii="Times New Roman" w:hAnsi="Times New Roman" w:cs="Times New Roman"/>
          <w:szCs w:val="24"/>
        </w:rPr>
        <w:t>677</w:t>
      </w:r>
      <w:r w:rsidRPr="00C738AF">
        <w:rPr>
          <w:rFonts w:ascii="Times New Roman" w:hAnsi="Times New Roman" w:cs="Times New Roman"/>
          <w:szCs w:val="24"/>
        </w:rPr>
        <w:t>).</w:t>
      </w:r>
    </w:p>
    <w:p w14:paraId="5637A448" w14:textId="69879369" w:rsidR="00EB00AD" w:rsidRPr="00C738AF" w:rsidRDefault="00EB00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W art. </w:t>
      </w:r>
      <w:r w:rsidR="00356F6D" w:rsidRPr="00C738AF">
        <w:rPr>
          <w:rFonts w:ascii="Times New Roman" w:hAnsi="Times New Roman" w:cs="Times New Roman"/>
          <w:szCs w:val="24"/>
        </w:rPr>
        <w:t xml:space="preserve">20 </w:t>
      </w:r>
      <w:r w:rsidRPr="00C738AF">
        <w:rPr>
          <w:rFonts w:ascii="Times New Roman" w:hAnsi="Times New Roman" w:cs="Times New Roman"/>
          <w:szCs w:val="24"/>
        </w:rPr>
        <w:t>określono termin wejścia w życie</w:t>
      </w:r>
      <w:r w:rsidR="005F3776" w:rsidRPr="00C738AF">
        <w:rPr>
          <w:rFonts w:ascii="Times New Roman" w:hAnsi="Times New Roman" w:cs="Times New Roman"/>
          <w:szCs w:val="24"/>
        </w:rPr>
        <w:t xml:space="preserve"> projektowanej</w:t>
      </w:r>
      <w:r w:rsidRPr="00C738AF">
        <w:rPr>
          <w:rFonts w:ascii="Times New Roman" w:hAnsi="Times New Roman" w:cs="Times New Roman"/>
          <w:szCs w:val="24"/>
        </w:rPr>
        <w:t xml:space="preserve"> ustawy, tj. z dniem następującym po dniu ogłoszenia. Zgodnie z art. 4 ust. 1 ustawy z dnia 20 lipca 2000 r. o ogłaszaniu aktów normatywnych i niektórych innych aktów prawnych (Dz. U. z 2019</w:t>
      </w:r>
      <w:r w:rsidR="00DB21FC">
        <w:rPr>
          <w:rFonts w:ascii="Times New Roman" w:hAnsi="Times New Roman" w:cs="Times New Roman"/>
          <w:szCs w:val="24"/>
        </w:rPr>
        <w:t> </w:t>
      </w:r>
      <w:r w:rsidRPr="00C738AF">
        <w:rPr>
          <w:rFonts w:ascii="Times New Roman" w:hAnsi="Times New Roman" w:cs="Times New Roman"/>
          <w:szCs w:val="24"/>
        </w:rPr>
        <w:t>r. poz.</w:t>
      </w:r>
      <w:r w:rsidR="00DB21FC">
        <w:rPr>
          <w:rFonts w:ascii="Times New Roman" w:hAnsi="Times New Roman" w:cs="Times New Roman"/>
          <w:szCs w:val="24"/>
        </w:rPr>
        <w:t> </w:t>
      </w:r>
      <w:r w:rsidRPr="00C738AF">
        <w:rPr>
          <w:rFonts w:ascii="Times New Roman" w:hAnsi="Times New Roman" w:cs="Times New Roman"/>
          <w:szCs w:val="24"/>
        </w:rPr>
        <w:t xml:space="preserve">1461) standardowy okres </w:t>
      </w:r>
      <w:r w:rsidRPr="00C738AF">
        <w:rPr>
          <w:rFonts w:ascii="Times New Roman" w:hAnsi="Times New Roman" w:cs="Times New Roman"/>
          <w:i/>
          <w:iCs/>
          <w:szCs w:val="24"/>
        </w:rPr>
        <w:t>vacatio legis</w:t>
      </w:r>
      <w:r w:rsidRPr="00C738AF">
        <w:rPr>
          <w:rFonts w:ascii="Times New Roman" w:hAnsi="Times New Roman" w:cs="Times New Roman"/>
          <w:szCs w:val="24"/>
        </w:rPr>
        <w:t xml:space="preserve"> wynosi 14 dni, natomiast zgodnie z ust. 2 w uzasadnionych przypadkach termin ten może zostać skrócony.</w:t>
      </w:r>
    </w:p>
    <w:p w14:paraId="2FA63B4B" w14:textId="144D03DE" w:rsidR="00EB00AD" w:rsidRPr="00C738AF" w:rsidRDefault="00EB00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W przypadku projektowanej ustawy uzasadnionym jest skrócenie terminu wejścia w życie przedmiotowego aktu normatywnego z uwagi na pilną konieczność zapewnienia podstaw </w:t>
      </w:r>
      <w:r w:rsidRPr="00C738AF">
        <w:rPr>
          <w:rFonts w:ascii="Times New Roman" w:hAnsi="Times New Roman" w:cs="Times New Roman"/>
          <w:szCs w:val="24"/>
        </w:rPr>
        <w:lastRenderedPageBreak/>
        <w:t xml:space="preserve">prawnych dla udzielania pomocy publicznej w celu wspierania </w:t>
      </w:r>
      <w:r w:rsidR="0008026D" w:rsidRPr="000B4EB4">
        <w:rPr>
          <w:rFonts w:ascii="Times New Roman" w:hAnsi="Times New Roman" w:cs="Times New Roman"/>
          <w:szCs w:val="24"/>
        </w:rPr>
        <w:t>armatorów jednostek pływających</w:t>
      </w:r>
      <w:r w:rsidRPr="00C738AF">
        <w:rPr>
          <w:rFonts w:ascii="Times New Roman" w:hAnsi="Times New Roman" w:cs="Times New Roman"/>
          <w:szCs w:val="24"/>
        </w:rPr>
        <w:t xml:space="preserve"> objętych projektowaną ustawą.</w:t>
      </w:r>
    </w:p>
    <w:p w14:paraId="54FC79BB" w14:textId="6A511C9C" w:rsidR="005F4214" w:rsidRPr="00C738AF" w:rsidRDefault="005F4214"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 xml:space="preserve">Powyżej wskazane terminy zostały uzgodnione z adresatami </w:t>
      </w:r>
      <w:r w:rsidR="005F3776" w:rsidRPr="00C738AF">
        <w:rPr>
          <w:rFonts w:ascii="Times New Roman" w:hAnsi="Times New Roman" w:cs="Times New Roman"/>
          <w:szCs w:val="24"/>
        </w:rPr>
        <w:t xml:space="preserve">projektowanej </w:t>
      </w:r>
      <w:r w:rsidRPr="00C738AF">
        <w:rPr>
          <w:rFonts w:ascii="Times New Roman" w:hAnsi="Times New Roman" w:cs="Times New Roman"/>
          <w:szCs w:val="24"/>
        </w:rPr>
        <w:t>ustawy i nie zgłoszono do nich uwag, w związku z powyższym należy uznać, że są dla nich wystarczające.</w:t>
      </w:r>
    </w:p>
    <w:p w14:paraId="642F9105" w14:textId="112F06E1" w:rsidR="00EB00AD" w:rsidRPr="00C738AF" w:rsidRDefault="00EB00A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w:t>
      </w:r>
      <w:r w:rsidR="005F3776" w:rsidRPr="00C738AF">
        <w:rPr>
          <w:rFonts w:ascii="Times New Roman" w:hAnsi="Times New Roman" w:cs="Times New Roman"/>
          <w:szCs w:val="24"/>
        </w:rPr>
        <w:t>owana</w:t>
      </w:r>
      <w:r w:rsidRPr="00C738AF">
        <w:rPr>
          <w:rFonts w:ascii="Times New Roman" w:hAnsi="Times New Roman" w:cs="Times New Roman"/>
          <w:szCs w:val="24"/>
        </w:rPr>
        <w:t xml:space="preserve"> ustaw</w:t>
      </w:r>
      <w:r w:rsidR="005F3776" w:rsidRPr="00C738AF">
        <w:rPr>
          <w:rFonts w:ascii="Times New Roman" w:hAnsi="Times New Roman" w:cs="Times New Roman"/>
          <w:szCs w:val="24"/>
        </w:rPr>
        <w:t>a</w:t>
      </w:r>
      <w:r w:rsidRPr="00C738AF">
        <w:rPr>
          <w:rFonts w:ascii="Times New Roman" w:hAnsi="Times New Roman" w:cs="Times New Roman"/>
          <w:szCs w:val="24"/>
        </w:rPr>
        <w:t xml:space="preserve"> zosta</w:t>
      </w:r>
      <w:r w:rsidR="005F3776" w:rsidRPr="00C738AF">
        <w:rPr>
          <w:rFonts w:ascii="Times New Roman" w:hAnsi="Times New Roman" w:cs="Times New Roman"/>
          <w:szCs w:val="24"/>
        </w:rPr>
        <w:t>ła</w:t>
      </w:r>
      <w:r w:rsidRPr="00C738AF">
        <w:rPr>
          <w:rFonts w:ascii="Times New Roman" w:hAnsi="Times New Roman" w:cs="Times New Roman"/>
          <w:szCs w:val="24"/>
        </w:rPr>
        <w:t xml:space="preserve"> udostępnion</w:t>
      </w:r>
      <w:r w:rsidR="005F3776" w:rsidRPr="00C738AF">
        <w:rPr>
          <w:rFonts w:ascii="Times New Roman" w:hAnsi="Times New Roman" w:cs="Times New Roman"/>
          <w:szCs w:val="24"/>
        </w:rPr>
        <w:t>a</w:t>
      </w:r>
      <w:r w:rsidRPr="00C738AF">
        <w:rPr>
          <w:rFonts w:ascii="Times New Roman" w:hAnsi="Times New Roman" w:cs="Times New Roman"/>
          <w:szCs w:val="24"/>
        </w:rPr>
        <w:t xml:space="preserve"> w Biuletynie Informacji Publicznej na stronie podmiotowej Rządowego Centrum Legislacji w zakładce Rządowy Proces Legislacyjny zgodnie z § 52 uchwały nr 190 Rady Ministrów z dnia 29 października 2013 r. – Regulamin pracy Rady Ministrów</w:t>
      </w:r>
      <w:r w:rsidR="0036294A" w:rsidRPr="00C738AF">
        <w:rPr>
          <w:rFonts w:ascii="Times New Roman" w:hAnsi="Times New Roman" w:cs="Times New Roman"/>
          <w:szCs w:val="24"/>
        </w:rPr>
        <w:t xml:space="preserve"> (M.P. z </w:t>
      </w:r>
      <w:r w:rsidR="00B07CF8" w:rsidRPr="00C738AF">
        <w:rPr>
          <w:rFonts w:ascii="Times New Roman" w:hAnsi="Times New Roman" w:cs="Times New Roman"/>
          <w:szCs w:val="24"/>
        </w:rPr>
        <w:t xml:space="preserve">2024 </w:t>
      </w:r>
      <w:r w:rsidR="0036294A" w:rsidRPr="00C738AF">
        <w:rPr>
          <w:rFonts w:ascii="Times New Roman" w:hAnsi="Times New Roman" w:cs="Times New Roman"/>
          <w:szCs w:val="24"/>
        </w:rPr>
        <w:t>r. poz.</w:t>
      </w:r>
      <w:r w:rsidR="00B07CF8" w:rsidRPr="00C738AF">
        <w:rPr>
          <w:rFonts w:ascii="Times New Roman" w:hAnsi="Times New Roman" w:cs="Times New Roman"/>
          <w:szCs w:val="24"/>
        </w:rPr>
        <w:t xml:space="preserve"> 806</w:t>
      </w:r>
      <w:r w:rsidR="00DB21FC">
        <w:rPr>
          <w:rFonts w:ascii="Times New Roman" w:hAnsi="Times New Roman" w:cs="Times New Roman"/>
          <w:szCs w:val="24"/>
        </w:rPr>
        <w:t>, z późn. zm.</w:t>
      </w:r>
      <w:r w:rsidR="0036294A" w:rsidRPr="00C738AF">
        <w:rPr>
          <w:rFonts w:ascii="Times New Roman" w:hAnsi="Times New Roman" w:cs="Times New Roman"/>
          <w:szCs w:val="24"/>
        </w:rPr>
        <w:t xml:space="preserve">) </w:t>
      </w:r>
      <w:r w:rsidRPr="00C738AF">
        <w:rPr>
          <w:rFonts w:ascii="Times New Roman" w:hAnsi="Times New Roman" w:cs="Times New Roman"/>
          <w:szCs w:val="24"/>
        </w:rPr>
        <w:t>oraz stosownie do wymogów art.</w:t>
      </w:r>
      <w:r w:rsidR="00DB21FC">
        <w:rPr>
          <w:rFonts w:ascii="Times New Roman" w:hAnsi="Times New Roman" w:cs="Times New Roman"/>
          <w:szCs w:val="24"/>
        </w:rPr>
        <w:t> </w:t>
      </w:r>
      <w:r w:rsidRPr="00C738AF">
        <w:rPr>
          <w:rFonts w:ascii="Times New Roman" w:hAnsi="Times New Roman" w:cs="Times New Roman"/>
          <w:szCs w:val="24"/>
        </w:rPr>
        <w:t>5 ustawy z dnia 7 lipca 2005 r. o działalności lobbingowej w procesie stanowienia prawa.</w:t>
      </w:r>
    </w:p>
    <w:p w14:paraId="7DE435D9" w14:textId="4F5C66B0" w:rsidR="00DF2200" w:rsidRPr="00C738AF" w:rsidRDefault="00B02643"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w:t>
      </w:r>
      <w:r w:rsidR="005F3776" w:rsidRPr="00C738AF">
        <w:rPr>
          <w:rFonts w:ascii="Times New Roman" w:hAnsi="Times New Roman" w:cs="Times New Roman"/>
          <w:szCs w:val="24"/>
        </w:rPr>
        <w:t>owana</w:t>
      </w:r>
      <w:r w:rsidRPr="00C738AF">
        <w:rPr>
          <w:rFonts w:ascii="Times New Roman" w:hAnsi="Times New Roman" w:cs="Times New Roman"/>
          <w:szCs w:val="24"/>
        </w:rPr>
        <w:t xml:space="preserve"> ustaw</w:t>
      </w:r>
      <w:r w:rsidR="005F3776" w:rsidRPr="00C738AF">
        <w:rPr>
          <w:rFonts w:ascii="Times New Roman" w:hAnsi="Times New Roman" w:cs="Times New Roman"/>
          <w:szCs w:val="24"/>
        </w:rPr>
        <w:t>a</w:t>
      </w:r>
      <w:r w:rsidRPr="00C738AF">
        <w:rPr>
          <w:rFonts w:ascii="Times New Roman" w:hAnsi="Times New Roman" w:cs="Times New Roman"/>
          <w:szCs w:val="24"/>
        </w:rPr>
        <w:t xml:space="preserve"> został</w:t>
      </w:r>
      <w:r w:rsidR="005F3776" w:rsidRPr="00C738AF">
        <w:rPr>
          <w:rFonts w:ascii="Times New Roman" w:hAnsi="Times New Roman" w:cs="Times New Roman"/>
          <w:szCs w:val="24"/>
        </w:rPr>
        <w:t>a</w:t>
      </w:r>
      <w:r w:rsidRPr="00C738AF">
        <w:rPr>
          <w:rFonts w:ascii="Times New Roman" w:hAnsi="Times New Roman" w:cs="Times New Roman"/>
          <w:szCs w:val="24"/>
        </w:rPr>
        <w:t xml:space="preserve"> ujęt</w:t>
      </w:r>
      <w:r w:rsidR="005F3776" w:rsidRPr="00C738AF">
        <w:rPr>
          <w:rFonts w:ascii="Times New Roman" w:hAnsi="Times New Roman" w:cs="Times New Roman"/>
          <w:szCs w:val="24"/>
        </w:rPr>
        <w:t>a</w:t>
      </w:r>
      <w:r w:rsidRPr="00C738AF">
        <w:rPr>
          <w:rFonts w:ascii="Times New Roman" w:hAnsi="Times New Roman" w:cs="Times New Roman"/>
          <w:szCs w:val="24"/>
        </w:rPr>
        <w:t xml:space="preserve"> w Wykazie prac legislacyjnych </w:t>
      </w:r>
      <w:r w:rsidR="00595D97" w:rsidRPr="00C738AF">
        <w:rPr>
          <w:rFonts w:ascii="Times New Roman" w:hAnsi="Times New Roman" w:cs="Times New Roman"/>
          <w:szCs w:val="24"/>
        </w:rPr>
        <w:t>Rady Ministrów</w:t>
      </w:r>
      <w:r w:rsidRPr="00C738AF">
        <w:rPr>
          <w:rFonts w:ascii="Times New Roman" w:hAnsi="Times New Roman" w:cs="Times New Roman"/>
          <w:szCs w:val="24"/>
        </w:rPr>
        <w:t xml:space="preserve"> pod poz. </w:t>
      </w:r>
      <w:r w:rsidR="003F2A55" w:rsidRPr="00C738AF">
        <w:rPr>
          <w:rFonts w:ascii="Times New Roman" w:hAnsi="Times New Roman" w:cs="Times New Roman"/>
          <w:szCs w:val="24"/>
        </w:rPr>
        <w:t>UD104.</w:t>
      </w:r>
    </w:p>
    <w:p w14:paraId="2B35F5A4" w14:textId="0CD1D44E" w:rsidR="00FB6AED" w:rsidRPr="00C738AF" w:rsidRDefault="00FB6AED" w:rsidP="000B4EB4">
      <w:pPr>
        <w:pStyle w:val="NIEARTTEKSTtekstnieartykuowanynppodstprawnarozplubpreambua"/>
        <w:rPr>
          <w:rFonts w:ascii="Times New Roman" w:hAnsi="Times New Roman" w:cs="Times New Roman"/>
          <w:szCs w:val="24"/>
        </w:rPr>
      </w:pPr>
      <w:r w:rsidRPr="00C738AF">
        <w:rPr>
          <w:rFonts w:ascii="Times New Roman" w:hAnsi="Times New Roman" w:cs="Times New Roman"/>
          <w:szCs w:val="24"/>
        </w:rPr>
        <w:t>Projekt</w:t>
      </w:r>
      <w:r w:rsidR="005F3776" w:rsidRPr="00C738AF">
        <w:rPr>
          <w:rFonts w:ascii="Times New Roman" w:hAnsi="Times New Roman" w:cs="Times New Roman"/>
          <w:szCs w:val="24"/>
        </w:rPr>
        <w:t>owana</w:t>
      </w:r>
      <w:r w:rsidRPr="00C738AF">
        <w:rPr>
          <w:rFonts w:ascii="Times New Roman" w:hAnsi="Times New Roman" w:cs="Times New Roman"/>
          <w:szCs w:val="24"/>
        </w:rPr>
        <w:t xml:space="preserve"> ustaw</w:t>
      </w:r>
      <w:r w:rsidR="005F3776" w:rsidRPr="00C738AF">
        <w:rPr>
          <w:rFonts w:ascii="Times New Roman" w:hAnsi="Times New Roman" w:cs="Times New Roman"/>
          <w:szCs w:val="24"/>
        </w:rPr>
        <w:t>a</w:t>
      </w:r>
      <w:r w:rsidRPr="00C738AF">
        <w:rPr>
          <w:rFonts w:ascii="Times New Roman" w:hAnsi="Times New Roman" w:cs="Times New Roman"/>
          <w:szCs w:val="24"/>
        </w:rPr>
        <w:t>, zgodnie z rozporządzeniem Rady Ministrów z dnia 23 grudnia 2002</w:t>
      </w:r>
      <w:r w:rsidR="00DB21FC">
        <w:rPr>
          <w:rFonts w:ascii="Times New Roman" w:hAnsi="Times New Roman" w:cs="Times New Roman"/>
          <w:szCs w:val="24"/>
        </w:rPr>
        <w:t> </w:t>
      </w:r>
      <w:r w:rsidRPr="00C738AF">
        <w:rPr>
          <w:rFonts w:ascii="Times New Roman" w:hAnsi="Times New Roman" w:cs="Times New Roman"/>
          <w:szCs w:val="24"/>
        </w:rPr>
        <w:t>r. w</w:t>
      </w:r>
      <w:r w:rsidR="00DB21FC">
        <w:rPr>
          <w:rFonts w:ascii="Times New Roman" w:hAnsi="Times New Roman" w:cs="Times New Roman"/>
          <w:szCs w:val="24"/>
        </w:rPr>
        <w:t xml:space="preserve"> </w:t>
      </w:r>
      <w:r w:rsidRPr="00C738AF">
        <w:rPr>
          <w:rFonts w:ascii="Times New Roman" w:hAnsi="Times New Roman" w:cs="Times New Roman"/>
          <w:szCs w:val="24"/>
        </w:rPr>
        <w:t>sprawie sposobu funkcjonowania krajowego systemu notyfikacji norm i aktów prawnych (Dz. U. poz. 2039, z późn. zm.), nie wymaga notyfikacji.</w:t>
      </w:r>
    </w:p>
    <w:sectPr w:rsidR="00FB6AED" w:rsidRPr="00C738AF" w:rsidSect="00C738AF">
      <w:footerReference w:type="default" r:id="rId8"/>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072B" w14:textId="77777777" w:rsidR="00022523" w:rsidRDefault="00022523" w:rsidP="00351D7F">
      <w:pPr>
        <w:spacing w:line="240" w:lineRule="auto"/>
      </w:pPr>
      <w:r>
        <w:separator/>
      </w:r>
    </w:p>
  </w:endnote>
  <w:endnote w:type="continuationSeparator" w:id="0">
    <w:p w14:paraId="7F604B02" w14:textId="77777777" w:rsidR="00022523" w:rsidRDefault="00022523" w:rsidP="00351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728461"/>
      <w:docPartObj>
        <w:docPartGallery w:val="Page Numbers (Bottom of Page)"/>
        <w:docPartUnique/>
      </w:docPartObj>
    </w:sdtPr>
    <w:sdtEndPr>
      <w:rPr>
        <w:rFonts w:ascii="Times New Roman" w:hAnsi="Times New Roman"/>
        <w:sz w:val="24"/>
        <w:szCs w:val="24"/>
      </w:rPr>
    </w:sdtEndPr>
    <w:sdtContent>
      <w:p w14:paraId="3F0C5999" w14:textId="6A69FE30" w:rsidR="00351D7F" w:rsidRPr="00351D7F" w:rsidRDefault="00351D7F" w:rsidP="00351D7F">
        <w:pPr>
          <w:pStyle w:val="Stopka"/>
          <w:jc w:val="center"/>
          <w:rPr>
            <w:rFonts w:ascii="Times New Roman" w:hAnsi="Times New Roman"/>
            <w:sz w:val="24"/>
            <w:szCs w:val="24"/>
          </w:rPr>
        </w:pPr>
        <w:r w:rsidRPr="00351D7F">
          <w:rPr>
            <w:rFonts w:ascii="Times New Roman" w:hAnsi="Times New Roman"/>
            <w:sz w:val="24"/>
            <w:szCs w:val="24"/>
          </w:rPr>
          <w:fldChar w:fldCharType="begin"/>
        </w:r>
        <w:r w:rsidRPr="00351D7F">
          <w:rPr>
            <w:rFonts w:ascii="Times New Roman" w:hAnsi="Times New Roman"/>
            <w:sz w:val="24"/>
            <w:szCs w:val="24"/>
          </w:rPr>
          <w:instrText>PAGE   \* MERGEFORMAT</w:instrText>
        </w:r>
        <w:r w:rsidRPr="00351D7F">
          <w:rPr>
            <w:rFonts w:ascii="Times New Roman" w:hAnsi="Times New Roman"/>
            <w:sz w:val="24"/>
            <w:szCs w:val="24"/>
          </w:rPr>
          <w:fldChar w:fldCharType="separate"/>
        </w:r>
        <w:r w:rsidRPr="00351D7F">
          <w:rPr>
            <w:rFonts w:ascii="Times New Roman" w:hAnsi="Times New Roman"/>
            <w:sz w:val="24"/>
            <w:szCs w:val="24"/>
          </w:rPr>
          <w:t>2</w:t>
        </w:r>
        <w:r w:rsidRPr="00351D7F">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418B" w14:textId="77777777" w:rsidR="00022523" w:rsidRDefault="00022523" w:rsidP="00351D7F">
      <w:pPr>
        <w:spacing w:line="240" w:lineRule="auto"/>
      </w:pPr>
      <w:r>
        <w:separator/>
      </w:r>
    </w:p>
  </w:footnote>
  <w:footnote w:type="continuationSeparator" w:id="0">
    <w:p w14:paraId="73DE26E8" w14:textId="77777777" w:rsidR="00022523" w:rsidRDefault="00022523" w:rsidP="00351D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AFC"/>
    <w:multiLevelType w:val="hybridMultilevel"/>
    <w:tmpl w:val="10B43D5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 w15:restartNumberingAfterBreak="0">
    <w:nsid w:val="1D9357A4"/>
    <w:multiLevelType w:val="hybridMultilevel"/>
    <w:tmpl w:val="E5E08232"/>
    <w:lvl w:ilvl="0" w:tplc="4D5655C6">
      <w:start w:val="1"/>
      <w:numFmt w:val="bullet"/>
      <w:lvlText w:val=""/>
      <w:lvlJc w:val="left"/>
      <w:pPr>
        <w:ind w:left="720" w:hanging="360"/>
      </w:pPr>
      <w:rPr>
        <w:rFonts w:ascii="Symbol" w:hAnsi="Symbol"/>
      </w:rPr>
    </w:lvl>
    <w:lvl w:ilvl="1" w:tplc="1FC66528">
      <w:start w:val="1"/>
      <w:numFmt w:val="bullet"/>
      <w:lvlText w:val=""/>
      <w:lvlJc w:val="left"/>
      <w:pPr>
        <w:ind w:left="720" w:hanging="360"/>
      </w:pPr>
      <w:rPr>
        <w:rFonts w:ascii="Symbol" w:hAnsi="Symbol"/>
      </w:rPr>
    </w:lvl>
    <w:lvl w:ilvl="2" w:tplc="4F7EE88E">
      <w:start w:val="1"/>
      <w:numFmt w:val="bullet"/>
      <w:lvlText w:val=""/>
      <w:lvlJc w:val="left"/>
      <w:pPr>
        <w:ind w:left="720" w:hanging="360"/>
      </w:pPr>
      <w:rPr>
        <w:rFonts w:ascii="Symbol" w:hAnsi="Symbol"/>
      </w:rPr>
    </w:lvl>
    <w:lvl w:ilvl="3" w:tplc="0F3A95CC">
      <w:start w:val="1"/>
      <w:numFmt w:val="bullet"/>
      <w:lvlText w:val=""/>
      <w:lvlJc w:val="left"/>
      <w:pPr>
        <w:ind w:left="720" w:hanging="360"/>
      </w:pPr>
      <w:rPr>
        <w:rFonts w:ascii="Symbol" w:hAnsi="Symbol"/>
      </w:rPr>
    </w:lvl>
    <w:lvl w:ilvl="4" w:tplc="5A969D5E">
      <w:start w:val="1"/>
      <w:numFmt w:val="bullet"/>
      <w:lvlText w:val=""/>
      <w:lvlJc w:val="left"/>
      <w:pPr>
        <w:ind w:left="720" w:hanging="360"/>
      </w:pPr>
      <w:rPr>
        <w:rFonts w:ascii="Symbol" w:hAnsi="Symbol"/>
      </w:rPr>
    </w:lvl>
    <w:lvl w:ilvl="5" w:tplc="9072DE22">
      <w:start w:val="1"/>
      <w:numFmt w:val="bullet"/>
      <w:lvlText w:val=""/>
      <w:lvlJc w:val="left"/>
      <w:pPr>
        <w:ind w:left="720" w:hanging="360"/>
      </w:pPr>
      <w:rPr>
        <w:rFonts w:ascii="Symbol" w:hAnsi="Symbol"/>
      </w:rPr>
    </w:lvl>
    <w:lvl w:ilvl="6" w:tplc="4A949B46">
      <w:start w:val="1"/>
      <w:numFmt w:val="bullet"/>
      <w:lvlText w:val=""/>
      <w:lvlJc w:val="left"/>
      <w:pPr>
        <w:ind w:left="720" w:hanging="360"/>
      </w:pPr>
      <w:rPr>
        <w:rFonts w:ascii="Symbol" w:hAnsi="Symbol"/>
      </w:rPr>
    </w:lvl>
    <w:lvl w:ilvl="7" w:tplc="4B020700">
      <w:start w:val="1"/>
      <w:numFmt w:val="bullet"/>
      <w:lvlText w:val=""/>
      <w:lvlJc w:val="left"/>
      <w:pPr>
        <w:ind w:left="720" w:hanging="360"/>
      </w:pPr>
      <w:rPr>
        <w:rFonts w:ascii="Symbol" w:hAnsi="Symbol"/>
      </w:rPr>
    </w:lvl>
    <w:lvl w:ilvl="8" w:tplc="CA8C1470">
      <w:start w:val="1"/>
      <w:numFmt w:val="bullet"/>
      <w:lvlText w:val=""/>
      <w:lvlJc w:val="left"/>
      <w:pPr>
        <w:ind w:left="720" w:hanging="360"/>
      </w:pPr>
      <w:rPr>
        <w:rFonts w:ascii="Symbol" w:hAnsi="Symbol"/>
      </w:rPr>
    </w:lvl>
  </w:abstractNum>
  <w:abstractNum w:abstractNumId="2" w15:restartNumberingAfterBreak="0">
    <w:nsid w:val="1E224390"/>
    <w:multiLevelType w:val="hybridMultilevel"/>
    <w:tmpl w:val="41A826D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 w15:restartNumberingAfterBreak="0">
    <w:nsid w:val="245C14AA"/>
    <w:multiLevelType w:val="hybridMultilevel"/>
    <w:tmpl w:val="F4366C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578721B1"/>
    <w:multiLevelType w:val="hybridMultilevel"/>
    <w:tmpl w:val="AC2EF186"/>
    <w:lvl w:ilvl="0" w:tplc="A1FE366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15:restartNumberingAfterBreak="0">
    <w:nsid w:val="58BB465D"/>
    <w:multiLevelType w:val="hybridMultilevel"/>
    <w:tmpl w:val="3698EBD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6BD468AD"/>
    <w:multiLevelType w:val="hybridMultilevel"/>
    <w:tmpl w:val="E114551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num w:numId="1" w16cid:durableId="69498622">
    <w:abstractNumId w:val="0"/>
  </w:num>
  <w:num w:numId="2" w16cid:durableId="2137987630">
    <w:abstractNumId w:val="1"/>
  </w:num>
  <w:num w:numId="3" w16cid:durableId="512304663">
    <w:abstractNumId w:val="2"/>
  </w:num>
  <w:num w:numId="4" w16cid:durableId="1152722000">
    <w:abstractNumId w:val="3"/>
  </w:num>
  <w:num w:numId="5" w16cid:durableId="1007051185">
    <w:abstractNumId w:val="5"/>
  </w:num>
  <w:num w:numId="6" w16cid:durableId="1044064928">
    <w:abstractNumId w:val="4"/>
  </w:num>
  <w:num w:numId="7" w16cid:durableId="2084838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90"/>
    <w:rsid w:val="00006DC8"/>
    <w:rsid w:val="00011AA4"/>
    <w:rsid w:val="00013CD6"/>
    <w:rsid w:val="00015B89"/>
    <w:rsid w:val="000174DA"/>
    <w:rsid w:val="00021FA5"/>
    <w:rsid w:val="00022523"/>
    <w:rsid w:val="00051844"/>
    <w:rsid w:val="00056E95"/>
    <w:rsid w:val="000614DC"/>
    <w:rsid w:val="000729C0"/>
    <w:rsid w:val="0007470D"/>
    <w:rsid w:val="00077F1B"/>
    <w:rsid w:val="0008026D"/>
    <w:rsid w:val="000911BC"/>
    <w:rsid w:val="00095D83"/>
    <w:rsid w:val="000977AD"/>
    <w:rsid w:val="000B4EB4"/>
    <w:rsid w:val="000B71D1"/>
    <w:rsid w:val="000C546F"/>
    <w:rsid w:val="000C624B"/>
    <w:rsid w:val="000D1589"/>
    <w:rsid w:val="000D6FDC"/>
    <w:rsid w:val="000F356D"/>
    <w:rsid w:val="000F5EE3"/>
    <w:rsid w:val="00100148"/>
    <w:rsid w:val="001062C5"/>
    <w:rsid w:val="00107292"/>
    <w:rsid w:val="001077BC"/>
    <w:rsid w:val="00121A17"/>
    <w:rsid w:val="00153D0B"/>
    <w:rsid w:val="0017401A"/>
    <w:rsid w:val="00183DC1"/>
    <w:rsid w:val="001859EC"/>
    <w:rsid w:val="00186642"/>
    <w:rsid w:val="0019246B"/>
    <w:rsid w:val="00194C0B"/>
    <w:rsid w:val="001A02CF"/>
    <w:rsid w:val="001A56AE"/>
    <w:rsid w:val="001B17DC"/>
    <w:rsid w:val="001B59C0"/>
    <w:rsid w:val="001C2E85"/>
    <w:rsid w:val="001C3CFB"/>
    <w:rsid w:val="001C4822"/>
    <w:rsid w:val="001C565D"/>
    <w:rsid w:val="001D2981"/>
    <w:rsid w:val="001E5691"/>
    <w:rsid w:val="001F0959"/>
    <w:rsid w:val="001F41A6"/>
    <w:rsid w:val="00200E03"/>
    <w:rsid w:val="00201E0E"/>
    <w:rsid w:val="00203832"/>
    <w:rsid w:val="00213973"/>
    <w:rsid w:val="00252DD2"/>
    <w:rsid w:val="00270F3C"/>
    <w:rsid w:val="002712A2"/>
    <w:rsid w:val="002810E1"/>
    <w:rsid w:val="00281DF5"/>
    <w:rsid w:val="0028368E"/>
    <w:rsid w:val="00297726"/>
    <w:rsid w:val="002C3AC8"/>
    <w:rsid w:val="002D210A"/>
    <w:rsid w:val="002E25E5"/>
    <w:rsid w:val="002E675A"/>
    <w:rsid w:val="002F44DF"/>
    <w:rsid w:val="0030735B"/>
    <w:rsid w:val="003076B6"/>
    <w:rsid w:val="00312AB3"/>
    <w:rsid w:val="003229F5"/>
    <w:rsid w:val="00324867"/>
    <w:rsid w:val="0033351E"/>
    <w:rsid w:val="003435DF"/>
    <w:rsid w:val="00351D7F"/>
    <w:rsid w:val="00356A1C"/>
    <w:rsid w:val="00356F6D"/>
    <w:rsid w:val="0036294A"/>
    <w:rsid w:val="00364A2D"/>
    <w:rsid w:val="0036636C"/>
    <w:rsid w:val="00373A08"/>
    <w:rsid w:val="0038723A"/>
    <w:rsid w:val="003A2DD9"/>
    <w:rsid w:val="003A7A08"/>
    <w:rsid w:val="003F2A55"/>
    <w:rsid w:val="003F7B45"/>
    <w:rsid w:val="00417BFD"/>
    <w:rsid w:val="00423983"/>
    <w:rsid w:val="0042524F"/>
    <w:rsid w:val="0042595C"/>
    <w:rsid w:val="004335DD"/>
    <w:rsid w:val="00436D04"/>
    <w:rsid w:val="00476EF7"/>
    <w:rsid w:val="00483864"/>
    <w:rsid w:val="00486CBB"/>
    <w:rsid w:val="00491601"/>
    <w:rsid w:val="004A5F12"/>
    <w:rsid w:val="004C471F"/>
    <w:rsid w:val="004D4BF1"/>
    <w:rsid w:val="00505387"/>
    <w:rsid w:val="00534EEA"/>
    <w:rsid w:val="005435FB"/>
    <w:rsid w:val="00570F90"/>
    <w:rsid w:val="00571826"/>
    <w:rsid w:val="00581EAD"/>
    <w:rsid w:val="005919BD"/>
    <w:rsid w:val="00592A35"/>
    <w:rsid w:val="00595D97"/>
    <w:rsid w:val="005B1208"/>
    <w:rsid w:val="005B47AA"/>
    <w:rsid w:val="005C199A"/>
    <w:rsid w:val="005D381D"/>
    <w:rsid w:val="005D51E6"/>
    <w:rsid w:val="005D549D"/>
    <w:rsid w:val="005E3EC2"/>
    <w:rsid w:val="005F3776"/>
    <w:rsid w:val="005F4214"/>
    <w:rsid w:val="006400F1"/>
    <w:rsid w:val="00641ECA"/>
    <w:rsid w:val="00646281"/>
    <w:rsid w:val="00663DAE"/>
    <w:rsid w:val="00664A92"/>
    <w:rsid w:val="006651B0"/>
    <w:rsid w:val="00673C6C"/>
    <w:rsid w:val="0067635E"/>
    <w:rsid w:val="0068002B"/>
    <w:rsid w:val="00687866"/>
    <w:rsid w:val="006969AF"/>
    <w:rsid w:val="006A478C"/>
    <w:rsid w:val="006B2BE4"/>
    <w:rsid w:val="006D0D9A"/>
    <w:rsid w:val="006D54A2"/>
    <w:rsid w:val="006D7801"/>
    <w:rsid w:val="006E0838"/>
    <w:rsid w:val="006E10BD"/>
    <w:rsid w:val="007062D2"/>
    <w:rsid w:val="00735967"/>
    <w:rsid w:val="00756E92"/>
    <w:rsid w:val="00761968"/>
    <w:rsid w:val="00767C6C"/>
    <w:rsid w:val="007745FE"/>
    <w:rsid w:val="007847B7"/>
    <w:rsid w:val="00784FAE"/>
    <w:rsid w:val="00790B64"/>
    <w:rsid w:val="00794DC0"/>
    <w:rsid w:val="007B44A0"/>
    <w:rsid w:val="007B5CDB"/>
    <w:rsid w:val="007E4078"/>
    <w:rsid w:val="007E77CD"/>
    <w:rsid w:val="008039E1"/>
    <w:rsid w:val="00804FBA"/>
    <w:rsid w:val="00805724"/>
    <w:rsid w:val="008154F8"/>
    <w:rsid w:val="00827810"/>
    <w:rsid w:val="00880DEF"/>
    <w:rsid w:val="008861A1"/>
    <w:rsid w:val="008915ED"/>
    <w:rsid w:val="008A057B"/>
    <w:rsid w:val="008A533D"/>
    <w:rsid w:val="008A7716"/>
    <w:rsid w:val="008B7592"/>
    <w:rsid w:val="008D2A3C"/>
    <w:rsid w:val="008E0459"/>
    <w:rsid w:val="008F1712"/>
    <w:rsid w:val="00900C00"/>
    <w:rsid w:val="0090345B"/>
    <w:rsid w:val="00905368"/>
    <w:rsid w:val="0091730F"/>
    <w:rsid w:val="00923C70"/>
    <w:rsid w:val="009279CD"/>
    <w:rsid w:val="0093245D"/>
    <w:rsid w:val="00937967"/>
    <w:rsid w:val="0094458D"/>
    <w:rsid w:val="009577E5"/>
    <w:rsid w:val="0096254E"/>
    <w:rsid w:val="0096458C"/>
    <w:rsid w:val="009656A3"/>
    <w:rsid w:val="009736E0"/>
    <w:rsid w:val="00975F6C"/>
    <w:rsid w:val="00985F41"/>
    <w:rsid w:val="00992FB4"/>
    <w:rsid w:val="00997177"/>
    <w:rsid w:val="009A73F2"/>
    <w:rsid w:val="009B4E10"/>
    <w:rsid w:val="009C7B10"/>
    <w:rsid w:val="009D235B"/>
    <w:rsid w:val="00A156B5"/>
    <w:rsid w:val="00A25B18"/>
    <w:rsid w:val="00A45554"/>
    <w:rsid w:val="00A51741"/>
    <w:rsid w:val="00A630E1"/>
    <w:rsid w:val="00A63341"/>
    <w:rsid w:val="00A81B18"/>
    <w:rsid w:val="00A81BCB"/>
    <w:rsid w:val="00A902CF"/>
    <w:rsid w:val="00AA381F"/>
    <w:rsid w:val="00AB0A0D"/>
    <w:rsid w:val="00AC1450"/>
    <w:rsid w:val="00AC1EA3"/>
    <w:rsid w:val="00AC1F03"/>
    <w:rsid w:val="00AD659B"/>
    <w:rsid w:val="00AD6DB7"/>
    <w:rsid w:val="00AE0288"/>
    <w:rsid w:val="00AE0E4B"/>
    <w:rsid w:val="00B02643"/>
    <w:rsid w:val="00B06DE4"/>
    <w:rsid w:val="00B07CF8"/>
    <w:rsid w:val="00B1296F"/>
    <w:rsid w:val="00B12A27"/>
    <w:rsid w:val="00B27C17"/>
    <w:rsid w:val="00B3143F"/>
    <w:rsid w:val="00B413D1"/>
    <w:rsid w:val="00B4756A"/>
    <w:rsid w:val="00B5039C"/>
    <w:rsid w:val="00B52E24"/>
    <w:rsid w:val="00B623B9"/>
    <w:rsid w:val="00B811CC"/>
    <w:rsid w:val="00B83207"/>
    <w:rsid w:val="00B91213"/>
    <w:rsid w:val="00B94379"/>
    <w:rsid w:val="00BA36D1"/>
    <w:rsid w:val="00BA5117"/>
    <w:rsid w:val="00BB0095"/>
    <w:rsid w:val="00BD3EA4"/>
    <w:rsid w:val="00BD4E8A"/>
    <w:rsid w:val="00BD7C58"/>
    <w:rsid w:val="00BE0916"/>
    <w:rsid w:val="00BE36F6"/>
    <w:rsid w:val="00BE715B"/>
    <w:rsid w:val="00BF489D"/>
    <w:rsid w:val="00C03C4B"/>
    <w:rsid w:val="00C03FCA"/>
    <w:rsid w:val="00C177B3"/>
    <w:rsid w:val="00C331CE"/>
    <w:rsid w:val="00C34F53"/>
    <w:rsid w:val="00C40F5F"/>
    <w:rsid w:val="00C522BF"/>
    <w:rsid w:val="00C55466"/>
    <w:rsid w:val="00C738AF"/>
    <w:rsid w:val="00C91FC3"/>
    <w:rsid w:val="00CA3BA1"/>
    <w:rsid w:val="00CC38BC"/>
    <w:rsid w:val="00CC69DF"/>
    <w:rsid w:val="00CE698F"/>
    <w:rsid w:val="00CF354D"/>
    <w:rsid w:val="00D13425"/>
    <w:rsid w:val="00D162D4"/>
    <w:rsid w:val="00D265DD"/>
    <w:rsid w:val="00D423A4"/>
    <w:rsid w:val="00D51977"/>
    <w:rsid w:val="00D61615"/>
    <w:rsid w:val="00D65053"/>
    <w:rsid w:val="00D94033"/>
    <w:rsid w:val="00DA7146"/>
    <w:rsid w:val="00DB21FC"/>
    <w:rsid w:val="00DB7DEE"/>
    <w:rsid w:val="00DC064D"/>
    <w:rsid w:val="00DC40E3"/>
    <w:rsid w:val="00DC4418"/>
    <w:rsid w:val="00DC771E"/>
    <w:rsid w:val="00DD1039"/>
    <w:rsid w:val="00DD5D52"/>
    <w:rsid w:val="00DE1F49"/>
    <w:rsid w:val="00DE7A86"/>
    <w:rsid w:val="00DF2200"/>
    <w:rsid w:val="00DF4E6F"/>
    <w:rsid w:val="00E12B98"/>
    <w:rsid w:val="00E12D76"/>
    <w:rsid w:val="00E13A0C"/>
    <w:rsid w:val="00E17858"/>
    <w:rsid w:val="00E22EF7"/>
    <w:rsid w:val="00E24479"/>
    <w:rsid w:val="00E61894"/>
    <w:rsid w:val="00E85A26"/>
    <w:rsid w:val="00E8603A"/>
    <w:rsid w:val="00EA2EE0"/>
    <w:rsid w:val="00EB00AD"/>
    <w:rsid w:val="00EB3C2E"/>
    <w:rsid w:val="00EC2BE2"/>
    <w:rsid w:val="00EC6FBC"/>
    <w:rsid w:val="00ED5719"/>
    <w:rsid w:val="00EF3B99"/>
    <w:rsid w:val="00EF6CE7"/>
    <w:rsid w:val="00F03699"/>
    <w:rsid w:val="00F04957"/>
    <w:rsid w:val="00F06A39"/>
    <w:rsid w:val="00F14BCA"/>
    <w:rsid w:val="00F17448"/>
    <w:rsid w:val="00F17F29"/>
    <w:rsid w:val="00F21790"/>
    <w:rsid w:val="00F26972"/>
    <w:rsid w:val="00F3365F"/>
    <w:rsid w:val="00F35E25"/>
    <w:rsid w:val="00F433D2"/>
    <w:rsid w:val="00F4553E"/>
    <w:rsid w:val="00F553E0"/>
    <w:rsid w:val="00F61A70"/>
    <w:rsid w:val="00F626F1"/>
    <w:rsid w:val="00F6586B"/>
    <w:rsid w:val="00F743EE"/>
    <w:rsid w:val="00F77772"/>
    <w:rsid w:val="00F8146F"/>
    <w:rsid w:val="00F83B7A"/>
    <w:rsid w:val="00F86B32"/>
    <w:rsid w:val="00FA0F9D"/>
    <w:rsid w:val="00FA117C"/>
    <w:rsid w:val="00FA1B0C"/>
    <w:rsid w:val="00FB3695"/>
    <w:rsid w:val="00FB6AED"/>
    <w:rsid w:val="00FC5ED5"/>
    <w:rsid w:val="00FC67E4"/>
    <w:rsid w:val="00FC6944"/>
    <w:rsid w:val="00FC7802"/>
    <w:rsid w:val="00FD3C0C"/>
    <w:rsid w:val="00FE0453"/>
    <w:rsid w:val="00FE64FE"/>
    <w:rsid w:val="00FF4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A8C"/>
  <w15:chartTrackingRefBased/>
  <w15:docId w15:val="{C00D5EAF-B1C7-4D4E-B779-070049D3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4EEA"/>
    <w:pPr>
      <w:spacing w:after="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21FA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21FA5"/>
    <w:rPr>
      <w:bCs/>
    </w:rPr>
  </w:style>
  <w:style w:type="character" w:styleId="Hipercze">
    <w:name w:val="Hyperlink"/>
    <w:uiPriority w:val="99"/>
    <w:unhideWhenUsed/>
    <w:rsid w:val="00021FA5"/>
    <w:rPr>
      <w:color w:val="0563C1"/>
      <w:u w:val="single"/>
    </w:rPr>
  </w:style>
  <w:style w:type="character" w:styleId="Odwoaniedokomentarza">
    <w:name w:val="annotation reference"/>
    <w:basedOn w:val="Domylnaczcionkaakapitu"/>
    <w:uiPriority w:val="99"/>
    <w:semiHidden/>
    <w:unhideWhenUsed/>
    <w:rsid w:val="00FE64FE"/>
    <w:rPr>
      <w:sz w:val="16"/>
      <w:szCs w:val="16"/>
    </w:rPr>
  </w:style>
  <w:style w:type="paragraph" w:styleId="Tekstkomentarza">
    <w:name w:val="annotation text"/>
    <w:basedOn w:val="Normalny"/>
    <w:link w:val="TekstkomentarzaZnak"/>
    <w:uiPriority w:val="99"/>
    <w:unhideWhenUsed/>
    <w:rsid w:val="00FE64FE"/>
    <w:pPr>
      <w:spacing w:line="240" w:lineRule="auto"/>
    </w:pPr>
    <w:rPr>
      <w:sz w:val="20"/>
      <w:szCs w:val="20"/>
    </w:rPr>
  </w:style>
  <w:style w:type="character" w:customStyle="1" w:styleId="TekstkomentarzaZnak">
    <w:name w:val="Tekst komentarza Znak"/>
    <w:basedOn w:val="Domylnaczcionkaakapitu"/>
    <w:link w:val="Tekstkomentarza"/>
    <w:uiPriority w:val="99"/>
    <w:rsid w:val="00FE64FE"/>
    <w:rPr>
      <w:sz w:val="20"/>
      <w:szCs w:val="20"/>
    </w:rPr>
  </w:style>
  <w:style w:type="paragraph" w:styleId="Tematkomentarza">
    <w:name w:val="annotation subject"/>
    <w:basedOn w:val="Tekstkomentarza"/>
    <w:next w:val="Tekstkomentarza"/>
    <w:link w:val="TematkomentarzaZnak"/>
    <w:uiPriority w:val="99"/>
    <w:semiHidden/>
    <w:unhideWhenUsed/>
    <w:rsid w:val="00FE64FE"/>
    <w:rPr>
      <w:b/>
      <w:bCs/>
    </w:rPr>
  </w:style>
  <w:style w:type="character" w:customStyle="1" w:styleId="TematkomentarzaZnak">
    <w:name w:val="Temat komentarza Znak"/>
    <w:basedOn w:val="TekstkomentarzaZnak"/>
    <w:link w:val="Tematkomentarza"/>
    <w:uiPriority w:val="99"/>
    <w:semiHidden/>
    <w:rsid w:val="00FE64FE"/>
    <w:rPr>
      <w:b/>
      <w:bCs/>
      <w:sz w:val="20"/>
      <w:szCs w:val="20"/>
    </w:rPr>
  </w:style>
  <w:style w:type="paragraph" w:styleId="Tekstdymka">
    <w:name w:val="Balloon Text"/>
    <w:basedOn w:val="Normalny"/>
    <w:link w:val="TekstdymkaZnak"/>
    <w:uiPriority w:val="99"/>
    <w:semiHidden/>
    <w:unhideWhenUsed/>
    <w:rsid w:val="00FE64F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64FE"/>
    <w:rPr>
      <w:rFonts w:ascii="Segoe UI" w:hAnsi="Segoe UI" w:cs="Segoe UI"/>
      <w:sz w:val="18"/>
      <w:szCs w:val="18"/>
    </w:rPr>
  </w:style>
  <w:style w:type="paragraph" w:styleId="Poprawka">
    <w:name w:val="Revision"/>
    <w:hidden/>
    <w:uiPriority w:val="99"/>
    <w:semiHidden/>
    <w:rsid w:val="0033351E"/>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33351E"/>
    <w:rPr>
      <w:color w:val="605E5C"/>
      <w:shd w:val="clear" w:color="auto" w:fill="E1DFDD"/>
    </w:rPr>
  </w:style>
  <w:style w:type="paragraph" w:styleId="Akapitzlist">
    <w:name w:val="List Paragraph"/>
    <w:basedOn w:val="Normalny"/>
    <w:uiPriority w:val="34"/>
    <w:qFormat/>
    <w:rsid w:val="005919BD"/>
    <w:pPr>
      <w:spacing w:after="160" w:line="259" w:lineRule="auto"/>
      <w:ind w:left="720"/>
      <w:contextualSpacing/>
    </w:pPr>
    <w:rPr>
      <w:rFonts w:asciiTheme="minorHAnsi" w:eastAsiaTheme="minorHAnsi" w:hAnsiTheme="minorHAnsi" w:cstheme="minorBidi"/>
    </w:rPr>
  </w:style>
  <w:style w:type="character" w:customStyle="1" w:styleId="Nierozpoznanawzmianka2">
    <w:name w:val="Nierozpoznana wzmianka2"/>
    <w:basedOn w:val="Domylnaczcionkaakapitu"/>
    <w:uiPriority w:val="99"/>
    <w:semiHidden/>
    <w:unhideWhenUsed/>
    <w:rsid w:val="00FB6AED"/>
    <w:rPr>
      <w:color w:val="605E5C"/>
      <w:shd w:val="clear" w:color="auto" w:fill="E1DFDD"/>
    </w:rPr>
  </w:style>
  <w:style w:type="table" w:styleId="Tabela-Siatka">
    <w:name w:val="Table Grid"/>
    <w:basedOn w:val="Standardowy"/>
    <w:uiPriority w:val="39"/>
    <w:rsid w:val="00DF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punkt">
    <w:name w:val="PKT – punkt"/>
    <w:uiPriority w:val="13"/>
    <w:qFormat/>
    <w:rsid w:val="005E3EC2"/>
    <w:pPr>
      <w:spacing w:after="0" w:line="360" w:lineRule="auto"/>
      <w:ind w:left="510" w:hanging="510"/>
      <w:jc w:val="both"/>
    </w:pPr>
    <w:rPr>
      <w:rFonts w:ascii="Times" w:eastAsia="Times New Roman" w:hAnsi="Times" w:cs="Arial"/>
      <w:bCs/>
      <w:sz w:val="24"/>
      <w:szCs w:val="20"/>
      <w:lang w:eastAsia="pl-PL"/>
    </w:rPr>
  </w:style>
  <w:style w:type="paragraph" w:customStyle="1" w:styleId="USTustnpkodeksu">
    <w:name w:val="UST(§) – ust. (§ np. kodeksu)"/>
    <w:basedOn w:val="ARTartustawynprozporzdzenia"/>
    <w:uiPriority w:val="12"/>
    <w:qFormat/>
    <w:rsid w:val="001D2981"/>
    <w:pPr>
      <w:spacing w:before="0"/>
    </w:pPr>
    <w:rPr>
      <w:bCs/>
    </w:rPr>
  </w:style>
  <w:style w:type="paragraph" w:styleId="Bezodstpw">
    <w:name w:val="No Spacing"/>
    <w:uiPriority w:val="1"/>
    <w:qFormat/>
    <w:rsid w:val="008D2A3C"/>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351D7F"/>
    <w:pPr>
      <w:tabs>
        <w:tab w:val="center" w:pos="4536"/>
        <w:tab w:val="right" w:pos="9072"/>
      </w:tabs>
      <w:spacing w:line="240" w:lineRule="auto"/>
    </w:pPr>
  </w:style>
  <w:style w:type="character" w:customStyle="1" w:styleId="NagwekZnak">
    <w:name w:val="Nagłówek Znak"/>
    <w:basedOn w:val="Domylnaczcionkaakapitu"/>
    <w:link w:val="Nagwek"/>
    <w:uiPriority w:val="99"/>
    <w:rsid w:val="00351D7F"/>
    <w:rPr>
      <w:rFonts w:ascii="Calibri" w:eastAsia="Calibri" w:hAnsi="Calibri" w:cs="Times New Roman"/>
    </w:rPr>
  </w:style>
  <w:style w:type="paragraph" w:styleId="Stopka">
    <w:name w:val="footer"/>
    <w:basedOn w:val="Normalny"/>
    <w:link w:val="StopkaZnak"/>
    <w:uiPriority w:val="99"/>
    <w:unhideWhenUsed/>
    <w:rsid w:val="00351D7F"/>
    <w:pPr>
      <w:tabs>
        <w:tab w:val="center" w:pos="4536"/>
        <w:tab w:val="right" w:pos="9072"/>
      </w:tabs>
      <w:spacing w:line="240" w:lineRule="auto"/>
    </w:pPr>
  </w:style>
  <w:style w:type="character" w:customStyle="1" w:styleId="StopkaZnak">
    <w:name w:val="Stopka Znak"/>
    <w:basedOn w:val="Domylnaczcionkaakapitu"/>
    <w:link w:val="Stopka"/>
    <w:uiPriority w:val="99"/>
    <w:rsid w:val="00351D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1817">
      <w:bodyDiv w:val="1"/>
      <w:marLeft w:val="0"/>
      <w:marRight w:val="0"/>
      <w:marTop w:val="0"/>
      <w:marBottom w:val="0"/>
      <w:divBdr>
        <w:top w:val="none" w:sz="0" w:space="0" w:color="auto"/>
        <w:left w:val="none" w:sz="0" w:space="0" w:color="auto"/>
        <w:bottom w:val="none" w:sz="0" w:space="0" w:color="auto"/>
        <w:right w:val="none" w:sz="0" w:space="0" w:color="auto"/>
      </w:divBdr>
    </w:div>
    <w:div w:id="17310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4DECD-B231-4E23-9FEC-018BC458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4775</Words>
  <Characters>28653</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Klimowski Piotr</dc:creator>
  <cp:keywords/>
  <dc:description/>
  <cp:lastModifiedBy>Binkowska Joanna</cp:lastModifiedBy>
  <cp:revision>2</cp:revision>
  <dcterms:created xsi:type="dcterms:W3CDTF">2025-07-30T14:35:00Z</dcterms:created>
  <dcterms:modified xsi:type="dcterms:W3CDTF">2025-07-30T14:35:00Z</dcterms:modified>
</cp:coreProperties>
</file>