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99CFA" w14:textId="77777777" w:rsidR="006744F0" w:rsidRPr="006744F0" w:rsidRDefault="006744F0" w:rsidP="006744F0">
      <w:pPr>
        <w:pStyle w:val="OZNPROJEKTUwskazaniedatylubwersjiprojektu"/>
      </w:pPr>
      <w:bookmarkStart w:id="0" w:name="_GoBack"/>
      <w:bookmarkEnd w:id="0"/>
      <w:r w:rsidRPr="006744F0">
        <w:t>Projekt</w:t>
      </w:r>
    </w:p>
    <w:p w14:paraId="7737DEE9" w14:textId="77777777" w:rsidR="006744F0" w:rsidRPr="00B55FB7" w:rsidRDefault="006744F0" w:rsidP="00B55FB7">
      <w:pPr>
        <w:pStyle w:val="OZNRODZAKTUtznustawalubrozporzdzenieiorganwydajcy"/>
      </w:pPr>
      <w:r w:rsidRPr="00B55FB7">
        <w:t>USTAWA</w:t>
      </w:r>
    </w:p>
    <w:p w14:paraId="356F8469" w14:textId="77777777" w:rsidR="006744F0" w:rsidRPr="00B55FB7" w:rsidRDefault="006744F0" w:rsidP="00B55FB7">
      <w:pPr>
        <w:pStyle w:val="DATAAKTUdatauchwalenialubwydaniaaktu"/>
      </w:pPr>
      <w:r w:rsidRPr="00B55FB7">
        <w:t xml:space="preserve">z dnia </w:t>
      </w:r>
    </w:p>
    <w:p w14:paraId="12377C0D" w14:textId="77777777" w:rsidR="006744F0" w:rsidRPr="00B55FB7" w:rsidRDefault="006744F0" w:rsidP="00B55FB7">
      <w:pPr>
        <w:pStyle w:val="TYTUAKTUprzedmiotregulacjiustawylubrozporzdzenia"/>
      </w:pPr>
      <w:r w:rsidRPr="00B55FB7">
        <w:t>o zapewnieniu realizacji inwestycji Centralnego Portu Komunikacyjnego</w:t>
      </w:r>
      <w:r w:rsidRPr="00B55FB7">
        <w:rPr>
          <w:rStyle w:val="IGindeksgrny"/>
        </w:rPr>
        <w:footnoteReference w:id="1"/>
      </w:r>
      <w:r w:rsidRPr="00B55FB7">
        <w:rPr>
          <w:rStyle w:val="IGindeksgrny"/>
        </w:rPr>
        <w:t>)</w:t>
      </w:r>
    </w:p>
    <w:p w14:paraId="759EB245" w14:textId="07F96DA2" w:rsidR="006744F0" w:rsidRPr="006744F0" w:rsidRDefault="006744F0" w:rsidP="006744F0">
      <w:pPr>
        <w:pStyle w:val="ARTartustawynprozporzdzenia"/>
      </w:pPr>
      <w:r w:rsidRPr="006744F0">
        <w:rPr>
          <w:rStyle w:val="Ppogrubienie"/>
        </w:rPr>
        <w:t>Art. 1.</w:t>
      </w:r>
      <w:r w:rsidRPr="006744F0">
        <w:t> Ustawa określa podstawowe elementy Programu, o którym mowa w art. 2 pkt 7 ustawy z dnia 10 maja 2018 r. o Centralnym Porcie Komuni</w:t>
      </w:r>
      <w:r w:rsidR="0042420F">
        <w:t>kacyjnym (Dz. U. z 2024 r. poz. </w:t>
      </w:r>
      <w:r w:rsidR="007A20CE">
        <w:t>1747</w:t>
      </w:r>
      <w:r w:rsidRPr="006744F0">
        <w:t>), zwanego dalej „Programem”, w celu zapewnienia realizacji inwestycji Centralnego Portu Komunikacyjnego.</w:t>
      </w:r>
    </w:p>
    <w:p w14:paraId="642A0011" w14:textId="77777777" w:rsidR="006744F0" w:rsidRPr="006744F0" w:rsidRDefault="006744F0" w:rsidP="006744F0">
      <w:pPr>
        <w:pStyle w:val="ARTartustawynprozporzdzenia"/>
      </w:pPr>
      <w:r w:rsidRPr="006744F0">
        <w:rPr>
          <w:rStyle w:val="Ppogrubienie"/>
        </w:rPr>
        <w:t>Art. 2.</w:t>
      </w:r>
      <w:r w:rsidRPr="006744F0">
        <w:t> 1. Celem głównym Programu jest stworzenie uniwersalnego systemu transportu pasażerskiego poprzez wybudowanie i eksploatację rentownego innowacyjnego węzła transportowego, który uzyska miejsce w pierwszej dziesiątce najlepszych portów lotniczych na świecie, a ponadto doprowadzi do przebudowy krajowego systemu transportu kolejowego jako atrakcyjnej alternatywy dla transportu drogowego, który obejmie cały obszar Polski, zapewniając jednocześnie rozwój i trwałą integrację aglomeracji warszawskiej i łódzkiej.</w:t>
      </w:r>
    </w:p>
    <w:p w14:paraId="3A5187E2" w14:textId="77777777" w:rsidR="006744F0" w:rsidRPr="006744F0" w:rsidRDefault="006744F0" w:rsidP="006744F0">
      <w:pPr>
        <w:pStyle w:val="USTustnpkodeksu"/>
      </w:pPr>
      <w:r w:rsidRPr="006744F0">
        <w:t>2. Program określa, w szczególności:</w:t>
      </w:r>
    </w:p>
    <w:p w14:paraId="64D6BEAB" w14:textId="77777777" w:rsidR="006744F0" w:rsidRPr="006744F0" w:rsidRDefault="006744F0" w:rsidP="006744F0">
      <w:pPr>
        <w:pStyle w:val="PKTpunkt"/>
      </w:pPr>
      <w:r w:rsidRPr="006744F0">
        <w:t>1)</w:t>
      </w:r>
      <w:r w:rsidRPr="006744F0">
        <w:tab/>
        <w:t xml:space="preserve"> zakres i cele Programu;</w:t>
      </w:r>
    </w:p>
    <w:p w14:paraId="1D5D9099" w14:textId="77777777" w:rsidR="006744F0" w:rsidRPr="006744F0" w:rsidRDefault="006744F0" w:rsidP="006744F0">
      <w:pPr>
        <w:pStyle w:val="PKTpunkt"/>
      </w:pPr>
      <w:r w:rsidRPr="006744F0">
        <w:t>2)</w:t>
      </w:r>
      <w:r w:rsidRPr="006744F0">
        <w:tab/>
        <w:t xml:space="preserve"> terminy zakończenia prac budowlanych oraz uzyskania certyfikacji i zgód na uruchomienie operacji lotniczych na Lotnisku Centralnego Portu Komunikacyjnego, które nie mogą być późniejsze niż do dnia 31 grudnia 2031 r.;</w:t>
      </w:r>
    </w:p>
    <w:p w14:paraId="2980F555" w14:textId="77777777" w:rsidR="006744F0" w:rsidRPr="006744F0" w:rsidRDefault="006744F0" w:rsidP="006744F0">
      <w:pPr>
        <w:pStyle w:val="PKTpunkt"/>
      </w:pPr>
      <w:r w:rsidRPr="006744F0">
        <w:t>3)</w:t>
      </w:r>
      <w:r w:rsidRPr="006744F0">
        <w:tab/>
        <w:t xml:space="preserve"> termin zakończenia prac budowlanych dla linii kolejowych - Tunel w Łodzi, Węzeł Centralnego Portu Komunikacyjnego, Warszawa-Łódź, który nie może być późniejszy niż do dnia 31 grudnia 2030 r.;</w:t>
      </w:r>
    </w:p>
    <w:p w14:paraId="535076C0" w14:textId="1E3BDD41" w:rsidR="006744F0" w:rsidRPr="006744F0" w:rsidRDefault="006744F0" w:rsidP="006744F0">
      <w:pPr>
        <w:pStyle w:val="PKTpunkt"/>
      </w:pPr>
      <w:r w:rsidRPr="006744F0">
        <w:t>4)</w:t>
      </w:r>
      <w:r w:rsidRPr="006744F0">
        <w:tab/>
        <w:t>wartość finansowania Programu za pomocą skar</w:t>
      </w:r>
      <w:r w:rsidR="006238D0">
        <w:t>bowych papierów wartościowych w </w:t>
      </w:r>
      <w:r w:rsidRPr="006744F0">
        <w:t>wy</w:t>
      </w:r>
      <w:r w:rsidR="00B02065">
        <w:t xml:space="preserve">sokości nie niższej niż 66 180 </w:t>
      </w:r>
      <w:r w:rsidRPr="006744F0">
        <w:t>mln zł do 2032 r.;</w:t>
      </w:r>
    </w:p>
    <w:p w14:paraId="50E8786B" w14:textId="7E7CBDEE" w:rsidR="006744F0" w:rsidRPr="006744F0" w:rsidRDefault="006744F0" w:rsidP="006744F0">
      <w:pPr>
        <w:pStyle w:val="PKTpunkt"/>
      </w:pPr>
      <w:r w:rsidRPr="006744F0">
        <w:t>5)</w:t>
      </w:r>
      <w:r w:rsidRPr="006744F0">
        <w:tab/>
        <w:t xml:space="preserve"> wartość miernika, o którym mowa w Programie: „Długość linii kolejowych, dla których złożono wnioski o wydanie decyzji o środowiskowyc</w:t>
      </w:r>
      <w:r w:rsidR="00A267BC">
        <w:t>h uwarunkowaniach – DŚU” w 2030 </w:t>
      </w:r>
      <w:r w:rsidRPr="006744F0">
        <w:t>r. nie niższą niż 1338 km;</w:t>
      </w:r>
    </w:p>
    <w:p w14:paraId="01608474" w14:textId="4B58E779" w:rsidR="006744F0" w:rsidRPr="006744F0" w:rsidRDefault="006744F0" w:rsidP="006744F0">
      <w:pPr>
        <w:pStyle w:val="PKTpunkt"/>
      </w:pPr>
      <w:r w:rsidRPr="006744F0">
        <w:t>6)</w:t>
      </w:r>
      <w:r w:rsidRPr="006744F0">
        <w:tab/>
        <w:t>obowiązek realizacji prac projektowych i środowiskowych w odniesieniu do odcinków linii kolejowych określonych w załączniku do ustawy oraz ich harmonogram;</w:t>
      </w:r>
    </w:p>
    <w:p w14:paraId="6EC618F9" w14:textId="77777777" w:rsidR="006744F0" w:rsidRPr="006744F0" w:rsidRDefault="006744F0" w:rsidP="006744F0">
      <w:pPr>
        <w:pStyle w:val="PKTpunkt"/>
      </w:pPr>
      <w:r w:rsidRPr="006744F0">
        <w:lastRenderedPageBreak/>
        <w:t>7)</w:t>
      </w:r>
      <w:r w:rsidRPr="006744F0">
        <w:tab/>
        <w:t>wymóg prędkości eksploatacyjnej na nowo budowanych liniach kolejowych do 250 km/h;</w:t>
      </w:r>
    </w:p>
    <w:p w14:paraId="40B9098F" w14:textId="77777777" w:rsidR="006744F0" w:rsidRPr="006744F0" w:rsidRDefault="006744F0" w:rsidP="006744F0">
      <w:pPr>
        <w:pStyle w:val="PKTpunkt"/>
      </w:pPr>
      <w:r w:rsidRPr="006744F0">
        <w:t>8)</w:t>
      </w:r>
      <w:r w:rsidRPr="006744F0">
        <w:tab/>
        <w:t>środki publiczne na badania i rozwój polskiego taboru kolejowego dla Kolei Dużych Prędkości;</w:t>
      </w:r>
    </w:p>
    <w:p w14:paraId="15B09722" w14:textId="77777777" w:rsidR="006744F0" w:rsidRPr="006744F0" w:rsidRDefault="006744F0" w:rsidP="006744F0">
      <w:pPr>
        <w:pStyle w:val="PKTpunkt"/>
      </w:pPr>
      <w:r w:rsidRPr="006744F0">
        <w:t>9)</w:t>
      </w:r>
      <w:r w:rsidRPr="006744F0">
        <w:tab/>
        <w:t>obowiązek realizacji inwestycji rozwojowych oraz ich harmonogram, które stanowią:</w:t>
      </w:r>
    </w:p>
    <w:p w14:paraId="32A2A135" w14:textId="77777777" w:rsidR="006744F0" w:rsidRPr="006744F0" w:rsidRDefault="006744F0" w:rsidP="006744F0">
      <w:pPr>
        <w:pStyle w:val="LITlitera"/>
      </w:pPr>
      <w:r w:rsidRPr="006744F0">
        <w:t>a)</w:t>
      </w:r>
      <w:r w:rsidRPr="006744F0">
        <w:tab/>
        <w:t>projekt Aiport City (stworzenie na obszarze sąsiadującym z terminalem pasażerskim wysokiej jakości wielofunkcyjnej przestrzeni miejskiej będącej jednocześnie zaawansowanym technologicznie centrum biz</w:t>
      </w:r>
      <w:r w:rsidR="006238D0">
        <w:t>nesowym i ośrodkiem innowacji o </w:t>
      </w:r>
      <w:r w:rsidRPr="006744F0">
        <w:t>globalnym zasięgu, uzupełnionym o funkcję kulturalną i rekreacyjno-rozrywkową),</w:t>
      </w:r>
    </w:p>
    <w:p w14:paraId="240F4E64" w14:textId="77777777" w:rsidR="006744F0" w:rsidRPr="006744F0" w:rsidRDefault="006744F0" w:rsidP="006744F0">
      <w:pPr>
        <w:pStyle w:val="LITlitera"/>
      </w:pPr>
      <w:r w:rsidRPr="006744F0">
        <w:t>b)</w:t>
      </w:r>
      <w:r w:rsidRPr="006744F0">
        <w:tab/>
        <w:t xml:space="preserve">projekt Cargo City (realizacja w sąsiedztwie Centralnego Portu Komunikacyjnego jednej lub wielu wysokiej jakości przestrzeni </w:t>
      </w:r>
      <w:r w:rsidR="006238D0">
        <w:t>rozwoju funkcji przemysłowych i </w:t>
      </w:r>
      <w:r w:rsidRPr="006744F0">
        <w:t>usługowych),</w:t>
      </w:r>
    </w:p>
    <w:p w14:paraId="7A3F0786" w14:textId="77777777" w:rsidR="006744F0" w:rsidRPr="006744F0" w:rsidRDefault="006744F0" w:rsidP="006744F0">
      <w:pPr>
        <w:pStyle w:val="LITlitera"/>
      </w:pPr>
      <w:r w:rsidRPr="006744F0">
        <w:t>c)</w:t>
      </w:r>
      <w:r w:rsidRPr="006744F0">
        <w:tab/>
        <w:t>projekt rozbudowy sieci terminali intermodalnych</w:t>
      </w:r>
    </w:p>
    <w:p w14:paraId="5F109E88" w14:textId="220FACCB" w:rsidR="006744F0" w:rsidRPr="006744F0" w:rsidRDefault="006744F0" w:rsidP="006744F0">
      <w:r w:rsidRPr="006744F0">
        <w:t>–</w:t>
      </w:r>
      <w:r w:rsidRPr="006744F0">
        <w:tab/>
        <w:t>zakładając wartość ich finansowania za pomocą skarbowych papierów wartośc</w:t>
      </w:r>
      <w:r w:rsidR="0064670B">
        <w:t>iowych w </w:t>
      </w:r>
      <w:r w:rsidRPr="006744F0">
        <w:t>wysokości nie niższej niż 3 138 mln zł do 2032 r.;</w:t>
      </w:r>
    </w:p>
    <w:p w14:paraId="1B9EB52E" w14:textId="77777777" w:rsidR="006744F0" w:rsidRPr="006744F0" w:rsidRDefault="006744F0" w:rsidP="006744F0">
      <w:pPr>
        <w:pStyle w:val="PKTpunkt"/>
      </w:pPr>
      <w:r w:rsidRPr="006744F0">
        <w:t>10)</w:t>
      </w:r>
      <w:r w:rsidRPr="006744F0">
        <w:tab/>
        <w:t xml:space="preserve"> obowiązek realizacji prac studialnych lub projektowych dla poszczególnych odcinków linii kolejowych objętych Programem, tak aby w miejscowościach powyżej 50 tyś. mieszkańców znajdujących się na planowanym prz</w:t>
      </w:r>
      <w:r w:rsidR="006238D0">
        <w:t>ebiegu danej linii kolejowej, w </w:t>
      </w:r>
      <w:r w:rsidRPr="006744F0">
        <w:t>szczególności w Kaliszu, Płocku i Grudziądzu, zapewniono przebieg linii przez stację kolejową zapewniającą obsługę kolejową takiej miejscowości.</w:t>
      </w:r>
    </w:p>
    <w:p w14:paraId="32995D29" w14:textId="247DAB9C" w:rsidR="006744F0" w:rsidRPr="006744F0" w:rsidRDefault="006744F0" w:rsidP="006744F0">
      <w:pPr>
        <w:pStyle w:val="ARTartustawynprozporzdzenia"/>
      </w:pPr>
      <w:r w:rsidRPr="006744F0">
        <w:rPr>
          <w:rStyle w:val="Ppogrubienie"/>
        </w:rPr>
        <w:t>Art. 3.</w:t>
      </w:r>
      <w:r w:rsidRPr="006744F0">
        <w:t> Cywilny ruch lotniczy na Lotnisk</w:t>
      </w:r>
      <w:r w:rsidR="00E57E3E">
        <w:t>u</w:t>
      </w:r>
      <w:r w:rsidRPr="006744F0">
        <w:t xml:space="preserve"> im. Fryderyka Chopina w Warszawie odbywa się nie dłużej niż do dnia 31 grudnia 2032 r. Po tym dniu ruch ten odbywa się z Lotniska Centralnego Portu Komunikacyjnego.</w:t>
      </w:r>
    </w:p>
    <w:p w14:paraId="4097B141" w14:textId="77777777" w:rsidR="006744F0" w:rsidRPr="006744F0" w:rsidRDefault="006744F0" w:rsidP="006744F0">
      <w:pPr>
        <w:pStyle w:val="ARTartustawynprozporzdzenia"/>
      </w:pPr>
      <w:r w:rsidRPr="006744F0">
        <w:rPr>
          <w:rStyle w:val="Ppogrubienie"/>
        </w:rPr>
        <w:t>Art. 4.</w:t>
      </w:r>
      <w:r w:rsidRPr="006744F0">
        <w:t> Na Lotnisku im. Fryderyka Chopina w Warszawie mogą być prowadzone wyłącznie inwestycje, co do których, biorąc pod uwagę ich wykorzystanie do dnia 31 grudnia 2032 r., ekonomiczna bieżąca wartość netto inwestycji, rozumiana jako różnica ogółu zdyskontowanych korzyści i kosztów związanych z inwestycją, jest dodatnia, a finansowanie tych inwestycji nie narusza planu finansowego zawartego w Programie.</w:t>
      </w:r>
    </w:p>
    <w:p w14:paraId="1677EFC5" w14:textId="77777777" w:rsidR="006744F0" w:rsidRPr="006744F0" w:rsidRDefault="006744F0" w:rsidP="006744F0">
      <w:pPr>
        <w:pStyle w:val="ARTartustawynprozporzdzenia"/>
      </w:pPr>
      <w:r w:rsidRPr="006744F0">
        <w:rPr>
          <w:rStyle w:val="Ppogrubienie"/>
        </w:rPr>
        <w:t>Art. 5.</w:t>
      </w:r>
      <w:r w:rsidRPr="006744F0">
        <w:t xml:space="preserve"> 1. Zakazuje się dofinansowania połączeń lotniczych przez Skarb Państwa, jednostki samorządu terytorialnego lub ich związki, państwowe osoby prawne oraz komunalne osoby prawne. Podmioty określone w zdaniu poprzedzającym nie mogą w szczególności zawierać umów o charakterze marketingowym, promocyjnym lub innych umów podobnego </w:t>
      </w:r>
      <w:r w:rsidRPr="006744F0">
        <w:lastRenderedPageBreak/>
        <w:t>rodzaju z przewoźnikami lotniczymi lub jednostkami powiązanymi w rozumieniu art. 3 ust. 1 pkt 43 ustawy z dnia 29 września 1994 r. ustawy z dnia 29 września o rachunkowości (Dz. U. z 2023 r. poz. 120 z późn. zm.</w:t>
      </w:r>
      <w:r>
        <w:rPr>
          <w:rStyle w:val="Odwoanieprzypisudolnego"/>
        </w:rPr>
        <w:footnoteReference w:id="2"/>
      </w:r>
      <w:r>
        <w:rPr>
          <w:rStyle w:val="IGindeksgrny"/>
        </w:rPr>
        <w:t>)</w:t>
      </w:r>
      <w:r w:rsidRPr="006744F0">
        <w:t xml:space="preserve"> ).</w:t>
      </w:r>
    </w:p>
    <w:p w14:paraId="1236144A" w14:textId="77777777" w:rsidR="006744F0" w:rsidRPr="006744F0" w:rsidRDefault="006744F0" w:rsidP="006744F0">
      <w:pPr>
        <w:pStyle w:val="USTustnpkodeksu"/>
      </w:pPr>
      <w:r w:rsidRPr="006744F0">
        <w:t>2. Czynności prawne dokonane z naruszeniem ust. 1, są nieważne.</w:t>
      </w:r>
    </w:p>
    <w:p w14:paraId="3FB50571" w14:textId="77777777" w:rsidR="006744F0" w:rsidRPr="006744F0" w:rsidRDefault="006744F0" w:rsidP="006744F0">
      <w:pPr>
        <w:pStyle w:val="ARTartustawynprozporzdzenia"/>
      </w:pPr>
      <w:r w:rsidRPr="006744F0">
        <w:rPr>
          <w:rStyle w:val="Ppogrubienie"/>
        </w:rPr>
        <w:t>Art. 6.</w:t>
      </w:r>
      <w:r w:rsidRPr="006744F0">
        <w:t> Rada Ministrów przedkłada Sejmowi sprawozdanie z realizacji Programu za rok poprzedni w terminie do dnia 30 czerwca każdego roku.</w:t>
      </w:r>
    </w:p>
    <w:p w14:paraId="1E9EA07C" w14:textId="1A626A5D" w:rsidR="006744F0" w:rsidRPr="006744F0" w:rsidRDefault="006744F0" w:rsidP="006744F0">
      <w:pPr>
        <w:pStyle w:val="ARTartustawynprozporzdzenia"/>
      </w:pPr>
      <w:r w:rsidRPr="006744F0">
        <w:rPr>
          <w:rStyle w:val="Ppogrubienie"/>
        </w:rPr>
        <w:t>Art. 7.</w:t>
      </w:r>
      <w:r w:rsidRPr="006744F0">
        <w:t> W ustawie z dnia 10 maja 2018 r. o Centralnym Porcie Komunikacy</w:t>
      </w:r>
      <w:r w:rsidR="00FA058E">
        <w:t>jnym (Dz. U. z 2024 r. poz. 1747</w:t>
      </w:r>
      <w:r w:rsidRPr="006744F0">
        <w:t>) wprowadza się następujące zmiany:</w:t>
      </w:r>
    </w:p>
    <w:p w14:paraId="467F861F" w14:textId="77777777" w:rsidR="006744F0" w:rsidRPr="006744F0" w:rsidRDefault="006744F0" w:rsidP="006744F0">
      <w:pPr>
        <w:pStyle w:val="PKTpunkt"/>
      </w:pPr>
      <w:r w:rsidRPr="006744F0">
        <w:t>1)</w:t>
      </w:r>
      <w:r w:rsidRPr="006744F0">
        <w:tab/>
        <w:t xml:space="preserve"> w art. 13 dotychczasową treść oznacza się jako ust. 1 i dodaje się ust. 2 w brzmieniu:</w:t>
      </w:r>
    </w:p>
    <w:p w14:paraId="25491B45" w14:textId="77777777" w:rsidR="006744F0" w:rsidRPr="006744F0" w:rsidRDefault="006744F0" w:rsidP="006744F0">
      <w:pPr>
        <w:pStyle w:val="ZUSTzmustartykuempunktem"/>
      </w:pPr>
      <w:r w:rsidRPr="006744F0">
        <w:t>„2. Większość członków zarządu Spółki Celowej stanowią osoby, które posiadają wiedzę i co najmniej trzyletnie doświadczenie kierownicze w zakresie prowadzenia lub finansowania inwestycji infrastrukturalnych o budżecie w wysokości co najmniej 500.000.000 zł każda”;</w:t>
      </w:r>
    </w:p>
    <w:p w14:paraId="00A7EEE7" w14:textId="77777777" w:rsidR="006744F0" w:rsidRPr="006744F0" w:rsidRDefault="006744F0" w:rsidP="006744F0">
      <w:pPr>
        <w:pStyle w:val="PKTpunkt"/>
      </w:pPr>
      <w:r w:rsidRPr="006744F0">
        <w:t>2)</w:t>
      </w:r>
      <w:r w:rsidRPr="006744F0">
        <w:tab/>
        <w:t>art. 14 otrzymuje brzmienie:</w:t>
      </w:r>
    </w:p>
    <w:p w14:paraId="4584B64F" w14:textId="77777777" w:rsidR="006744F0" w:rsidRPr="006744F0" w:rsidRDefault="006744F0" w:rsidP="006744F0">
      <w:pPr>
        <w:pStyle w:val="ZARTzmartartykuempunktem"/>
      </w:pPr>
      <w:r w:rsidRPr="006744F0">
        <w:t>„Art. 14. 1. Rada Nadzorcza Spółki Celowej składa się z 5 członków.</w:t>
      </w:r>
    </w:p>
    <w:p w14:paraId="0F52DCDB" w14:textId="77777777" w:rsidR="006744F0" w:rsidRPr="006744F0" w:rsidRDefault="006744F0" w:rsidP="006744F0">
      <w:pPr>
        <w:pStyle w:val="ZUSTzmustartykuempunktem"/>
      </w:pPr>
      <w:r w:rsidRPr="006744F0">
        <w:t>2. Rada Nadzorcza Spółki Celowej:</w:t>
      </w:r>
    </w:p>
    <w:p w14:paraId="78EF6890" w14:textId="77777777" w:rsidR="006744F0" w:rsidRPr="006744F0" w:rsidRDefault="006744F0" w:rsidP="006744F0">
      <w:pPr>
        <w:pStyle w:val="ZPKTzmpktartykuempunktem"/>
      </w:pPr>
      <w:r w:rsidRPr="006744F0">
        <w:t>1)</w:t>
      </w:r>
      <w:r w:rsidRPr="006744F0">
        <w:tab/>
        <w:t>opracowuje i udziela zarządowi Spółki Celowej wytycznych dotyczących działalności Spółki Celowej w zakresie realizacji celów określonych w ustawie lub akcie założycielskim;</w:t>
      </w:r>
    </w:p>
    <w:p w14:paraId="138B668F" w14:textId="77777777" w:rsidR="006744F0" w:rsidRPr="006744F0" w:rsidRDefault="006744F0" w:rsidP="006744F0">
      <w:pPr>
        <w:pStyle w:val="ZPKTzmpktartykuempunktem"/>
      </w:pPr>
      <w:r w:rsidRPr="006744F0">
        <w:t>2)</w:t>
      </w:r>
      <w:r w:rsidRPr="006744F0">
        <w:tab/>
        <w:t>uchyla uchwały zarządu Spółki Celowej niezgodne z przepisami prawa, postanowieniami aktu założycielskiego, Programem lub Dokumentem Wdrażającym.</w:t>
      </w:r>
    </w:p>
    <w:p w14:paraId="65EA345E" w14:textId="77777777" w:rsidR="006744F0" w:rsidRPr="006744F0" w:rsidRDefault="006744F0" w:rsidP="006744F0">
      <w:pPr>
        <w:pStyle w:val="ZUSTzmustartykuempunktem"/>
      </w:pPr>
      <w:r w:rsidRPr="006744F0">
        <w:t>3. W skład Rady Nadzorczej Spółki Celowej wchodzą:</w:t>
      </w:r>
    </w:p>
    <w:p w14:paraId="64E7F1BB" w14:textId="77777777" w:rsidR="006744F0" w:rsidRPr="006744F0" w:rsidRDefault="006744F0" w:rsidP="006744F0">
      <w:pPr>
        <w:pStyle w:val="ZPKTzmpktartykuempunktem"/>
      </w:pPr>
      <w:r w:rsidRPr="006744F0">
        <w:t>1)</w:t>
      </w:r>
      <w:r w:rsidRPr="006744F0">
        <w:tab/>
        <w:t>jeden przedstawiciel Prezydenta Rzeczypospolitej Polskiej;</w:t>
      </w:r>
    </w:p>
    <w:p w14:paraId="31318F3E" w14:textId="77777777" w:rsidR="006744F0" w:rsidRPr="006744F0" w:rsidRDefault="006744F0" w:rsidP="006744F0">
      <w:pPr>
        <w:pStyle w:val="ZPKTzmpktartykuempunktem"/>
      </w:pPr>
      <w:r w:rsidRPr="006744F0">
        <w:t>2)</w:t>
      </w:r>
      <w:r w:rsidRPr="006744F0">
        <w:tab/>
        <w:t>jeden przedstawiciel ministra właściwego do spraw finansów publicznych;</w:t>
      </w:r>
    </w:p>
    <w:p w14:paraId="5550FE1C" w14:textId="77777777" w:rsidR="006744F0" w:rsidRPr="006744F0" w:rsidRDefault="006744F0" w:rsidP="006744F0">
      <w:pPr>
        <w:pStyle w:val="ZPKTzmpktartykuempunktem"/>
      </w:pPr>
      <w:r w:rsidRPr="006744F0">
        <w:t>3)</w:t>
      </w:r>
      <w:r w:rsidRPr="006744F0">
        <w:tab/>
        <w:t>jeden przedstawiciel Ministra Obrony Narodowej;</w:t>
      </w:r>
    </w:p>
    <w:p w14:paraId="1F31680B" w14:textId="77777777" w:rsidR="006744F0" w:rsidRPr="006744F0" w:rsidRDefault="006744F0" w:rsidP="006744F0">
      <w:pPr>
        <w:pStyle w:val="ZPKTzmpktartykuempunktem"/>
      </w:pPr>
      <w:r w:rsidRPr="006744F0">
        <w:t>4)</w:t>
      </w:r>
      <w:r w:rsidRPr="006744F0">
        <w:tab/>
        <w:t>jeden przedstawiciel ministra właściwego do spraw transportu;</w:t>
      </w:r>
    </w:p>
    <w:p w14:paraId="457128BD" w14:textId="77777777" w:rsidR="006744F0" w:rsidRPr="006744F0" w:rsidRDefault="006744F0" w:rsidP="006744F0">
      <w:pPr>
        <w:pStyle w:val="ZPKTzmpktartykuempunktem"/>
      </w:pPr>
      <w:r w:rsidRPr="006744F0">
        <w:t>5)</w:t>
      </w:r>
      <w:r w:rsidRPr="006744F0">
        <w:tab/>
        <w:t>jeden przedstawiciel Pełnomocnika.</w:t>
      </w:r>
    </w:p>
    <w:p w14:paraId="2134C416" w14:textId="77777777" w:rsidR="006744F0" w:rsidRPr="006744F0" w:rsidRDefault="006744F0" w:rsidP="006744F0">
      <w:pPr>
        <w:pStyle w:val="ZUSTzmustartykuempunktem"/>
      </w:pPr>
      <w:r w:rsidRPr="006744F0">
        <w:lastRenderedPageBreak/>
        <w:t>4. Członkiem Rady Nadzorczej Spółki Celowej może być osoba, która spełnia łącznie następujące warunki:</w:t>
      </w:r>
    </w:p>
    <w:p w14:paraId="00534947" w14:textId="77777777" w:rsidR="006744F0" w:rsidRPr="006744F0" w:rsidRDefault="006744F0" w:rsidP="006744F0">
      <w:pPr>
        <w:pStyle w:val="ZPKTzmpktartykuempunktem"/>
      </w:pPr>
      <w:r w:rsidRPr="006744F0">
        <w:t>1)</w:t>
      </w:r>
      <w:r w:rsidRPr="006744F0">
        <w:tab/>
        <w:t>posiada pełną zdolność do czynności prawnych;</w:t>
      </w:r>
    </w:p>
    <w:p w14:paraId="162ECEA2" w14:textId="77777777" w:rsidR="006744F0" w:rsidRPr="006744F0" w:rsidRDefault="006744F0" w:rsidP="006744F0">
      <w:pPr>
        <w:pStyle w:val="ZPKTzmpktartykuempunktem"/>
      </w:pPr>
      <w:r w:rsidRPr="006744F0">
        <w:t>2)</w:t>
      </w:r>
      <w:r w:rsidRPr="006744F0">
        <w:tab/>
        <w:t>posiada wyższe wykształcenie lub wykształcenie wyższe uzyskane za granicą uznane w Rzeczypospolitej Polskiej, na podstawie przepisów odrębnych;</w:t>
      </w:r>
    </w:p>
    <w:p w14:paraId="1CB9EC48" w14:textId="77777777" w:rsidR="006744F0" w:rsidRPr="006744F0" w:rsidRDefault="006744F0" w:rsidP="006744F0">
      <w:pPr>
        <w:pStyle w:val="ZPKTzmpktartykuempunktem"/>
      </w:pPr>
      <w:r w:rsidRPr="006744F0">
        <w:t>3)</w:t>
      </w:r>
      <w:r w:rsidRPr="006744F0">
        <w:tab/>
        <w:t>nie jest prawomocnie skazana za umyślne przestępstwo lub umyślne przestępstwo skarbowe;</w:t>
      </w:r>
    </w:p>
    <w:p w14:paraId="23AA3652" w14:textId="77777777" w:rsidR="006744F0" w:rsidRPr="006744F0" w:rsidRDefault="006744F0" w:rsidP="006744F0">
      <w:pPr>
        <w:pStyle w:val="ZPKTzmpktartykuempunktem"/>
      </w:pPr>
      <w:r w:rsidRPr="006744F0">
        <w:t>4)</w:t>
      </w:r>
      <w:r w:rsidRPr="006744F0">
        <w:tab/>
        <w:t>posiada wiedzę i co najmniej trzyletnie doświadcze</w:t>
      </w:r>
      <w:r w:rsidR="006238D0">
        <w:t>nie kierownicze lub nadzorcze w </w:t>
      </w:r>
      <w:r w:rsidRPr="006744F0">
        <w:t>zakresie prowadzenia lub finansowania inwestycji infrastrukturalnych o budżecie w wysokości co najmniej 500.000.000 zł każda;</w:t>
      </w:r>
    </w:p>
    <w:p w14:paraId="53F29B44" w14:textId="77777777" w:rsidR="006744F0" w:rsidRPr="006744F0" w:rsidRDefault="006744F0" w:rsidP="006744F0">
      <w:pPr>
        <w:pStyle w:val="ZPKTzmpktartykuempunktem"/>
      </w:pPr>
      <w:r w:rsidRPr="006744F0">
        <w:t>5)</w:t>
      </w:r>
      <w:r w:rsidRPr="006744F0">
        <w:tab/>
        <w:t>spełnia kryteria niezależności członka rady nadzorczej określone przez Komisję Europejską w załączniku II do Zalecenia Komisji z dnia 15 lutego 2005 r. dotyczącego roli dyrektorów niewykonawczych lub będących członkami rady nadzorczej spółek giełdowych i komisji rady (nadzorczej) (Dz. Urz. UE L</w:t>
      </w:r>
      <w:r w:rsidR="006238D0">
        <w:t xml:space="preserve"> 52/51 z </w:t>
      </w:r>
      <w:r w:rsidRPr="006744F0">
        <w:t>25.02.2005 r.);</w:t>
      </w:r>
    </w:p>
    <w:p w14:paraId="1D3B5161" w14:textId="77777777" w:rsidR="006744F0" w:rsidRPr="006744F0" w:rsidRDefault="006744F0" w:rsidP="006744F0">
      <w:pPr>
        <w:pStyle w:val="ZPKTzmpktartykuempunktem"/>
      </w:pPr>
      <w:r w:rsidRPr="006744F0">
        <w:t>6)</w:t>
      </w:r>
      <w:r w:rsidRPr="006744F0">
        <w:tab/>
        <w:t>spełnia wymogi określone w art. 19 ust. 5 ust</w:t>
      </w:r>
      <w:r w:rsidR="006238D0">
        <w:t>awy z dnia 16 grudnia 2016 r. o </w:t>
      </w:r>
      <w:r w:rsidRPr="006744F0">
        <w:t>zasadach zarządzania mieniem państwowym (Dz. U. z 2024 r. poz. 125, 834, 1823, 1897, 1940).</w:t>
      </w:r>
    </w:p>
    <w:p w14:paraId="07ADA945" w14:textId="77777777" w:rsidR="006744F0" w:rsidRPr="006744F0" w:rsidRDefault="006744F0" w:rsidP="006744F0">
      <w:pPr>
        <w:pStyle w:val="ZUSTzmustartykuempunktem"/>
      </w:pPr>
      <w:r w:rsidRPr="006744F0">
        <w:t>5. Członkowie Rady Nadzorczej Spółki Celowej są powoływani na wspólną, trzyletnią kadencję.</w:t>
      </w:r>
    </w:p>
    <w:p w14:paraId="2C4363EE" w14:textId="77777777" w:rsidR="006744F0" w:rsidRPr="006744F0" w:rsidRDefault="006744F0" w:rsidP="006744F0">
      <w:pPr>
        <w:pStyle w:val="ZUSTzmustartykuempunktem"/>
      </w:pPr>
      <w:r w:rsidRPr="006744F0">
        <w:t>6. Mandat członka Rady Nadzorczej Spółki Celowej wygasa z upływem kadencji Rady Nadzorczej, wskutek śmierci, złożenia rezygnacji albo odwołania z Rady Nadzorczej.</w:t>
      </w:r>
    </w:p>
    <w:p w14:paraId="305D6D37" w14:textId="77777777" w:rsidR="006744F0" w:rsidRPr="006744F0" w:rsidRDefault="006744F0" w:rsidP="006744F0">
      <w:pPr>
        <w:pStyle w:val="ZUSTzmustartykuempunktem"/>
      </w:pPr>
      <w:r w:rsidRPr="006744F0">
        <w:t>7. W przypadku wygaśnięcia mandatu członka Rady Nadzorczej S</w:t>
      </w:r>
      <w:r w:rsidR="006238D0">
        <w:t>półki Celowej w </w:t>
      </w:r>
      <w:r w:rsidRPr="006744F0">
        <w:t>trakcie trwania kadencji Rady Nadzorczej powołanie nowego członka następuje na okres do końca kadencji Rady Nadzorczej. Przepisy ust. 3 i 4 stosuje się odpowiednio.</w:t>
      </w:r>
    </w:p>
    <w:p w14:paraId="0B33A2F6" w14:textId="77777777" w:rsidR="006744F0" w:rsidRPr="006744F0" w:rsidRDefault="006744F0" w:rsidP="006744F0">
      <w:pPr>
        <w:pStyle w:val="ZUSTzmustartykuempunktem"/>
      </w:pPr>
      <w:r w:rsidRPr="006744F0">
        <w:t>8. Po upływie kadencji Rady Nadzorczej Spółki Celowej członkowie Rady Nadzorczej pełnią obowiązki do dnia powołania nowej Rady Nadzorczej.</w:t>
      </w:r>
    </w:p>
    <w:p w14:paraId="56FF71E3" w14:textId="77777777" w:rsidR="006744F0" w:rsidRPr="006744F0" w:rsidRDefault="006744F0" w:rsidP="006744F0">
      <w:pPr>
        <w:pStyle w:val="PKTpunkt"/>
      </w:pPr>
      <w:r w:rsidRPr="006744F0">
        <w:t>3)</w:t>
      </w:r>
      <w:r w:rsidRPr="006744F0">
        <w:tab/>
        <w:t>art. 24 otrzymuje brzmienie:</w:t>
      </w:r>
    </w:p>
    <w:p w14:paraId="20C0E5FC" w14:textId="77777777" w:rsidR="006744F0" w:rsidRPr="006744F0" w:rsidRDefault="006744F0" w:rsidP="006744F0">
      <w:pPr>
        <w:pStyle w:val="ZARTzmartartykuempunktem"/>
      </w:pPr>
      <w:r w:rsidRPr="006744F0">
        <w:t>„Art. 24. 1. Spółka Celowa przedkłada Pełnomocnikowi, kwartalnie, w terminie do 15 dnia miesiąca następującego po zakończeniu kwartału kalendarzowego, i każdorazowo na jego żądanie we wskazanym terminie, sprawozdanie o</w:t>
      </w:r>
      <w:r w:rsidR="006238D0">
        <w:t xml:space="preserve"> postępie realizacji Programu i </w:t>
      </w:r>
      <w:r w:rsidRPr="006744F0">
        <w:t>ryzykach związanych z wdrażaniem Programu.</w:t>
      </w:r>
    </w:p>
    <w:p w14:paraId="2343CA31" w14:textId="77777777" w:rsidR="006744F0" w:rsidRPr="006744F0" w:rsidRDefault="006744F0" w:rsidP="006744F0">
      <w:pPr>
        <w:pStyle w:val="ZARTzmartartykuempunktem"/>
      </w:pPr>
      <w:r w:rsidRPr="006744F0">
        <w:t>2. Sprawozdanie, o którym mowa w ust. 1 obejmuje w szczególności:</w:t>
      </w:r>
    </w:p>
    <w:p w14:paraId="7AB084E0" w14:textId="77777777" w:rsidR="006744F0" w:rsidRPr="006744F0" w:rsidRDefault="006744F0" w:rsidP="006744F0">
      <w:pPr>
        <w:pStyle w:val="ZARTzmartartykuempunktem"/>
      </w:pPr>
      <w:r w:rsidRPr="006744F0">
        <w:t>1)</w:t>
      </w:r>
      <w:r w:rsidRPr="006744F0">
        <w:tab/>
        <w:t>wskazanie działań, które powinny zostać podjęte w minionym okresie sprawozdawczym, oraz które powinny zostać podjęte w najbliższym okresie sprawozdawczym, w celu zapewnienia realizacji Inwestycji zgodnie z Programem;</w:t>
      </w:r>
    </w:p>
    <w:p w14:paraId="60E685BA" w14:textId="77777777" w:rsidR="006744F0" w:rsidRPr="006744F0" w:rsidRDefault="006744F0" w:rsidP="006744F0">
      <w:pPr>
        <w:pStyle w:val="ZARTzmartartykuempunktem"/>
      </w:pPr>
      <w:r w:rsidRPr="006744F0">
        <w:t>2)</w:t>
      </w:r>
      <w:r w:rsidRPr="006744F0">
        <w:tab/>
        <w:t>daty wszczęcia i terminy wynikające z ustaw dla wszelkich postępowań administracyjnych prowadzonych przez Spółkę Celową;</w:t>
      </w:r>
    </w:p>
    <w:p w14:paraId="06A51042" w14:textId="77777777" w:rsidR="006744F0" w:rsidRPr="006744F0" w:rsidRDefault="006744F0" w:rsidP="006744F0">
      <w:pPr>
        <w:pStyle w:val="ZARTzmartartykuempunktem"/>
      </w:pPr>
      <w:r w:rsidRPr="006744F0">
        <w:t>3)</w:t>
      </w:r>
      <w:r w:rsidRPr="006744F0">
        <w:tab/>
        <w:t>przewidywany harmonogram Programu, wraz z informacją o stopniu jego realizacji przedstawioną zgodnie z metodyką wartości wypracowanej pozwalającą na kontrolę postępu realizacji projektów w wymiarze zakresu, kosztu i czasu (Earned Value Management).</w:t>
      </w:r>
    </w:p>
    <w:p w14:paraId="056D65BC" w14:textId="77777777" w:rsidR="006744F0" w:rsidRPr="006744F0" w:rsidRDefault="006744F0" w:rsidP="006744F0">
      <w:pPr>
        <w:pStyle w:val="ZARTzmartartykuempunktem"/>
      </w:pPr>
      <w:r w:rsidRPr="006744F0">
        <w:t>3. Sprawozdanie podlega publikacji na stroni</w:t>
      </w:r>
      <w:r w:rsidR="006238D0">
        <w:t>e internetowej Spółki Celowej w </w:t>
      </w:r>
      <w:r w:rsidRPr="006744F0">
        <w:t>terminie przedłożenia go Pełnomocnikowi.”.</w:t>
      </w:r>
    </w:p>
    <w:p w14:paraId="50E481C9" w14:textId="61F56B8D" w:rsidR="006744F0" w:rsidRPr="006744F0" w:rsidRDefault="006744F0" w:rsidP="006744F0">
      <w:pPr>
        <w:pStyle w:val="ARTartustawynprozporzdzenia"/>
      </w:pPr>
      <w:r w:rsidRPr="006744F0">
        <w:rPr>
          <w:rStyle w:val="Ppogrubienie"/>
        </w:rPr>
        <w:t>Art. 8.</w:t>
      </w:r>
      <w:r w:rsidRPr="006744F0">
        <w:t xml:space="preserve"> Obowiązujący w dniu wejścia w życie niniejszej ustawy Program, o którym mowa w art. 2 pkt 7 ustawy z dnia 10 maja 2018 r. o Centralnym </w:t>
      </w:r>
      <w:r w:rsidR="006238D0">
        <w:t>Porcie Komunikacyjnym (Dz. U. z </w:t>
      </w:r>
      <w:r w:rsidRPr="006744F0">
        <w:t xml:space="preserve">2024 r. poz. </w:t>
      </w:r>
      <w:r w:rsidR="002D2866">
        <w:t>1747</w:t>
      </w:r>
      <w:r w:rsidRPr="006744F0">
        <w:t>) należy dostosować do wymogów okre</w:t>
      </w:r>
      <w:r w:rsidR="006238D0">
        <w:t>ślonych w niniejszej ustawie, w </w:t>
      </w:r>
      <w:r w:rsidRPr="006744F0">
        <w:t>terminie 60 dni od dnia wejścia w życie niniejszej ustawy.</w:t>
      </w:r>
    </w:p>
    <w:p w14:paraId="6953E777" w14:textId="77777777" w:rsidR="006744F0" w:rsidRPr="006744F0" w:rsidRDefault="006744F0" w:rsidP="006744F0">
      <w:pPr>
        <w:pStyle w:val="ARTartustawynprozporzdzenia"/>
      </w:pPr>
      <w:r w:rsidRPr="006744F0">
        <w:rPr>
          <w:rStyle w:val="Ppogrubienie"/>
        </w:rPr>
        <w:t>Art. 9.</w:t>
      </w:r>
      <w:r w:rsidRPr="006744F0">
        <w:t> Umowy, o których mowa w art. 5 ust. 1 niniejszej ustawy, trwające przed dniem wejścia w życie niniejszej ustawy, obowiązują do czasu upływu terminu, na który zostały zawarte albo do czasu wykonania wynikających z nich zobowiązań. Czas obowiązywania umów nie może być przedłużany.</w:t>
      </w:r>
    </w:p>
    <w:p w14:paraId="52E3AC34" w14:textId="4AE0BEBD" w:rsidR="006744F0" w:rsidRPr="006744F0" w:rsidRDefault="006744F0" w:rsidP="006744F0">
      <w:pPr>
        <w:pStyle w:val="ARTartustawynprozporzdzenia"/>
      </w:pPr>
      <w:r w:rsidRPr="006744F0">
        <w:rPr>
          <w:rStyle w:val="Ppogrubienie"/>
        </w:rPr>
        <w:t>Art. 10.</w:t>
      </w:r>
      <w:r w:rsidRPr="006744F0">
        <w:t> 1. W terminie 60 dni od dnia wejścia w życie niniejszej ustawy Pełnomocnik Rządu do spraw Centralnego Portu Komunikacyjnego dostosuje akt założycielski Spółki Celowej, o której mowa w art. 2 pkt 10 ustawy z dnia 10 maja 2018 r. o Centralnym Porcie Komunikacy</w:t>
      </w:r>
      <w:r w:rsidR="002D2866">
        <w:t>jnym (Dz. U. z 2024 r. poz. 1747</w:t>
      </w:r>
      <w:r w:rsidR="007C5483">
        <w:t>)</w:t>
      </w:r>
      <w:r w:rsidRPr="006744F0">
        <w:t xml:space="preserve"> do wymogów określonych w art. 13 ust. 2 i art. 14 ustawy, o której mowa w art. 7 w brzmieniu nadanym niniejszą ustawą.</w:t>
      </w:r>
    </w:p>
    <w:p w14:paraId="035216EB" w14:textId="77777777" w:rsidR="006744F0" w:rsidRPr="006744F0" w:rsidRDefault="006744F0" w:rsidP="006744F0">
      <w:pPr>
        <w:pStyle w:val="ARTartustawynprozporzdzenia"/>
      </w:pPr>
      <w:r w:rsidRPr="006744F0">
        <w:t>2. Zarząd i Rada Nadzorcza Spółki Celowej, o k</w:t>
      </w:r>
      <w:r w:rsidR="006238D0">
        <w:t>tórej mowa w ust. 1, działają w </w:t>
      </w:r>
      <w:r w:rsidRPr="006744F0">
        <w:t>dotychczasowym składzie do czasu powołania zarządu oraz Rady Nadzorczej tej Spółki Celowej na podstawie przepisów ustawy zmienianej w art. 7 w brzmieniu nadanym niniejszą ustawą, jednak nie dłużej niż 60 dni od dnia wejścia w życie niniejszej ustawy. W tym dniu wygasają mandaty dotychczasowych członków zarządu i Ra</w:t>
      </w:r>
      <w:r w:rsidR="006238D0">
        <w:t>dy Nadzorczej Spółki Celowej, o </w:t>
      </w:r>
      <w:r w:rsidRPr="006744F0">
        <w:t>której mowa w ust. 1.</w:t>
      </w:r>
    </w:p>
    <w:p w14:paraId="7F45E88B" w14:textId="77777777" w:rsidR="006744F0" w:rsidRPr="006744F0" w:rsidRDefault="006744F0" w:rsidP="006744F0">
      <w:pPr>
        <w:pStyle w:val="ARTartustawynprozporzdzenia"/>
      </w:pPr>
      <w:r w:rsidRPr="006744F0">
        <w:rPr>
          <w:rStyle w:val="Ppogrubienie"/>
        </w:rPr>
        <w:t>Art. 11.</w:t>
      </w:r>
      <w:r w:rsidRPr="006744F0">
        <w:t> Pierwsze sprawozdanie, o którym mowa w art. 6 niniejszej ustawy Rada Ministrów przedkłada Sejmowi za rok 2025.</w:t>
      </w:r>
    </w:p>
    <w:p w14:paraId="37F71F06" w14:textId="77777777" w:rsidR="006744F0" w:rsidRPr="006744F0" w:rsidRDefault="006744F0" w:rsidP="006744F0">
      <w:pPr>
        <w:pStyle w:val="ARTartustawynprozporzdzenia"/>
      </w:pPr>
      <w:r w:rsidRPr="006744F0">
        <w:rPr>
          <w:rStyle w:val="Ppogrubienie"/>
        </w:rPr>
        <w:t>Art. 12.</w:t>
      </w:r>
      <w:r w:rsidRPr="006744F0">
        <w:t> Ustawa wchodzi w życie po upływie 14 dni od dnia ogłoszenia.</w:t>
      </w:r>
    </w:p>
    <w:p w14:paraId="1E6E03C5" w14:textId="77777777" w:rsidR="00261A16" w:rsidRDefault="00261A16" w:rsidP="00737F6A"/>
    <w:p w14:paraId="7D936731" w14:textId="77777777" w:rsidR="009B271C" w:rsidRDefault="009B271C" w:rsidP="00737F6A"/>
    <w:p w14:paraId="1AEABFB5" w14:textId="77777777" w:rsidR="009B271C" w:rsidRDefault="009B271C" w:rsidP="00737F6A"/>
    <w:p w14:paraId="3AC954CD" w14:textId="77777777" w:rsidR="009B271C" w:rsidRDefault="009B271C" w:rsidP="00737F6A"/>
    <w:p w14:paraId="58C71257" w14:textId="77777777" w:rsidR="009B271C" w:rsidRDefault="009B271C" w:rsidP="00737F6A"/>
    <w:p w14:paraId="68177396" w14:textId="77777777" w:rsidR="009B271C" w:rsidRDefault="009B271C" w:rsidP="00737F6A"/>
    <w:p w14:paraId="66BA357B" w14:textId="77777777" w:rsidR="009B271C" w:rsidRDefault="009B271C" w:rsidP="00737F6A"/>
    <w:p w14:paraId="10A2906B" w14:textId="77777777" w:rsidR="009B271C" w:rsidRDefault="009B271C" w:rsidP="00737F6A"/>
    <w:p w14:paraId="478B1F74" w14:textId="77777777" w:rsidR="009B271C" w:rsidRDefault="009B271C" w:rsidP="00737F6A"/>
    <w:p w14:paraId="3F428307" w14:textId="77777777" w:rsidR="009B271C" w:rsidRDefault="009B271C" w:rsidP="00737F6A"/>
    <w:p w14:paraId="75A96DDE" w14:textId="77777777" w:rsidR="009B271C" w:rsidRDefault="009B271C" w:rsidP="00737F6A"/>
    <w:p w14:paraId="7FE8E50A" w14:textId="77777777" w:rsidR="009B271C" w:rsidRDefault="009B271C" w:rsidP="00737F6A"/>
    <w:p w14:paraId="24A7B987" w14:textId="77777777" w:rsidR="009B271C" w:rsidRDefault="009B271C" w:rsidP="00737F6A"/>
    <w:p w14:paraId="5185447D" w14:textId="77777777" w:rsidR="009B271C" w:rsidRDefault="009B271C" w:rsidP="00737F6A"/>
    <w:p w14:paraId="00A13E17" w14:textId="77777777" w:rsidR="009B271C" w:rsidRDefault="009B271C" w:rsidP="00737F6A"/>
    <w:p w14:paraId="44D7A131" w14:textId="77777777" w:rsidR="009B271C" w:rsidRDefault="009B271C" w:rsidP="00737F6A"/>
    <w:p w14:paraId="1F4FAE6B" w14:textId="77777777" w:rsidR="009B271C" w:rsidRDefault="009B271C" w:rsidP="00737F6A"/>
    <w:p w14:paraId="4EE3071A" w14:textId="77777777" w:rsidR="009B271C" w:rsidRDefault="009B271C" w:rsidP="00737F6A"/>
    <w:p w14:paraId="76944E2D" w14:textId="77777777" w:rsidR="009B271C" w:rsidRDefault="009B271C" w:rsidP="00737F6A"/>
    <w:p w14:paraId="32881D78" w14:textId="77777777" w:rsidR="009B271C" w:rsidRDefault="009B271C" w:rsidP="00737F6A"/>
    <w:p w14:paraId="2ADF47A8" w14:textId="77777777" w:rsidR="009B271C" w:rsidRDefault="009B271C" w:rsidP="00737F6A"/>
    <w:p w14:paraId="52CCC14F" w14:textId="77777777" w:rsidR="009B271C" w:rsidRDefault="009B271C" w:rsidP="00737F6A"/>
    <w:p w14:paraId="1420E644" w14:textId="77777777" w:rsidR="009B271C" w:rsidRDefault="009B271C" w:rsidP="00737F6A"/>
    <w:p w14:paraId="4D2E8E20" w14:textId="77777777" w:rsidR="009B271C" w:rsidRDefault="009B271C" w:rsidP="00737F6A"/>
    <w:p w14:paraId="0E0F5026" w14:textId="77777777" w:rsidR="009B271C" w:rsidRDefault="009B271C" w:rsidP="00737F6A"/>
    <w:p w14:paraId="7C827234" w14:textId="77777777" w:rsidR="009B271C" w:rsidRDefault="009B271C" w:rsidP="00737F6A"/>
    <w:p w14:paraId="33644222" w14:textId="77777777" w:rsidR="009B271C" w:rsidRDefault="009B271C" w:rsidP="00737F6A"/>
    <w:p w14:paraId="2849D4F7" w14:textId="77777777" w:rsidR="0090715D" w:rsidRDefault="0090715D" w:rsidP="0090715D">
      <w:pPr>
        <w:pStyle w:val="TEKSTZacznikido"/>
      </w:pPr>
      <w:r>
        <w:t xml:space="preserve">Załącznik </w:t>
      </w:r>
    </w:p>
    <w:p w14:paraId="337BCD91" w14:textId="77777777" w:rsidR="0090715D" w:rsidRDefault="0090715D" w:rsidP="0090715D">
      <w:pPr>
        <w:pStyle w:val="TEKSTZacznikido"/>
      </w:pPr>
      <w:r>
        <w:t>do ustawy z dnia…</w:t>
      </w:r>
    </w:p>
    <w:p w14:paraId="2F89F23E" w14:textId="77777777" w:rsidR="0090715D" w:rsidRPr="00F14309" w:rsidRDefault="00255ACE" w:rsidP="0090715D">
      <w:pPr>
        <w:pStyle w:val="TEKSTZacznikido"/>
      </w:pPr>
      <w:r>
        <w:t>(Dz. U.</w:t>
      </w:r>
      <w:r w:rsidR="0090715D">
        <w:t xml:space="preserve"> poz.  …)</w:t>
      </w:r>
    </w:p>
    <w:p w14:paraId="5A1F01B3" w14:textId="77777777" w:rsidR="00792997" w:rsidRDefault="00792997" w:rsidP="00737F6A"/>
    <w:p w14:paraId="4CD6FF40" w14:textId="77777777" w:rsidR="00D4733E" w:rsidRPr="00D4733E" w:rsidRDefault="00D4733E" w:rsidP="00D4733E">
      <w:pPr>
        <w:pStyle w:val="NIEARTTEKSTtekstnieartykuowanynppodstprawnarozplubpreambua"/>
        <w:rPr>
          <w:rStyle w:val="Ppogrubienie"/>
        </w:rPr>
      </w:pPr>
      <w:r w:rsidRPr="002A41A2">
        <w:rPr>
          <w:rStyle w:val="Ppogrubienie"/>
        </w:rPr>
        <w:t xml:space="preserve">Wykaz </w:t>
      </w:r>
      <w:r w:rsidRPr="00D4733E">
        <w:rPr>
          <w:rStyle w:val="Ppogrubienie"/>
        </w:rPr>
        <w:t xml:space="preserve">odcinków linii kolejowych objętych </w:t>
      </w:r>
    </w:p>
    <w:p w14:paraId="6F0B24CC" w14:textId="77777777" w:rsidR="00D4733E" w:rsidRPr="00D4733E" w:rsidRDefault="00D4733E" w:rsidP="00D4733E">
      <w:pPr>
        <w:pStyle w:val="NIEARTTEKSTtekstnieartykuowanynppodstprawnarozplubpreambua"/>
        <w:rPr>
          <w:rStyle w:val="Ppogrubienie"/>
        </w:rPr>
      </w:pPr>
      <w:r>
        <w:rPr>
          <w:rStyle w:val="Ppogrubienie"/>
        </w:rPr>
        <w:t xml:space="preserve">obowiązkiem realizacji </w:t>
      </w:r>
      <w:r w:rsidRPr="00D4733E">
        <w:rPr>
          <w:rStyle w:val="Ppogrubienie"/>
        </w:rPr>
        <w:t>prac projektowych i środowiskowych</w:t>
      </w:r>
    </w:p>
    <w:p w14:paraId="198F8B31" w14:textId="77777777" w:rsidR="00D4733E" w:rsidRPr="00792997" w:rsidRDefault="00D4733E" w:rsidP="00D4733E"/>
    <w:tbl>
      <w:tblPr>
        <w:tblW w:w="693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43"/>
        <w:gridCol w:w="3260"/>
        <w:gridCol w:w="1843"/>
        <w:gridCol w:w="992"/>
      </w:tblGrid>
      <w:tr w:rsidR="00D4733E" w:rsidRPr="000C67B1" w14:paraId="05E1E84F"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2DB8BA0" w14:textId="77777777" w:rsidR="00D4733E" w:rsidRPr="00D4733E" w:rsidRDefault="00D4733E" w:rsidP="00D4733E">
            <w:r w:rsidRPr="00792997">
              <w:t>Nr Linii</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B885523" w14:textId="77777777" w:rsidR="00D4733E" w:rsidRPr="00D4733E" w:rsidRDefault="00D4733E" w:rsidP="00D4733E">
            <w:r w:rsidRPr="00792997">
              <w:t>Odcinek</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836FBA7" w14:textId="77777777" w:rsidR="00D4733E" w:rsidRPr="00D4733E" w:rsidRDefault="00D4733E" w:rsidP="00D4733E">
            <w:r w:rsidRPr="00792997">
              <w:t>Charakter</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0610AA3" w14:textId="77777777" w:rsidR="00D4733E" w:rsidRPr="00D4733E" w:rsidRDefault="00D4733E" w:rsidP="00D4733E">
            <w:r w:rsidRPr="00792997">
              <w:t>Długość [km]</w:t>
            </w:r>
          </w:p>
        </w:tc>
      </w:tr>
      <w:tr w:rsidR="00D4733E" w:rsidRPr="004D7D5F" w14:paraId="582C61E6"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699D10D" w14:textId="77777777" w:rsidR="00D4733E" w:rsidRPr="00D4733E" w:rsidRDefault="00D4733E" w:rsidP="00D4733E">
            <w:r w:rsidRPr="00792997">
              <w:t>5/50.</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5F5BBF6" w14:textId="77777777" w:rsidR="00D4733E" w:rsidRPr="00D4733E" w:rsidRDefault="00D4733E" w:rsidP="00D4733E">
            <w:r w:rsidRPr="00792997">
              <w:t>CPK – Płock – Grochowalsk – Włocławek</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F3896D9" w14:textId="77777777" w:rsidR="00D4733E" w:rsidRPr="00D4733E" w:rsidRDefault="00D4733E" w:rsidP="00D4733E">
            <w:r w:rsidRPr="00792997">
              <w:t>Budowa nowej linii</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8FFCB71" w14:textId="77777777" w:rsidR="00D4733E" w:rsidRPr="00D4733E" w:rsidRDefault="00D4733E" w:rsidP="00D4733E">
            <w:r w:rsidRPr="00792997">
              <w:t>128</w:t>
            </w:r>
          </w:p>
        </w:tc>
      </w:tr>
      <w:tr w:rsidR="00D4733E" w:rsidRPr="004D7D5F" w14:paraId="10D2B186"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9B4A912" w14:textId="77777777" w:rsidR="00D4733E" w:rsidRPr="00D4733E" w:rsidRDefault="00D4733E" w:rsidP="00D4733E">
            <w:r w:rsidRPr="00792997">
              <w:t>5/242.</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2C6DC52" w14:textId="77777777" w:rsidR="00D4733E" w:rsidRPr="00D4733E" w:rsidRDefault="00D4733E" w:rsidP="00D4733E">
            <w:r w:rsidRPr="00792997">
              <w:t>Grochowalsk – Grudziądz – Warlubie</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1FF2C41" w14:textId="77777777" w:rsidR="00D4733E" w:rsidRPr="00D4733E" w:rsidRDefault="00D4733E" w:rsidP="00D4733E">
            <w:r w:rsidRPr="00792997">
              <w:t>Budowa nowej linii</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55173C2" w14:textId="77777777" w:rsidR="00D4733E" w:rsidRPr="00D4733E" w:rsidRDefault="00D4733E" w:rsidP="00D4733E">
            <w:r w:rsidRPr="00792997">
              <w:t>115</w:t>
            </w:r>
          </w:p>
        </w:tc>
      </w:tr>
      <w:tr w:rsidR="00D4733E" w:rsidRPr="004D7D5F" w14:paraId="47757385"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DF11633" w14:textId="77777777" w:rsidR="00D4733E" w:rsidRPr="00D4733E" w:rsidRDefault="00D4733E" w:rsidP="00D4733E">
            <w:r w:rsidRPr="00792997">
              <w:t>5.</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4EDAF65" w14:textId="77777777" w:rsidR="00D4733E" w:rsidRPr="00D4733E" w:rsidRDefault="00D4733E" w:rsidP="00D4733E">
            <w:r w:rsidRPr="00792997">
              <w:t>Grudziądz – Gdańsk</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D6E7BC0" w14:textId="77777777" w:rsidR="00D4733E" w:rsidRPr="00D4733E" w:rsidRDefault="00D4733E" w:rsidP="00D4733E">
            <w:r w:rsidRPr="00792997">
              <w:t>Budowa nowej linii</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28E4839" w14:textId="77777777" w:rsidR="00D4733E" w:rsidRPr="00D4733E" w:rsidRDefault="00D4733E" w:rsidP="00D4733E">
            <w:r w:rsidRPr="00792997">
              <w:t>110</w:t>
            </w:r>
          </w:p>
        </w:tc>
      </w:tr>
      <w:tr w:rsidR="00D4733E" w:rsidRPr="004D7D5F" w14:paraId="646BE19F"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FDD93B9" w14:textId="77777777" w:rsidR="00D4733E" w:rsidRPr="00D4733E" w:rsidRDefault="00D4733E" w:rsidP="00D4733E">
            <w:r w:rsidRPr="00792997">
              <w:t>18.</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2791B50" w14:textId="77777777" w:rsidR="00D4733E" w:rsidRPr="00D4733E" w:rsidRDefault="00D4733E" w:rsidP="00D4733E">
            <w:r w:rsidRPr="00792997">
              <w:t>Włocławek – Piła</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B19B6B0"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48243B3" w14:textId="77777777" w:rsidR="00D4733E" w:rsidRPr="00D4733E" w:rsidRDefault="00D4733E" w:rsidP="00D4733E">
            <w:r w:rsidRPr="00792997">
              <w:t>192</w:t>
            </w:r>
          </w:p>
        </w:tc>
      </w:tr>
      <w:tr w:rsidR="00D4733E" w:rsidRPr="004D7D5F" w14:paraId="68892148"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9BB886D" w14:textId="77777777" w:rsidR="00D4733E" w:rsidRPr="00D4733E" w:rsidRDefault="00D4733E" w:rsidP="00D4733E">
            <w:r w:rsidRPr="00792997">
              <w:t>131.</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A6D7425" w14:textId="77777777" w:rsidR="00D4733E" w:rsidRPr="00D4733E" w:rsidRDefault="00D4733E" w:rsidP="00D4733E">
            <w:r w:rsidRPr="00792997">
              <w:t>Warlubie – Tczew</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40D9245"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7B1514E" w14:textId="77777777" w:rsidR="00D4733E" w:rsidRPr="00D4733E" w:rsidRDefault="00D4733E" w:rsidP="00D4733E">
            <w:r w:rsidRPr="00792997">
              <w:t>60</w:t>
            </w:r>
          </w:p>
        </w:tc>
      </w:tr>
      <w:tr w:rsidR="00D4733E" w:rsidRPr="004D7D5F" w14:paraId="1E638E75" w14:textId="77777777" w:rsidTr="00E75F8E">
        <w:trPr>
          <w:trHeight w:val="300"/>
        </w:trPr>
        <w:tc>
          <w:tcPr>
            <w:tcW w:w="843" w:type="dxa"/>
            <w:tcBorders>
              <w:top w:val="single" w:sz="6" w:space="0" w:color="auto"/>
              <w:left w:val="single" w:sz="6" w:space="0" w:color="auto"/>
              <w:bottom w:val="nil"/>
              <w:right w:val="nil"/>
            </w:tcBorders>
            <w:tcMar>
              <w:left w:w="60" w:type="dxa"/>
              <w:right w:w="60" w:type="dxa"/>
            </w:tcMar>
            <w:vAlign w:val="bottom"/>
          </w:tcPr>
          <w:p w14:paraId="6FCEC269" w14:textId="77777777" w:rsidR="00D4733E" w:rsidRPr="00D4733E" w:rsidRDefault="00D4733E" w:rsidP="00D4733E">
            <w:r w:rsidRPr="00792997">
              <w:t>9.</w:t>
            </w:r>
          </w:p>
        </w:tc>
        <w:tc>
          <w:tcPr>
            <w:tcW w:w="3260" w:type="dxa"/>
            <w:tcBorders>
              <w:top w:val="single" w:sz="6" w:space="0" w:color="auto"/>
              <w:left w:val="single" w:sz="6" w:space="0" w:color="auto"/>
              <w:bottom w:val="nil"/>
              <w:right w:val="nil"/>
            </w:tcBorders>
            <w:tcMar>
              <w:left w:w="60" w:type="dxa"/>
              <w:right w:w="60" w:type="dxa"/>
            </w:tcMar>
            <w:vAlign w:val="bottom"/>
          </w:tcPr>
          <w:p w14:paraId="6A052EA1" w14:textId="77777777" w:rsidR="00D4733E" w:rsidRPr="00D4733E" w:rsidRDefault="00D4733E" w:rsidP="00D4733E">
            <w:r w:rsidRPr="00792997">
              <w:t>Tczew – Gdańsk</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3DAB353"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81E5303" w14:textId="77777777" w:rsidR="00D4733E" w:rsidRPr="00D4733E" w:rsidRDefault="00D4733E" w:rsidP="00D4733E">
            <w:r w:rsidRPr="00792997">
              <w:t>31</w:t>
            </w:r>
          </w:p>
        </w:tc>
      </w:tr>
      <w:tr w:rsidR="00D4733E" w:rsidRPr="004D7D5F" w14:paraId="4E03FF1C"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C5CD559" w14:textId="77777777" w:rsidR="00D4733E" w:rsidRPr="00D4733E" w:rsidRDefault="00D4733E" w:rsidP="00D4733E">
            <w:r w:rsidRPr="00792997">
              <w:t>201.</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071B609" w14:textId="77777777" w:rsidR="00D4733E" w:rsidRPr="00D4733E" w:rsidRDefault="00D4733E" w:rsidP="00D4733E">
            <w:r w:rsidRPr="00792997">
              <w:t xml:space="preserve">Maksymilianowo – Gdynia </w:t>
            </w:r>
            <w:r w:rsidRPr="00D4733E">
              <w:t>Port</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561571A"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257667F" w14:textId="77777777" w:rsidR="00D4733E" w:rsidRPr="00D4733E" w:rsidRDefault="00D4733E" w:rsidP="00D4733E">
            <w:r w:rsidRPr="00792997">
              <w:t>173</w:t>
            </w:r>
          </w:p>
        </w:tc>
      </w:tr>
      <w:tr w:rsidR="00D4733E" w:rsidRPr="004D7D5F" w14:paraId="31DF424B"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A5EC15F" w14:textId="77777777" w:rsidR="00D4733E" w:rsidRPr="00D4733E" w:rsidRDefault="00D4733E" w:rsidP="00D4733E">
            <w:r w:rsidRPr="00792997">
              <w:t>203.</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02D1813" w14:textId="77777777" w:rsidR="00D4733E" w:rsidRPr="00D4733E" w:rsidRDefault="00D4733E" w:rsidP="00D4733E">
            <w:r w:rsidRPr="00792997">
              <w:t>Tczew – Łąg</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D018472"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E42C07D" w14:textId="77777777" w:rsidR="00D4733E" w:rsidRPr="00D4733E" w:rsidRDefault="00D4733E" w:rsidP="00D4733E">
            <w:r w:rsidRPr="00792997">
              <w:t>60</w:t>
            </w:r>
          </w:p>
        </w:tc>
      </w:tr>
      <w:tr w:rsidR="00D4733E" w:rsidRPr="004D7D5F" w14:paraId="3028C1ED"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CFF0AA4" w14:textId="77777777" w:rsidR="00D4733E" w:rsidRPr="00D4733E" w:rsidRDefault="00D4733E" w:rsidP="00D4733E">
            <w:r w:rsidRPr="00792997">
              <w:t>202.</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F4815C9" w14:textId="77777777" w:rsidR="00D4733E" w:rsidRPr="00D4733E" w:rsidRDefault="00D4733E" w:rsidP="00D4733E">
            <w:r w:rsidRPr="00792997">
              <w:t>Gdańsk – Słupsk</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B78A28D"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E00CF97" w14:textId="77777777" w:rsidR="00D4733E" w:rsidRPr="00D4733E" w:rsidRDefault="00D4733E" w:rsidP="00D4733E">
            <w:r w:rsidRPr="00792997">
              <w:t>131</w:t>
            </w:r>
          </w:p>
        </w:tc>
      </w:tr>
      <w:tr w:rsidR="00D4733E" w:rsidRPr="004D7D5F" w14:paraId="760AE30C"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6A4747F" w14:textId="77777777" w:rsidR="00D4733E" w:rsidRPr="00D4733E" w:rsidRDefault="00D4733E" w:rsidP="00D4733E">
            <w:r w:rsidRPr="00792997">
              <w:t>202.</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E15E5FC" w14:textId="77777777" w:rsidR="00D4733E" w:rsidRPr="00D4733E" w:rsidRDefault="00D4733E" w:rsidP="00D4733E">
            <w:r w:rsidRPr="00792997">
              <w:t>Koszalin – Białogard</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924B0B6"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F9C30DA" w14:textId="77777777" w:rsidR="00D4733E" w:rsidRPr="00D4733E" w:rsidRDefault="00D4733E" w:rsidP="00D4733E">
            <w:r w:rsidRPr="00792997">
              <w:t>22</w:t>
            </w:r>
          </w:p>
        </w:tc>
      </w:tr>
      <w:tr w:rsidR="00D4733E" w:rsidRPr="004D7D5F" w14:paraId="2D4B5146"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AB54AFB" w14:textId="77777777" w:rsidR="00D4733E" w:rsidRPr="00D4733E" w:rsidRDefault="00D4733E" w:rsidP="00D4733E">
            <w:r w:rsidRPr="00792997">
              <w:t>405.</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80A5055" w14:textId="77777777" w:rsidR="00D4733E" w:rsidRPr="00D4733E" w:rsidRDefault="00D4733E" w:rsidP="00D4733E">
            <w:r w:rsidRPr="00792997">
              <w:t>Piła – Szczecinek</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EB89BDA"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B3FE545" w14:textId="77777777" w:rsidR="00D4733E" w:rsidRPr="00D4733E" w:rsidRDefault="00D4733E" w:rsidP="00D4733E">
            <w:r w:rsidRPr="00792997">
              <w:t>71</w:t>
            </w:r>
          </w:p>
        </w:tc>
      </w:tr>
      <w:tr w:rsidR="00D4733E" w:rsidRPr="004D7D5F" w14:paraId="530E01F1"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D79AFAA" w14:textId="77777777" w:rsidR="00D4733E" w:rsidRPr="00D4733E" w:rsidRDefault="00D4733E" w:rsidP="00D4733E">
            <w:r w:rsidRPr="00792997">
              <w:t>404.</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054E04F" w14:textId="77777777" w:rsidR="00D4733E" w:rsidRPr="00D4733E" w:rsidRDefault="00D4733E" w:rsidP="00D4733E">
            <w:r w:rsidRPr="00792997">
              <w:t>Szczecinek – Kołobrzeg</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32DD81E"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0C8D131" w14:textId="77777777" w:rsidR="00D4733E" w:rsidRPr="00D4733E" w:rsidRDefault="00D4733E" w:rsidP="00D4733E">
            <w:r w:rsidRPr="00792997">
              <w:t>99</w:t>
            </w:r>
          </w:p>
        </w:tc>
      </w:tr>
      <w:tr w:rsidR="00D4733E" w:rsidRPr="004D7D5F" w14:paraId="4668A9AA"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B6D5CC8" w14:textId="77777777" w:rsidR="00D4733E" w:rsidRPr="00D4733E" w:rsidRDefault="00D4733E" w:rsidP="00D4733E">
            <w:r w:rsidRPr="00792997">
              <w:t>400.</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D8D4385" w14:textId="77777777" w:rsidR="00D4733E" w:rsidRPr="00D4733E" w:rsidRDefault="00D4733E" w:rsidP="00D4733E">
            <w:r w:rsidRPr="00792997">
              <w:t>Nakło n.</w:t>
            </w:r>
            <w:r w:rsidRPr="00D4733E">
              <w:t xml:space="preserve"> Notecią – Złotów – Okonek</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F63F724" w14:textId="77777777" w:rsidR="00D4733E" w:rsidRPr="00D4733E" w:rsidRDefault="00D4733E" w:rsidP="00D4733E">
            <w:r w:rsidRPr="00792997">
              <w:t>Budowa nowej linii</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90D1844" w14:textId="77777777" w:rsidR="00D4733E" w:rsidRPr="00D4733E" w:rsidRDefault="00D4733E" w:rsidP="00D4733E">
            <w:r w:rsidRPr="00792997">
              <w:t>71</w:t>
            </w:r>
          </w:p>
        </w:tc>
      </w:tr>
      <w:tr w:rsidR="00D4733E" w:rsidRPr="004D7D5F" w14:paraId="1C115EC1" w14:textId="77777777" w:rsidTr="00E75F8E">
        <w:trPr>
          <w:trHeight w:val="300"/>
        </w:trPr>
        <w:tc>
          <w:tcPr>
            <w:tcW w:w="843" w:type="dxa"/>
            <w:tcBorders>
              <w:top w:val="single" w:sz="6" w:space="0" w:color="auto"/>
              <w:left w:val="single" w:sz="6" w:space="0" w:color="auto"/>
              <w:bottom w:val="nil"/>
              <w:right w:val="nil"/>
            </w:tcBorders>
            <w:tcMar>
              <w:left w:w="60" w:type="dxa"/>
              <w:right w:w="60" w:type="dxa"/>
            </w:tcMar>
            <w:vAlign w:val="bottom"/>
          </w:tcPr>
          <w:p w14:paraId="3841CB1B" w14:textId="77777777" w:rsidR="00D4733E" w:rsidRPr="00D4733E" w:rsidRDefault="00D4733E" w:rsidP="00D4733E">
            <w:r w:rsidRPr="00792997">
              <w:t>9.</w:t>
            </w:r>
          </w:p>
        </w:tc>
        <w:tc>
          <w:tcPr>
            <w:tcW w:w="3260" w:type="dxa"/>
            <w:tcBorders>
              <w:top w:val="single" w:sz="6" w:space="0" w:color="auto"/>
              <w:left w:val="single" w:sz="6" w:space="0" w:color="auto"/>
              <w:bottom w:val="nil"/>
              <w:right w:val="single" w:sz="6" w:space="0" w:color="auto"/>
            </w:tcBorders>
            <w:tcMar>
              <w:left w:w="60" w:type="dxa"/>
              <w:right w:w="60" w:type="dxa"/>
            </w:tcMar>
            <w:vAlign w:val="bottom"/>
          </w:tcPr>
          <w:p w14:paraId="4F19974F" w14:textId="77777777" w:rsidR="00D4733E" w:rsidRPr="00D4733E" w:rsidRDefault="00D4733E" w:rsidP="00D4733E">
            <w:r w:rsidRPr="00792997">
              <w:t>Warszawa – Choszczówka</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3CE9D00" w14:textId="77777777" w:rsidR="00D4733E" w:rsidRPr="00D4733E" w:rsidRDefault="00D4733E" w:rsidP="00D4733E">
            <w:r w:rsidRPr="00792997">
              <w:t>Modernizacja</w:t>
            </w:r>
          </w:p>
        </w:tc>
        <w:tc>
          <w:tcPr>
            <w:tcW w:w="992" w:type="dxa"/>
            <w:tcBorders>
              <w:top w:val="single" w:sz="6" w:space="0" w:color="auto"/>
              <w:left w:val="single" w:sz="6" w:space="0" w:color="auto"/>
              <w:bottom w:val="nil"/>
              <w:right w:val="single" w:sz="6" w:space="0" w:color="auto"/>
            </w:tcBorders>
            <w:tcMar>
              <w:left w:w="60" w:type="dxa"/>
              <w:right w:w="60" w:type="dxa"/>
            </w:tcMar>
            <w:vAlign w:val="bottom"/>
          </w:tcPr>
          <w:p w14:paraId="4869C0AC" w14:textId="77777777" w:rsidR="00D4733E" w:rsidRPr="00D4733E" w:rsidRDefault="00D4733E" w:rsidP="00D4733E">
            <w:r w:rsidRPr="00792997">
              <w:t>15,5</w:t>
            </w:r>
          </w:p>
        </w:tc>
      </w:tr>
      <w:tr w:rsidR="00D4733E" w:rsidRPr="004D7D5F" w14:paraId="373598F6"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16CC48A" w14:textId="77777777" w:rsidR="00D4733E" w:rsidRPr="00D4733E" w:rsidRDefault="00D4733E" w:rsidP="00D4733E">
            <w:r w:rsidRPr="00792997">
              <w:t>9.(s)</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4BCC557" w14:textId="77777777" w:rsidR="00D4733E" w:rsidRPr="00D4733E" w:rsidRDefault="00D4733E" w:rsidP="00D4733E">
            <w:r w:rsidRPr="00792997">
              <w:t>Choszczówka – Nasielsk</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8EB60F6" w14:textId="77777777" w:rsidR="00D4733E" w:rsidRPr="00D4733E" w:rsidRDefault="00D4733E" w:rsidP="00D4733E">
            <w:r w:rsidRPr="00792997">
              <w:t>Budowa nowej linii- skrótu istniejącej linii</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8F3ACB5" w14:textId="77777777" w:rsidR="00D4733E" w:rsidRPr="00D4733E" w:rsidRDefault="00D4733E" w:rsidP="00D4733E">
            <w:r w:rsidRPr="00792997">
              <w:t>30</w:t>
            </w:r>
          </w:p>
        </w:tc>
      </w:tr>
      <w:tr w:rsidR="00D4733E" w:rsidRPr="004D7D5F" w14:paraId="44B1A5EF"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E39DCED" w14:textId="77777777" w:rsidR="00D4733E" w:rsidRPr="00792997" w:rsidRDefault="00D4733E" w:rsidP="00E75F8E">
            <w:r>
              <w:t>nn</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CDD357C" w14:textId="77777777" w:rsidR="00D4733E" w:rsidRPr="00792997" w:rsidRDefault="00D4733E" w:rsidP="00E75F8E">
            <w:r w:rsidRPr="001506F9">
              <w:t>Łącznica Warszawa Wsch. – Warszawa Zacisze Wilno</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D59912A" w14:textId="77777777" w:rsidR="00D4733E" w:rsidRPr="00792997" w:rsidRDefault="00D4733E" w:rsidP="00E75F8E">
            <w:r w:rsidRPr="001506F9">
              <w:t>Budowa nowej linii</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022DE29" w14:textId="77777777" w:rsidR="00D4733E" w:rsidRPr="00792997" w:rsidRDefault="00D4733E" w:rsidP="00E75F8E">
            <w:r w:rsidRPr="001506F9">
              <w:t>4</w:t>
            </w:r>
          </w:p>
        </w:tc>
      </w:tr>
      <w:tr w:rsidR="00D4733E" w:rsidRPr="004D7D5F" w14:paraId="133E1F73"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E378FE6" w14:textId="77777777" w:rsidR="00D4733E" w:rsidRPr="00D4733E" w:rsidRDefault="00D4733E" w:rsidP="00D4733E">
            <w:r w:rsidRPr="00792997">
              <w:t>21.</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4984EBB" w14:textId="77777777" w:rsidR="00D4733E" w:rsidRPr="00D4733E" w:rsidRDefault="00D4733E" w:rsidP="00D4733E">
            <w:r w:rsidRPr="00792997">
              <w:t xml:space="preserve">Warszawa Zacisze Wilno </w:t>
            </w:r>
            <w:r w:rsidRPr="00D4733E">
              <w:t>– Zielonka</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2115697"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E33C5F5" w14:textId="77777777" w:rsidR="00D4733E" w:rsidRPr="00D4733E" w:rsidRDefault="00D4733E" w:rsidP="00D4733E">
            <w:r w:rsidRPr="00792997">
              <w:t>7</w:t>
            </w:r>
          </w:p>
        </w:tc>
      </w:tr>
      <w:tr w:rsidR="00D4733E" w:rsidRPr="004D7D5F" w14:paraId="1AC38CF8"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1493147" w14:textId="77777777" w:rsidR="00D4733E" w:rsidRPr="00D4733E" w:rsidRDefault="00D4733E" w:rsidP="00D4733E">
            <w:r w:rsidRPr="00792997">
              <w:t>6.</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FF45AF6" w14:textId="77777777" w:rsidR="00D4733E" w:rsidRPr="00D4733E" w:rsidRDefault="00D4733E" w:rsidP="00D4733E">
            <w:r w:rsidRPr="00792997">
              <w:t>Zielonka – Kuźnica Białostocka – granica państwa</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C529E54"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890EC3B" w14:textId="77777777" w:rsidR="00D4733E" w:rsidRPr="00D4733E" w:rsidRDefault="00D4733E" w:rsidP="00D4733E">
            <w:r w:rsidRPr="00792997">
              <w:t>224</w:t>
            </w:r>
          </w:p>
        </w:tc>
      </w:tr>
      <w:tr w:rsidR="00D4733E" w:rsidRPr="004D7D5F" w14:paraId="5514143C"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B03D165" w14:textId="77777777" w:rsidR="00D4733E" w:rsidRPr="00D4733E" w:rsidRDefault="00D4733E" w:rsidP="00D4733E">
            <w:r w:rsidRPr="00792997">
              <w:t>29.</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C84FE96" w14:textId="77777777" w:rsidR="00D4733E" w:rsidRPr="00D4733E" w:rsidRDefault="00D4733E" w:rsidP="00D4733E">
            <w:r w:rsidRPr="00792997">
              <w:t>Tłuszcz – Ostrołęka</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52793BD"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A5B8BEE" w14:textId="77777777" w:rsidR="00D4733E" w:rsidRPr="00D4733E" w:rsidRDefault="00D4733E" w:rsidP="00D4733E">
            <w:r w:rsidRPr="00792997">
              <w:t>74</w:t>
            </w:r>
          </w:p>
        </w:tc>
      </w:tr>
      <w:tr w:rsidR="00D4733E" w:rsidRPr="004D7D5F" w14:paraId="77330A08"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E59156A" w14:textId="77777777" w:rsidR="00D4733E" w:rsidRPr="00D4733E" w:rsidRDefault="00D4733E" w:rsidP="00D4733E">
            <w:r w:rsidRPr="00792997">
              <w:t>29.</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A97789F" w14:textId="77777777" w:rsidR="00D4733E" w:rsidRPr="00D4733E" w:rsidRDefault="00D4733E" w:rsidP="00D4733E">
            <w:r w:rsidRPr="00792997">
              <w:t>Ostrołęka – Łomża – Giżycko</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FFB4201" w14:textId="77777777" w:rsidR="00D4733E" w:rsidRPr="00D4733E" w:rsidRDefault="00D4733E" w:rsidP="00D4733E">
            <w:r w:rsidRPr="00792997">
              <w:t>Budowa nowej linii</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51FFCD3" w14:textId="77777777" w:rsidR="00D4733E" w:rsidRPr="00D4733E" w:rsidRDefault="00D4733E" w:rsidP="00D4733E">
            <w:r w:rsidRPr="00792997">
              <w:t>130</w:t>
            </w:r>
          </w:p>
        </w:tc>
      </w:tr>
      <w:tr w:rsidR="00D4733E" w:rsidRPr="004D7D5F" w14:paraId="165D66A0"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C14DDDF" w14:textId="77777777" w:rsidR="00D4733E" w:rsidRPr="00D4733E" w:rsidRDefault="00D4733E" w:rsidP="00D4733E">
            <w:r w:rsidRPr="00792997">
              <w:t>38.</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790B5B6" w14:textId="77777777" w:rsidR="00D4733E" w:rsidRPr="00D4733E" w:rsidRDefault="00D4733E" w:rsidP="00D4733E">
            <w:r w:rsidRPr="00792997">
              <w:t>Białystok – Ełk</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597F125"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10ACCBF" w14:textId="77777777" w:rsidR="00D4733E" w:rsidRPr="00D4733E" w:rsidRDefault="00D4733E" w:rsidP="00D4733E">
            <w:r w:rsidRPr="00792997">
              <w:t>100</w:t>
            </w:r>
          </w:p>
        </w:tc>
      </w:tr>
      <w:tr w:rsidR="00D4733E" w:rsidRPr="004D7D5F" w14:paraId="44CD3B05"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836B430" w14:textId="77777777" w:rsidR="00D4733E" w:rsidRPr="00D4733E" w:rsidRDefault="00D4733E" w:rsidP="00D4733E">
            <w:r>
              <w:t>nn</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5AB4CED" w14:textId="77777777" w:rsidR="00D4733E" w:rsidRPr="00D4733E" w:rsidRDefault="00D4733E" w:rsidP="00D4733E">
            <w:r w:rsidRPr="00792997">
              <w:t xml:space="preserve">Ełk – Trakiszki </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7B2D3C3" w14:textId="77777777" w:rsidR="00D4733E" w:rsidRPr="00D4733E" w:rsidRDefault="00D4733E" w:rsidP="00D4733E">
            <w:r w:rsidRPr="00792997">
              <w:t>Budowa nowej linii</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272AFC0" w14:textId="77777777" w:rsidR="00D4733E" w:rsidRPr="00D4733E" w:rsidRDefault="00D4733E" w:rsidP="00D4733E">
            <w:r w:rsidRPr="00792997">
              <w:t>76</w:t>
            </w:r>
          </w:p>
        </w:tc>
      </w:tr>
      <w:tr w:rsidR="00D4733E" w:rsidRPr="004D7D5F" w14:paraId="47BCB58D"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05DFDF2" w14:textId="77777777" w:rsidR="00D4733E" w:rsidRPr="00D4733E" w:rsidRDefault="00D4733E" w:rsidP="00D4733E">
            <w:r w:rsidRPr="00792997">
              <w:t>7.</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0E3D933" w14:textId="77777777" w:rsidR="00D4733E" w:rsidRPr="00D4733E" w:rsidRDefault="00D4733E" w:rsidP="00D4733E">
            <w:r w:rsidRPr="00792997">
              <w:t>Warszawa Wschodnia Osobowa – Dorohusk – granica państwa</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0103A6A"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99DD9E3" w14:textId="77777777" w:rsidR="00D4733E" w:rsidRPr="00D4733E" w:rsidRDefault="00D4733E" w:rsidP="00D4733E">
            <w:r w:rsidRPr="00792997">
              <w:t>267</w:t>
            </w:r>
          </w:p>
        </w:tc>
      </w:tr>
      <w:tr w:rsidR="00D4733E" w:rsidRPr="004D7D5F" w14:paraId="03BB137D"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D8DC521" w14:textId="77777777" w:rsidR="00D4733E" w:rsidRPr="00D4733E" w:rsidRDefault="00D4733E" w:rsidP="00D4733E">
            <w:r w:rsidRPr="00792997">
              <w:t>54.</w:t>
            </w:r>
          </w:p>
        </w:tc>
        <w:tc>
          <w:tcPr>
            <w:tcW w:w="3260" w:type="dxa"/>
            <w:tcBorders>
              <w:top w:val="single" w:sz="6" w:space="0" w:color="auto"/>
              <w:left w:val="single" w:sz="6" w:space="0" w:color="auto"/>
              <w:bottom w:val="nil"/>
              <w:right w:val="single" w:sz="6" w:space="0" w:color="auto"/>
            </w:tcBorders>
            <w:tcMar>
              <w:left w:w="60" w:type="dxa"/>
              <w:right w:w="60" w:type="dxa"/>
            </w:tcMar>
            <w:vAlign w:val="bottom"/>
          </w:tcPr>
          <w:p w14:paraId="32D053D6" w14:textId="77777777" w:rsidR="00D4733E" w:rsidRPr="00D4733E" w:rsidRDefault="00D4733E" w:rsidP="00D4733E">
            <w:r w:rsidRPr="00792997">
              <w:t>Trawniki – Krasnystaw Miasto</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D2D1234" w14:textId="77777777" w:rsidR="00D4733E" w:rsidRPr="00D4733E" w:rsidRDefault="00D4733E" w:rsidP="00D4733E">
            <w:r w:rsidRPr="00792997">
              <w:t>Budowa nowej linii</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5205073" w14:textId="77777777" w:rsidR="00D4733E" w:rsidRPr="00D4733E" w:rsidRDefault="00D4733E" w:rsidP="00D4733E">
            <w:r w:rsidRPr="00792997">
              <w:t>21</w:t>
            </w:r>
          </w:p>
        </w:tc>
      </w:tr>
      <w:tr w:rsidR="00D4733E" w:rsidRPr="004D7D5F" w14:paraId="7FF690EA"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AE74F5E" w14:textId="77777777" w:rsidR="00D4733E" w:rsidRPr="00D4733E" w:rsidRDefault="00D4733E" w:rsidP="00D4733E">
            <w:r w:rsidRPr="00792997">
              <w:t>69.</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6DCA263" w14:textId="77777777" w:rsidR="00D4733E" w:rsidRPr="00D4733E" w:rsidRDefault="00D4733E" w:rsidP="00D4733E">
            <w:r w:rsidRPr="00792997">
              <w:t>Krasnystaw Miasto – Wólka Orłowska</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94E969D"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6F4FF66" w14:textId="77777777" w:rsidR="00D4733E" w:rsidRPr="00D4733E" w:rsidRDefault="00D4733E" w:rsidP="00D4733E">
            <w:r w:rsidRPr="00792997">
              <w:t>7</w:t>
            </w:r>
          </w:p>
        </w:tc>
      </w:tr>
      <w:tr w:rsidR="00D4733E" w:rsidRPr="004D7D5F" w14:paraId="45ACDF5C"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1226F4C" w14:textId="77777777" w:rsidR="00D4733E" w:rsidRPr="00D4733E" w:rsidRDefault="00D4733E" w:rsidP="00D4733E">
            <w:r w:rsidRPr="00792997">
              <w:t>56.</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1148E0E" w14:textId="77777777" w:rsidR="00D4733E" w:rsidRPr="00D4733E" w:rsidRDefault="00D4733E" w:rsidP="00D4733E">
            <w:r w:rsidRPr="00792997">
              <w:t>Wólka Orłowska – Zamość</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C9A6196" w14:textId="77777777" w:rsidR="00D4733E" w:rsidRPr="00D4733E" w:rsidRDefault="00D4733E" w:rsidP="00D4733E">
            <w:r w:rsidRPr="00792997">
              <w:t xml:space="preserve">Budowa nowej </w:t>
            </w:r>
            <w:r w:rsidRPr="00D4733E">
              <w:t>linii</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99EA1AB" w14:textId="77777777" w:rsidR="00D4733E" w:rsidRPr="00D4733E" w:rsidRDefault="00D4733E" w:rsidP="00D4733E">
            <w:r w:rsidRPr="00792997">
              <w:t>25</w:t>
            </w:r>
          </w:p>
        </w:tc>
      </w:tr>
      <w:tr w:rsidR="00D4733E" w:rsidRPr="004D7D5F" w14:paraId="1F38EB38"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40195C8" w14:textId="77777777" w:rsidR="00D4733E" w:rsidRPr="00D4733E" w:rsidRDefault="00D4733E" w:rsidP="00D4733E">
            <w:r w:rsidRPr="00792997">
              <w:t>56.</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BDBC677" w14:textId="77777777" w:rsidR="00D4733E" w:rsidRPr="00D4733E" w:rsidRDefault="00D4733E" w:rsidP="00D4733E">
            <w:r w:rsidRPr="00792997">
              <w:t xml:space="preserve">Zamość – Tomaszów lubelski – Bełżec </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9598E88" w14:textId="77777777" w:rsidR="00D4733E" w:rsidRPr="00D4733E" w:rsidRDefault="00D4733E" w:rsidP="00D4733E">
            <w:r w:rsidRPr="00792997">
              <w:t>Budowa nowej linii</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BBDE64C" w14:textId="77777777" w:rsidR="00D4733E" w:rsidRPr="00D4733E" w:rsidRDefault="00D4733E" w:rsidP="00D4733E">
            <w:r w:rsidRPr="00792997">
              <w:t>43</w:t>
            </w:r>
          </w:p>
        </w:tc>
      </w:tr>
      <w:tr w:rsidR="00D4733E" w:rsidRPr="004D7D5F" w14:paraId="5EE192CC"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5A4959D" w14:textId="77777777" w:rsidR="00D4733E" w:rsidRPr="00D4733E" w:rsidRDefault="00D4733E" w:rsidP="00D4733E">
            <w:r w:rsidRPr="00792997">
              <w:t>69.</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60C92CE" w14:textId="77777777" w:rsidR="00D4733E" w:rsidRPr="00D4733E" w:rsidRDefault="00D4733E" w:rsidP="00D4733E">
            <w:r w:rsidRPr="00792997">
              <w:t xml:space="preserve">Bełżec – Hrebenne </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B68E2D1"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1D26109" w14:textId="77777777" w:rsidR="00D4733E" w:rsidRPr="00D4733E" w:rsidRDefault="00D4733E" w:rsidP="00D4733E">
            <w:r w:rsidRPr="00792997">
              <w:t>9</w:t>
            </w:r>
          </w:p>
        </w:tc>
      </w:tr>
      <w:tr w:rsidR="00D4733E" w:rsidRPr="004D7D5F" w14:paraId="026050C3"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EC997F8" w14:textId="77777777" w:rsidR="00D4733E" w:rsidRPr="00D4733E" w:rsidRDefault="00D4733E" w:rsidP="00D4733E">
            <w:r w:rsidRPr="00792997">
              <w:t>88.</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6D7C23C" w14:textId="77777777" w:rsidR="00D4733E" w:rsidRPr="00D4733E" w:rsidRDefault="00D4733E" w:rsidP="00D4733E">
            <w:r w:rsidRPr="00792997">
              <w:t xml:space="preserve">CPK – Warka </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E435A06" w14:textId="77777777" w:rsidR="00D4733E" w:rsidRPr="00D4733E" w:rsidRDefault="00D4733E" w:rsidP="00D4733E">
            <w:r w:rsidRPr="00792997">
              <w:t>Budowa nowej linii</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8E19D66" w14:textId="77777777" w:rsidR="00D4733E" w:rsidRPr="00D4733E" w:rsidRDefault="00D4733E" w:rsidP="00D4733E">
            <w:r w:rsidRPr="00792997">
              <w:t>66</w:t>
            </w:r>
          </w:p>
        </w:tc>
      </w:tr>
      <w:tr w:rsidR="00D4733E" w:rsidRPr="004D7D5F" w14:paraId="14E12DC8"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407024F" w14:textId="77777777" w:rsidR="00D4733E" w:rsidRPr="00D4733E" w:rsidRDefault="00D4733E" w:rsidP="00D4733E">
            <w:r w:rsidRPr="00792997">
              <w:t>84.</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BF076C1" w14:textId="77777777" w:rsidR="00D4733E" w:rsidRPr="00D4733E" w:rsidRDefault="00D4733E" w:rsidP="00D4733E">
            <w:r w:rsidRPr="00792997">
              <w:t xml:space="preserve">Radom Zachodni – Kunów </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308A3BB" w14:textId="77777777" w:rsidR="00D4733E" w:rsidRPr="00D4733E" w:rsidRDefault="00D4733E" w:rsidP="00D4733E">
            <w:r w:rsidRPr="00792997">
              <w:t>Budowa nowej linii</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D7DF9B3" w14:textId="77777777" w:rsidR="00D4733E" w:rsidRPr="00D4733E" w:rsidRDefault="00D4733E" w:rsidP="00D4733E">
            <w:r w:rsidRPr="00792997">
              <w:t>52</w:t>
            </w:r>
          </w:p>
        </w:tc>
      </w:tr>
      <w:tr w:rsidR="00D4733E" w:rsidRPr="004D7D5F" w14:paraId="6E509463"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DA61EE9" w14:textId="77777777" w:rsidR="00D4733E" w:rsidRPr="00D4733E" w:rsidRDefault="00D4733E" w:rsidP="00D4733E">
            <w:r w:rsidRPr="00792997">
              <w:t>25.</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8FC8E8A" w14:textId="77777777" w:rsidR="00D4733E" w:rsidRPr="00D4733E" w:rsidRDefault="00D4733E" w:rsidP="00D4733E">
            <w:r w:rsidRPr="00792997">
              <w:t>Kunów – Stary Grabów</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BF4F8F5"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FFFAB04" w14:textId="77777777" w:rsidR="00D4733E" w:rsidRPr="00D4733E" w:rsidRDefault="00D4733E" w:rsidP="00D4733E">
            <w:r w:rsidRPr="00792997">
              <w:t>41</w:t>
            </w:r>
          </w:p>
        </w:tc>
      </w:tr>
      <w:tr w:rsidR="00D4733E" w:rsidRPr="004D7D5F" w14:paraId="15246A3A"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459954D" w14:textId="77777777" w:rsidR="00D4733E" w:rsidRPr="00D4733E" w:rsidRDefault="00D4733E" w:rsidP="00D4733E">
            <w:r w:rsidRPr="00792997">
              <w:t>80.</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BC15DDA" w14:textId="77777777" w:rsidR="00D4733E" w:rsidRPr="00D4733E" w:rsidRDefault="00D4733E" w:rsidP="00D4733E">
            <w:r w:rsidRPr="00792997">
              <w:t xml:space="preserve">Stary </w:t>
            </w:r>
            <w:r w:rsidRPr="00D4733E">
              <w:t>Grabów – Zbydniów</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43A347B" w14:textId="77777777" w:rsidR="00D4733E" w:rsidRPr="00D4733E" w:rsidRDefault="00D4733E" w:rsidP="00D4733E">
            <w:r w:rsidRPr="00792997">
              <w:t>Budowa nowej linii- skrótu istniejącej linii</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7FC4D0B" w14:textId="77777777" w:rsidR="00D4733E" w:rsidRPr="00D4733E" w:rsidRDefault="00D4733E" w:rsidP="00D4733E">
            <w:r w:rsidRPr="00792997">
              <w:t>20</w:t>
            </w:r>
          </w:p>
        </w:tc>
      </w:tr>
      <w:tr w:rsidR="00D4733E" w:rsidRPr="004D7D5F" w14:paraId="0A6C045F"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10BF4A2" w14:textId="77777777" w:rsidR="00D4733E" w:rsidRPr="00D4733E" w:rsidRDefault="00D4733E" w:rsidP="00D4733E">
            <w:r w:rsidRPr="00792997">
              <w:t>74.</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2B4C238" w14:textId="77777777" w:rsidR="00D4733E" w:rsidRPr="00D4733E" w:rsidRDefault="00D4733E" w:rsidP="00D4733E">
            <w:r w:rsidRPr="00792997">
              <w:t>Zbydniów – Stalowa Wola</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B8BB03D"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8F50275" w14:textId="77777777" w:rsidR="00D4733E" w:rsidRPr="00D4733E" w:rsidRDefault="00D4733E" w:rsidP="00D4733E">
            <w:r w:rsidRPr="00792997">
              <w:t>9</w:t>
            </w:r>
          </w:p>
        </w:tc>
      </w:tr>
      <w:tr w:rsidR="00D4733E" w:rsidRPr="004D7D5F" w14:paraId="72859A4D"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CF05706" w14:textId="77777777" w:rsidR="00D4733E" w:rsidRPr="00D4733E" w:rsidRDefault="00D4733E" w:rsidP="00D4733E">
            <w:r w:rsidRPr="00792997">
              <w:t>68.</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B4768F4" w14:textId="77777777" w:rsidR="00D4733E" w:rsidRPr="00D4733E" w:rsidRDefault="00D4733E" w:rsidP="00D4733E">
            <w:r w:rsidRPr="00792997">
              <w:t xml:space="preserve">Stalowa Wola Rozwadów – Łętownia </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D924882"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FF48455" w14:textId="77777777" w:rsidR="00D4733E" w:rsidRPr="00D4733E" w:rsidRDefault="00D4733E" w:rsidP="00D4733E">
            <w:r w:rsidRPr="00792997">
              <w:t>32</w:t>
            </w:r>
          </w:p>
        </w:tc>
      </w:tr>
      <w:tr w:rsidR="00D4733E" w:rsidRPr="004D7D5F" w14:paraId="4F9B7E4B"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A7D6B9F" w14:textId="77777777" w:rsidR="00D4733E" w:rsidRPr="00D4733E" w:rsidRDefault="00D4733E" w:rsidP="00D4733E">
            <w:r w:rsidRPr="00792997">
              <w:t>58/632</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89658C1" w14:textId="77777777" w:rsidR="00D4733E" w:rsidRPr="00D4733E" w:rsidRDefault="00D4733E" w:rsidP="00D4733E">
            <w:r w:rsidRPr="00792997">
              <w:t>Łętownia – Rzeszów</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AD79B1D" w14:textId="77777777" w:rsidR="00D4733E" w:rsidRPr="00D4733E" w:rsidRDefault="00D4733E" w:rsidP="00D4733E">
            <w:r w:rsidRPr="00792997">
              <w:t>Budowa nowej linii</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C666774" w14:textId="77777777" w:rsidR="00D4733E" w:rsidRPr="00D4733E" w:rsidRDefault="00D4733E" w:rsidP="00D4733E">
            <w:r w:rsidRPr="00792997">
              <w:t>42</w:t>
            </w:r>
          </w:p>
        </w:tc>
      </w:tr>
      <w:tr w:rsidR="00D4733E" w:rsidRPr="004D7D5F" w14:paraId="07C7F52F"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B48E315" w14:textId="77777777" w:rsidR="00D4733E" w:rsidRPr="00D4733E" w:rsidRDefault="00D4733E" w:rsidP="00D4733E">
            <w:r w:rsidRPr="00792997">
              <w:t>106.</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63C5C51" w14:textId="77777777" w:rsidR="00D4733E" w:rsidRPr="00D4733E" w:rsidRDefault="00D4733E" w:rsidP="00D4733E">
            <w:r w:rsidRPr="00792997">
              <w:t>Rzeszów – Jasło</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4AE7866"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44DCD41" w14:textId="77777777" w:rsidR="00D4733E" w:rsidRPr="00D4733E" w:rsidRDefault="00D4733E" w:rsidP="00D4733E">
            <w:r w:rsidRPr="00792997">
              <w:t>70</w:t>
            </w:r>
          </w:p>
        </w:tc>
      </w:tr>
      <w:tr w:rsidR="00D4733E" w:rsidRPr="004D7D5F" w14:paraId="2F193E74"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D15B2E4" w14:textId="77777777" w:rsidR="00D4733E" w:rsidRPr="00D4733E" w:rsidRDefault="00D4733E" w:rsidP="00D4733E">
            <w:r w:rsidRPr="00792997">
              <w:t>106.(s)</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47C8BC0" w14:textId="77777777" w:rsidR="00D4733E" w:rsidRPr="00D4733E" w:rsidRDefault="00D4733E" w:rsidP="00D4733E">
            <w:r w:rsidRPr="00792997">
              <w:t xml:space="preserve">Babice – Strzyżów – Wojaszówka </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90A2410" w14:textId="77777777" w:rsidR="00D4733E" w:rsidRPr="00D4733E" w:rsidRDefault="00D4733E" w:rsidP="00D4733E">
            <w:r w:rsidRPr="00792997">
              <w:t>Budowa skrótu istniejącej linii</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5162F16" w14:textId="77777777" w:rsidR="00D4733E" w:rsidRPr="00D4733E" w:rsidRDefault="00D4733E" w:rsidP="00D4733E">
            <w:r w:rsidRPr="00792997">
              <w:t>26</w:t>
            </w:r>
          </w:p>
        </w:tc>
      </w:tr>
      <w:tr w:rsidR="00D4733E" w:rsidRPr="004D7D5F" w14:paraId="692D982D"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67DAB59" w14:textId="77777777" w:rsidR="00D4733E" w:rsidRPr="00D4733E" w:rsidRDefault="00D4733E" w:rsidP="00D4733E">
            <w:r w:rsidRPr="00792997">
              <w:t>638.</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E2372E9" w14:textId="77777777" w:rsidR="00D4733E" w:rsidRPr="00D4733E" w:rsidRDefault="00D4733E" w:rsidP="00D4733E">
            <w:r w:rsidRPr="00792997">
              <w:t xml:space="preserve">Jedlicze – Szebnie </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0FC3EF8" w14:textId="77777777" w:rsidR="00D4733E" w:rsidRPr="00D4733E" w:rsidRDefault="00D4733E" w:rsidP="00D4733E">
            <w:r w:rsidRPr="00792997">
              <w:t>Nowa łącznica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8088045" w14:textId="77777777" w:rsidR="00D4733E" w:rsidRPr="00D4733E" w:rsidRDefault="00D4733E" w:rsidP="00D4733E">
            <w:r w:rsidRPr="00792997">
              <w:t>4</w:t>
            </w:r>
          </w:p>
        </w:tc>
      </w:tr>
      <w:tr w:rsidR="00D4733E" w:rsidRPr="004D7D5F" w14:paraId="1C70DCAA"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533F0A2" w14:textId="77777777" w:rsidR="00D4733E" w:rsidRPr="00D4733E" w:rsidRDefault="00D4733E" w:rsidP="00D4733E">
            <w:r w:rsidRPr="00792997">
              <w:t>122.</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4A33B1D" w14:textId="77777777" w:rsidR="00D4733E" w:rsidRPr="00D4733E" w:rsidRDefault="00D4733E" w:rsidP="00D4733E">
            <w:r w:rsidRPr="00792997">
              <w:t>Rzeszów – Sanok</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51F8D39" w14:textId="77777777" w:rsidR="00D4733E" w:rsidRPr="00D4733E" w:rsidRDefault="00D4733E" w:rsidP="00D4733E">
            <w:r w:rsidRPr="00792997">
              <w:t>Budowa nowej linii</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6797456" w14:textId="77777777" w:rsidR="00D4733E" w:rsidRPr="00D4733E" w:rsidRDefault="00D4733E" w:rsidP="00D4733E">
            <w:r w:rsidRPr="00792997">
              <w:t>50</w:t>
            </w:r>
          </w:p>
        </w:tc>
      </w:tr>
      <w:tr w:rsidR="00D4733E" w:rsidRPr="004D7D5F" w14:paraId="38DF35D6"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0CE1BEF" w14:textId="77777777" w:rsidR="00D4733E" w:rsidRPr="00D4733E" w:rsidRDefault="00D4733E" w:rsidP="00D4733E">
            <w:r w:rsidRPr="00792997">
              <w:t>108.</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E125FCF" w14:textId="77777777" w:rsidR="00D4733E" w:rsidRPr="00D4733E" w:rsidRDefault="00D4733E" w:rsidP="00D4733E">
            <w:r w:rsidRPr="00792997">
              <w:t>Jedlicze – Sanok</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1F28D0C"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119E125" w14:textId="77777777" w:rsidR="00D4733E" w:rsidRPr="00D4733E" w:rsidRDefault="00D4733E" w:rsidP="00D4733E">
            <w:r w:rsidRPr="00792997">
              <w:t>48</w:t>
            </w:r>
          </w:p>
        </w:tc>
      </w:tr>
      <w:tr w:rsidR="00D4733E" w:rsidRPr="004D7D5F" w14:paraId="464DC83E"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6213412" w14:textId="77777777" w:rsidR="00D4733E" w:rsidRPr="00D4733E" w:rsidRDefault="00D4733E" w:rsidP="00D4733E">
            <w:r w:rsidRPr="00792997">
              <w:t>586.</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2D794DF" w14:textId="77777777" w:rsidR="00D4733E" w:rsidRPr="00D4733E" w:rsidRDefault="00D4733E" w:rsidP="00D4733E">
            <w:r w:rsidRPr="00792997">
              <w:t>Idzikowice – Opoczno</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376EBEE" w14:textId="77777777" w:rsidR="00D4733E" w:rsidRPr="00D4733E" w:rsidRDefault="00D4733E" w:rsidP="00D4733E">
            <w:r w:rsidRPr="00792997">
              <w:t>Budowa nowej linii -łącznicy</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445D6C9" w14:textId="77777777" w:rsidR="00D4733E" w:rsidRPr="00D4733E" w:rsidRDefault="00D4733E" w:rsidP="00D4733E">
            <w:r w:rsidRPr="00792997">
              <w:t>4</w:t>
            </w:r>
          </w:p>
        </w:tc>
      </w:tr>
      <w:tr w:rsidR="00D4733E" w:rsidRPr="004D7D5F" w14:paraId="47CC710C"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107C997" w14:textId="77777777" w:rsidR="00D4733E" w:rsidRPr="00D4733E" w:rsidRDefault="00D4733E" w:rsidP="00D4733E">
            <w:r w:rsidRPr="00792997">
              <w:t>25.</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2CD823F" w14:textId="77777777" w:rsidR="00D4733E" w:rsidRPr="00D4733E" w:rsidRDefault="00D4733E" w:rsidP="00D4733E">
            <w:r w:rsidRPr="00792997">
              <w:t>Opoczno – Wąsocz Konecki</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10A5CF0"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59C49EA" w14:textId="77777777" w:rsidR="00D4733E" w:rsidRPr="00D4733E" w:rsidRDefault="00D4733E" w:rsidP="00D4733E">
            <w:r w:rsidRPr="00792997">
              <w:t>30</w:t>
            </w:r>
          </w:p>
        </w:tc>
      </w:tr>
      <w:tr w:rsidR="00D4733E" w:rsidRPr="004D7D5F" w14:paraId="1CA50B68"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919A770" w14:textId="77777777" w:rsidR="00D4733E" w:rsidRPr="00D4733E" w:rsidRDefault="00D4733E" w:rsidP="00D4733E">
            <w:r w:rsidRPr="00792997">
              <w:t>89.</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8393181" w14:textId="77777777" w:rsidR="00D4733E" w:rsidRPr="00D4733E" w:rsidRDefault="00D4733E" w:rsidP="00D4733E">
            <w:r w:rsidRPr="00792997">
              <w:t>Wąsosz Konecki – Kielce</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52CF616" w14:textId="77777777" w:rsidR="00D4733E" w:rsidRPr="00D4733E" w:rsidRDefault="00D4733E" w:rsidP="00D4733E">
            <w:r w:rsidRPr="00792997">
              <w:t>Budowa nowej linii</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8E963C3" w14:textId="77777777" w:rsidR="00D4733E" w:rsidRPr="00D4733E" w:rsidRDefault="00D4733E" w:rsidP="00D4733E">
            <w:r w:rsidRPr="00792997">
              <w:t>25</w:t>
            </w:r>
          </w:p>
        </w:tc>
      </w:tr>
      <w:tr w:rsidR="00D4733E" w:rsidRPr="004D7D5F" w14:paraId="5C282E3C"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2B346EA" w14:textId="77777777" w:rsidR="00D4733E" w:rsidRPr="00D4733E" w:rsidRDefault="00D4733E" w:rsidP="00D4733E">
            <w:r w:rsidRPr="00792997">
              <w:t>8.</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2B41FFA" w14:textId="77777777" w:rsidR="00D4733E" w:rsidRPr="00D4733E" w:rsidRDefault="00D4733E" w:rsidP="00D4733E">
            <w:r w:rsidRPr="00792997">
              <w:t>Kielce – Sitkówka Nowiny</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33B90AA"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F29A83E" w14:textId="77777777" w:rsidR="00D4733E" w:rsidRPr="00D4733E" w:rsidRDefault="00D4733E" w:rsidP="00D4733E">
            <w:r w:rsidRPr="00792997">
              <w:t>10</w:t>
            </w:r>
          </w:p>
        </w:tc>
      </w:tr>
      <w:tr w:rsidR="00D4733E" w:rsidRPr="004D7D5F" w14:paraId="0553DBC4"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C829A3A" w14:textId="77777777" w:rsidR="00D4733E" w:rsidRPr="00D4733E" w:rsidRDefault="00D4733E" w:rsidP="00D4733E">
            <w:r w:rsidRPr="00792997">
              <w:t>73.</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963622A" w14:textId="77777777" w:rsidR="00D4733E" w:rsidRPr="00D4733E" w:rsidRDefault="00D4733E" w:rsidP="00D4733E">
            <w:r w:rsidRPr="00792997">
              <w:t>Sitkówka Nowiny – Busko-Zdrój</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4B9967C"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ECEF9DA" w14:textId="77777777" w:rsidR="00D4733E" w:rsidRPr="00D4733E" w:rsidRDefault="00D4733E" w:rsidP="00D4733E">
            <w:r w:rsidRPr="00792997">
              <w:t>44</w:t>
            </w:r>
          </w:p>
        </w:tc>
      </w:tr>
      <w:tr w:rsidR="00D4733E" w:rsidRPr="004D7D5F" w14:paraId="5FBBDF06"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D22B130" w14:textId="77777777" w:rsidR="00D4733E" w:rsidRPr="00D4733E" w:rsidRDefault="00D4733E" w:rsidP="00D4733E">
            <w:r w:rsidRPr="00792997">
              <w:t>73.</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6F4671D" w14:textId="77777777" w:rsidR="00D4733E" w:rsidRPr="00D4733E" w:rsidRDefault="00D4733E" w:rsidP="00D4733E">
            <w:r w:rsidRPr="00792997">
              <w:t xml:space="preserve">Busko-Zdrój – Żabno – Tarnów </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92493EF" w14:textId="77777777" w:rsidR="00D4733E" w:rsidRPr="00D4733E" w:rsidRDefault="00D4733E" w:rsidP="00D4733E">
            <w:r w:rsidRPr="00792997">
              <w:t>Budowa nowej linii</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B4C0DD7" w14:textId="77777777" w:rsidR="00D4733E" w:rsidRPr="00D4733E" w:rsidRDefault="00D4733E" w:rsidP="00D4733E">
            <w:r w:rsidRPr="00792997">
              <w:t>60</w:t>
            </w:r>
          </w:p>
        </w:tc>
      </w:tr>
      <w:tr w:rsidR="00D4733E" w:rsidRPr="004D7D5F" w14:paraId="1B6B7157"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567D500" w14:textId="77777777" w:rsidR="00D4733E" w:rsidRPr="00D4733E" w:rsidRDefault="00D4733E" w:rsidP="00D4733E">
            <w:r w:rsidRPr="00792997">
              <w:t>96.</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B634973" w14:textId="77777777" w:rsidR="00D4733E" w:rsidRPr="00D4733E" w:rsidRDefault="00D4733E" w:rsidP="00D4733E">
            <w:r w:rsidRPr="00792997">
              <w:t>Tarnów (Klokowa) – Nowy Sącz (Chełmiec) Skrót</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B05A28E" w14:textId="77777777" w:rsidR="00D4733E" w:rsidRPr="00D4733E" w:rsidRDefault="00D4733E" w:rsidP="00D4733E">
            <w:r w:rsidRPr="00792997">
              <w:t>Budowa nowej linii</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23A235C" w14:textId="77777777" w:rsidR="00D4733E" w:rsidRPr="00D4733E" w:rsidRDefault="00D4733E" w:rsidP="00D4733E">
            <w:r w:rsidRPr="00792997">
              <w:t>46</w:t>
            </w:r>
          </w:p>
        </w:tc>
      </w:tr>
      <w:tr w:rsidR="00D4733E" w:rsidRPr="004D7D5F" w14:paraId="0D9A3838"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3E7E62F" w14:textId="77777777" w:rsidR="00D4733E" w:rsidRPr="00D4733E" w:rsidRDefault="00D4733E" w:rsidP="00D4733E">
            <w:r w:rsidRPr="00792997">
              <w:t>96.</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27648CD" w14:textId="77777777" w:rsidR="00D4733E" w:rsidRPr="00D4733E" w:rsidRDefault="00D4733E" w:rsidP="00D4733E">
            <w:r w:rsidRPr="00792997">
              <w:t>Tarnów – Nowy Sącz – Muszyna (gr. państwa)</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ED3D55C"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FAD120C" w14:textId="77777777" w:rsidR="00D4733E" w:rsidRPr="00D4733E" w:rsidRDefault="00D4733E" w:rsidP="00D4733E">
            <w:r w:rsidRPr="00792997">
              <w:t>146</w:t>
            </w:r>
          </w:p>
        </w:tc>
      </w:tr>
      <w:tr w:rsidR="00D4733E" w:rsidRPr="004D7D5F" w14:paraId="28E7FF36"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06B785C" w14:textId="77777777" w:rsidR="00D4733E" w:rsidRPr="00D4733E" w:rsidRDefault="00D4733E" w:rsidP="00D4733E">
            <w:r w:rsidRPr="00792997">
              <w:t>4.</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5F54E37" w14:textId="77777777" w:rsidR="00D4733E" w:rsidRPr="00D4733E" w:rsidRDefault="00D4733E" w:rsidP="00D4733E">
            <w:r w:rsidRPr="00792997">
              <w:t>Grodzisk – Zawiercie</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EC68A4C"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1B431D0" w14:textId="77777777" w:rsidR="00D4733E" w:rsidRPr="00D4733E" w:rsidRDefault="00D4733E" w:rsidP="00D4733E">
            <w:r w:rsidRPr="00792997">
              <w:t>223</w:t>
            </w:r>
          </w:p>
        </w:tc>
      </w:tr>
      <w:tr w:rsidR="00D4733E" w:rsidRPr="004D7D5F" w14:paraId="490083C8"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7367DD3" w14:textId="77777777" w:rsidR="00D4733E" w:rsidRPr="00D4733E" w:rsidRDefault="00D4733E" w:rsidP="00D4733E">
            <w:r w:rsidRPr="00792997">
              <w:t>111.</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086053C" w14:textId="77777777" w:rsidR="00D4733E" w:rsidRPr="00D4733E" w:rsidRDefault="00D4733E" w:rsidP="00D4733E">
            <w:r w:rsidRPr="00792997">
              <w:t>Biała Błotna – WMŚ – Chełmek</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08392C2" w14:textId="77777777" w:rsidR="00D4733E" w:rsidRPr="00D4733E" w:rsidRDefault="00D4733E" w:rsidP="00D4733E">
            <w:r w:rsidRPr="00792997">
              <w:t>Budowa nowej linii</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2A1ECA6" w14:textId="77777777" w:rsidR="00D4733E" w:rsidRPr="00D4733E" w:rsidRDefault="00D4733E" w:rsidP="00D4733E">
            <w:r w:rsidRPr="00792997">
              <w:t>62</w:t>
            </w:r>
          </w:p>
        </w:tc>
      </w:tr>
      <w:tr w:rsidR="00D4733E" w:rsidRPr="004D7D5F" w14:paraId="7B06E999"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3CC63A7" w14:textId="77777777" w:rsidR="00D4733E" w:rsidRPr="00D4733E" w:rsidRDefault="00D4733E" w:rsidP="00D4733E">
            <w:r w:rsidRPr="00792997">
              <w:t>93.</w:t>
            </w:r>
          </w:p>
        </w:tc>
        <w:tc>
          <w:tcPr>
            <w:tcW w:w="3260" w:type="dxa"/>
            <w:tcBorders>
              <w:top w:val="single" w:sz="6" w:space="0" w:color="auto"/>
              <w:left w:val="single" w:sz="6" w:space="0" w:color="auto"/>
              <w:bottom w:val="nil"/>
              <w:right w:val="single" w:sz="6" w:space="0" w:color="auto"/>
            </w:tcBorders>
            <w:tcMar>
              <w:left w:w="60" w:type="dxa"/>
              <w:right w:w="60" w:type="dxa"/>
            </w:tcMar>
            <w:vAlign w:val="bottom"/>
          </w:tcPr>
          <w:p w14:paraId="4317C8E5" w14:textId="77777777" w:rsidR="00D4733E" w:rsidRPr="00D4733E" w:rsidRDefault="00D4733E" w:rsidP="00D4733E">
            <w:r w:rsidRPr="00792997">
              <w:t xml:space="preserve">Chełmek – </w:t>
            </w:r>
            <w:r w:rsidRPr="00D4733E">
              <w:t>Czechowice-Dziedzice</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282E11F"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2031343" w14:textId="77777777" w:rsidR="00D4733E" w:rsidRPr="00D4733E" w:rsidRDefault="00D4733E" w:rsidP="00D4733E">
            <w:r w:rsidRPr="00792997">
              <w:t>30</w:t>
            </w:r>
          </w:p>
        </w:tc>
      </w:tr>
      <w:tr w:rsidR="00D4733E" w:rsidRPr="004D7D5F" w14:paraId="4F7C8917"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33C97E1" w14:textId="77777777" w:rsidR="00D4733E" w:rsidRPr="00D4733E" w:rsidRDefault="00D4733E" w:rsidP="00D4733E">
            <w:r w:rsidRPr="00792997">
              <w:t>113.</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69B71F9" w14:textId="77777777" w:rsidR="00D4733E" w:rsidRPr="00D4733E" w:rsidRDefault="00D4733E" w:rsidP="00D4733E">
            <w:r w:rsidRPr="00792997">
              <w:t xml:space="preserve">Katowice – WMŚ – Kraków </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4703221" w14:textId="77777777" w:rsidR="00D4733E" w:rsidRPr="00D4733E" w:rsidRDefault="00D4733E" w:rsidP="00D4733E">
            <w:r w:rsidRPr="00792997">
              <w:t>Budowa nowej linii</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F3FD933" w14:textId="77777777" w:rsidR="00D4733E" w:rsidRPr="00D4733E" w:rsidRDefault="00D4733E" w:rsidP="00D4733E">
            <w:r w:rsidRPr="00792997">
              <w:t>64</w:t>
            </w:r>
          </w:p>
        </w:tc>
      </w:tr>
      <w:tr w:rsidR="00D4733E" w:rsidRPr="004D7D5F" w14:paraId="6B8B4299"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7A41217" w14:textId="77777777" w:rsidR="00D4733E" w:rsidRPr="00D4733E" w:rsidRDefault="00D4733E" w:rsidP="00D4733E">
            <w:r w:rsidRPr="00792997">
              <w:t>139.</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C56FB48" w14:textId="77777777" w:rsidR="00D4733E" w:rsidRPr="00D4733E" w:rsidRDefault="00D4733E" w:rsidP="00D4733E">
            <w:r w:rsidRPr="00792997">
              <w:t>Katowice – Czechowice-Dziedzice</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FF2EDF8"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5A023D4" w14:textId="77777777" w:rsidR="00D4733E" w:rsidRPr="00D4733E" w:rsidRDefault="00D4733E" w:rsidP="00D4733E">
            <w:r w:rsidRPr="00792997">
              <w:t>44</w:t>
            </w:r>
          </w:p>
        </w:tc>
      </w:tr>
      <w:tr w:rsidR="00D4733E" w:rsidRPr="004D7D5F" w14:paraId="0AE46A01"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886C577" w14:textId="77777777" w:rsidR="00D4733E" w:rsidRPr="00D4733E" w:rsidRDefault="00D4733E" w:rsidP="00D4733E">
            <w:r w:rsidRPr="00792997">
              <w:t>622.</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55256FF" w14:textId="77777777" w:rsidR="00D4733E" w:rsidRPr="00D4733E" w:rsidRDefault="00D4733E" w:rsidP="00D4733E">
            <w:r w:rsidRPr="00792997">
              <w:t>Podłęże – Tymbark/Mszana Dolna</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2E05CA4" w14:textId="77777777" w:rsidR="00D4733E" w:rsidRPr="00D4733E" w:rsidRDefault="00D4733E" w:rsidP="00D4733E">
            <w:r w:rsidRPr="00792997">
              <w:t>Budowa nowej linii</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44EB78C" w14:textId="77777777" w:rsidR="00D4733E" w:rsidRPr="00D4733E" w:rsidRDefault="00D4733E" w:rsidP="00D4733E">
            <w:r w:rsidRPr="00792997">
              <w:t>58</w:t>
            </w:r>
          </w:p>
        </w:tc>
      </w:tr>
      <w:tr w:rsidR="00D4733E" w:rsidRPr="004D7D5F" w14:paraId="79A40B87"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7C36161" w14:textId="77777777" w:rsidR="00D4733E" w:rsidRPr="00D4733E" w:rsidRDefault="00D4733E" w:rsidP="00D4733E">
            <w:r w:rsidRPr="00792997">
              <w:t>104.</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D7BCF36" w14:textId="77777777" w:rsidR="00D4733E" w:rsidRPr="00D4733E" w:rsidRDefault="00D4733E" w:rsidP="00D4733E">
            <w:r w:rsidRPr="00792997">
              <w:t>Tymbark – Nowy Sącz</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1C8FF98"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7022DCF" w14:textId="77777777" w:rsidR="00D4733E" w:rsidRPr="00D4733E" w:rsidRDefault="00D4733E" w:rsidP="00D4733E">
            <w:r w:rsidRPr="00792997">
              <w:t>40</w:t>
            </w:r>
          </w:p>
        </w:tc>
      </w:tr>
      <w:tr w:rsidR="00D4733E" w:rsidRPr="004D7D5F" w14:paraId="370FEFD6"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55B3620" w14:textId="77777777" w:rsidR="00D4733E" w:rsidRPr="00D4733E" w:rsidRDefault="00D4733E" w:rsidP="00D4733E">
            <w:r w:rsidRPr="00792997">
              <w:t>170.</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7383BAC" w14:textId="77777777" w:rsidR="00D4733E" w:rsidRPr="00D4733E" w:rsidRDefault="00D4733E" w:rsidP="00D4733E">
            <w:r w:rsidRPr="00792997">
              <w:t>Katowice – granica państwa (Ostrawa)</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3560B5B" w14:textId="77777777" w:rsidR="00D4733E" w:rsidRPr="00D4733E" w:rsidRDefault="00D4733E" w:rsidP="00D4733E">
            <w:r w:rsidRPr="00792997">
              <w:t>Budowa nowej linii</w:t>
            </w:r>
          </w:p>
        </w:tc>
        <w:tc>
          <w:tcPr>
            <w:tcW w:w="992" w:type="dxa"/>
            <w:tcBorders>
              <w:top w:val="single" w:sz="6" w:space="0" w:color="auto"/>
              <w:left w:val="single" w:sz="6" w:space="0" w:color="auto"/>
              <w:bottom w:val="nil"/>
              <w:right w:val="single" w:sz="6" w:space="0" w:color="auto"/>
            </w:tcBorders>
            <w:tcMar>
              <w:left w:w="60" w:type="dxa"/>
              <w:right w:w="60" w:type="dxa"/>
            </w:tcMar>
            <w:vAlign w:val="bottom"/>
          </w:tcPr>
          <w:p w14:paraId="16FE5BAE" w14:textId="77777777" w:rsidR="00D4733E" w:rsidRPr="00D4733E" w:rsidRDefault="00D4733E" w:rsidP="00D4733E">
            <w:r w:rsidRPr="00792997">
              <w:t>74</w:t>
            </w:r>
          </w:p>
        </w:tc>
      </w:tr>
      <w:tr w:rsidR="00D4733E" w:rsidRPr="004D7D5F" w14:paraId="758AF2F0"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970C579" w14:textId="77777777" w:rsidR="00D4733E" w:rsidRPr="00D4733E" w:rsidRDefault="00D4733E" w:rsidP="00D4733E">
            <w:r w:rsidRPr="00792997">
              <w:t>104.</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6549FE6" w14:textId="77777777" w:rsidR="00D4733E" w:rsidRPr="00D4733E" w:rsidRDefault="00D4733E" w:rsidP="00D4733E">
            <w:r w:rsidRPr="00792997">
              <w:t>Mszana Dolna – Chabówka</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7873EF4"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A86EEFC" w14:textId="77777777" w:rsidR="00D4733E" w:rsidRPr="00D4733E" w:rsidRDefault="00D4733E" w:rsidP="00D4733E">
            <w:r w:rsidRPr="00792997">
              <w:t>13</w:t>
            </w:r>
          </w:p>
        </w:tc>
      </w:tr>
      <w:tr w:rsidR="00D4733E" w:rsidRPr="004D7D5F" w14:paraId="1E3F2B44"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E96E6A2" w14:textId="77777777" w:rsidR="00D4733E" w:rsidRPr="00D4733E" w:rsidRDefault="00D4733E" w:rsidP="00D4733E">
            <w:r w:rsidRPr="00792997">
              <w:t>99.</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E1AC206" w14:textId="77777777" w:rsidR="00D4733E" w:rsidRPr="00D4733E" w:rsidRDefault="00D4733E" w:rsidP="00D4733E">
            <w:r w:rsidRPr="00792997">
              <w:t>Chabówka – Zakopane</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3922CAE"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9C8FA83" w14:textId="77777777" w:rsidR="00D4733E" w:rsidRPr="00D4733E" w:rsidRDefault="00D4733E" w:rsidP="00D4733E">
            <w:r w:rsidRPr="00792997">
              <w:t>43</w:t>
            </w:r>
          </w:p>
        </w:tc>
      </w:tr>
      <w:tr w:rsidR="00D4733E" w:rsidRPr="004D7D5F" w14:paraId="61B6A864" w14:textId="77777777" w:rsidTr="00E75F8E">
        <w:trPr>
          <w:trHeight w:val="300"/>
        </w:trPr>
        <w:tc>
          <w:tcPr>
            <w:tcW w:w="843" w:type="dxa"/>
            <w:tcBorders>
              <w:top w:val="single" w:sz="6" w:space="0" w:color="auto"/>
              <w:left w:val="single" w:sz="6" w:space="0" w:color="auto"/>
              <w:bottom w:val="nil"/>
              <w:right w:val="nil"/>
            </w:tcBorders>
            <w:tcMar>
              <w:left w:w="60" w:type="dxa"/>
              <w:right w:w="60" w:type="dxa"/>
            </w:tcMar>
            <w:vAlign w:val="bottom"/>
          </w:tcPr>
          <w:p w14:paraId="786B819A" w14:textId="77777777" w:rsidR="00D4733E" w:rsidRPr="00D4733E" w:rsidRDefault="00D4733E" w:rsidP="00D4733E">
            <w:r w:rsidRPr="00792997">
              <w:t>287.</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F57F019" w14:textId="77777777" w:rsidR="00D4733E" w:rsidRPr="00D4733E" w:rsidRDefault="00D4733E" w:rsidP="00D4733E">
            <w:r w:rsidRPr="00792997">
              <w:t xml:space="preserve">Opole – Nysa  </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BA2D25C"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06D071D" w14:textId="77777777" w:rsidR="00D4733E" w:rsidRPr="00D4733E" w:rsidRDefault="00D4733E" w:rsidP="00D4733E">
            <w:r w:rsidRPr="00792997">
              <w:t>51</w:t>
            </w:r>
          </w:p>
        </w:tc>
      </w:tr>
      <w:tr w:rsidR="00D4733E" w:rsidRPr="004D7D5F" w14:paraId="6E029926"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76701C2" w14:textId="77777777" w:rsidR="00D4733E" w:rsidRPr="00D4733E" w:rsidRDefault="00D4733E" w:rsidP="00D4733E">
            <w:r w:rsidRPr="00792997">
              <w:t>137.</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5BB4BDE" w14:textId="77777777" w:rsidR="00D4733E" w:rsidRPr="00D4733E" w:rsidRDefault="00D4733E" w:rsidP="00D4733E">
            <w:r w:rsidRPr="00792997">
              <w:t>Nysa – Kamieniec Ząbkowicki</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D5A35B2"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8CAFAC2" w14:textId="77777777" w:rsidR="00D4733E" w:rsidRPr="00D4733E" w:rsidRDefault="00D4733E" w:rsidP="00D4733E">
            <w:r w:rsidRPr="00792997">
              <w:t>38</w:t>
            </w:r>
          </w:p>
        </w:tc>
      </w:tr>
      <w:tr w:rsidR="00D4733E" w:rsidRPr="004D7D5F" w14:paraId="54750AB2"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4BA3B3E" w14:textId="77777777" w:rsidR="00D4733E" w:rsidRPr="00D4733E" w:rsidRDefault="00D4733E" w:rsidP="00D4733E">
            <w:r w:rsidRPr="00792997">
              <w:t>276.</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77F9DDB" w14:textId="77777777" w:rsidR="00D4733E" w:rsidRPr="00D4733E" w:rsidRDefault="00D4733E" w:rsidP="00D4733E">
            <w:r w:rsidRPr="00792997">
              <w:t xml:space="preserve">Kamieniec </w:t>
            </w:r>
            <w:r w:rsidRPr="00D4733E">
              <w:t>Ząbkowicki – Kłodzko</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5D7966D"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AB2B276" w14:textId="77777777" w:rsidR="00D4733E" w:rsidRPr="00D4733E" w:rsidRDefault="00D4733E" w:rsidP="00D4733E">
            <w:r w:rsidRPr="00792997">
              <w:t>23</w:t>
            </w:r>
          </w:p>
        </w:tc>
      </w:tr>
      <w:tr w:rsidR="00D4733E" w:rsidRPr="004D7D5F" w14:paraId="05CF429C"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928207D" w14:textId="77777777" w:rsidR="00D4733E" w:rsidRPr="00D4733E" w:rsidRDefault="00D4733E" w:rsidP="00D4733E">
            <w:r w:rsidRPr="00792997">
              <w:t>85.</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3731C61" w14:textId="77777777" w:rsidR="00D4733E" w:rsidRPr="00D4733E" w:rsidRDefault="00D4733E" w:rsidP="00D4733E">
            <w:r w:rsidRPr="00792997">
              <w:t xml:space="preserve">Warszawa CPK wraz z Węzłem – Łódź – Sieradz – Kalisz – Pleszew – Poznań </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21454DB" w14:textId="77777777" w:rsidR="00D4733E" w:rsidRPr="00D4733E" w:rsidRDefault="00D4733E" w:rsidP="00D4733E">
            <w:r w:rsidRPr="00792997">
              <w:t>Budowa nowej linii</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108486D" w14:textId="77777777" w:rsidR="00D4733E" w:rsidRPr="00D4733E" w:rsidRDefault="00D4733E" w:rsidP="00D4733E">
            <w:r w:rsidRPr="00792997">
              <w:t>431</w:t>
            </w:r>
          </w:p>
        </w:tc>
      </w:tr>
      <w:tr w:rsidR="00D4733E" w:rsidRPr="004D7D5F" w14:paraId="2FDFE998"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B3B194F" w14:textId="77777777" w:rsidR="00D4733E" w:rsidRPr="00D4733E" w:rsidRDefault="00D4733E" w:rsidP="00D4733E">
            <w:r w:rsidRPr="00792997">
              <w:t>86.</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546E635" w14:textId="77777777" w:rsidR="00D4733E" w:rsidRPr="00D4733E" w:rsidRDefault="00D4733E" w:rsidP="00D4733E">
            <w:r w:rsidRPr="00792997">
              <w:t xml:space="preserve">Sieradz Płn. – Kępno – Czernica Wr. – Wrocław </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BFA587F" w14:textId="77777777" w:rsidR="00D4733E" w:rsidRPr="00D4733E" w:rsidRDefault="00D4733E" w:rsidP="00D4733E">
            <w:r w:rsidRPr="00792997">
              <w:t xml:space="preserve">Budowa nowej linii </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E21C06D" w14:textId="77777777" w:rsidR="00D4733E" w:rsidRPr="00D4733E" w:rsidRDefault="00D4733E" w:rsidP="00D4733E">
            <w:r w:rsidRPr="00792997">
              <w:t>138</w:t>
            </w:r>
          </w:p>
        </w:tc>
      </w:tr>
      <w:tr w:rsidR="00D4733E" w:rsidRPr="004D7D5F" w14:paraId="42803CBB"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C113773" w14:textId="77777777" w:rsidR="00D4733E" w:rsidRPr="00D4733E" w:rsidRDefault="00D4733E" w:rsidP="00D4733E">
            <w:r w:rsidRPr="00792997">
              <w:t>274.</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B88F856" w14:textId="77777777" w:rsidR="00D4733E" w:rsidRPr="00D4733E" w:rsidRDefault="00D4733E" w:rsidP="00D4733E">
            <w:r w:rsidRPr="00792997">
              <w:t xml:space="preserve">Wrocław – Żarów </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0ABF8F9"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07B3A80" w14:textId="77777777" w:rsidR="00D4733E" w:rsidRPr="00D4733E" w:rsidRDefault="00D4733E" w:rsidP="00D4733E">
            <w:r w:rsidRPr="00792997">
              <w:t>43</w:t>
            </w:r>
          </w:p>
        </w:tc>
      </w:tr>
      <w:tr w:rsidR="00D4733E" w:rsidRPr="004D7D5F" w14:paraId="5C09E057"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CA6B211" w14:textId="77777777" w:rsidR="00D4733E" w:rsidRPr="00D4733E" w:rsidRDefault="00D4733E" w:rsidP="00D4733E">
            <w:r w:rsidRPr="00792997">
              <w:t>267/268.</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20A11BD" w14:textId="77777777" w:rsidR="00D4733E" w:rsidRPr="00D4733E" w:rsidRDefault="00D4733E" w:rsidP="00D4733E">
            <w:r w:rsidRPr="00792997">
              <w:t>Żarów – Świdnica – Wałbrzych – granica państwa</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7575826" w14:textId="77777777" w:rsidR="00D4733E" w:rsidRPr="00D4733E" w:rsidRDefault="00D4733E" w:rsidP="00D4733E">
            <w:r w:rsidRPr="00792997">
              <w:t>Budowa nowej linii</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CDD977F" w14:textId="77777777" w:rsidR="00D4733E" w:rsidRPr="00D4733E" w:rsidRDefault="00D4733E" w:rsidP="00D4733E">
            <w:r w:rsidRPr="00792997">
              <w:t>62</w:t>
            </w:r>
          </w:p>
        </w:tc>
      </w:tr>
      <w:tr w:rsidR="00D4733E" w:rsidRPr="004D7D5F" w14:paraId="2BB22BF5"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1F05788" w14:textId="77777777" w:rsidR="00D4733E" w:rsidRPr="00D4733E" w:rsidRDefault="00D4733E" w:rsidP="00D4733E">
            <w:r w:rsidRPr="00792997">
              <w:t>14.</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C5A9B6C" w14:textId="77777777" w:rsidR="00D4733E" w:rsidRPr="00D4733E" w:rsidRDefault="00D4733E" w:rsidP="00D4733E">
            <w:r w:rsidRPr="00792997">
              <w:t>Kalisz – Głogów</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B098615"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769AA2B" w14:textId="77777777" w:rsidR="00D4733E" w:rsidRPr="00D4733E" w:rsidRDefault="00D4733E" w:rsidP="00D4733E">
            <w:r w:rsidRPr="00792997">
              <w:t>168</w:t>
            </w:r>
          </w:p>
        </w:tc>
      </w:tr>
      <w:tr w:rsidR="00D4733E" w:rsidRPr="004D7D5F" w14:paraId="33ABF4B0"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D4D250D" w14:textId="77777777" w:rsidR="00D4733E" w:rsidRPr="00D4733E" w:rsidRDefault="00D4733E" w:rsidP="00D4733E">
            <w:r w:rsidRPr="00792997">
              <w:t>273.</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39355C3" w14:textId="77777777" w:rsidR="00D4733E" w:rsidRPr="00D4733E" w:rsidRDefault="00D4733E" w:rsidP="00D4733E">
            <w:r w:rsidRPr="00792997">
              <w:t>Głogów – Zielona Góra</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64E055E"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A308D5C" w14:textId="77777777" w:rsidR="00D4733E" w:rsidRPr="00D4733E" w:rsidRDefault="00D4733E" w:rsidP="00D4733E">
            <w:r w:rsidRPr="00792997">
              <w:t>54</w:t>
            </w:r>
          </w:p>
        </w:tc>
      </w:tr>
      <w:tr w:rsidR="00D4733E" w:rsidRPr="004D7D5F" w14:paraId="5A9C1E0D"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6D6DDED" w14:textId="77777777" w:rsidR="00D4733E" w:rsidRPr="00D4733E" w:rsidRDefault="00D4733E" w:rsidP="00D4733E">
            <w:r w:rsidRPr="00792997">
              <w:t>367.</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C0CACB4" w14:textId="77777777" w:rsidR="00D4733E" w:rsidRPr="00D4733E" w:rsidRDefault="00D4733E" w:rsidP="00D4733E">
            <w:r w:rsidRPr="00792997">
              <w:t>Zbąszynek – Gorzów Wielkopolski</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D4A6CE6"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B40A8E4" w14:textId="77777777" w:rsidR="00D4733E" w:rsidRPr="00D4733E" w:rsidRDefault="00D4733E" w:rsidP="00D4733E">
            <w:r w:rsidRPr="00792997">
              <w:t>74</w:t>
            </w:r>
          </w:p>
        </w:tc>
      </w:tr>
      <w:tr w:rsidR="00D4733E" w:rsidRPr="004D7D5F" w14:paraId="7D07E5AE"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239AFCA" w14:textId="77777777" w:rsidR="00D4733E" w:rsidRPr="00D4733E" w:rsidRDefault="00D4733E" w:rsidP="00D4733E">
            <w:r w:rsidRPr="00792997">
              <w:t>3.</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A19B4C4" w14:textId="77777777" w:rsidR="00D4733E" w:rsidRPr="00D4733E" w:rsidRDefault="00D4733E" w:rsidP="00D4733E">
            <w:r w:rsidRPr="00792997">
              <w:t>Chlastawa – Kosieczyn</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738C1FB" w14:textId="77777777" w:rsidR="00D4733E" w:rsidRPr="00D4733E" w:rsidRDefault="00D4733E" w:rsidP="00D4733E">
            <w:r w:rsidRPr="00792997">
              <w:t xml:space="preserve">Budowa nowej </w:t>
            </w:r>
            <w:r w:rsidRPr="00D4733E">
              <w:t>linii- łącznicy</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776A0E9" w14:textId="77777777" w:rsidR="00D4733E" w:rsidRPr="00D4733E" w:rsidRDefault="00D4733E" w:rsidP="00D4733E">
            <w:r w:rsidRPr="00792997">
              <w:t>1</w:t>
            </w:r>
          </w:p>
        </w:tc>
      </w:tr>
      <w:tr w:rsidR="00D4733E" w:rsidRPr="004D7D5F" w14:paraId="3EBA5AB6"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30338A7" w14:textId="77777777" w:rsidR="00D4733E" w:rsidRPr="00D4733E" w:rsidRDefault="00D4733E" w:rsidP="00D4733E">
            <w:r w:rsidRPr="00792997">
              <w:t>401.</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DA11CA3" w14:textId="77777777" w:rsidR="00D4733E" w:rsidRPr="00D4733E" w:rsidRDefault="00D4733E" w:rsidP="00D4733E">
            <w:r w:rsidRPr="00792997">
              <w:t>Szczecin Dąbie – Goleniów</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8D45502"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4CE059F" w14:textId="77777777" w:rsidR="00D4733E" w:rsidRPr="00D4733E" w:rsidRDefault="00D4733E" w:rsidP="00D4733E">
            <w:r w:rsidRPr="00792997">
              <w:t>23</w:t>
            </w:r>
          </w:p>
        </w:tc>
      </w:tr>
      <w:tr w:rsidR="00D4733E" w:rsidRPr="004D7D5F" w14:paraId="14511165" w14:textId="77777777" w:rsidTr="00E75F8E">
        <w:trPr>
          <w:trHeight w:val="300"/>
        </w:trPr>
        <w:tc>
          <w:tcPr>
            <w:tcW w:w="843" w:type="dxa"/>
            <w:tcBorders>
              <w:top w:val="single" w:sz="6" w:space="0" w:color="auto"/>
              <w:left w:val="single" w:sz="6" w:space="0" w:color="auto"/>
              <w:bottom w:val="nil"/>
              <w:right w:val="single" w:sz="6" w:space="0" w:color="auto"/>
            </w:tcBorders>
            <w:tcMar>
              <w:left w:w="60" w:type="dxa"/>
              <w:right w:w="60" w:type="dxa"/>
            </w:tcMar>
            <w:vAlign w:val="bottom"/>
          </w:tcPr>
          <w:p w14:paraId="0E36C991" w14:textId="77777777" w:rsidR="00D4733E" w:rsidRPr="00D4733E" w:rsidRDefault="00D4733E" w:rsidP="00D4733E">
            <w:r w:rsidRPr="00792997">
              <w:t>434.</w:t>
            </w:r>
          </w:p>
        </w:tc>
        <w:tc>
          <w:tcPr>
            <w:tcW w:w="3260" w:type="dxa"/>
            <w:tcBorders>
              <w:top w:val="single" w:sz="6" w:space="0" w:color="auto"/>
              <w:left w:val="single" w:sz="6" w:space="0" w:color="auto"/>
              <w:bottom w:val="nil"/>
              <w:right w:val="single" w:sz="6" w:space="0" w:color="auto"/>
            </w:tcBorders>
            <w:tcMar>
              <w:left w:w="60" w:type="dxa"/>
              <w:right w:w="60" w:type="dxa"/>
            </w:tcMar>
            <w:vAlign w:val="bottom"/>
          </w:tcPr>
          <w:p w14:paraId="66DF8428" w14:textId="77777777" w:rsidR="00D4733E" w:rsidRPr="00D4733E" w:rsidRDefault="00D4733E" w:rsidP="00D4733E">
            <w:r w:rsidRPr="00792997">
              <w:t xml:space="preserve">Goleniów – Białuń </w:t>
            </w:r>
          </w:p>
        </w:tc>
        <w:tc>
          <w:tcPr>
            <w:tcW w:w="1843" w:type="dxa"/>
            <w:tcBorders>
              <w:top w:val="single" w:sz="6" w:space="0" w:color="auto"/>
              <w:left w:val="single" w:sz="6" w:space="0" w:color="auto"/>
              <w:bottom w:val="nil"/>
              <w:right w:val="single" w:sz="6" w:space="0" w:color="auto"/>
            </w:tcBorders>
            <w:tcMar>
              <w:left w:w="60" w:type="dxa"/>
              <w:right w:w="60" w:type="dxa"/>
            </w:tcMar>
            <w:vAlign w:val="bottom"/>
          </w:tcPr>
          <w:p w14:paraId="27DDF37C" w14:textId="77777777" w:rsidR="00D4733E" w:rsidRPr="00D4733E" w:rsidRDefault="00D4733E" w:rsidP="00D4733E">
            <w:r w:rsidRPr="00792997">
              <w:t>Budowa nowej linii- łącznicy</w:t>
            </w:r>
          </w:p>
        </w:tc>
        <w:tc>
          <w:tcPr>
            <w:tcW w:w="992" w:type="dxa"/>
            <w:tcBorders>
              <w:top w:val="single" w:sz="6" w:space="0" w:color="auto"/>
              <w:left w:val="single" w:sz="6" w:space="0" w:color="auto"/>
              <w:bottom w:val="nil"/>
              <w:right w:val="single" w:sz="6" w:space="0" w:color="auto"/>
            </w:tcBorders>
            <w:tcMar>
              <w:left w:w="60" w:type="dxa"/>
              <w:right w:w="60" w:type="dxa"/>
            </w:tcMar>
            <w:vAlign w:val="bottom"/>
          </w:tcPr>
          <w:p w14:paraId="08D2A6AE" w14:textId="77777777" w:rsidR="00D4733E" w:rsidRPr="00D4733E" w:rsidRDefault="00D4733E" w:rsidP="00D4733E">
            <w:r w:rsidRPr="00792997">
              <w:t>6</w:t>
            </w:r>
          </w:p>
        </w:tc>
      </w:tr>
      <w:tr w:rsidR="00D4733E" w:rsidRPr="004D7D5F" w14:paraId="05A9DC10"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tcPr>
          <w:p w14:paraId="0514FB4E" w14:textId="77777777" w:rsidR="00D4733E" w:rsidRPr="00D4733E" w:rsidRDefault="00D4733E" w:rsidP="00D4733E">
            <w:r w:rsidRPr="00792997">
              <w:t>32.</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tcPr>
          <w:p w14:paraId="10F987E0" w14:textId="77777777" w:rsidR="00D4733E" w:rsidRPr="00D4733E" w:rsidRDefault="00D4733E" w:rsidP="00D4733E">
            <w:r w:rsidRPr="00792997">
              <w:t xml:space="preserve">Czeremcha – Białystok </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FDE5A1E"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tcPr>
          <w:p w14:paraId="2033FE27" w14:textId="77777777" w:rsidR="00D4733E" w:rsidRPr="00D4733E" w:rsidRDefault="00D4733E" w:rsidP="00D4733E">
            <w:r w:rsidRPr="00792997">
              <w:t>77</w:t>
            </w:r>
          </w:p>
        </w:tc>
      </w:tr>
      <w:tr w:rsidR="00D4733E" w:rsidRPr="004D7D5F" w14:paraId="04348AE8"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06C06A3" w14:textId="77777777" w:rsidR="00D4733E" w:rsidRPr="00D4733E" w:rsidRDefault="00D4733E" w:rsidP="00D4733E">
            <w:r w:rsidRPr="00792997">
              <w:t>31.</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B47773A" w14:textId="77777777" w:rsidR="00D4733E" w:rsidRPr="00D4733E" w:rsidRDefault="00D4733E" w:rsidP="00D4733E">
            <w:r w:rsidRPr="00792997">
              <w:t>Fronołów – Czeremcha</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FB5C801"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BC6C9B2" w14:textId="77777777" w:rsidR="00D4733E" w:rsidRPr="00D4733E" w:rsidRDefault="00D4733E" w:rsidP="00D4733E">
            <w:r w:rsidRPr="00792997">
              <w:t>37</w:t>
            </w:r>
          </w:p>
        </w:tc>
      </w:tr>
      <w:tr w:rsidR="00D4733E" w:rsidRPr="004D7D5F" w14:paraId="16362A13"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EC1A691" w14:textId="77777777" w:rsidR="00D4733E" w:rsidRPr="00D4733E" w:rsidRDefault="00D4733E" w:rsidP="00D4733E">
            <w:r w:rsidRPr="00792997">
              <w:t>631.</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6200309" w14:textId="77777777" w:rsidR="00D4733E" w:rsidRPr="00D4733E" w:rsidRDefault="00D4733E" w:rsidP="00D4733E">
            <w:r w:rsidRPr="00792997">
              <w:t xml:space="preserve">Milanów – Fronołów </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5213B92" w14:textId="77777777" w:rsidR="00D4733E" w:rsidRPr="00D4733E" w:rsidRDefault="00D4733E" w:rsidP="00D4733E">
            <w:r w:rsidRPr="00792997">
              <w:t>Budowa nowej linii</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6F73EEF" w14:textId="77777777" w:rsidR="00D4733E" w:rsidRPr="00D4733E" w:rsidRDefault="00D4733E" w:rsidP="00D4733E">
            <w:r w:rsidRPr="00792997">
              <w:t>80</w:t>
            </w:r>
          </w:p>
        </w:tc>
      </w:tr>
      <w:tr w:rsidR="00D4733E" w:rsidRPr="004D7D5F" w14:paraId="13A8E620"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tcPr>
          <w:p w14:paraId="36F8C6D0" w14:textId="77777777" w:rsidR="00D4733E" w:rsidRPr="00D4733E" w:rsidRDefault="00D4733E" w:rsidP="00D4733E">
            <w:r w:rsidRPr="00792997">
              <w:t>30.</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tcPr>
          <w:p w14:paraId="00EFDDFA" w14:textId="77777777" w:rsidR="00D4733E" w:rsidRPr="00D4733E" w:rsidRDefault="00D4733E" w:rsidP="00D4733E">
            <w:r w:rsidRPr="00792997">
              <w:t xml:space="preserve">Milanów – Lublin Północny  </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D236D15"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31C6705" w14:textId="77777777" w:rsidR="00D4733E" w:rsidRPr="00D4733E" w:rsidRDefault="00D4733E" w:rsidP="00D4733E">
            <w:r w:rsidRPr="00792997">
              <w:t>64</w:t>
            </w:r>
          </w:p>
        </w:tc>
      </w:tr>
      <w:tr w:rsidR="00D4733E" w:rsidRPr="004D7D5F" w14:paraId="0C85EF4B"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1911767" w14:textId="77777777" w:rsidR="00D4733E" w:rsidRPr="00D4733E" w:rsidRDefault="00D4733E" w:rsidP="00D4733E">
            <w:r w:rsidRPr="00792997">
              <w:t>68.</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63BAE56" w14:textId="77777777" w:rsidR="00D4733E" w:rsidRPr="00D4733E" w:rsidRDefault="00D4733E" w:rsidP="00D4733E">
            <w:r w:rsidRPr="00792997">
              <w:t>Lublin – Stalowa Wola Rozwadów</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A9BE837" w14:textId="77777777" w:rsidR="00D4733E" w:rsidRPr="00D4733E" w:rsidRDefault="00D4733E" w:rsidP="00D4733E">
            <w:r w:rsidRPr="00792997">
              <w:t>Modernizacja</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A28710D" w14:textId="77777777" w:rsidR="00D4733E" w:rsidRPr="00D4733E" w:rsidRDefault="00D4733E" w:rsidP="00D4733E">
            <w:r w:rsidRPr="00792997">
              <w:t>81</w:t>
            </w:r>
          </w:p>
        </w:tc>
      </w:tr>
      <w:tr w:rsidR="00D4733E" w:rsidRPr="004D7D5F" w14:paraId="34C3EA43" w14:textId="77777777" w:rsidTr="00E75F8E">
        <w:trPr>
          <w:trHeight w:val="300"/>
        </w:trPr>
        <w:tc>
          <w:tcPr>
            <w:tcW w:w="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939D57C" w14:textId="77777777" w:rsidR="00D4733E" w:rsidRPr="00D4733E" w:rsidRDefault="00D4733E" w:rsidP="00D4733E">
            <w:r w:rsidRPr="00792997">
              <w:t>68(s)</w:t>
            </w:r>
          </w:p>
        </w:tc>
        <w:tc>
          <w:tcPr>
            <w:tcW w:w="326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ABFA33B" w14:textId="77777777" w:rsidR="00D4733E" w:rsidRPr="00D4733E" w:rsidRDefault="00D4733E" w:rsidP="00D4733E">
            <w:r w:rsidRPr="00792997">
              <w:t>Skrót Kraśnik – Rzeczyca</w:t>
            </w:r>
          </w:p>
        </w:tc>
        <w:tc>
          <w:tcPr>
            <w:tcW w:w="1843"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4E5D636" w14:textId="77777777" w:rsidR="00D4733E" w:rsidRPr="00D4733E" w:rsidRDefault="00D4733E" w:rsidP="00D4733E">
            <w:r w:rsidRPr="00792997">
              <w:t>Budowa nowej linii -skrótu istniejącej linii</w:t>
            </w:r>
          </w:p>
        </w:tc>
        <w:tc>
          <w:tcPr>
            <w:tcW w:w="992"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057D645" w14:textId="77777777" w:rsidR="00D4733E" w:rsidRPr="00D4733E" w:rsidRDefault="00D4733E" w:rsidP="00D4733E">
            <w:r w:rsidRPr="00792997">
              <w:t>12</w:t>
            </w:r>
          </w:p>
        </w:tc>
      </w:tr>
    </w:tbl>
    <w:p w14:paraId="30A8D759" w14:textId="77777777" w:rsidR="00792997" w:rsidRPr="00792997" w:rsidRDefault="00792997" w:rsidP="00792997"/>
    <w:sectPr w:rsidR="00792997" w:rsidRPr="00792997"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13497" w14:textId="77777777" w:rsidR="00F15507" w:rsidRDefault="00F15507">
      <w:r>
        <w:separator/>
      </w:r>
    </w:p>
  </w:endnote>
  <w:endnote w:type="continuationSeparator" w:id="0">
    <w:p w14:paraId="549B0FFE" w14:textId="77777777" w:rsidR="00F15507" w:rsidRDefault="00F1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68D36" w14:textId="77777777" w:rsidR="00F15507" w:rsidRDefault="00F15507">
      <w:r>
        <w:separator/>
      </w:r>
    </w:p>
  </w:footnote>
  <w:footnote w:type="continuationSeparator" w:id="0">
    <w:p w14:paraId="7CC65CE4" w14:textId="77777777" w:rsidR="00F15507" w:rsidRDefault="00F15507">
      <w:r>
        <w:continuationSeparator/>
      </w:r>
    </w:p>
  </w:footnote>
  <w:footnote w:id="1">
    <w:p w14:paraId="3F0DBE70" w14:textId="77777777" w:rsidR="00AC3F84" w:rsidRPr="006744F0" w:rsidRDefault="00AC3F84" w:rsidP="006744F0">
      <w:pPr>
        <w:pStyle w:val="ODNONIKtreodnonika"/>
      </w:pPr>
      <w:r w:rsidRPr="006744F0">
        <w:rPr>
          <w:rStyle w:val="Odwoanieprzypisudolnego"/>
          <w:rFonts w:cs="Arial"/>
          <w:vertAlign w:val="baseline"/>
        </w:rPr>
        <w:footnoteRef/>
      </w:r>
      <w:r w:rsidRPr="006744F0">
        <w:rPr>
          <w:rStyle w:val="IGindeksgrny"/>
          <w:vertAlign w:val="baseline"/>
        </w:rPr>
        <w:t>)</w:t>
      </w:r>
      <w:r w:rsidRPr="006744F0">
        <w:tab/>
        <w:t>Niniejszą ustawą zmienia się ustawę z dnia 10 maja 2018 r. o Centralnym Porcie Komunikacyjnym.</w:t>
      </w:r>
    </w:p>
  </w:footnote>
  <w:footnote w:id="2">
    <w:p w14:paraId="0D4FA755" w14:textId="77777777" w:rsidR="00AC3F84" w:rsidRPr="006744F0" w:rsidRDefault="00AC3F84" w:rsidP="006744F0">
      <w:pPr>
        <w:pStyle w:val="PKTODNONIKApunktodnonika"/>
      </w:pPr>
      <w:r>
        <w:rPr>
          <w:rStyle w:val="Odwoanieprzypisudolnego"/>
        </w:rPr>
        <w:footnoteRef/>
      </w:r>
      <w:r>
        <w:rPr>
          <w:rStyle w:val="IGindeksgrny"/>
        </w:rPr>
        <w:t>)</w:t>
      </w:r>
      <w:r>
        <w:tab/>
      </w:r>
      <w:r w:rsidRPr="006744F0">
        <w:t>Zmiany tekstu jednolitego wymienionej ustawy zostały ogłoszone w Dz. U. z 2023 r. poz. 295 i 1598 oraz z 2024 r. poz. 619, 1685 i 1863.</w:t>
      </w:r>
    </w:p>
    <w:p w14:paraId="43D316C9" w14:textId="77777777" w:rsidR="00AC3F84" w:rsidRPr="006744F0" w:rsidRDefault="00AC3F84" w:rsidP="006744F0">
      <w:pPr>
        <w:pStyle w:val="ODNONIKtreodnonik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EC48B" w14:textId="71C2AA2B" w:rsidR="00AC3F84" w:rsidRPr="00B371CC" w:rsidRDefault="00AC3F84" w:rsidP="00B371CC">
    <w:pPr>
      <w:pStyle w:val="Nagwek"/>
      <w:jc w:val="center"/>
    </w:pPr>
    <w:r>
      <w:t xml:space="preserve">– </w:t>
    </w:r>
    <w:r>
      <w:fldChar w:fldCharType="begin"/>
    </w:r>
    <w:r>
      <w:instrText xml:space="preserve"> PAGE  \* MERGEFORMAT </w:instrText>
    </w:r>
    <w:r>
      <w:fldChar w:fldCharType="separate"/>
    </w:r>
    <w:r w:rsidR="00E053FE">
      <w:rPr>
        <w:noProof/>
      </w:rPr>
      <w:t>2</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4F0"/>
    <w:rsid w:val="000012DA"/>
    <w:rsid w:val="0000246E"/>
    <w:rsid w:val="00003862"/>
    <w:rsid w:val="00012A35"/>
    <w:rsid w:val="00016099"/>
    <w:rsid w:val="00017DC2"/>
    <w:rsid w:val="00021522"/>
    <w:rsid w:val="00022203"/>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91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0CF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2CED"/>
    <w:rsid w:val="0023727E"/>
    <w:rsid w:val="00242081"/>
    <w:rsid w:val="00243777"/>
    <w:rsid w:val="002441CD"/>
    <w:rsid w:val="002501A3"/>
    <w:rsid w:val="0025166C"/>
    <w:rsid w:val="002555D4"/>
    <w:rsid w:val="00255ACE"/>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2866"/>
    <w:rsid w:val="002D4D30"/>
    <w:rsid w:val="002D5000"/>
    <w:rsid w:val="002D598D"/>
    <w:rsid w:val="002D7188"/>
    <w:rsid w:val="002E1DE3"/>
    <w:rsid w:val="002E2AB6"/>
    <w:rsid w:val="002E3F34"/>
    <w:rsid w:val="002E5F79"/>
    <w:rsid w:val="002E64FA"/>
    <w:rsid w:val="002F0A00"/>
    <w:rsid w:val="002F0CFA"/>
    <w:rsid w:val="002F669F"/>
    <w:rsid w:val="00301C97"/>
    <w:rsid w:val="003063D6"/>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C424D"/>
    <w:rsid w:val="003C74E0"/>
    <w:rsid w:val="003D12C2"/>
    <w:rsid w:val="003D31B9"/>
    <w:rsid w:val="003D3867"/>
    <w:rsid w:val="003E0D1A"/>
    <w:rsid w:val="003E2DA3"/>
    <w:rsid w:val="003F020D"/>
    <w:rsid w:val="003F03D9"/>
    <w:rsid w:val="003F2FBE"/>
    <w:rsid w:val="003F318D"/>
    <w:rsid w:val="003F5BAE"/>
    <w:rsid w:val="003F6ED7"/>
    <w:rsid w:val="003F780D"/>
    <w:rsid w:val="00401C84"/>
    <w:rsid w:val="00403210"/>
    <w:rsid w:val="004035BB"/>
    <w:rsid w:val="004035EB"/>
    <w:rsid w:val="00407332"/>
    <w:rsid w:val="00407828"/>
    <w:rsid w:val="00413D8E"/>
    <w:rsid w:val="004140F2"/>
    <w:rsid w:val="00417B22"/>
    <w:rsid w:val="00421085"/>
    <w:rsid w:val="0042420F"/>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5EBE"/>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4013"/>
    <w:rsid w:val="00615772"/>
    <w:rsid w:val="00621256"/>
    <w:rsid w:val="00621FCC"/>
    <w:rsid w:val="00622E4B"/>
    <w:rsid w:val="006238D0"/>
    <w:rsid w:val="006333DA"/>
    <w:rsid w:val="00635134"/>
    <w:rsid w:val="006356E2"/>
    <w:rsid w:val="00642A65"/>
    <w:rsid w:val="00645DCE"/>
    <w:rsid w:val="006465AC"/>
    <w:rsid w:val="006465BF"/>
    <w:rsid w:val="0064670B"/>
    <w:rsid w:val="00653B22"/>
    <w:rsid w:val="00657BF4"/>
    <w:rsid w:val="006603FB"/>
    <w:rsid w:val="006608DF"/>
    <w:rsid w:val="006623AC"/>
    <w:rsid w:val="006678AF"/>
    <w:rsid w:val="006701EF"/>
    <w:rsid w:val="00673BA5"/>
    <w:rsid w:val="006744F0"/>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997"/>
    <w:rsid w:val="00792B64"/>
    <w:rsid w:val="00792E29"/>
    <w:rsid w:val="0079379A"/>
    <w:rsid w:val="00794953"/>
    <w:rsid w:val="007A1F2F"/>
    <w:rsid w:val="007A20CE"/>
    <w:rsid w:val="007A2A5C"/>
    <w:rsid w:val="007A5150"/>
    <w:rsid w:val="007A5373"/>
    <w:rsid w:val="007A789F"/>
    <w:rsid w:val="007B75BC"/>
    <w:rsid w:val="007C0BD6"/>
    <w:rsid w:val="007C3806"/>
    <w:rsid w:val="007C5483"/>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46D1C"/>
    <w:rsid w:val="00850C9D"/>
    <w:rsid w:val="00852B59"/>
    <w:rsid w:val="00856272"/>
    <w:rsid w:val="008563FF"/>
    <w:rsid w:val="008579F8"/>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293"/>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0715D"/>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271C"/>
    <w:rsid w:val="009B4CB2"/>
    <w:rsid w:val="009B6701"/>
    <w:rsid w:val="009B6EF7"/>
    <w:rsid w:val="009B7000"/>
    <w:rsid w:val="009B739C"/>
    <w:rsid w:val="009C04EC"/>
    <w:rsid w:val="009C1D1B"/>
    <w:rsid w:val="009C328C"/>
    <w:rsid w:val="009C4444"/>
    <w:rsid w:val="009C79AD"/>
    <w:rsid w:val="009C7CA6"/>
    <w:rsid w:val="009D3316"/>
    <w:rsid w:val="009D55AA"/>
    <w:rsid w:val="009E3E77"/>
    <w:rsid w:val="009E3FAB"/>
    <w:rsid w:val="009E5B3F"/>
    <w:rsid w:val="009E7D90"/>
    <w:rsid w:val="009F1AB0"/>
    <w:rsid w:val="009F501D"/>
    <w:rsid w:val="00A039D5"/>
    <w:rsid w:val="00A03BF4"/>
    <w:rsid w:val="00A046AD"/>
    <w:rsid w:val="00A079C1"/>
    <w:rsid w:val="00A12520"/>
    <w:rsid w:val="00A130FD"/>
    <w:rsid w:val="00A13D6D"/>
    <w:rsid w:val="00A14769"/>
    <w:rsid w:val="00A16151"/>
    <w:rsid w:val="00A16EC6"/>
    <w:rsid w:val="00A17C06"/>
    <w:rsid w:val="00A2126E"/>
    <w:rsid w:val="00A21706"/>
    <w:rsid w:val="00A24FCC"/>
    <w:rsid w:val="00A267BC"/>
    <w:rsid w:val="00A26A90"/>
    <w:rsid w:val="00A26B27"/>
    <w:rsid w:val="00A30E4F"/>
    <w:rsid w:val="00A32253"/>
    <w:rsid w:val="00A3310E"/>
    <w:rsid w:val="00A333A0"/>
    <w:rsid w:val="00A37E70"/>
    <w:rsid w:val="00A437E1"/>
    <w:rsid w:val="00A4685E"/>
    <w:rsid w:val="00A50CD4"/>
    <w:rsid w:val="00A51191"/>
    <w:rsid w:val="00A56D62"/>
    <w:rsid w:val="00A56F07"/>
    <w:rsid w:val="00A5728B"/>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3F84"/>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06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2B83"/>
    <w:rsid w:val="00B43E1F"/>
    <w:rsid w:val="00B45FBC"/>
    <w:rsid w:val="00B51A7D"/>
    <w:rsid w:val="00B535C2"/>
    <w:rsid w:val="00B539ED"/>
    <w:rsid w:val="00B55544"/>
    <w:rsid w:val="00B55FB7"/>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03C7"/>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769"/>
    <w:rsid w:val="00CB3BBE"/>
    <w:rsid w:val="00CB59E9"/>
    <w:rsid w:val="00CC0D6A"/>
    <w:rsid w:val="00CC3831"/>
    <w:rsid w:val="00CC3E3D"/>
    <w:rsid w:val="00CC50D3"/>
    <w:rsid w:val="00CC519B"/>
    <w:rsid w:val="00CD12C1"/>
    <w:rsid w:val="00CD214E"/>
    <w:rsid w:val="00CD46FA"/>
    <w:rsid w:val="00CD5973"/>
    <w:rsid w:val="00CE134C"/>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33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53FE"/>
    <w:rsid w:val="00E060BC"/>
    <w:rsid w:val="00E11420"/>
    <w:rsid w:val="00E132FB"/>
    <w:rsid w:val="00E170B7"/>
    <w:rsid w:val="00E177DD"/>
    <w:rsid w:val="00E20900"/>
    <w:rsid w:val="00E20C7F"/>
    <w:rsid w:val="00E2396E"/>
    <w:rsid w:val="00E24728"/>
    <w:rsid w:val="00E276AC"/>
    <w:rsid w:val="00E27EBC"/>
    <w:rsid w:val="00E34A35"/>
    <w:rsid w:val="00E37C2F"/>
    <w:rsid w:val="00E41C28"/>
    <w:rsid w:val="00E46308"/>
    <w:rsid w:val="00E51E17"/>
    <w:rsid w:val="00E52DAB"/>
    <w:rsid w:val="00E539B0"/>
    <w:rsid w:val="00E55994"/>
    <w:rsid w:val="00E57E3E"/>
    <w:rsid w:val="00E60606"/>
    <w:rsid w:val="00E60C66"/>
    <w:rsid w:val="00E6164D"/>
    <w:rsid w:val="00E618C9"/>
    <w:rsid w:val="00E62774"/>
    <w:rsid w:val="00E6307C"/>
    <w:rsid w:val="00E636FA"/>
    <w:rsid w:val="00E66C50"/>
    <w:rsid w:val="00E679D3"/>
    <w:rsid w:val="00E70815"/>
    <w:rsid w:val="00E71208"/>
    <w:rsid w:val="00E71444"/>
    <w:rsid w:val="00E71C91"/>
    <w:rsid w:val="00E720A1"/>
    <w:rsid w:val="00E75DDA"/>
    <w:rsid w:val="00E773E8"/>
    <w:rsid w:val="00E83ADD"/>
    <w:rsid w:val="00E84F38"/>
    <w:rsid w:val="00E85623"/>
    <w:rsid w:val="00E87441"/>
    <w:rsid w:val="00E91FAE"/>
    <w:rsid w:val="00E96E3F"/>
    <w:rsid w:val="00EA270C"/>
    <w:rsid w:val="00EA3275"/>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507"/>
    <w:rsid w:val="00F15E5A"/>
    <w:rsid w:val="00F17F0A"/>
    <w:rsid w:val="00F2668F"/>
    <w:rsid w:val="00F2742F"/>
    <w:rsid w:val="00F2753B"/>
    <w:rsid w:val="00F33F8B"/>
    <w:rsid w:val="00F340B2"/>
    <w:rsid w:val="00F40E4A"/>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058E"/>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33FF"/>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D7D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E57E3E"/>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07072A-7BC3-4BC3-A491-62088424B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2046</Words>
  <Characters>12577</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2025-08-08T12:31:00Z</dcterms:created>
  <dcterms:modified xsi:type="dcterms:W3CDTF">2025-08-08T12:31:00Z</dcterms:modified>
  <cp:category/>
</cp:core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